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5380"/>
        <w:spacing w:after="0"/>
        <w:rPr>
          <w:sz w:val="20"/>
          <w:szCs w:val="20"/>
          <w:color w:val="auto"/>
        </w:rPr>
      </w:pPr>
      <w:r>
        <w:rPr>
          <w:rFonts w:ascii="Arial" w:cs="Arial" w:eastAsia="Arial" w:hAnsi="Arial"/>
          <w:sz w:val="17"/>
          <w:szCs w:val="17"/>
          <w:color w:val="auto"/>
        </w:rPr>
        <w:t>Filed Pursuant to Rule 424(b)(3)</w:t>
      </w:r>
    </w:p>
    <w:p>
      <w:pPr>
        <w:spacing w:after="0" w:line="2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Registration Statement No. 333-114344</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$450,000,000</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42"/>
          <w:szCs w:val="42"/>
          <w:b w:val="1"/>
          <w:bCs w:val="1"/>
          <w:color w:val="auto"/>
        </w:rPr>
        <w:t>AMDOCS LIMITED</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0.50% Convertible Senior Notes due 2024</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10,435,995 Ordinary Shares issuable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firstLine="265"/>
        <w:spacing w:after="0" w:line="266" w:lineRule="auto"/>
        <w:rPr>
          <w:sz w:val="20"/>
          <w:szCs w:val="20"/>
          <w:color w:val="auto"/>
        </w:rPr>
      </w:pPr>
      <w:r>
        <w:rPr>
          <w:rFonts w:ascii="Arial" w:cs="Arial" w:eastAsia="Arial" w:hAnsi="Arial"/>
          <w:sz w:val="17"/>
          <w:szCs w:val="17"/>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3" w:lineRule="exact"/>
        <w:rPr>
          <w:sz w:val="20"/>
          <w:szCs w:val="20"/>
          <w:color w:val="auto"/>
        </w:rPr>
      </w:pPr>
    </w:p>
    <w:p>
      <w:pPr>
        <w:ind w:right="360" w:firstLine="265"/>
        <w:spacing w:after="0" w:line="268" w:lineRule="auto"/>
        <w:rPr>
          <w:sz w:val="20"/>
          <w:szCs w:val="20"/>
          <w:color w:val="auto"/>
        </w:rPr>
      </w:pPr>
      <w:r>
        <w:rPr>
          <w:rFonts w:ascii="Arial" w:cs="Arial" w:eastAsia="Arial" w:hAnsi="Arial"/>
          <w:sz w:val="17"/>
          <w:szCs w:val="17"/>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Holders may convert each note for a number of ordinary shares, which we refer to as the conversion rate, as follows:</w:t>
      </w:r>
    </w:p>
    <w:p>
      <w:pPr>
        <w:spacing w:after="0" w:line="228" w:lineRule="exact"/>
        <w:rPr>
          <w:sz w:val="20"/>
          <w:szCs w:val="20"/>
          <w:color w:val="auto"/>
        </w:rPr>
      </w:pPr>
    </w:p>
    <w:p>
      <w:pPr>
        <w:ind w:left="460" w:right="80" w:hanging="110"/>
        <w:spacing w:after="0" w:line="273"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6" w:lineRule="exact"/>
        <w:rPr>
          <w:rFonts w:ascii="Arial" w:cs="Arial" w:eastAsia="Arial" w:hAnsi="Arial"/>
          <w:sz w:val="17"/>
          <w:szCs w:val="17"/>
          <w:color w:val="auto"/>
        </w:rPr>
      </w:pPr>
    </w:p>
    <w:p>
      <w:pPr>
        <w:ind w:left="460" w:hanging="110"/>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upon the occurrence of specified credit rating events with respect to the notes;</w:t>
      </w:r>
    </w:p>
    <w:p>
      <w:pPr>
        <w:spacing w:after="0" w:line="280" w:lineRule="exact"/>
        <w:rPr>
          <w:rFonts w:ascii="Arial" w:cs="Arial" w:eastAsia="Arial" w:hAnsi="Arial"/>
          <w:sz w:val="17"/>
          <w:szCs w:val="17"/>
          <w:color w:val="auto"/>
        </w:rPr>
      </w:pPr>
    </w:p>
    <w:p>
      <w:pPr>
        <w:ind w:left="460" w:right="60" w:hanging="110"/>
        <w:spacing w:after="0" w:line="26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13" w:lineRule="exact"/>
        <w:rPr>
          <w:rFonts w:ascii="Arial" w:cs="Arial" w:eastAsia="Arial" w:hAnsi="Arial"/>
          <w:sz w:val="17"/>
          <w:szCs w:val="17"/>
          <w:color w:val="auto"/>
        </w:rPr>
      </w:pPr>
    </w:p>
    <w:p>
      <w:pPr>
        <w:ind w:left="460" w:hanging="110"/>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the notes have been called for redemption, or</w:t>
      </w:r>
    </w:p>
    <w:p>
      <w:pPr>
        <w:spacing w:after="0" w:line="280" w:lineRule="exact"/>
        <w:rPr>
          <w:rFonts w:ascii="Arial" w:cs="Arial" w:eastAsia="Arial" w:hAnsi="Arial"/>
          <w:sz w:val="17"/>
          <w:szCs w:val="17"/>
          <w:color w:val="auto"/>
        </w:rPr>
      </w:pPr>
    </w:p>
    <w:p>
      <w:pPr>
        <w:ind w:left="460" w:right="240" w:hanging="110"/>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described under “Description of Notes — Conversion of Notes — Conversion Upon Specified Corporate Transactions.”</w:t>
      </w:r>
    </w:p>
    <w:p>
      <w:pPr>
        <w:spacing w:after="0" w:line="196" w:lineRule="exact"/>
        <w:rPr>
          <w:sz w:val="20"/>
          <w:szCs w:val="20"/>
          <w:color w:val="auto"/>
        </w:rPr>
      </w:pPr>
    </w:p>
    <w:p>
      <w:pPr>
        <w:jc w:val="both"/>
        <w:ind w:right="260" w:firstLine="265"/>
        <w:spacing w:after="0" w:line="325" w:lineRule="auto"/>
        <w:rPr>
          <w:sz w:val="20"/>
          <w:szCs w:val="20"/>
          <w:color w:val="auto"/>
        </w:rPr>
      </w:pPr>
      <w:r>
        <w:rPr>
          <w:rFonts w:ascii="Arial" w:cs="Arial" w:eastAsia="Arial" w:hAnsi="Arial"/>
          <w:sz w:val="15"/>
          <w:szCs w:val="15"/>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72" w:lineRule="exact"/>
        <w:rPr>
          <w:sz w:val="20"/>
          <w:szCs w:val="20"/>
          <w:color w:val="auto"/>
        </w:rPr>
      </w:pPr>
    </w:p>
    <w:p>
      <w:pPr>
        <w:jc w:val="both"/>
        <w:ind w:right="260" w:firstLine="265"/>
        <w:spacing w:after="0" w:line="286" w:lineRule="auto"/>
        <w:rPr>
          <w:sz w:val="20"/>
          <w:szCs w:val="20"/>
          <w:color w:val="auto"/>
        </w:rPr>
      </w:pPr>
      <w:r>
        <w:rPr>
          <w:rFonts w:ascii="Arial" w:cs="Arial" w:eastAsia="Arial" w:hAnsi="Arial"/>
          <w:sz w:val="17"/>
          <w:szCs w:val="17"/>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196" w:lineRule="exact"/>
        <w:rPr>
          <w:sz w:val="20"/>
          <w:szCs w:val="20"/>
          <w:color w:val="auto"/>
        </w:rPr>
      </w:pPr>
    </w:p>
    <w:p>
      <w:pPr>
        <w:ind w:right="20" w:firstLine="265"/>
        <w:spacing w:after="0" w:line="286" w:lineRule="auto"/>
        <w:rPr>
          <w:sz w:val="20"/>
          <w:szCs w:val="20"/>
          <w:color w:val="auto"/>
        </w:rPr>
      </w:pPr>
      <w:r>
        <w:rPr>
          <w:rFonts w:ascii="Arial" w:cs="Arial" w:eastAsia="Arial" w:hAnsi="Arial"/>
          <w:sz w:val="17"/>
          <w:szCs w:val="17"/>
          <w:color w:val="auto"/>
        </w:rPr>
        <w:t>Our ordinary shares are traded on the New York Stock Exchange under the symbol “DOX.” On October 27, 2005, the closing sale price of our ordinary shares on the New York Stock Exchange was $25.75 per share. You are urged to obtain current market quotations for our ordinary shares.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For a more detailed description of the notes, see “Description of Notes” beginning on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right="520" w:firstLine="318"/>
        <w:spacing w:after="0" w:line="269" w:lineRule="auto"/>
        <w:rPr>
          <w:sz w:val="20"/>
          <w:szCs w:val="20"/>
          <w:color w:val="auto"/>
        </w:rPr>
      </w:pPr>
      <w:r>
        <w:rPr>
          <w:rFonts w:ascii="Arial" w:cs="Arial" w:eastAsia="Arial" w:hAnsi="Arial"/>
          <w:sz w:val="21"/>
          <w:szCs w:val="21"/>
          <w:b w:val="1"/>
          <w:bCs w:val="1"/>
          <w:color w:val="auto"/>
        </w:rPr>
        <w:t>See “Risk Factors” beginning on page 8 to read about factors you should consider before investing in the notes or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110490</wp:posOffset>
            </wp:positionV>
            <wp:extent cx="1906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391" w:lineRule="exact"/>
        <w:rPr>
          <w:sz w:val="20"/>
          <w:szCs w:val="20"/>
          <w:color w:val="auto"/>
        </w:rPr>
      </w:pPr>
    </w:p>
    <w:p>
      <w:pPr>
        <w:ind w:right="140" w:firstLine="265"/>
        <w:spacing w:after="0" w:line="29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109220</wp:posOffset>
            </wp:positionV>
            <wp:extent cx="1906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date of this prospectus is October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634" w:right="259" w:bottom="919" w:gutter="0" w:footer="0" w:header="0"/>
        </w:sectPr>
      </w:pPr>
    </w:p>
    <w:bookmarkStart w:id="2" w:name="page3"/>
    <w:bookmarkEnd w:id="2"/>
    <w:p>
      <w:pPr>
        <w:jc w:val="center"/>
        <w:ind w:right="-219"/>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3"/>
                <w:szCs w:val="13"/>
                <w:b w:val="1"/>
                <w:bCs w:val="1"/>
                <w:color w:val="auto"/>
              </w:rPr>
              <w:t>Page</w:t>
            </w:r>
          </w:p>
        </w:tc>
      </w:tr>
      <w:tr>
        <w:trPr>
          <w:trHeight w:val="94"/>
        </w:trPr>
        <w:tc>
          <w:tcPr>
            <w:tcW w:w="6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99"/>
        </w:trPr>
        <w:tc>
          <w:tcPr>
            <w:tcW w:w="63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PROSPECTUS SUMMARY</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1</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THE OFFERING</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3</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SUMMARY HISTORICAL CONSOLIDATED FINANCIAL INFORMATION</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6</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RATIO OF EARNINGS TO FIXED CHARGES</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7</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RISK FACTORS</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8</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SPECIAL NOTE REGARDING FORWARD-LOOKING INFORMATION</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20</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OFFERING STATISTICS AND TIMETABLE</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21</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REASONS FOR THE OFFER AND USE OF PROCEEDS</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21</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DIVIDEND POLICY</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21</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THE OFFER AND LISTING</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22</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CAPITALIZATION</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24</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DESCRIPTION OF NOTES</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25</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DESCRIPTION OF SHARE CAPITAL</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42</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COMPARISON OF UNITED STATES AND GUERNSEY CORPORATE LAW</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43</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CERTAIN UNITED STATES FEDERAL INCOME TAX CONSIDERATIONS</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44</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CERTAIN GUERNSEY TAX CONSIDERATIONS</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48</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SELLING SECURITYHOLDERS</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49</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VOTING/ INVESTMENT CONTROL TABLE</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60</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PLAN OF DISTRIBUTION</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64</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LEGAL MATTERS</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66</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EXPERTS</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66</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ENFORCEABILITY OF CIVIL LIABILITIES</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66</w:t>
            </w:r>
          </w:p>
        </w:tc>
      </w:tr>
      <w:tr>
        <w:trPr>
          <w:trHeight w:val="212"/>
        </w:trPr>
        <w:tc>
          <w:tcPr>
            <w:tcW w:w="6380" w:type="dxa"/>
            <w:vAlign w:val="bottom"/>
            <w:shd w:val="clear" w:color="auto" w:fill="C4D8E2"/>
          </w:tcPr>
          <w:p>
            <w:pPr>
              <w:spacing w:after="0"/>
              <w:rPr>
                <w:sz w:val="20"/>
                <w:szCs w:val="20"/>
                <w:color w:val="auto"/>
              </w:rPr>
            </w:pPr>
            <w:r>
              <w:rPr>
                <w:rFonts w:ascii="Arial" w:cs="Arial" w:eastAsia="Arial" w:hAnsi="Arial"/>
                <w:sz w:val="17"/>
                <w:szCs w:val="17"/>
                <w:color w:val="auto"/>
              </w:rPr>
              <w:t>INCORPORATION OF DOCUMENTS BY REFERENCE</w:t>
            </w:r>
          </w:p>
        </w:tc>
        <w:tc>
          <w:tcPr>
            <w:tcW w:w="460" w:type="dxa"/>
            <w:vAlign w:val="bottom"/>
            <w:shd w:val="clear" w:color="auto" w:fill="C4D8E2"/>
          </w:tcPr>
          <w:p>
            <w:pPr>
              <w:jc w:val="right"/>
              <w:ind w:right="55"/>
              <w:spacing w:after="0"/>
              <w:rPr>
                <w:sz w:val="20"/>
                <w:szCs w:val="20"/>
                <w:color w:val="auto"/>
              </w:rPr>
            </w:pPr>
            <w:r>
              <w:rPr>
                <w:rFonts w:ascii="Arial" w:cs="Arial" w:eastAsia="Arial" w:hAnsi="Arial"/>
                <w:sz w:val="17"/>
                <w:szCs w:val="17"/>
                <w:color w:val="auto"/>
              </w:rPr>
              <w:t>68</w:t>
            </w:r>
          </w:p>
        </w:tc>
      </w:tr>
      <w:tr>
        <w:trPr>
          <w:trHeight w:val="217"/>
        </w:trPr>
        <w:tc>
          <w:tcPr>
            <w:tcW w:w="6380" w:type="dxa"/>
            <w:vAlign w:val="bottom"/>
          </w:tcPr>
          <w:p>
            <w:pPr>
              <w:spacing w:after="0"/>
              <w:rPr>
                <w:sz w:val="20"/>
                <w:szCs w:val="20"/>
                <w:color w:val="auto"/>
              </w:rPr>
            </w:pPr>
            <w:r>
              <w:rPr>
                <w:rFonts w:ascii="Arial" w:cs="Arial" w:eastAsia="Arial" w:hAnsi="Arial"/>
                <w:sz w:val="17"/>
                <w:szCs w:val="17"/>
                <w:color w:val="auto"/>
              </w:rPr>
              <w:t>WHERE YOU CAN FIND MORE INFORMATION</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68</w:t>
            </w:r>
          </w:p>
        </w:tc>
      </w:tr>
    </w:tbl>
    <w:p>
      <w:pPr>
        <w:spacing w:after="0" w:line="224" w:lineRule="exact"/>
        <w:rPr>
          <w:sz w:val="20"/>
          <w:szCs w:val="20"/>
          <w:color w:val="auto"/>
        </w:rPr>
      </w:pPr>
    </w:p>
    <w:p>
      <w:pPr>
        <w:ind w:firstLine="318"/>
        <w:spacing w:after="0" w:line="325" w:lineRule="auto"/>
        <w:rPr>
          <w:sz w:val="20"/>
          <w:szCs w:val="20"/>
          <w:color w:val="auto"/>
        </w:rPr>
      </w:pPr>
      <w:r>
        <w:rPr>
          <w:rFonts w:ascii="Arial" w:cs="Arial" w:eastAsia="Arial" w:hAnsi="Arial"/>
          <w:sz w:val="15"/>
          <w:szCs w:val="15"/>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919" w:right="4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6270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6270625"/>
                    </a:xfrm>
                    <a:prstGeom prst="rect">
                      <a:avLst/>
                    </a:prstGeom>
                    <a:noFill/>
                  </pic:spPr>
                </pic:pic>
              </a:graphicData>
            </a:graphic>
          </wp:anchor>
        </w:drawing>
        <w:t>PROSPECTUS SUMMARY</w:t>
      </w:r>
    </w:p>
    <w:p>
      <w:pPr>
        <w:spacing w:after="0" w:line="260" w:lineRule="exact"/>
        <w:rPr>
          <w:sz w:val="20"/>
          <w:szCs w:val="20"/>
          <w:color w:val="auto"/>
        </w:rPr>
      </w:pPr>
    </w:p>
    <w:p>
      <w:pPr>
        <w:ind w:right="80" w:firstLine="317"/>
        <w:spacing w:after="0" w:line="297" w:lineRule="auto"/>
        <w:rPr>
          <w:sz w:val="20"/>
          <w:szCs w:val="20"/>
          <w:color w:val="auto"/>
        </w:rPr>
      </w:pPr>
      <w:r>
        <w:rPr>
          <w:rFonts w:ascii="Arial" w:cs="Arial" w:eastAsia="Arial" w:hAnsi="Arial"/>
          <w:sz w:val="16"/>
          <w:szCs w:val="16"/>
          <w:i w:val="1"/>
          <w:iCs w:val="1"/>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Amdocs Limited</w:t>
      </w:r>
    </w:p>
    <w:p>
      <w:pPr>
        <w:spacing w:after="0" w:line="260" w:lineRule="exact"/>
        <w:rPr>
          <w:sz w:val="20"/>
          <w:szCs w:val="20"/>
          <w:color w:val="auto"/>
        </w:rPr>
      </w:pPr>
    </w:p>
    <w:p>
      <w:pPr>
        <w:ind w:right="40" w:firstLine="317"/>
        <w:spacing w:after="0" w:line="297" w:lineRule="auto"/>
        <w:rPr>
          <w:sz w:val="20"/>
          <w:szCs w:val="20"/>
          <w:color w:val="auto"/>
        </w:rPr>
      </w:pPr>
      <w:r>
        <w:rPr>
          <w:rFonts w:ascii="Arial" w:cs="Arial" w:eastAsia="Arial" w:hAnsi="Arial"/>
          <w:sz w:val="16"/>
          <w:szCs w:val="16"/>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190" w:lineRule="exact"/>
        <w:rPr>
          <w:sz w:val="20"/>
          <w:szCs w:val="20"/>
          <w:color w:val="auto"/>
        </w:rPr>
      </w:pPr>
    </w:p>
    <w:p>
      <w:pPr>
        <w:ind w:right="40" w:firstLine="317"/>
        <w:spacing w:after="0" w:line="268" w:lineRule="auto"/>
        <w:rPr>
          <w:sz w:val="20"/>
          <w:szCs w:val="20"/>
          <w:color w:val="auto"/>
        </w:rPr>
      </w:pPr>
      <w:r>
        <w:rPr>
          <w:rFonts w:ascii="Arial" w:cs="Arial" w:eastAsia="Arial" w:hAnsi="Arial"/>
          <w:sz w:val="17"/>
          <w:szCs w:val="17"/>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2" w:lineRule="exact"/>
        <w:rPr>
          <w:sz w:val="20"/>
          <w:szCs w:val="20"/>
          <w:color w:val="auto"/>
        </w:rPr>
      </w:pPr>
    </w:p>
    <w:p>
      <w:pPr>
        <w:ind w:right="360" w:firstLine="317"/>
        <w:spacing w:after="0" w:line="286" w:lineRule="auto"/>
        <w:rPr>
          <w:sz w:val="20"/>
          <w:szCs w:val="20"/>
          <w:color w:val="auto"/>
        </w:rPr>
      </w:pPr>
      <w:r>
        <w:rPr>
          <w:rFonts w:ascii="Arial" w:cs="Arial" w:eastAsia="Arial" w:hAnsi="Arial"/>
          <w:sz w:val="17"/>
          <w:szCs w:val="17"/>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96" w:lineRule="exact"/>
        <w:rPr>
          <w:sz w:val="20"/>
          <w:szCs w:val="20"/>
          <w:color w:val="auto"/>
        </w:rPr>
      </w:pPr>
    </w:p>
    <w:p>
      <w:pPr>
        <w:ind w:firstLine="317"/>
        <w:spacing w:after="0" w:line="286" w:lineRule="auto"/>
        <w:rPr>
          <w:sz w:val="20"/>
          <w:szCs w:val="20"/>
          <w:color w:val="auto"/>
        </w:rPr>
      </w:pPr>
      <w:r>
        <w:rPr>
          <w:rFonts w:ascii="Arial" w:cs="Arial" w:eastAsia="Arial" w:hAnsi="Arial"/>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200" w:lineRule="exact"/>
        <w:rPr>
          <w:sz w:val="20"/>
          <w:szCs w:val="20"/>
          <w:color w:val="auto"/>
        </w:rPr>
      </w:pPr>
    </w:p>
    <w:p>
      <w:pPr>
        <w:ind w:right="20" w:firstLine="317"/>
        <w:spacing w:after="0" w:line="315" w:lineRule="auto"/>
        <w:rPr>
          <w:sz w:val="20"/>
          <w:szCs w:val="20"/>
          <w:color w:val="auto"/>
        </w:rPr>
      </w:pPr>
      <w:r>
        <w:rPr>
          <w:rFonts w:ascii="Arial" w:cs="Arial" w:eastAsia="Arial" w:hAnsi="Arial"/>
          <w:sz w:val="15"/>
          <w:szCs w:val="15"/>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 and communications facility management services. We are also expanding to system integration and providing IT consulting services, such as profit enhancement.</w:t>
      </w:r>
    </w:p>
    <w:p>
      <w:pPr>
        <w:spacing w:after="0" w:line="179" w:lineRule="exact"/>
        <w:rPr>
          <w:sz w:val="20"/>
          <w:szCs w:val="20"/>
          <w:color w:val="auto"/>
        </w:rPr>
      </w:pPr>
    </w:p>
    <w:p>
      <w:pPr>
        <w:ind w:right="520" w:firstLine="317"/>
        <w:spacing w:after="0" w:line="315" w:lineRule="auto"/>
        <w:rPr>
          <w:sz w:val="20"/>
          <w:szCs w:val="20"/>
          <w:color w:val="auto"/>
        </w:rPr>
      </w:pPr>
      <w:r>
        <w:rPr>
          <w:rFonts w:ascii="Arial" w:cs="Arial" w:eastAsia="Arial" w:hAnsi="Arial"/>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goal is to provide advanced information technology software products and related service and support to the world’s leading communications companies.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seek to accomplish our goal by pursuing the strategies described below.</w:t>
      </w:r>
    </w:p>
    <w:p>
      <w:pPr>
        <w:spacing w:after="0" w:line="222" w:lineRule="exact"/>
        <w:rPr>
          <w:sz w:val="20"/>
          <w:szCs w:val="20"/>
          <w:color w:val="auto"/>
        </w:rPr>
      </w:pPr>
    </w:p>
    <w:p>
      <w:pPr>
        <w:jc w:val="both"/>
        <w:ind w:left="460" w:right="220" w:hanging="118"/>
        <w:spacing w:after="0" w:line="273"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Continued Focus on the Communications Industry. </w:t>
      </w:r>
      <w:r>
        <w:rPr>
          <w:rFonts w:ascii="Arial" w:cs="Arial" w:eastAsia="Arial" w:hAnsi="Arial"/>
          <w:sz w:val="17"/>
          <w:szCs w:val="17"/>
          <w:color w:val="auto"/>
        </w:rPr>
        <w:t>We intend to continue to concentrate our main resources and efforts on providing strategic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to the communications industry. This strategy has enabled us to develop the specialized industry know-how and capability necessary to deliver the technologically advanced, large-scale, specifications-intensive information systems solutions</w:t>
      </w:r>
    </w:p>
    <w:p>
      <w:pPr>
        <w:spacing w:after="0" w:line="200" w:lineRule="exact"/>
        <w:rPr>
          <w:sz w:val="20"/>
          <w:szCs w:val="20"/>
          <w:color w:val="auto"/>
        </w:rPr>
      </w:pPr>
    </w:p>
    <w:p>
      <w:pPr>
        <w:spacing w:after="0" w:line="36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147955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420" w:top="1302" w:right="139" w:bottom="1440" w:gutter="0" w:footer="0" w:header="0"/>
        </w:sectPr>
      </w:pPr>
    </w:p>
    <w:bookmarkStart w:id="4" w:name="page5"/>
    <w:bookmarkEnd w:id="4"/>
    <w:p>
      <w:pPr>
        <w:ind w:left="460" w:right="5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5044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5044440"/>
                    </a:xfrm>
                    <a:prstGeom prst="rect">
                      <a:avLst/>
                    </a:prstGeom>
                    <a:noFill/>
                  </pic:spPr>
                </pic:pic>
              </a:graphicData>
            </a:graphic>
          </wp:anchor>
        </w:drawing>
        <w:t>required by the leading communications companies in the wireless, wireline, cable and convergent service sectors. However, we are expanding on our experience by working with service providers in the financial services sector.</w:t>
      </w:r>
    </w:p>
    <w:p>
      <w:pPr>
        <w:spacing w:after="0" w:line="196" w:lineRule="exact"/>
        <w:rPr>
          <w:sz w:val="20"/>
          <w:szCs w:val="20"/>
          <w:color w:val="auto"/>
        </w:rPr>
      </w:pPr>
    </w:p>
    <w:p>
      <w:pPr>
        <w:ind w:left="460" w:right="40" w:hanging="118"/>
        <w:spacing w:after="0" w:line="26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Target Industry Leaders. </w:t>
      </w:r>
      <w:r>
        <w:rPr>
          <w:rFonts w:ascii="Arial" w:cs="Arial" w:eastAsia="Arial" w:hAnsi="Arial"/>
          <w:sz w:val="17"/>
          <w:szCs w:val="17"/>
          <w:color w:val="auto"/>
        </w:rPr>
        <w:t>We intend to continue to direct our marketing efforts principally toward the major communications companies. We derive a</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 forefront of developments in the industry.</w:t>
      </w:r>
    </w:p>
    <w:p>
      <w:pPr>
        <w:spacing w:after="0" w:line="213" w:lineRule="exact"/>
        <w:rPr>
          <w:rFonts w:ascii="Arial" w:cs="Arial" w:eastAsia="Arial" w:hAnsi="Arial"/>
          <w:sz w:val="17"/>
          <w:szCs w:val="17"/>
          <w:color w:val="auto"/>
        </w:rPr>
      </w:pPr>
    </w:p>
    <w:p>
      <w:pPr>
        <w:ind w:left="460" w:hanging="118"/>
        <w:spacing w:after="0" w:line="273"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Deliver Integrated Products and Services Solutions. </w:t>
      </w:r>
      <w:r>
        <w:rPr>
          <w:rFonts w:ascii="Arial" w:cs="Arial" w:eastAsia="Arial" w:hAnsi="Arial"/>
          <w:sz w:val="17"/>
          <w:szCs w:val="17"/>
          <w:color w:val="auto"/>
        </w:rPr>
        <w:t>Our strategy is to provide customers with total systems solutions consisting of our Integrated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products and our specialized services. By leveraging our product and industry knowledge, we believe that we can provide more effective system integration and implementation services, as well as Managed Services to our customers.</w:t>
      </w:r>
    </w:p>
    <w:p>
      <w:pPr>
        <w:spacing w:after="0" w:line="206" w:lineRule="exact"/>
        <w:rPr>
          <w:rFonts w:ascii="Arial" w:cs="Arial" w:eastAsia="Arial" w:hAnsi="Arial"/>
          <w:sz w:val="17"/>
          <w:szCs w:val="17"/>
          <w:color w:val="auto"/>
        </w:rPr>
      </w:pPr>
    </w:p>
    <w:p>
      <w:pPr>
        <w:ind w:left="460" w:hanging="118"/>
        <w:spacing w:after="0" w:line="26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Provide Customers with a Broad, Integrated Suite of Products. </w:t>
      </w:r>
      <w:r>
        <w:rPr>
          <w:rFonts w:ascii="Arial" w:cs="Arial" w:eastAsia="Arial" w:hAnsi="Arial"/>
          <w:sz w:val="17"/>
          <w:szCs w:val="17"/>
          <w:color w:val="auto"/>
        </w:rPr>
        <w:t>We seek to provide our customers with a broad suite of products to help them move toward tru</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213" w:lineRule="exact"/>
        <w:rPr>
          <w:rFonts w:ascii="Arial" w:cs="Arial" w:eastAsia="Arial" w:hAnsi="Arial"/>
          <w:sz w:val="17"/>
          <w:szCs w:val="17"/>
          <w:color w:val="auto"/>
        </w:rPr>
      </w:pPr>
    </w:p>
    <w:p>
      <w:pPr>
        <w:ind w:left="460" w:right="20" w:hanging="118"/>
        <w:spacing w:after="0" w:line="26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Maintain and Develop Long-Term Customer Relationships. </w:t>
      </w:r>
      <w:r>
        <w:rPr>
          <w:rFonts w:ascii="Arial" w:cs="Arial" w:eastAsia="Arial" w:hAnsi="Arial"/>
          <w:sz w:val="17"/>
          <w:szCs w:val="17"/>
          <w:color w:val="auto"/>
        </w:rPr>
        <w:t>We seek to maintain and develop long-term, mutually beneficial relationships with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0" w:lineRule="exact"/>
        <w:rPr>
          <w:sz w:val="20"/>
          <w:szCs w:val="20"/>
          <w:color w:val="auto"/>
        </w:rPr>
      </w:pPr>
    </w:p>
    <w:p>
      <w:pPr>
        <w:spacing w:after="0" w:line="238" w:lineRule="exact"/>
        <w:rPr>
          <w:sz w:val="20"/>
          <w:szCs w:val="20"/>
          <w:color w:val="auto"/>
        </w:rPr>
      </w:pPr>
    </w:p>
    <w:p>
      <w:pPr>
        <w:ind w:firstLine="317"/>
        <w:spacing w:after="0" w:line="310" w:lineRule="auto"/>
        <w:rPr>
          <w:sz w:val="20"/>
          <w:szCs w:val="20"/>
          <w:color w:val="auto"/>
        </w:rPr>
      </w:pPr>
      <w:r>
        <w:rPr>
          <w:rFonts w:ascii="Arial" w:cs="Arial" w:eastAsia="Arial" w:hAnsi="Arial"/>
          <w:sz w:val="15"/>
          <w:szCs w:val="15"/>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Unless the context otherwise requires, references in this prospectus to “Amdocs,” “we,” “us,” and “our” refer to Amdocs Limited and its subsidiaries.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147955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420" w:top="1097" w:right="1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596"/>
        </w:trPr>
        <w:tc>
          <w:tcPr>
            <w:tcW w:w="2480" w:type="dxa"/>
            <w:vAlign w:val="bottom"/>
            <w:tcBorders>
              <w:top w:val="single" w:sz="8" w:color="auto"/>
              <w:left w:val="single" w:sz="8" w:color="auto"/>
            </w:tcBorders>
          </w:tcPr>
          <w:p>
            <w:pPr>
              <w:spacing w:after="0"/>
              <w:rPr>
                <w:sz w:val="24"/>
                <w:szCs w:val="24"/>
                <w:color w:val="auto"/>
              </w:rPr>
            </w:pPr>
          </w:p>
        </w:tc>
        <w:tc>
          <w:tcPr>
            <w:tcW w:w="9040" w:type="dxa"/>
            <w:vAlign w:val="bottom"/>
            <w:tcBorders>
              <w:top w:val="single" w:sz="8" w:color="auto"/>
            </w:tcBorders>
            <w:gridSpan w:val="2"/>
          </w:tcPr>
          <w:p>
            <w:pPr>
              <w:ind w:left="2740"/>
              <w:spacing w:after="0"/>
              <w:rPr>
                <w:sz w:val="20"/>
                <w:szCs w:val="20"/>
                <w:color w:val="auto"/>
              </w:rPr>
            </w:pPr>
            <w:r>
              <w:rPr>
                <w:rFonts w:ascii="Arial" w:cs="Arial" w:eastAsia="Arial" w:hAnsi="Arial"/>
                <w:sz w:val="17"/>
                <w:szCs w:val="17"/>
                <w:b w:val="1"/>
                <w:bCs w:val="1"/>
                <w:color w:val="auto"/>
              </w:rPr>
              <w:t>THE OFFERING</w:t>
            </w:r>
          </w:p>
        </w:tc>
      </w:tr>
      <w:tr>
        <w:trPr>
          <w:trHeight w:val="661"/>
        </w:trPr>
        <w:tc>
          <w:tcPr>
            <w:tcW w:w="2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Amdocs Limited, a company organized under the laws of the Island of Guernsey.</w:t>
            </w:r>
          </w:p>
        </w:tc>
      </w:tr>
      <w:tr>
        <w:trPr>
          <w:trHeight w:val="444"/>
        </w:trPr>
        <w:tc>
          <w:tcPr>
            <w:tcW w:w="2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Securities Offered</w:t>
            </w: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7"/>
              </w:rPr>
              <w:t>$450.0 million principal amount of 0.50% Convertible Senior Notes due 2024 and 10,435,995 ordinary shares</w:t>
            </w:r>
          </w:p>
        </w:tc>
      </w:tr>
      <w:tr>
        <w:trPr>
          <w:trHeight w:val="217"/>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issuable upon conversion of the notes.</w:t>
            </w:r>
          </w:p>
        </w:tc>
      </w:tr>
      <w:tr>
        <w:trPr>
          <w:trHeight w:val="450"/>
        </w:trPr>
        <w:tc>
          <w:tcPr>
            <w:tcW w:w="2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Maturity Date</w:t>
            </w: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March 15, 2024, unless earlier converted, redeemed or repurchased.</w:t>
            </w:r>
          </w:p>
        </w:tc>
      </w:tr>
      <w:tr>
        <w:trPr>
          <w:trHeight w:val="444"/>
        </w:trPr>
        <w:tc>
          <w:tcPr>
            <w:tcW w:w="2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Ranking</w:t>
            </w: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4"/>
              </w:rPr>
              <w:t>The notes are our direct, unsecured and unsubordinated obligations and rank equal in priority with all of our other</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3"/>
              </w:rPr>
              <w:t>existing and future unsecured and unsubordinated indebtedness, including our 2% Convertible Notes due June 1,</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2"/>
              </w:rPr>
              <w:t>2008, which we refer to as the 2% Notes, and senior in right of payment to all of our existing and future subordinate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0"/>
              </w:rPr>
              <w:t>indebtedness. The notes are unsecured and, therefore, are effectively subordinated to any of our secured debt, to the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2"/>
              </w:rPr>
              <w:t>extent of the assets securing such indebtedness. The notes are also structurally subordinated to the debt and other</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4"/>
              </w:rPr>
              <w:t>liabilities of our subsidiaries. With the exception of the 2% Notes, substantially all of the liabilities reflected on our</w:t>
            </w:r>
          </w:p>
        </w:tc>
      </w:tr>
      <w:tr>
        <w:trPr>
          <w:trHeight w:val="217"/>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balance sheet as of December 31, 2004 are liabilities of our subsidiaries.</w:t>
            </w:r>
          </w:p>
        </w:tc>
      </w:tr>
      <w:tr>
        <w:trPr>
          <w:trHeight w:val="444"/>
        </w:trPr>
        <w:tc>
          <w:tcPr>
            <w:tcW w:w="2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Interest</w:t>
            </w: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3"/>
              </w:rPr>
              <w:t>0.50% per annum on the principal amount of the notes, payable semi-annually in arrears in cash on March 15 and</w:t>
            </w:r>
          </w:p>
        </w:tc>
      </w:tr>
      <w:tr>
        <w:trPr>
          <w:trHeight w:val="217"/>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September 15 of each year, beginning on September 15, 2004.</w:t>
            </w:r>
          </w:p>
        </w:tc>
      </w:tr>
      <w:tr>
        <w:trPr>
          <w:trHeight w:val="444"/>
        </w:trPr>
        <w:tc>
          <w:tcPr>
            <w:tcW w:w="2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Conversion Rights</w:t>
            </w: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4"/>
              </w:rPr>
              <w:t>You may convert the notes into our ordinary shares, par value £0.01 per share, which we refer to as our ordinary</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0"/>
              </w:rPr>
              <w:t>shares, at a conversion rate of 23.1911 shares per $1,000 principal amount of notes (a conversion price of $43.12 per</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5"/>
              </w:rPr>
              <w:t>share), subject to adjustment, prior to the close of business on the final maturity date under any of the following</w:t>
            </w:r>
          </w:p>
        </w:tc>
      </w:tr>
      <w:tr>
        <w:trPr>
          <w:trHeight w:val="217"/>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circumstances:</w:t>
            </w:r>
          </w:p>
        </w:tc>
      </w:tr>
      <w:tr>
        <w:trPr>
          <w:trHeight w:val="444"/>
        </w:trPr>
        <w:tc>
          <w:tcPr>
            <w:tcW w:w="2480" w:type="dxa"/>
            <w:vAlign w:val="bottom"/>
            <w:tcBorders>
              <w:left w:val="single" w:sz="8" w:color="auto"/>
            </w:tcBorders>
          </w:tcPr>
          <w:p>
            <w:pPr>
              <w:spacing w:after="0"/>
              <w:rPr>
                <w:sz w:val="24"/>
                <w:szCs w:val="24"/>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4"/>
              </w:rPr>
              <w:t>• during any fiscal quarter commencing after March 31, 2004, and only during that fiscal quarter if the closing sale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2"/>
              </w:rPr>
              <w:t>price of our ordinary shares exceeds 130% of the conversion price for at least 20 trading days in the 30 consecutive</w:t>
            </w:r>
          </w:p>
        </w:tc>
      </w:tr>
      <w:tr>
        <w:trPr>
          <w:trHeight w:val="217"/>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trading days ending on the last trading day of the preceding fiscal quarter; or</w:t>
            </w:r>
          </w:p>
        </w:tc>
      </w:tr>
      <w:tr>
        <w:trPr>
          <w:trHeight w:val="444"/>
        </w:trPr>
        <w:tc>
          <w:tcPr>
            <w:tcW w:w="2480" w:type="dxa"/>
            <w:vAlign w:val="bottom"/>
            <w:tcBorders>
              <w:left w:val="single" w:sz="8" w:color="auto"/>
            </w:tcBorders>
          </w:tcPr>
          <w:p>
            <w:pPr>
              <w:spacing w:after="0"/>
              <w:rPr>
                <w:sz w:val="24"/>
                <w:szCs w:val="24"/>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3"/>
              </w:rPr>
              <w:t>• after the earlier of (a) the date the notes are rated by both Standard &amp; Poor’s Ratings Services, a division of The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6"/>
              </w:rPr>
              <w:t>McGraw-Hill Companies, Inc., and its successors (“Standard &amp; Poor’s”) and Moody’s Investor Services and its</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1"/>
              </w:rPr>
              <w:t>successors (“Moody’s”) and (b) five business days from the date the notes are issued, during any period in which the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4"/>
              </w:rPr>
              <w:t>credit rating assigned to the notes by Standard &amp; Poor’s or Moody’s is “BB-” or “Ba3,” respectively, or lower, or if</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2"/>
              </w:rPr>
              <w:t>either of these rating agencies no longer rates the notes, or if either of these rating agencies suspends or withdraws</w:t>
            </w:r>
          </w:p>
        </w:tc>
      </w:tr>
      <w:tr>
        <w:trPr>
          <w:trHeight w:val="217"/>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the rating assigned to the notes, or if the notes are not assigned a rating by both rating agencies; or</w:t>
            </w:r>
          </w:p>
        </w:tc>
      </w:tr>
      <w:tr>
        <w:trPr>
          <w:trHeight w:val="444"/>
        </w:trPr>
        <w:tc>
          <w:tcPr>
            <w:tcW w:w="2480" w:type="dxa"/>
            <w:vAlign w:val="bottom"/>
            <w:tcBorders>
              <w:left w:val="single" w:sz="8" w:color="auto"/>
            </w:tcBorders>
          </w:tcPr>
          <w:p>
            <w:pPr>
              <w:spacing w:after="0"/>
              <w:rPr>
                <w:sz w:val="24"/>
                <w:szCs w:val="24"/>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w w:val="95"/>
              </w:rPr>
              <w:t>• during the five business day period after any five consecutive trading day period (the “measurement period”) in</w:t>
            </w:r>
          </w:p>
        </w:tc>
      </w:tr>
      <w:tr>
        <w:trPr>
          <w:trHeight w:val="217"/>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Arial" w:cs="Arial" w:eastAsia="Arial" w:hAnsi="Arial"/>
                <w:sz w:val="17"/>
                <w:szCs w:val="17"/>
                <w:color w:val="auto"/>
              </w:rPr>
              <w:t>which the trading price per note for each day of that measurement period</w:t>
            </w:r>
          </w:p>
        </w:tc>
      </w:tr>
      <w:tr>
        <w:trPr>
          <w:trHeight w:val="158"/>
        </w:trPr>
        <w:tc>
          <w:tcPr>
            <w:tcW w:w="2480" w:type="dxa"/>
            <w:vAlign w:val="bottom"/>
            <w:tcBorders>
              <w:left w:val="single" w:sz="8" w:color="auto"/>
              <w:bottom w:val="single" w:sz="8" w:color="auto"/>
            </w:tcBorders>
          </w:tcPr>
          <w:p>
            <w:pPr>
              <w:spacing w:after="0"/>
              <w:rPr>
                <w:sz w:val="13"/>
                <w:szCs w:val="13"/>
                <w:color w:val="auto"/>
              </w:rPr>
            </w:pPr>
          </w:p>
        </w:tc>
        <w:tc>
          <w:tcPr>
            <w:tcW w:w="8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417"/>
        </w:trPr>
        <w:tc>
          <w:tcPr>
            <w:tcW w:w="2480" w:type="dxa"/>
            <w:vAlign w:val="bottom"/>
          </w:tcPr>
          <w:p>
            <w:pPr>
              <w:spacing w:after="0"/>
              <w:rPr>
                <w:sz w:val="24"/>
                <w:szCs w:val="24"/>
                <w:color w:val="auto"/>
              </w:rPr>
            </w:pPr>
          </w:p>
        </w:tc>
        <w:tc>
          <w:tcPr>
            <w:tcW w:w="8940" w:type="dxa"/>
            <w:vAlign w:val="bottom"/>
          </w:tcPr>
          <w:p>
            <w:pPr>
              <w:ind w:left="32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4"/>
                <w:szCs w:val="24"/>
                <w:color w:val="auto"/>
              </w:rPr>
            </w:pPr>
          </w:p>
        </w:tc>
      </w:tr>
      <w:tr>
        <w:trPr>
          <w:trHeight w:val="224"/>
        </w:trPr>
        <w:tc>
          <w:tcPr>
            <w:tcW w:w="2480" w:type="dxa"/>
            <w:vAlign w:val="bottom"/>
            <w:tcBorders>
              <w:bottom w:val="single" w:sz="8" w:color="808080"/>
            </w:tcBorders>
          </w:tcPr>
          <w:p>
            <w:pPr>
              <w:spacing w:after="0"/>
              <w:rPr>
                <w:sz w:val="19"/>
                <w:szCs w:val="19"/>
                <w:color w:val="auto"/>
              </w:rPr>
            </w:pPr>
          </w:p>
        </w:tc>
        <w:tc>
          <w:tcPr>
            <w:tcW w:w="894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910" w:right="139" w:bottom="1440" w:gutter="0" w:footer="0" w:header="0"/>
        </w:sectPr>
      </w:pPr>
    </w:p>
    <w:bookmarkStart w:id="6" w:name="page7"/>
    <w:bookmarkEnd w:id="6"/>
    <w:p>
      <w:pPr>
        <w:ind w:left="3500" w:right="140"/>
        <w:spacing w:after="0" w:line="31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5615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3930" cy="5615940"/>
                    </a:xfrm>
                    <a:prstGeom prst="rect">
                      <a:avLst/>
                    </a:prstGeom>
                    <a:noFill/>
                  </pic:spPr>
                </pic:pic>
              </a:graphicData>
            </a:graphic>
          </wp:anchor>
        </w:drawing>
        <w:t>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 if the notes have been called for redemption; or</w:t>
            </w:r>
          </w:p>
        </w:tc>
      </w:tr>
      <w:tr>
        <w:trPr>
          <w:trHeight w:val="444"/>
        </w:trPr>
        <w:tc>
          <w:tcPr>
            <w:tcW w:w="318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8"/>
              </w:rPr>
              <w:t>• upon the occurrence of specified corporate events described under “Description of Notes — Conversion of</w:t>
            </w:r>
          </w:p>
        </w:tc>
      </w:t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Notes — Conversion Upon Specified Corporate Transactions.”</w:t>
            </w:r>
          </w:p>
        </w:tc>
      </w:tr>
      <w:tr>
        <w:trPr>
          <w:trHeight w:val="444"/>
        </w:trPr>
        <w:tc>
          <w:tcPr>
            <w:tcW w:w="318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0"/>
              </w:rPr>
              <w:t>You will not receive any cash payment or additional shares representing accrued and unpaid interest upon conversion</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5"/>
              </w:rPr>
              <w:t>of a note, except in limited circumstances. Instead, such interest, if any, will be forfeited upon conversion. Notes</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3"/>
              </w:rPr>
              <w:t>called for redemption may be converted until the close of business on the business day immediately preceding the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redemption date, after which time your right to convert will expire unless we default in the payment of the</w:t>
            </w:r>
          </w:p>
        </w:tc>
      </w:t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redemption price.</w:t>
            </w:r>
          </w:p>
        </w:tc>
      </w:tr>
      <w:tr>
        <w:trPr>
          <w:trHeight w:val="450"/>
        </w:trPr>
        <w:tc>
          <w:tcPr>
            <w:tcW w:w="3180" w:type="dxa"/>
            <w:vAlign w:val="bottom"/>
          </w:tcPr>
          <w:p>
            <w:pPr>
              <w:ind w:left="180"/>
              <w:spacing w:after="0"/>
              <w:rPr>
                <w:sz w:val="20"/>
                <w:szCs w:val="20"/>
                <w:color w:val="auto"/>
              </w:rPr>
            </w:pPr>
            <w:r>
              <w:rPr>
                <w:rFonts w:ascii="Arial" w:cs="Arial" w:eastAsia="Arial" w:hAnsi="Arial"/>
                <w:sz w:val="17"/>
                <w:szCs w:val="17"/>
                <w:color w:val="auto"/>
              </w:rPr>
              <w:t>Sinking Fund</w:t>
            </w: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None.</w:t>
            </w:r>
          </w:p>
        </w:tc>
      </w:tr>
      <w:tr>
        <w:trPr>
          <w:trHeight w:val="444"/>
        </w:trPr>
        <w:tc>
          <w:tcPr>
            <w:tcW w:w="3180" w:type="dxa"/>
            <w:vAlign w:val="bottom"/>
          </w:tcPr>
          <w:p>
            <w:pPr>
              <w:ind w:left="180"/>
              <w:spacing w:after="0"/>
              <w:rPr>
                <w:sz w:val="20"/>
                <w:szCs w:val="20"/>
                <w:color w:val="auto"/>
              </w:rPr>
            </w:pPr>
            <w:r>
              <w:rPr>
                <w:rFonts w:ascii="Arial" w:cs="Arial" w:eastAsia="Arial" w:hAnsi="Arial"/>
                <w:sz w:val="17"/>
                <w:szCs w:val="17"/>
                <w:color w:val="auto"/>
              </w:rPr>
              <w:t>Optional Redemption</w:t>
            </w: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3"/>
              </w:rPr>
              <w:t>Prior to March 20, 2009, the notes will not be redeemable, except as described under “Description of Notes — Tax</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3"/>
              </w:rPr>
              <w:t>Redemption.” On or after March 20, 2009, we may redeem any of the notes by giving you at least 30 days’ notice.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3"/>
              </w:rPr>
              <w:t>We may redeem the notes either in whole or in part at a redemption price equal to 100% of their principal amount,</w:t>
            </w:r>
          </w:p>
        </w:tc>
      </w:t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plus accrued and unpaid interest and liquidated damages, if any, to, but excluding, the date of repurchase.</w:t>
            </w:r>
          </w:p>
        </w:tc>
      </w:tr>
      <w:tr>
        <w:trPr>
          <w:trHeight w:val="444"/>
        </w:trPr>
        <w:tc>
          <w:tcPr>
            <w:tcW w:w="3180" w:type="dxa"/>
            <w:vAlign w:val="bottom"/>
          </w:tcPr>
          <w:p>
            <w:pPr>
              <w:ind w:left="180"/>
              <w:spacing w:after="0"/>
              <w:rPr>
                <w:sz w:val="20"/>
                <w:szCs w:val="20"/>
                <w:color w:val="auto"/>
              </w:rPr>
            </w:pPr>
            <w:r>
              <w:rPr>
                <w:rFonts w:ascii="Arial" w:cs="Arial" w:eastAsia="Arial" w:hAnsi="Arial"/>
                <w:sz w:val="17"/>
                <w:szCs w:val="17"/>
                <w:color w:val="auto"/>
              </w:rPr>
              <w:t>Designated Event</w:t>
            </w: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6"/>
              </w:rPr>
              <w:t>If a designated event (as described under “Description of Notes — Repurchase at Option of the Holder Upon a</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1"/>
              </w:rPr>
              <w:t>Designated Event”) occurs prior to maturity, you may require us to purchase all or part of your notes at a repurchase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3"/>
              </w:rPr>
              <w:t>price equal to 100% of their principal amount, plus accrued and unpaid interest and liquidated damages, if any, to,</w:t>
            </w:r>
          </w:p>
        </w:tc>
      </w:t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but excluding, the date of repurchase.</w:t>
            </w:r>
          </w:p>
        </w:tc>
      </w:tr>
      <w:tr>
        <w:trPr>
          <w:trHeight w:val="444"/>
        </w:trPr>
        <w:tc>
          <w:tcPr>
            <w:tcW w:w="3180" w:type="dxa"/>
            <w:vAlign w:val="bottom"/>
          </w:tcPr>
          <w:p>
            <w:pPr>
              <w:ind w:left="180"/>
              <w:spacing w:after="0"/>
              <w:rPr>
                <w:sz w:val="20"/>
                <w:szCs w:val="20"/>
                <w:color w:val="auto"/>
              </w:rPr>
            </w:pPr>
            <w:r>
              <w:rPr>
                <w:rFonts w:ascii="Arial" w:cs="Arial" w:eastAsia="Arial" w:hAnsi="Arial"/>
                <w:sz w:val="17"/>
                <w:szCs w:val="17"/>
                <w:color w:val="auto"/>
              </w:rPr>
              <w:t>Repurchase at the Option of the Holder</w:t>
            </w: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3"/>
              </w:rPr>
              <w:t>You may require us to repurchase some or all of your notes on March 15 of 2009, 2014 and 2019, at a repurchase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1"/>
              </w:rPr>
              <w:t>price equal to 100% of the principal amount, plus accrued and unpaid interest and liquidated damages, if any, to, but</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3"/>
              </w:rPr>
              <w:t>excluding, the applicable repurchase date. We may choose to pay the repurchase price in cash or ordinary shares</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(valued using the method set forth in “Description of Notes — Repurchase at Option of the Holder”) or a</w:t>
            </w:r>
          </w:p>
        </w:tc>
      </w:t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8"/>
              </w:rPr>
              <w:t>combination of cash and ordinary shares, provided that we will pay any accrued and unpaid interest in cash.</w:t>
            </w:r>
          </w:p>
        </w:tc>
      </w:tr>
      <w:tr>
        <w:trPr>
          <w:trHeight w:val="444"/>
        </w:trPr>
        <w:tc>
          <w:tcPr>
            <w:tcW w:w="3180" w:type="dxa"/>
            <w:vAlign w:val="bottom"/>
          </w:tcPr>
          <w:p>
            <w:pPr>
              <w:ind w:left="180"/>
              <w:spacing w:after="0"/>
              <w:rPr>
                <w:sz w:val="20"/>
                <w:szCs w:val="20"/>
                <w:color w:val="auto"/>
              </w:rPr>
            </w:pPr>
            <w:r>
              <w:rPr>
                <w:rFonts w:ascii="Arial" w:cs="Arial" w:eastAsia="Arial" w:hAnsi="Arial"/>
                <w:sz w:val="17"/>
                <w:szCs w:val="17"/>
                <w:color w:val="auto"/>
              </w:rPr>
              <w:t>Use of Proceeds</w:t>
            </w: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95"/>
              </w:rPr>
              <w:t>We will not receive any proceeds from the sale by the selling securityholders of the notes or the ordinary shares</w:t>
            </w:r>
          </w:p>
        </w:tc>
      </w:t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issuable upon conversion of the notes.</w:t>
            </w:r>
          </w:p>
        </w:tc>
      </w:tr>
      <w:tr>
        <w:trPr>
          <w:trHeight w:val="444"/>
        </w:trPr>
        <w:tc>
          <w:tcPr>
            <w:tcW w:w="3180" w:type="dxa"/>
            <w:vAlign w:val="bottom"/>
          </w:tcPr>
          <w:p>
            <w:pPr>
              <w:ind w:left="180"/>
              <w:spacing w:after="0"/>
              <w:rPr>
                <w:sz w:val="20"/>
                <w:szCs w:val="20"/>
                <w:color w:val="auto"/>
              </w:rPr>
            </w:pPr>
            <w:r>
              <w:rPr>
                <w:rFonts w:ascii="Arial" w:cs="Arial" w:eastAsia="Arial" w:hAnsi="Arial"/>
                <w:sz w:val="17"/>
                <w:szCs w:val="17"/>
                <w:color w:val="auto"/>
              </w:rPr>
              <w:t>Registration Rights</w:t>
            </w: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w w:val="89"/>
              </w:rPr>
              <w:t>Pursuant to a registration rights agreement, we have agreed to register the resale of the notes and the ordinary shares</w:t>
            </w:r>
          </w:p>
        </w:tc>
      </w:tr>
      <w:tr>
        <w:trPr>
          <w:trHeight w:val="217"/>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Arial" w:cs="Arial" w:eastAsia="Arial" w:hAnsi="Arial"/>
                <w:sz w:val="17"/>
                <w:szCs w:val="17"/>
                <w:color w:val="auto"/>
              </w:rPr>
              <w:t>issuable</w:t>
            </w:r>
          </w:p>
        </w:tc>
      </w:tr>
      <w:tr>
        <w:trPr>
          <w:trHeight w:val="158"/>
        </w:trPr>
        <w:tc>
          <w:tcPr>
            <w:tcW w:w="3180" w:type="dxa"/>
            <w:vAlign w:val="bottom"/>
            <w:tcBorders>
              <w:bottom w:val="single" w:sz="8" w:color="auto"/>
            </w:tcBorders>
          </w:tcPr>
          <w:p>
            <w:pPr>
              <w:spacing w:after="0"/>
              <w:rPr>
                <w:sz w:val="13"/>
                <w:szCs w:val="13"/>
                <w:color w:val="auto"/>
              </w:rPr>
            </w:pPr>
          </w:p>
        </w:tc>
        <w:tc>
          <w:tcPr>
            <w:tcW w:w="8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417"/>
        </w:trPr>
        <w:tc>
          <w:tcPr>
            <w:tcW w:w="318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4"/>
                <w:szCs w:val="24"/>
                <w:color w:val="auto"/>
              </w:rPr>
            </w:pPr>
          </w:p>
        </w:tc>
      </w:tr>
      <w:tr>
        <w:trPr>
          <w:trHeight w:val="224"/>
        </w:trPr>
        <w:tc>
          <w:tcPr>
            <w:tcW w:w="318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097" w:right="1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79"/>
        </w:trPr>
        <w:tc>
          <w:tcPr>
            <w:tcW w:w="3060" w:type="dxa"/>
            <w:vAlign w:val="bottom"/>
            <w:tcBorders>
              <w:top w:val="single" w:sz="8" w:color="auto"/>
              <w:left w:val="single" w:sz="8" w:color="auto"/>
            </w:tcBorders>
          </w:tcPr>
          <w:p>
            <w:pPr>
              <w:spacing w:after="0"/>
              <w:rPr>
                <w:sz w:val="24"/>
                <w:szCs w:val="24"/>
                <w:color w:val="auto"/>
              </w:rPr>
            </w:pPr>
          </w:p>
        </w:tc>
        <w:tc>
          <w:tcPr>
            <w:tcW w:w="8460" w:type="dxa"/>
            <w:vAlign w:val="bottom"/>
            <w:tcBorders>
              <w:top w:val="single" w:sz="8" w:color="auto"/>
            </w:tcBorders>
            <w:gridSpan w:val="2"/>
          </w:tcPr>
          <w:p>
            <w:pPr>
              <w:ind w:left="440"/>
              <w:spacing w:after="0"/>
              <w:rPr>
                <w:sz w:val="20"/>
                <w:szCs w:val="20"/>
                <w:color w:val="auto"/>
              </w:rPr>
            </w:pPr>
            <w:r>
              <w:rPr>
                <w:rFonts w:ascii="Arial" w:cs="Arial" w:eastAsia="Arial" w:hAnsi="Arial"/>
                <w:sz w:val="17"/>
                <w:szCs w:val="17"/>
                <w:color w:val="auto"/>
                <w:w w:val="99"/>
              </w:rPr>
              <w:t>upon conversion of the notes. If we fail to comply with certain of our obligations under the registration rights</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0"/>
              </w:rPr>
              <w:t>agreement, liquidated damages will be payable on the notes and the ordinary shares issuable upon conversion of the</w:t>
            </w:r>
          </w:p>
        </w:tc>
      </w:tr>
      <w:tr>
        <w:trPr>
          <w:trHeight w:val="217"/>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rPr>
              <w:t>notes. See “Description of Notes — Registration Rights.”</w:t>
            </w:r>
          </w:p>
        </w:tc>
      </w:tr>
      <w:tr>
        <w:trPr>
          <w:trHeight w:val="444"/>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Book-entry Form</w:t>
            </w: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0"/>
              </w:rPr>
              <w:t>The notes have been issued in book-entry form and are represented by global certificates deposited with, or on behal</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2"/>
              </w:rPr>
              <w:t>of, The Depository Trust Company, or DTC, and registered in the name of a nominee of DTC. Beneficial interests in</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6"/>
              </w:rPr>
              <w:t>any of the notes will be shown on, and transfers will be effected only through, records maintained by DTC or its</w:t>
            </w:r>
          </w:p>
        </w:tc>
      </w:tr>
      <w:tr>
        <w:trPr>
          <w:trHeight w:val="217"/>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4"/>
              </w:rPr>
              <w:t>nominee and any such interest may not be exchanged for certificated securities, except in limited circumstances.</w:t>
            </w:r>
          </w:p>
        </w:tc>
      </w:tr>
      <w:tr>
        <w:trPr>
          <w:trHeight w:val="444"/>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Trading</w:t>
            </w: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2"/>
              </w:rPr>
              <w:t>The notes are new securities for which no market currently exists. While the initial purchasers have informed us that</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2"/>
              </w:rPr>
              <w:t>they intend to make a market in the notes, they are under no obligation to do so and may discontinue such activities</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3"/>
              </w:rPr>
              <w:t>at any time without notice. The notes are listed on any securities exchange or included in any automated quotation</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w w:val="90"/>
              </w:rPr>
              <w:t>system. While the notes are expected to be designated for trading in The PORTAL Market, we cannot assure you tha</w:t>
            </w:r>
          </w:p>
        </w:tc>
      </w:tr>
      <w:tr>
        <w:trPr>
          <w:trHeight w:val="217"/>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rPr>
              <w:t>any active or liquid market will develop for the notes.</w:t>
            </w:r>
          </w:p>
        </w:tc>
      </w:tr>
      <w:tr>
        <w:trPr>
          <w:trHeight w:val="444"/>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New York Stock Exchange Symbol</w:t>
            </w:r>
          </w:p>
        </w:tc>
        <w:tc>
          <w:tcPr>
            <w:tcW w:w="8460" w:type="dxa"/>
            <w:vAlign w:val="bottom"/>
            <w:gridSpan w:val="2"/>
          </w:tcPr>
          <w:p>
            <w:pPr>
              <w:ind w:left="440"/>
              <w:spacing w:after="0"/>
              <w:rPr>
                <w:sz w:val="20"/>
                <w:szCs w:val="20"/>
                <w:color w:val="auto"/>
              </w:rPr>
            </w:pPr>
            <w:r>
              <w:rPr>
                <w:rFonts w:ascii="Arial" w:cs="Arial" w:eastAsia="Arial" w:hAnsi="Arial"/>
                <w:sz w:val="17"/>
                <w:szCs w:val="17"/>
                <w:color w:val="auto"/>
              </w:rPr>
              <w:t>DOX.</w:t>
            </w:r>
          </w:p>
        </w:tc>
      </w:tr>
      <w:tr>
        <w:trPr>
          <w:trHeight w:val="217"/>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for Our Ordinary Shares</w:t>
            </w: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8"/>
        </w:trPr>
        <w:tc>
          <w:tcPr>
            <w:tcW w:w="3060" w:type="dxa"/>
            <w:vAlign w:val="bottom"/>
            <w:tcBorders>
              <w:left w:val="single" w:sz="8" w:color="auto"/>
              <w:bottom w:val="single" w:sz="8" w:color="auto"/>
            </w:tcBorders>
          </w:tcPr>
          <w:p>
            <w:pPr>
              <w:spacing w:after="0"/>
              <w:rPr>
                <w:sz w:val="13"/>
                <w:szCs w:val="13"/>
                <w:color w:val="auto"/>
              </w:rPr>
            </w:pPr>
          </w:p>
        </w:tc>
        <w:tc>
          <w:tcPr>
            <w:tcW w:w="8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417"/>
        </w:trPr>
        <w:tc>
          <w:tcPr>
            <w:tcW w:w="3060" w:type="dxa"/>
            <w:vAlign w:val="bottom"/>
          </w:tcPr>
          <w:p>
            <w:pPr>
              <w:spacing w:after="0"/>
              <w:rPr>
                <w:sz w:val="24"/>
                <w:szCs w:val="24"/>
                <w:color w:val="auto"/>
              </w:rPr>
            </w:pPr>
          </w:p>
        </w:tc>
        <w:tc>
          <w:tcPr>
            <w:tcW w:w="8360" w:type="dxa"/>
            <w:vAlign w:val="bottom"/>
          </w:tcPr>
          <w:p>
            <w:pPr>
              <w:ind w:left="262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4"/>
                <w:szCs w:val="24"/>
                <w:color w:val="auto"/>
              </w:rPr>
            </w:pPr>
          </w:p>
        </w:tc>
      </w:tr>
      <w:tr>
        <w:trPr>
          <w:trHeight w:val="224"/>
        </w:trPr>
        <w:tc>
          <w:tcPr>
            <w:tcW w:w="30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910" w:right="139" w:bottom="1440" w:gutter="0" w:footer="0" w:header="0"/>
        </w:sectPr>
      </w:pPr>
    </w:p>
    <w:bookmarkStart w:id="8" w:name="page9"/>
    <w:bookmarkEnd w:id="8"/>
    <w:p>
      <w:pPr>
        <w:jc w:val="center"/>
        <w:ind w:right="-61"/>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7825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930" cy="7825105"/>
                    </a:xfrm>
                    <a:prstGeom prst="rect">
                      <a:avLst/>
                    </a:prstGeom>
                    <a:noFill/>
                  </pic:spPr>
                </pic:pic>
              </a:graphicData>
            </a:graphic>
          </wp:anchor>
        </w:drawing>
        <w:t>SUMMARY HISTORICAL CONSOLIDATED FINANCIAL INFORMATION</w:t>
      </w:r>
    </w:p>
    <w:p>
      <w:pPr>
        <w:spacing w:after="0" w:line="260" w:lineRule="exact"/>
        <w:rPr>
          <w:sz w:val="20"/>
          <w:szCs w:val="20"/>
          <w:color w:val="auto"/>
        </w:rPr>
      </w:pPr>
    </w:p>
    <w:p>
      <w:pPr>
        <w:ind w:left="322"/>
        <w:spacing w:after="0"/>
        <w:rPr>
          <w:sz w:val="20"/>
          <w:szCs w:val="20"/>
          <w:color w:val="auto"/>
        </w:rPr>
      </w:pPr>
      <w:r>
        <w:rPr>
          <w:rFonts w:ascii="Arial" w:cs="Arial" w:eastAsia="Arial" w:hAnsi="Arial"/>
          <w:sz w:val="16"/>
          <w:szCs w:val="16"/>
          <w:color w:val="auto"/>
        </w:rPr>
        <w:t>Our consolidated financial statements are prepared in accordance with U.S. generally accepted accounting principles in the United States and presented in</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5"/>
          <w:szCs w:val="15"/>
          <w:color w:val="auto"/>
        </w:rPr>
        <w:t>U.S. dollars. The summary historical consolidated financial information set forth below has been derived from our historical consolidated financial statements for the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5"/>
          <w:szCs w:val="15"/>
          <w:color w:val="auto"/>
        </w:rPr>
        <w:t>periods presented. Historical information as of and for the five years ended September 30, 2004 is derived from our consolidated financial statements, which have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color w:val="auto"/>
        </w:rPr>
        <w:t>been audited by Ernst &amp; Young LLP, our independent auditors. The summary historical consolidated interim financial information as of and for the nine months</w:t>
      </w:r>
    </w:p>
    <w:p>
      <w:pPr>
        <w:spacing w:after="0" w:line="28" w:lineRule="exact"/>
        <w:rPr>
          <w:sz w:val="20"/>
          <w:szCs w:val="20"/>
          <w:color w:val="auto"/>
        </w:rPr>
      </w:pPr>
    </w:p>
    <w:p>
      <w:pPr>
        <w:ind w:left="2"/>
        <w:spacing w:after="0"/>
        <w:rPr>
          <w:sz w:val="20"/>
          <w:szCs w:val="20"/>
          <w:color w:val="auto"/>
        </w:rPr>
      </w:pPr>
      <w:r>
        <w:rPr>
          <w:rFonts w:ascii="Arial" w:cs="Arial" w:eastAsia="Arial" w:hAnsi="Arial"/>
          <w:sz w:val="16"/>
          <w:szCs w:val="16"/>
          <w:color w:val="auto"/>
        </w:rPr>
        <w:t>ended June 30, 2005 and 2004 is derived from our unaudited historical consolidated interim financial statements. The unaudited historical consolidated interim</w:t>
      </w:r>
    </w:p>
    <w:p>
      <w:pPr>
        <w:spacing w:after="0" w:line="28" w:lineRule="exact"/>
        <w:rPr>
          <w:sz w:val="20"/>
          <w:szCs w:val="20"/>
          <w:color w:val="auto"/>
        </w:rPr>
      </w:pPr>
    </w:p>
    <w:p>
      <w:pPr>
        <w:ind w:left="2"/>
        <w:spacing w:after="0"/>
        <w:rPr>
          <w:sz w:val="20"/>
          <w:szCs w:val="20"/>
          <w:color w:val="auto"/>
        </w:rPr>
      </w:pPr>
      <w:r>
        <w:rPr>
          <w:rFonts w:ascii="Arial" w:cs="Arial" w:eastAsia="Arial" w:hAnsi="Arial"/>
          <w:sz w:val="15"/>
          <w:szCs w:val="15"/>
          <w:color w:val="auto"/>
        </w:rPr>
        <w:t>financial information reflects all adjustments, consisting of normal recurring adjustments, that we consider necessary for a fair presentation of those statements. The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color w:val="auto"/>
        </w:rPr>
        <w:t>results for an interim period are not necessarily indicative of the results for a full fiscal year. You should read the summary historical consolidated financial</w:t>
      </w:r>
    </w:p>
    <w:p>
      <w:pPr>
        <w:spacing w:after="0" w:line="28" w:lineRule="exact"/>
        <w:rPr>
          <w:sz w:val="20"/>
          <w:szCs w:val="20"/>
          <w:color w:val="auto"/>
        </w:rPr>
      </w:pPr>
    </w:p>
    <w:p>
      <w:pPr>
        <w:ind w:left="2"/>
        <w:spacing w:after="0"/>
        <w:rPr>
          <w:sz w:val="20"/>
          <w:szCs w:val="20"/>
          <w:color w:val="auto"/>
        </w:rPr>
      </w:pPr>
      <w:r>
        <w:rPr>
          <w:rFonts w:ascii="Arial" w:cs="Arial" w:eastAsia="Arial" w:hAnsi="Arial"/>
          <w:sz w:val="15"/>
          <w:szCs w:val="15"/>
          <w:color w:val="auto"/>
        </w:rPr>
        <w:t>information set forth below in conjunction with “Operating and Financial Review and Prospects,” our consolidated financial statements and related footnotes and the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5"/>
          <w:szCs w:val="15"/>
          <w:color w:val="auto"/>
        </w:rPr>
        <w:t>other financial information included in our reports filed with the Securities and Exchange Commission, referred to herein as the SEC, and incorporated by reference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7"/>
          <w:szCs w:val="17"/>
          <w:color w:val="auto"/>
        </w:rPr>
        <w:t>in this prospectus.</w:t>
      </w:r>
    </w:p>
    <w:p>
      <w:pPr>
        <w:spacing w:after="0" w:line="200" w:lineRule="exact"/>
        <w:rPr>
          <w:sz w:val="20"/>
          <w:szCs w:val="20"/>
          <w:color w:val="auto"/>
        </w:rPr>
      </w:pPr>
    </w:p>
    <w:p>
      <w:pPr>
        <w:spacing w:after="0" w:line="22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w w:val="93"/>
              </w:rPr>
              <w:t>Nine Months Ended</w:t>
            </w:r>
          </w:p>
        </w:tc>
      </w:tr>
      <w:tr>
        <w:trPr>
          <w:trHeight w:val="170"/>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Year Ended September 30,</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3"/>
                <w:szCs w:val="13"/>
                <w:b w:val="1"/>
                <w:bCs w:val="1"/>
                <w:color w:val="auto"/>
                <w:w w:val="88"/>
              </w:rPr>
              <w:t>June 30,</w:t>
            </w:r>
          </w:p>
        </w:tc>
      </w:tr>
      <w:tr>
        <w:trPr>
          <w:trHeight w:val="94"/>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56"/>
        </w:trPr>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37"/>
              <w:spacing w:after="0"/>
              <w:rPr>
                <w:sz w:val="20"/>
                <w:szCs w:val="20"/>
                <w:color w:val="auto"/>
              </w:rPr>
            </w:pPr>
            <w:r>
              <w:rPr>
                <w:rFonts w:ascii="Arial" w:cs="Arial" w:eastAsia="Arial" w:hAnsi="Arial"/>
                <w:sz w:val="13"/>
                <w:szCs w:val="13"/>
                <w:b w:val="1"/>
                <w:bCs w:val="1"/>
                <w:color w:val="auto"/>
              </w:rPr>
              <w:t>2004</w:t>
            </w:r>
          </w:p>
        </w:tc>
        <w:tc>
          <w:tcPr>
            <w:tcW w:w="1300" w:type="dxa"/>
            <w:vAlign w:val="bottom"/>
            <w:gridSpan w:val="2"/>
          </w:tcPr>
          <w:p>
            <w:pPr>
              <w:jc w:val="right"/>
              <w:ind w:right="354"/>
              <w:spacing w:after="0"/>
              <w:rPr>
                <w:sz w:val="20"/>
                <w:szCs w:val="20"/>
                <w:color w:val="auto"/>
              </w:rPr>
            </w:pPr>
            <w:r>
              <w:rPr>
                <w:rFonts w:ascii="Arial" w:cs="Arial" w:eastAsia="Arial" w:hAnsi="Arial"/>
                <w:sz w:val="13"/>
                <w:szCs w:val="13"/>
                <w:b w:val="1"/>
                <w:bCs w:val="1"/>
                <w:color w:val="auto"/>
              </w:rPr>
              <w:t>2003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2002</w:t>
            </w:r>
          </w:p>
        </w:tc>
        <w:tc>
          <w:tcPr>
            <w:tcW w:w="200" w:type="dxa"/>
            <w:vAlign w:val="bottom"/>
          </w:tcPr>
          <w:p>
            <w:pPr>
              <w:spacing w:after="0"/>
              <w:rPr>
                <w:sz w:val="22"/>
                <w:szCs w:val="22"/>
                <w:color w:val="auto"/>
              </w:rPr>
            </w:pPr>
          </w:p>
        </w:tc>
        <w:tc>
          <w:tcPr>
            <w:tcW w:w="940" w:type="dxa"/>
            <w:vAlign w:val="bottom"/>
          </w:tcPr>
          <w:p>
            <w:pPr>
              <w:jc w:val="right"/>
              <w:ind w:right="157"/>
              <w:spacing w:after="0"/>
              <w:rPr>
                <w:sz w:val="20"/>
                <w:szCs w:val="20"/>
                <w:color w:val="auto"/>
              </w:rPr>
            </w:pPr>
            <w:r>
              <w:rPr>
                <w:rFonts w:ascii="Arial" w:cs="Arial" w:eastAsia="Arial" w:hAnsi="Arial"/>
                <w:sz w:val="13"/>
                <w:szCs w:val="13"/>
                <w:b w:val="1"/>
                <w:bCs w:val="1"/>
                <w:color w:val="auto"/>
              </w:rPr>
              <w:t>2001</w:t>
            </w:r>
          </w:p>
        </w:tc>
        <w:tc>
          <w:tcPr>
            <w:tcW w:w="180" w:type="dxa"/>
            <w:vAlign w:val="bottom"/>
          </w:tcPr>
          <w:p>
            <w:pPr>
              <w:spacing w:after="0"/>
              <w:rPr>
                <w:sz w:val="22"/>
                <w:szCs w:val="22"/>
                <w:color w:val="auto"/>
              </w:rPr>
            </w:pPr>
          </w:p>
        </w:tc>
        <w:tc>
          <w:tcPr>
            <w:tcW w:w="1300" w:type="dxa"/>
            <w:vAlign w:val="bottom"/>
            <w:gridSpan w:val="2"/>
          </w:tcPr>
          <w:p>
            <w:pPr>
              <w:jc w:val="right"/>
              <w:ind w:right="354"/>
              <w:spacing w:after="0"/>
              <w:rPr>
                <w:sz w:val="20"/>
                <w:szCs w:val="20"/>
                <w:color w:val="auto"/>
              </w:rPr>
            </w:pPr>
            <w:r>
              <w:rPr>
                <w:rFonts w:ascii="Arial" w:cs="Arial" w:eastAsia="Arial" w:hAnsi="Arial"/>
                <w:sz w:val="13"/>
                <w:szCs w:val="13"/>
                <w:b w:val="1"/>
                <w:bCs w:val="1"/>
                <w:color w:val="auto"/>
              </w:rPr>
              <w:t>2000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22"/>
                <w:szCs w:val="22"/>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2004</w:t>
            </w:r>
          </w:p>
        </w:tc>
      </w:tr>
      <w:tr>
        <w:trPr>
          <w:trHeight w:val="94"/>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45"/>
        </w:trPr>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40" w:type="dxa"/>
            <w:vAlign w:val="bottom"/>
            <w:gridSpan w:val="7"/>
          </w:tcPr>
          <w:p>
            <w:pPr>
              <w:jc w:val="center"/>
              <w:spacing w:after="0"/>
              <w:rPr>
                <w:sz w:val="20"/>
                <w:szCs w:val="20"/>
                <w:color w:val="auto"/>
              </w:rPr>
            </w:pPr>
            <w:r>
              <w:rPr>
                <w:rFonts w:ascii="Arial" w:cs="Arial" w:eastAsia="Arial" w:hAnsi="Arial"/>
                <w:sz w:val="13"/>
                <w:szCs w:val="13"/>
                <w:b w:val="1"/>
                <w:bCs w:val="1"/>
                <w:color w:val="auto"/>
                <w:w w:val="91"/>
              </w:rPr>
              <w:t>(In thousands, except per share data)</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3"/>
                <w:szCs w:val="13"/>
                <w:b w:val="1"/>
                <w:bCs w:val="1"/>
                <w:color w:val="auto"/>
                <w:w w:val="96"/>
              </w:rPr>
              <w:t>(Unaudited)</w:t>
            </w:r>
          </w:p>
        </w:tc>
      </w:tr>
      <w:tr>
        <w:trPr>
          <w:trHeight w:val="197"/>
        </w:trPr>
        <w:tc>
          <w:tcPr>
            <w:tcW w:w="2320" w:type="dxa"/>
            <w:vAlign w:val="bottom"/>
            <w:gridSpan w:val="3"/>
            <w:shd w:val="clear" w:color="auto" w:fill="C4D8E2"/>
          </w:tcPr>
          <w:p>
            <w:pPr>
              <w:spacing w:after="0"/>
              <w:rPr>
                <w:sz w:val="20"/>
                <w:szCs w:val="20"/>
                <w:color w:val="auto"/>
              </w:rPr>
            </w:pPr>
            <w:r>
              <w:rPr>
                <w:rFonts w:ascii="Arial" w:cs="Arial" w:eastAsia="Arial" w:hAnsi="Arial"/>
                <w:sz w:val="17"/>
                <w:szCs w:val="17"/>
                <w:b w:val="1"/>
                <w:bCs w:val="1"/>
                <w:color w:val="auto"/>
              </w:rPr>
              <w:t>Statement of Operations</w:t>
            </w:r>
          </w:p>
        </w:tc>
        <w:tc>
          <w:tcPr>
            <w:tcW w:w="112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110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120" w:type="dxa"/>
            <w:vAlign w:val="bottom"/>
            <w:shd w:val="clear" w:color="auto" w:fill="C4D8E2"/>
          </w:tcPr>
          <w:p>
            <w:pPr>
              <w:spacing w:after="0"/>
              <w:rPr>
                <w:sz w:val="17"/>
                <w:szCs w:val="17"/>
                <w:color w:val="auto"/>
              </w:rPr>
            </w:pPr>
          </w:p>
        </w:tc>
        <w:tc>
          <w:tcPr>
            <w:tcW w:w="100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940" w:type="dxa"/>
            <w:vAlign w:val="bottom"/>
            <w:shd w:val="clear" w:color="auto" w:fill="C4D8E2"/>
          </w:tcPr>
          <w:p>
            <w:pPr>
              <w:spacing w:after="0"/>
              <w:rPr>
                <w:sz w:val="17"/>
                <w:szCs w:val="17"/>
                <w:color w:val="auto"/>
              </w:rPr>
            </w:pPr>
          </w:p>
        </w:tc>
        <w:tc>
          <w:tcPr>
            <w:tcW w:w="18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110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120" w:type="dxa"/>
            <w:vAlign w:val="bottom"/>
            <w:shd w:val="clear" w:color="auto" w:fill="C4D8E2"/>
          </w:tcPr>
          <w:p>
            <w:pPr>
              <w:spacing w:after="0"/>
              <w:rPr>
                <w:sz w:val="17"/>
                <w:szCs w:val="17"/>
                <w:color w:val="auto"/>
              </w:rPr>
            </w:pPr>
          </w:p>
        </w:tc>
        <w:tc>
          <w:tcPr>
            <w:tcW w:w="700" w:type="dxa"/>
            <w:vAlign w:val="bottom"/>
            <w:shd w:val="clear" w:color="auto" w:fill="C4D8E2"/>
          </w:tcPr>
          <w:p>
            <w:pPr>
              <w:spacing w:after="0"/>
              <w:rPr>
                <w:sz w:val="17"/>
                <w:szCs w:val="17"/>
                <w:color w:val="auto"/>
              </w:rPr>
            </w:pPr>
          </w:p>
        </w:tc>
        <w:tc>
          <w:tcPr>
            <w:tcW w:w="100" w:type="dxa"/>
            <w:vAlign w:val="bottom"/>
            <w:shd w:val="clear" w:color="auto" w:fill="C4D8E2"/>
          </w:tcPr>
          <w:p>
            <w:pPr>
              <w:spacing w:after="0"/>
              <w:rPr>
                <w:sz w:val="17"/>
                <w:szCs w:val="17"/>
                <w:color w:val="auto"/>
              </w:rPr>
            </w:pPr>
          </w:p>
        </w:tc>
        <w:tc>
          <w:tcPr>
            <w:tcW w:w="22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1120" w:type="dxa"/>
            <w:vAlign w:val="bottom"/>
            <w:shd w:val="clear" w:color="auto" w:fill="C4D8E2"/>
          </w:tcPr>
          <w:p>
            <w:pPr>
              <w:spacing w:after="0"/>
              <w:rPr>
                <w:sz w:val="17"/>
                <w:szCs w:val="17"/>
                <w:color w:val="auto"/>
              </w:rPr>
            </w:pPr>
          </w:p>
        </w:tc>
      </w:tr>
      <w:tr>
        <w:trPr>
          <w:trHeight w:val="226"/>
        </w:trPr>
        <w:tc>
          <w:tcPr>
            <w:tcW w:w="2320" w:type="dxa"/>
            <w:vAlign w:val="bottom"/>
            <w:gridSpan w:val="3"/>
            <w:shd w:val="clear" w:color="auto" w:fill="C4D8E2"/>
          </w:tcPr>
          <w:p>
            <w:pPr>
              <w:ind w:left="140"/>
              <w:spacing w:after="0"/>
              <w:rPr>
                <w:sz w:val="20"/>
                <w:szCs w:val="20"/>
                <w:color w:val="auto"/>
              </w:rPr>
            </w:pPr>
            <w:r>
              <w:rPr>
                <w:rFonts w:ascii="Arial" w:cs="Arial" w:eastAsia="Arial" w:hAnsi="Arial"/>
                <w:sz w:val="17"/>
                <w:szCs w:val="17"/>
                <w:b w:val="1"/>
                <w:bCs w:val="1"/>
                <w:color w:val="auto"/>
              </w:rPr>
              <w:t>Data:</w:t>
            </w:r>
          </w:p>
        </w:tc>
        <w:tc>
          <w:tcPr>
            <w:tcW w:w="112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1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20" w:type="dxa"/>
            <w:vAlign w:val="bottom"/>
            <w:shd w:val="clear" w:color="auto" w:fill="C4D8E2"/>
          </w:tcPr>
          <w:p>
            <w:pPr>
              <w:spacing w:after="0"/>
              <w:rPr>
                <w:sz w:val="19"/>
                <w:szCs w:val="19"/>
                <w:color w:val="auto"/>
              </w:rPr>
            </w:pPr>
          </w:p>
        </w:tc>
        <w:tc>
          <w:tcPr>
            <w:tcW w:w="10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940" w:type="dxa"/>
            <w:vAlign w:val="bottom"/>
            <w:shd w:val="clear" w:color="auto" w:fill="C4D8E2"/>
          </w:tcPr>
          <w:p>
            <w:pPr>
              <w:spacing w:after="0"/>
              <w:rPr>
                <w:sz w:val="19"/>
                <w:szCs w:val="19"/>
                <w:color w:val="auto"/>
              </w:rPr>
            </w:pPr>
          </w:p>
        </w:tc>
        <w:tc>
          <w:tcPr>
            <w:tcW w:w="18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1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20" w:type="dxa"/>
            <w:vAlign w:val="bottom"/>
            <w:shd w:val="clear" w:color="auto" w:fill="C4D8E2"/>
          </w:tcPr>
          <w:p>
            <w:pPr>
              <w:spacing w:after="0"/>
              <w:rPr>
                <w:sz w:val="19"/>
                <w:szCs w:val="19"/>
                <w:color w:val="auto"/>
              </w:rPr>
            </w:pPr>
          </w:p>
        </w:tc>
        <w:tc>
          <w:tcPr>
            <w:tcW w:w="700" w:type="dxa"/>
            <w:vAlign w:val="bottom"/>
            <w:shd w:val="clear" w:color="auto" w:fill="C4D8E2"/>
          </w:tcPr>
          <w:p>
            <w:pPr>
              <w:spacing w:after="0"/>
              <w:rPr>
                <w:sz w:val="19"/>
                <w:szCs w:val="19"/>
                <w:color w:val="auto"/>
              </w:rPr>
            </w:pPr>
          </w:p>
        </w:tc>
        <w:tc>
          <w:tcPr>
            <w:tcW w:w="100" w:type="dxa"/>
            <w:vAlign w:val="bottom"/>
            <w:shd w:val="clear" w:color="auto" w:fill="C4D8E2"/>
          </w:tcPr>
          <w:p>
            <w:pPr>
              <w:spacing w:after="0"/>
              <w:rPr>
                <w:sz w:val="19"/>
                <w:szCs w:val="19"/>
                <w:color w:val="auto"/>
              </w:rPr>
            </w:pPr>
          </w:p>
        </w:tc>
        <w:tc>
          <w:tcPr>
            <w:tcW w:w="22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120" w:type="dxa"/>
            <w:vAlign w:val="bottom"/>
            <w:shd w:val="clear" w:color="auto" w:fill="C4D8E2"/>
          </w:tcPr>
          <w:p>
            <w:pPr>
              <w:spacing w:after="0"/>
              <w:rPr>
                <w:sz w:val="19"/>
                <w:szCs w:val="19"/>
                <w:color w:val="auto"/>
              </w:rPr>
            </w:pPr>
          </w:p>
        </w:tc>
      </w:tr>
      <w:tr>
        <w:trPr>
          <w:trHeight w:val="212"/>
        </w:trPr>
        <w:tc>
          <w:tcPr>
            <w:tcW w:w="2320" w:type="dxa"/>
            <w:vAlign w:val="bottom"/>
            <w:gridSpan w:val="3"/>
          </w:tcPr>
          <w:p>
            <w:pPr>
              <w:spacing w:after="0"/>
              <w:rPr>
                <w:sz w:val="20"/>
                <w:szCs w:val="20"/>
                <w:color w:val="auto"/>
              </w:rPr>
            </w:pPr>
            <w:r>
              <w:rPr>
                <w:rFonts w:ascii="Arial" w:cs="Arial" w:eastAsia="Arial" w:hAnsi="Arial"/>
                <w:sz w:val="17"/>
                <w:szCs w:val="17"/>
                <w:color w:val="auto"/>
              </w:rPr>
              <w:t>Revenue</w:t>
            </w: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$1,773,732</w:t>
            </w:r>
          </w:p>
        </w:tc>
        <w:tc>
          <w:tcPr>
            <w:tcW w:w="1300" w:type="dxa"/>
            <w:vAlign w:val="bottom"/>
            <w:gridSpan w:val="2"/>
          </w:tcPr>
          <w:p>
            <w:pPr>
              <w:jc w:val="right"/>
              <w:ind w:right="134"/>
              <w:spacing w:after="0"/>
              <w:rPr>
                <w:sz w:val="20"/>
                <w:szCs w:val="20"/>
                <w:color w:val="auto"/>
              </w:rPr>
            </w:pPr>
            <w:r>
              <w:rPr>
                <w:rFonts w:ascii="Arial" w:cs="Arial" w:eastAsia="Arial" w:hAnsi="Arial"/>
                <w:sz w:val="17"/>
                <w:szCs w:val="17"/>
                <w:color w:val="auto"/>
              </w:rPr>
              <w:t>$1,483,327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Arial" w:cs="Arial" w:eastAsia="Arial" w:hAnsi="Arial"/>
                <w:sz w:val="17"/>
                <w:szCs w:val="17"/>
                <w:color w:val="auto"/>
                <w:w w:val="91"/>
              </w:rPr>
              <w:t>$1,613,565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$1,533,910</w:t>
            </w:r>
          </w:p>
        </w:tc>
        <w:tc>
          <w:tcPr>
            <w:tcW w:w="180" w:type="dxa"/>
            <w:vAlign w:val="bottom"/>
          </w:tcPr>
          <w:p>
            <w:pPr>
              <w:spacing w:after="0"/>
              <w:rPr>
                <w:sz w:val="18"/>
                <w:szCs w:val="18"/>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$1,118,320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91"/>
              </w:rPr>
              <w:t>$1,465,303</w:t>
            </w: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$1,321,277</w:t>
            </w:r>
          </w:p>
        </w:tc>
      </w:tr>
      <w:tr>
        <w:trPr>
          <w:trHeight w:val="212"/>
        </w:trPr>
        <w:tc>
          <w:tcPr>
            <w:tcW w:w="2320" w:type="dxa"/>
            <w:vAlign w:val="bottom"/>
            <w:gridSpan w:val="3"/>
            <w:shd w:val="clear" w:color="auto" w:fill="C4D8E2"/>
          </w:tcPr>
          <w:p>
            <w:pPr>
              <w:spacing w:after="0"/>
              <w:rPr>
                <w:sz w:val="20"/>
                <w:szCs w:val="20"/>
                <w:color w:val="auto"/>
              </w:rPr>
            </w:pPr>
            <w:r>
              <w:rPr>
                <w:rFonts w:ascii="Arial" w:cs="Arial" w:eastAsia="Arial" w:hAnsi="Arial"/>
                <w:sz w:val="17"/>
                <w:szCs w:val="17"/>
                <w:color w:val="auto"/>
              </w:rPr>
              <w:t>Operating income(1)(2)(3)(4)</w:t>
            </w:r>
          </w:p>
        </w:tc>
        <w:tc>
          <w:tcPr>
            <w:tcW w:w="1120" w:type="dxa"/>
            <w:vAlign w:val="bottom"/>
            <w:shd w:val="clear" w:color="auto" w:fill="C4D8E2"/>
          </w:tcPr>
          <w:p>
            <w:pPr>
              <w:jc w:val="right"/>
              <w:ind w:right="117"/>
              <w:spacing w:after="0"/>
              <w:rPr>
                <w:sz w:val="20"/>
                <w:szCs w:val="20"/>
                <w:color w:val="auto"/>
              </w:rPr>
            </w:pPr>
            <w:r>
              <w:rPr>
                <w:rFonts w:ascii="Arial" w:cs="Arial" w:eastAsia="Arial" w:hAnsi="Arial"/>
                <w:sz w:val="17"/>
                <w:szCs w:val="17"/>
                <w:color w:val="auto"/>
              </w:rPr>
              <w:t>296,200</w:t>
            </w:r>
          </w:p>
        </w:tc>
        <w:tc>
          <w:tcPr>
            <w:tcW w:w="1300" w:type="dxa"/>
            <w:vAlign w:val="bottom"/>
            <w:gridSpan w:val="2"/>
            <w:shd w:val="clear" w:color="auto" w:fill="C4D8E2"/>
          </w:tcPr>
          <w:p>
            <w:pPr>
              <w:jc w:val="right"/>
              <w:ind w:right="134"/>
              <w:spacing w:after="0"/>
              <w:rPr>
                <w:sz w:val="20"/>
                <w:szCs w:val="20"/>
                <w:color w:val="auto"/>
              </w:rPr>
            </w:pPr>
            <w:r>
              <w:rPr>
                <w:rFonts w:ascii="Arial" w:cs="Arial" w:eastAsia="Arial" w:hAnsi="Arial"/>
                <w:sz w:val="17"/>
                <w:szCs w:val="17"/>
                <w:color w:val="auto"/>
              </w:rPr>
              <w:t>210,418</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jc w:val="right"/>
              <w:ind w:right="117"/>
              <w:spacing w:after="0"/>
              <w:rPr>
                <w:sz w:val="20"/>
                <w:szCs w:val="20"/>
                <w:color w:val="auto"/>
              </w:rPr>
            </w:pPr>
            <w:r>
              <w:rPr>
                <w:rFonts w:ascii="Arial" w:cs="Arial" w:eastAsia="Arial" w:hAnsi="Arial"/>
                <w:sz w:val="17"/>
                <w:szCs w:val="17"/>
                <w:color w:val="auto"/>
              </w:rPr>
              <w:t>49,161</w:t>
            </w: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jc w:val="right"/>
              <w:spacing w:after="0"/>
              <w:rPr>
                <w:sz w:val="20"/>
                <w:szCs w:val="20"/>
                <w:color w:val="auto"/>
              </w:rPr>
            </w:pPr>
            <w:r>
              <w:rPr>
                <w:rFonts w:ascii="Arial" w:cs="Arial" w:eastAsia="Arial" w:hAnsi="Arial"/>
                <w:sz w:val="17"/>
                <w:szCs w:val="17"/>
                <w:color w:val="auto"/>
              </w:rPr>
              <w:t>159,281</w:t>
            </w:r>
          </w:p>
        </w:tc>
        <w:tc>
          <w:tcPr>
            <w:tcW w:w="180" w:type="dxa"/>
            <w:vAlign w:val="bottom"/>
            <w:shd w:val="clear" w:color="auto" w:fill="C4D8E2"/>
          </w:tcPr>
          <w:p>
            <w:pPr>
              <w:spacing w:after="0"/>
              <w:rPr>
                <w:sz w:val="18"/>
                <w:szCs w:val="18"/>
                <w:color w:val="auto"/>
              </w:rPr>
            </w:pPr>
          </w:p>
        </w:tc>
        <w:tc>
          <w:tcPr>
            <w:tcW w:w="1300" w:type="dxa"/>
            <w:vAlign w:val="bottom"/>
            <w:gridSpan w:val="2"/>
            <w:shd w:val="clear" w:color="auto" w:fill="C4D8E2"/>
          </w:tcPr>
          <w:p>
            <w:pPr>
              <w:jc w:val="right"/>
              <w:ind w:right="114"/>
              <w:spacing w:after="0"/>
              <w:rPr>
                <w:sz w:val="20"/>
                <w:szCs w:val="20"/>
                <w:color w:val="auto"/>
              </w:rPr>
            </w:pPr>
            <w:r>
              <w:rPr>
                <w:rFonts w:ascii="Arial" w:cs="Arial" w:eastAsia="Arial" w:hAnsi="Arial"/>
                <w:sz w:val="17"/>
                <w:szCs w:val="17"/>
                <w:color w:val="auto"/>
              </w:rPr>
              <w:t>74,124</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0" w:type="dxa"/>
            <w:vAlign w:val="bottom"/>
            <w:gridSpan w:val="2"/>
            <w:shd w:val="clear" w:color="auto" w:fill="C4D8E2"/>
          </w:tcPr>
          <w:p>
            <w:pPr>
              <w:jc w:val="right"/>
              <w:spacing w:after="0"/>
              <w:rPr>
                <w:sz w:val="20"/>
                <w:szCs w:val="20"/>
                <w:color w:val="auto"/>
              </w:rPr>
            </w:pPr>
            <w:r>
              <w:rPr>
                <w:rFonts w:ascii="Arial" w:cs="Arial" w:eastAsia="Arial" w:hAnsi="Arial"/>
                <w:sz w:val="17"/>
                <w:szCs w:val="17"/>
                <w:color w:val="auto"/>
              </w:rPr>
              <w:t>261,096</w:t>
            </w:r>
          </w:p>
        </w:tc>
        <w:tc>
          <w:tcPr>
            <w:tcW w:w="1540" w:type="dxa"/>
            <w:vAlign w:val="bottom"/>
            <w:gridSpan w:val="3"/>
            <w:shd w:val="clear" w:color="auto" w:fill="C4D8E2"/>
          </w:tcPr>
          <w:p>
            <w:pPr>
              <w:jc w:val="right"/>
              <w:ind w:right="140"/>
              <w:spacing w:after="0"/>
              <w:rPr>
                <w:sz w:val="20"/>
                <w:szCs w:val="20"/>
                <w:color w:val="auto"/>
              </w:rPr>
            </w:pPr>
            <w:r>
              <w:rPr>
                <w:rFonts w:ascii="Arial" w:cs="Arial" w:eastAsia="Arial" w:hAnsi="Arial"/>
                <w:sz w:val="17"/>
                <w:szCs w:val="17"/>
                <w:color w:val="auto"/>
              </w:rPr>
              <w:t>219,252</w:t>
            </w:r>
          </w:p>
        </w:tc>
      </w:tr>
      <w:tr>
        <w:trPr>
          <w:trHeight w:val="212"/>
        </w:trPr>
        <w:tc>
          <w:tcPr>
            <w:tcW w:w="2320" w:type="dxa"/>
            <w:vAlign w:val="bottom"/>
            <w:gridSpan w:val="3"/>
          </w:tcPr>
          <w:p>
            <w:pPr>
              <w:spacing w:after="0"/>
              <w:rPr>
                <w:sz w:val="20"/>
                <w:szCs w:val="20"/>
                <w:color w:val="auto"/>
              </w:rPr>
            </w:pPr>
            <w:r>
              <w:rPr>
                <w:rFonts w:ascii="Arial" w:cs="Arial" w:eastAsia="Arial" w:hAnsi="Arial"/>
                <w:sz w:val="17"/>
                <w:szCs w:val="17"/>
                <w:color w:val="auto"/>
              </w:rPr>
              <w:t>Net income (loss)(5)</w:t>
            </w: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234,860</w:t>
            </w:r>
          </w:p>
        </w:tc>
        <w:tc>
          <w:tcPr>
            <w:tcW w:w="1300" w:type="dxa"/>
            <w:vAlign w:val="bottom"/>
            <w:gridSpan w:val="2"/>
          </w:tcPr>
          <w:p>
            <w:pPr>
              <w:jc w:val="right"/>
              <w:ind w:right="134"/>
              <w:spacing w:after="0"/>
              <w:rPr>
                <w:sz w:val="20"/>
                <w:szCs w:val="20"/>
                <w:color w:val="auto"/>
              </w:rPr>
            </w:pPr>
            <w:r>
              <w:rPr>
                <w:rFonts w:ascii="Arial" w:cs="Arial" w:eastAsia="Arial" w:hAnsi="Arial"/>
                <w:sz w:val="17"/>
                <w:szCs w:val="17"/>
                <w:color w:val="auto"/>
              </w:rPr>
              <w:t>168,883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(5,061)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66,386</w:t>
            </w:r>
          </w:p>
        </w:tc>
        <w:tc>
          <w:tcPr>
            <w:tcW w:w="180" w:type="dxa"/>
            <w:vAlign w:val="bottom"/>
          </w:tcPr>
          <w:p>
            <w:pPr>
              <w:spacing w:after="0"/>
              <w:rPr>
                <w:sz w:val="18"/>
                <w:szCs w:val="18"/>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5,978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220,837</w:t>
            </w: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173,278</w:t>
            </w:r>
          </w:p>
        </w:tc>
      </w:tr>
      <w:tr>
        <w:trPr>
          <w:trHeight w:val="212"/>
        </w:trPr>
        <w:tc>
          <w:tcPr>
            <w:tcW w:w="2320" w:type="dxa"/>
            <w:vAlign w:val="bottom"/>
            <w:gridSpan w:val="3"/>
            <w:shd w:val="clear" w:color="auto" w:fill="C4D8E2"/>
          </w:tcPr>
          <w:p>
            <w:pPr>
              <w:spacing w:after="0"/>
              <w:rPr>
                <w:sz w:val="20"/>
                <w:szCs w:val="20"/>
                <w:color w:val="auto"/>
              </w:rPr>
            </w:pPr>
            <w:r>
              <w:rPr>
                <w:rFonts w:ascii="Arial" w:cs="Arial" w:eastAsia="Arial" w:hAnsi="Arial"/>
                <w:sz w:val="17"/>
                <w:szCs w:val="17"/>
                <w:color w:val="auto"/>
                <w:w w:val="98"/>
              </w:rPr>
              <w:t>Basic earnings (loss) per share</w:t>
            </w:r>
          </w:p>
        </w:tc>
        <w:tc>
          <w:tcPr>
            <w:tcW w:w="1120" w:type="dxa"/>
            <w:vAlign w:val="bottom"/>
            <w:shd w:val="clear" w:color="auto" w:fill="C4D8E2"/>
          </w:tcPr>
          <w:p>
            <w:pPr>
              <w:jc w:val="right"/>
              <w:ind w:right="117"/>
              <w:spacing w:after="0"/>
              <w:rPr>
                <w:sz w:val="20"/>
                <w:szCs w:val="20"/>
                <w:color w:val="auto"/>
              </w:rPr>
            </w:pPr>
            <w:r>
              <w:rPr>
                <w:rFonts w:ascii="Arial" w:cs="Arial" w:eastAsia="Arial" w:hAnsi="Arial"/>
                <w:sz w:val="17"/>
                <w:szCs w:val="17"/>
                <w:color w:val="auto"/>
              </w:rPr>
              <w:t>1.13</w:t>
            </w:r>
          </w:p>
        </w:tc>
        <w:tc>
          <w:tcPr>
            <w:tcW w:w="1300" w:type="dxa"/>
            <w:vAlign w:val="bottom"/>
            <w:gridSpan w:val="2"/>
            <w:shd w:val="clear" w:color="auto" w:fill="C4D8E2"/>
          </w:tcPr>
          <w:p>
            <w:pPr>
              <w:jc w:val="right"/>
              <w:ind w:right="134"/>
              <w:spacing w:after="0"/>
              <w:rPr>
                <w:sz w:val="20"/>
                <w:szCs w:val="20"/>
                <w:color w:val="auto"/>
              </w:rPr>
            </w:pPr>
            <w:r>
              <w:rPr>
                <w:rFonts w:ascii="Arial" w:cs="Arial" w:eastAsia="Arial" w:hAnsi="Arial"/>
                <w:sz w:val="17"/>
                <w:szCs w:val="17"/>
                <w:color w:val="auto"/>
              </w:rPr>
              <w:t>0.78</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jc w:val="right"/>
              <w:ind w:right="57"/>
              <w:spacing w:after="0"/>
              <w:rPr>
                <w:sz w:val="20"/>
                <w:szCs w:val="20"/>
                <w:color w:val="auto"/>
              </w:rPr>
            </w:pPr>
            <w:r>
              <w:rPr>
                <w:rFonts w:ascii="Arial" w:cs="Arial" w:eastAsia="Arial" w:hAnsi="Arial"/>
                <w:sz w:val="17"/>
                <w:szCs w:val="17"/>
                <w:color w:val="auto"/>
              </w:rPr>
              <w:t>(0.02)</w:t>
            </w: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jc w:val="right"/>
              <w:spacing w:after="0"/>
              <w:rPr>
                <w:sz w:val="20"/>
                <w:szCs w:val="20"/>
                <w:color w:val="auto"/>
              </w:rPr>
            </w:pPr>
            <w:r>
              <w:rPr>
                <w:rFonts w:ascii="Arial" w:cs="Arial" w:eastAsia="Arial" w:hAnsi="Arial"/>
                <w:sz w:val="17"/>
                <w:szCs w:val="17"/>
                <w:color w:val="auto"/>
              </w:rPr>
              <w:t>0.30</w:t>
            </w:r>
          </w:p>
        </w:tc>
        <w:tc>
          <w:tcPr>
            <w:tcW w:w="180" w:type="dxa"/>
            <w:vAlign w:val="bottom"/>
            <w:shd w:val="clear" w:color="auto" w:fill="C4D8E2"/>
          </w:tcPr>
          <w:p>
            <w:pPr>
              <w:spacing w:after="0"/>
              <w:rPr>
                <w:sz w:val="18"/>
                <w:szCs w:val="18"/>
                <w:color w:val="auto"/>
              </w:rPr>
            </w:pPr>
          </w:p>
        </w:tc>
        <w:tc>
          <w:tcPr>
            <w:tcW w:w="1300" w:type="dxa"/>
            <w:vAlign w:val="bottom"/>
            <w:gridSpan w:val="2"/>
            <w:shd w:val="clear" w:color="auto" w:fill="C4D8E2"/>
          </w:tcPr>
          <w:p>
            <w:pPr>
              <w:jc w:val="right"/>
              <w:ind w:right="114"/>
              <w:spacing w:after="0"/>
              <w:rPr>
                <w:sz w:val="20"/>
                <w:szCs w:val="20"/>
                <w:color w:val="auto"/>
              </w:rPr>
            </w:pPr>
            <w:r>
              <w:rPr>
                <w:rFonts w:ascii="Arial" w:cs="Arial" w:eastAsia="Arial" w:hAnsi="Arial"/>
                <w:sz w:val="17"/>
                <w:szCs w:val="17"/>
                <w:color w:val="auto"/>
              </w:rPr>
              <w:t>0.03</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0" w:type="dxa"/>
            <w:vAlign w:val="bottom"/>
            <w:gridSpan w:val="2"/>
            <w:shd w:val="clear" w:color="auto" w:fill="C4D8E2"/>
          </w:tcPr>
          <w:p>
            <w:pPr>
              <w:jc w:val="right"/>
              <w:spacing w:after="0"/>
              <w:rPr>
                <w:sz w:val="20"/>
                <w:szCs w:val="20"/>
                <w:color w:val="auto"/>
              </w:rPr>
            </w:pPr>
            <w:r>
              <w:rPr>
                <w:rFonts w:ascii="Arial" w:cs="Arial" w:eastAsia="Arial" w:hAnsi="Arial"/>
                <w:sz w:val="17"/>
                <w:szCs w:val="17"/>
                <w:color w:val="auto"/>
              </w:rPr>
              <w:t>1.10</w:t>
            </w:r>
          </w:p>
        </w:tc>
        <w:tc>
          <w:tcPr>
            <w:tcW w:w="1540" w:type="dxa"/>
            <w:vAlign w:val="bottom"/>
            <w:gridSpan w:val="3"/>
            <w:shd w:val="clear" w:color="auto" w:fill="C4D8E2"/>
          </w:tcPr>
          <w:p>
            <w:pPr>
              <w:jc w:val="right"/>
              <w:ind w:right="140"/>
              <w:spacing w:after="0"/>
              <w:rPr>
                <w:sz w:val="20"/>
                <w:szCs w:val="20"/>
                <w:color w:val="auto"/>
              </w:rPr>
            </w:pPr>
            <w:r>
              <w:rPr>
                <w:rFonts w:ascii="Arial" w:cs="Arial" w:eastAsia="Arial" w:hAnsi="Arial"/>
                <w:sz w:val="17"/>
                <w:szCs w:val="17"/>
                <w:color w:val="auto"/>
              </w:rPr>
              <w:t>0.82</w:t>
            </w:r>
          </w:p>
        </w:tc>
      </w:tr>
      <w:tr>
        <w:trPr>
          <w:trHeight w:val="203"/>
        </w:trPr>
        <w:tc>
          <w:tcPr>
            <w:tcW w:w="2320" w:type="dxa"/>
            <w:vAlign w:val="bottom"/>
            <w:gridSpan w:val="3"/>
          </w:tcPr>
          <w:p>
            <w:pPr>
              <w:spacing w:after="0"/>
              <w:rPr>
                <w:sz w:val="20"/>
                <w:szCs w:val="20"/>
                <w:color w:val="auto"/>
              </w:rPr>
            </w:pPr>
            <w:r>
              <w:rPr>
                <w:rFonts w:ascii="Arial" w:cs="Arial" w:eastAsia="Arial" w:hAnsi="Arial"/>
                <w:sz w:val="17"/>
                <w:szCs w:val="17"/>
                <w:color w:val="auto"/>
              </w:rPr>
              <w:t>Diluted earnings (loss) per</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7"/>
        </w:trPr>
        <w:tc>
          <w:tcPr>
            <w:tcW w:w="2320" w:type="dxa"/>
            <w:vAlign w:val="bottom"/>
            <w:gridSpan w:val="3"/>
          </w:tcPr>
          <w:p>
            <w:pPr>
              <w:ind w:left="140"/>
              <w:spacing w:after="0"/>
              <w:rPr>
                <w:sz w:val="20"/>
                <w:szCs w:val="20"/>
                <w:color w:val="auto"/>
              </w:rPr>
            </w:pPr>
            <w:r>
              <w:rPr>
                <w:rFonts w:ascii="Arial" w:cs="Arial" w:eastAsia="Arial" w:hAnsi="Arial"/>
                <w:sz w:val="17"/>
                <w:szCs w:val="17"/>
                <w:color w:val="auto"/>
              </w:rPr>
              <w:t>share</w:t>
            </w: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1.10</w:t>
            </w:r>
          </w:p>
        </w:tc>
        <w:tc>
          <w:tcPr>
            <w:tcW w:w="1300" w:type="dxa"/>
            <w:vAlign w:val="bottom"/>
            <w:gridSpan w:val="2"/>
          </w:tcPr>
          <w:p>
            <w:pPr>
              <w:jc w:val="right"/>
              <w:ind w:right="134"/>
              <w:spacing w:after="0"/>
              <w:rPr>
                <w:sz w:val="20"/>
                <w:szCs w:val="20"/>
                <w:color w:val="auto"/>
              </w:rPr>
            </w:pPr>
            <w:r>
              <w:rPr>
                <w:rFonts w:ascii="Arial" w:cs="Arial" w:eastAsia="Arial" w:hAnsi="Arial"/>
                <w:sz w:val="17"/>
                <w:szCs w:val="17"/>
                <w:color w:val="auto"/>
              </w:rPr>
              <w:t>0.77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7"/>
                <w:szCs w:val="17"/>
                <w:color w:val="auto"/>
              </w:rPr>
              <w:t>(0.02)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0.29</w:t>
            </w:r>
          </w:p>
        </w:tc>
        <w:tc>
          <w:tcPr>
            <w:tcW w:w="180" w:type="dxa"/>
            <w:vAlign w:val="bottom"/>
          </w:tcPr>
          <w:p>
            <w:pPr>
              <w:spacing w:after="0"/>
              <w:rPr>
                <w:sz w:val="18"/>
                <w:szCs w:val="18"/>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1.03</w:t>
            </w:r>
          </w:p>
        </w:tc>
        <w:tc>
          <w:tcPr>
            <w:tcW w:w="1540" w:type="dxa"/>
            <w:vAlign w:val="bottom"/>
            <w:gridSpan w:val="3"/>
          </w:tcPr>
          <w:p>
            <w:pPr>
              <w:jc w:val="right"/>
              <w:ind w:right="140"/>
              <w:spacing w:after="0"/>
              <w:rPr>
                <w:sz w:val="20"/>
                <w:szCs w:val="20"/>
                <w:color w:val="auto"/>
              </w:rPr>
            </w:pPr>
            <w:r>
              <w:rPr>
                <w:rFonts w:ascii="Arial" w:cs="Arial" w:eastAsia="Arial" w:hAnsi="Arial"/>
                <w:sz w:val="17"/>
                <w:szCs w:val="17"/>
                <w:color w:val="auto"/>
              </w:rPr>
              <w:t>0.79</w:t>
            </w:r>
          </w:p>
        </w:tc>
      </w:tr>
      <w:tr>
        <w:trPr>
          <w:trHeight w:val="372"/>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left="254"/>
              <w:spacing w:after="0"/>
              <w:rPr>
                <w:sz w:val="20"/>
                <w:szCs w:val="20"/>
                <w:color w:val="auto"/>
              </w:rPr>
            </w:pPr>
            <w:r>
              <w:rPr>
                <w:rFonts w:ascii="Arial" w:cs="Arial" w:eastAsia="Arial" w:hAnsi="Arial"/>
                <w:sz w:val="13"/>
                <w:szCs w:val="13"/>
                <w:b w:val="1"/>
                <w:bCs w:val="1"/>
                <w:color w:val="auto"/>
                <w:w w:val="91"/>
              </w:rPr>
              <w:t>As of June 30, 2005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4"/>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gridSpan w:val="3"/>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32"/>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center"/>
              <w:ind w:left="254"/>
              <w:spacing w:after="0"/>
              <w:rPr>
                <w:sz w:val="20"/>
                <w:szCs w:val="20"/>
                <w:color w:val="auto"/>
              </w:rPr>
            </w:pPr>
            <w:r>
              <w:rPr>
                <w:rFonts w:ascii="Arial" w:cs="Arial" w:eastAsia="Arial" w:hAnsi="Arial"/>
                <w:sz w:val="13"/>
                <w:szCs w:val="13"/>
                <w:b w:val="1"/>
                <w:bCs w:val="1"/>
                <w:color w:val="auto"/>
                <w:w w:val="93"/>
              </w:rPr>
              <w:t>(unaudited)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58"/>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jc w:val="center"/>
              <w:ind w:left="234"/>
              <w:spacing w:after="0"/>
              <w:rPr>
                <w:sz w:val="20"/>
                <w:szCs w:val="20"/>
                <w:color w:val="auto"/>
              </w:rPr>
            </w:pPr>
            <w:r>
              <w:rPr>
                <w:rFonts w:ascii="Arial" w:cs="Arial" w:eastAsia="Arial" w:hAnsi="Arial"/>
                <w:sz w:val="13"/>
                <w:szCs w:val="13"/>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shd w:val="clear" w:color="auto" w:fill="C4D8E2"/>
          </w:tcPr>
          <w:p>
            <w:pPr>
              <w:spacing w:after="0"/>
              <w:rPr>
                <w:sz w:val="20"/>
                <w:szCs w:val="20"/>
                <w:color w:val="auto"/>
              </w:rPr>
            </w:pPr>
            <w:r>
              <w:rPr>
                <w:rFonts w:ascii="Arial" w:cs="Arial" w:eastAsia="Arial" w:hAnsi="Arial"/>
                <w:sz w:val="17"/>
                <w:szCs w:val="17"/>
                <w:b w:val="1"/>
                <w:bCs w:val="1"/>
                <w:color w:val="auto"/>
              </w:rPr>
              <w:t>Balance Sheet Data:</w:t>
            </w: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7"/>
                <w:szCs w:val="17"/>
                <w:color w:val="auto"/>
              </w:rPr>
              <w:t>Total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shd w:val="clear" w:color="auto" w:fill="C4D8E2"/>
          </w:tcPr>
          <w:p>
            <w:pPr>
              <w:spacing w:after="0"/>
              <w:rPr>
                <w:sz w:val="20"/>
                <w:szCs w:val="20"/>
                <w:color w:val="auto"/>
              </w:rPr>
            </w:pPr>
            <w:r>
              <w:rPr>
                <w:rFonts w:ascii="Arial" w:cs="Arial" w:eastAsia="Arial" w:hAnsi="Arial"/>
                <w:sz w:val="17"/>
                <w:szCs w:val="17"/>
                <w:color w:val="auto"/>
              </w:rPr>
              <w:t>Long-term obligations</w:t>
            </w: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1500" w:type="dxa"/>
            <w:vAlign w:val="bottom"/>
            <w:gridSpan w:val="3"/>
            <w:shd w:val="clear" w:color="auto" w:fill="C4D8E2"/>
          </w:tcPr>
          <w:p>
            <w:pPr>
              <w:jc w:val="right"/>
              <w:ind w:right="100"/>
              <w:spacing w:after="0"/>
              <w:rPr>
                <w:sz w:val="20"/>
                <w:szCs w:val="20"/>
                <w:color w:val="auto"/>
              </w:rPr>
            </w:pPr>
            <w:r>
              <w:rPr>
                <w:rFonts w:ascii="Arial" w:cs="Arial" w:eastAsia="Arial" w:hAnsi="Arial"/>
                <w:sz w:val="17"/>
                <w:szCs w:val="17"/>
                <w:color w:val="auto"/>
              </w:rPr>
              <w:t>$3,013,145</w:t>
            </w: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340" w:type="dxa"/>
            <w:vAlign w:val="bottom"/>
            <w:gridSpan w:val="7"/>
          </w:tcPr>
          <w:p>
            <w:pPr>
              <w:ind w:left="200"/>
              <w:spacing w:after="0"/>
              <w:rPr>
                <w:sz w:val="20"/>
                <w:szCs w:val="20"/>
                <w:color w:val="auto"/>
              </w:rPr>
            </w:pPr>
            <w:r>
              <w:rPr>
                <w:rFonts w:ascii="Arial" w:cs="Arial" w:eastAsia="Arial" w:hAnsi="Arial"/>
                <w:sz w:val="17"/>
                <w:szCs w:val="17"/>
                <w:color w:val="auto"/>
              </w:rPr>
              <w:t>2% Convertible Notes due 2008(5)</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340" w:type="dxa"/>
            <w:vAlign w:val="bottom"/>
            <w:gridSpan w:val="7"/>
            <w:shd w:val="clear" w:color="auto" w:fill="C4D8E2"/>
          </w:tcPr>
          <w:p>
            <w:pPr>
              <w:ind w:left="200"/>
              <w:spacing w:after="0"/>
              <w:rPr>
                <w:sz w:val="20"/>
                <w:szCs w:val="20"/>
                <w:color w:val="auto"/>
              </w:rPr>
            </w:pPr>
            <w:r>
              <w:rPr>
                <w:rFonts w:ascii="Arial" w:cs="Arial" w:eastAsia="Arial" w:hAnsi="Arial"/>
                <w:sz w:val="17"/>
                <w:szCs w:val="17"/>
                <w:color w:val="auto"/>
                <w:w w:val="92"/>
              </w:rPr>
              <w:t>0.50% Convertible Senior Notes due 2024(6)</w:t>
            </w: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1500" w:type="dxa"/>
            <w:vAlign w:val="bottom"/>
            <w:gridSpan w:val="3"/>
            <w:shd w:val="clear" w:color="auto" w:fill="C4D8E2"/>
          </w:tcPr>
          <w:p>
            <w:pPr>
              <w:jc w:val="right"/>
              <w:ind w:right="100"/>
              <w:spacing w:after="0"/>
              <w:rPr>
                <w:sz w:val="20"/>
                <w:szCs w:val="20"/>
                <w:color w:val="auto"/>
              </w:rPr>
            </w:pPr>
            <w:r>
              <w:rPr>
                <w:rFonts w:ascii="Arial" w:cs="Arial" w:eastAsia="Arial" w:hAnsi="Arial"/>
                <w:sz w:val="17"/>
                <w:szCs w:val="17"/>
                <w:color w:val="auto"/>
              </w:rPr>
              <w:t>450,000</w:t>
            </w: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340" w:type="dxa"/>
            <w:vAlign w:val="bottom"/>
            <w:gridSpan w:val="7"/>
          </w:tcPr>
          <w:p>
            <w:pPr>
              <w:spacing w:after="0"/>
              <w:rPr>
                <w:sz w:val="20"/>
                <w:szCs w:val="20"/>
                <w:color w:val="auto"/>
              </w:rPr>
            </w:pPr>
            <w:r>
              <w:rPr>
                <w:rFonts w:ascii="Arial" w:cs="Arial" w:eastAsia="Arial" w:hAnsi="Arial"/>
                <w:sz w:val="17"/>
                <w:szCs w:val="17"/>
                <w:color w:val="auto"/>
                <w:w w:val="95"/>
              </w:rPr>
              <w:t>Long-term portions of capital lease obligations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shd w:val="clear" w:color="auto" w:fill="C4D8E2"/>
          </w:tcPr>
          <w:p>
            <w:pPr>
              <w:spacing w:after="0"/>
              <w:rPr>
                <w:sz w:val="20"/>
                <w:szCs w:val="20"/>
                <w:color w:val="auto"/>
              </w:rPr>
            </w:pPr>
            <w:r>
              <w:rPr>
                <w:rFonts w:ascii="Arial" w:cs="Arial" w:eastAsia="Arial" w:hAnsi="Arial"/>
                <w:sz w:val="17"/>
                <w:szCs w:val="17"/>
                <w:color w:val="auto"/>
                <w:w w:val="96"/>
              </w:rPr>
              <w:t>Shareholders’ equity(7)</w:t>
            </w: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1500" w:type="dxa"/>
            <w:vAlign w:val="bottom"/>
            <w:gridSpan w:val="3"/>
            <w:shd w:val="clear" w:color="auto" w:fill="C4D8E2"/>
          </w:tcPr>
          <w:p>
            <w:pPr>
              <w:jc w:val="right"/>
              <w:ind w:right="100"/>
              <w:spacing w:after="0"/>
              <w:rPr>
                <w:sz w:val="20"/>
                <w:szCs w:val="20"/>
                <w:color w:val="auto"/>
              </w:rPr>
            </w:pPr>
            <w:r>
              <w:rPr>
                <w:rFonts w:ascii="Arial" w:cs="Arial" w:eastAsia="Arial" w:hAnsi="Arial"/>
                <w:sz w:val="17"/>
                <w:szCs w:val="17"/>
                <w:color w:val="auto"/>
              </w:rPr>
              <w:t>1,575,653</w:t>
            </w: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3" w:lineRule="exact"/>
        <w:rPr>
          <w:sz w:val="20"/>
          <w:szCs w:val="20"/>
          <w:color w:val="auto"/>
        </w:rPr>
      </w:pPr>
    </w:p>
    <w:p>
      <w:pPr>
        <w:ind w:left="462" w:right="20" w:hanging="462"/>
        <w:spacing w:after="0" w:line="268" w:lineRule="auto"/>
        <w:tabs>
          <w:tab w:leader="none" w:pos="46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Arial" w:cs="Arial" w:eastAsia="Arial" w:hAnsi="Arial"/>
          <w:sz w:val="17"/>
          <w:szCs w:val="17"/>
          <w:color w:val="auto"/>
        </w:rPr>
      </w:pPr>
    </w:p>
    <w:p>
      <w:pPr>
        <w:ind w:left="462" w:hanging="462"/>
        <w:spacing w:after="0"/>
        <w:tabs>
          <w:tab w:leader="none" w:pos="462" w:val="left"/>
        </w:tabs>
        <w:numPr>
          <w:ilvl w:val="0"/>
          <w:numId w:val="4"/>
        </w:numPr>
        <w:rPr>
          <w:rFonts w:ascii="Arial" w:cs="Arial" w:eastAsia="Arial" w:hAnsi="Arial"/>
          <w:sz w:val="17"/>
          <w:szCs w:val="17"/>
          <w:color w:val="auto"/>
        </w:rPr>
      </w:pPr>
      <w:r>
        <w:rPr>
          <w:rFonts w:ascii="Arial" w:cs="Arial" w:eastAsia="Arial" w:hAnsi="Arial"/>
          <w:sz w:val="17"/>
          <w:szCs w:val="17"/>
          <w:color w:val="auto"/>
        </w:rPr>
        <w:t>Fiscal 2001 includes $204,566 of amortization of goodwill related to our acquisitions.</w:t>
      </w:r>
    </w:p>
    <w:p>
      <w:pPr>
        <w:spacing w:after="0" w:line="254" w:lineRule="exact"/>
        <w:rPr>
          <w:rFonts w:ascii="Arial" w:cs="Arial" w:eastAsia="Arial" w:hAnsi="Arial"/>
          <w:sz w:val="17"/>
          <w:szCs w:val="17"/>
          <w:color w:val="auto"/>
        </w:rPr>
      </w:pPr>
    </w:p>
    <w:p>
      <w:pPr>
        <w:ind w:left="462" w:right="60" w:hanging="462"/>
        <w:spacing w:after="0" w:line="268" w:lineRule="auto"/>
        <w:tabs>
          <w:tab w:leader="none" w:pos="46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11" w:lineRule="exact"/>
        <w:rPr>
          <w:rFonts w:ascii="Arial" w:cs="Arial" w:eastAsia="Arial" w:hAnsi="Arial"/>
          <w:sz w:val="17"/>
          <w:szCs w:val="17"/>
          <w:color w:val="auto"/>
        </w:rPr>
      </w:pPr>
    </w:p>
    <w:p>
      <w:pPr>
        <w:ind w:left="462" w:right="180" w:hanging="462"/>
        <w:spacing w:after="0" w:line="286" w:lineRule="auto"/>
        <w:tabs>
          <w:tab w:leader="none" w:pos="46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fiscal 2003, we recorded a restructuring charge of $9,956 related to our cost reduction program and an acquisition-related charge of $4,133 related to our July 2003 acquisition from Bell Canada of its 90%</w:t>
      </w:r>
    </w:p>
    <w:p>
      <w:pPr>
        <w:spacing w:after="0" w:line="200" w:lineRule="exact"/>
        <w:rPr>
          <w:sz w:val="20"/>
          <w:szCs w:val="20"/>
          <w:color w:val="auto"/>
        </w:rPr>
      </w:pPr>
    </w:p>
    <w:p>
      <w:pPr>
        <w:spacing w:after="0" w:line="353" w:lineRule="exact"/>
        <w:rPr>
          <w:sz w:val="20"/>
          <w:szCs w:val="20"/>
          <w:color w:val="auto"/>
        </w:rPr>
      </w:pPr>
    </w:p>
    <w:p>
      <w:pPr>
        <w:jc w:val="center"/>
        <w:ind w:right="258"/>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147955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2"/>
          </w:cols>
          <w:pgMar w:left="418" w:top="1302" w:right="139" w:bottom="1440" w:gutter="0" w:footer="0" w:header="0"/>
        </w:sectPr>
      </w:pPr>
    </w:p>
    <w:bookmarkStart w:id="9" w:name="page10"/>
    <w:bookmarkEnd w:id="9"/>
    <w:p>
      <w:pPr>
        <w:jc w:val="both"/>
        <w:ind w:left="462"/>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6279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930" cy="6279515"/>
                    </a:xfrm>
                    <a:prstGeom prst="rect">
                      <a:avLst/>
                    </a:prstGeom>
                    <a:noFill/>
                  </pic:spPr>
                </pic:pic>
              </a:graphicData>
            </a:graphic>
          </wp:anchor>
        </w:drawing>
        <w:t>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06" w:lineRule="exact"/>
        <w:rPr>
          <w:sz w:val="20"/>
          <w:szCs w:val="20"/>
          <w:color w:val="auto"/>
        </w:rPr>
      </w:pPr>
    </w:p>
    <w:p>
      <w:pPr>
        <w:ind w:left="462" w:right="100" w:hanging="462"/>
        <w:spacing w:after="0" w:line="283" w:lineRule="auto"/>
        <w:tabs>
          <w:tab w:leader="none" w:pos="46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201" w:lineRule="exact"/>
        <w:rPr>
          <w:rFonts w:ascii="Arial" w:cs="Arial" w:eastAsia="Arial" w:hAnsi="Arial"/>
          <w:sz w:val="16"/>
          <w:szCs w:val="16"/>
          <w:color w:val="auto"/>
        </w:rPr>
      </w:pPr>
    </w:p>
    <w:p>
      <w:pPr>
        <w:ind w:left="462" w:hanging="462"/>
        <w:spacing w:after="0"/>
        <w:tabs>
          <w:tab w:leader="none" w:pos="462"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March 2004, we issued $450,000 aggregate principal amount of 0.50% Convertible Senior Notes due March 15, 2024 (the “0.50% Notes”).</w:t>
      </w:r>
    </w:p>
    <w:p>
      <w:pPr>
        <w:spacing w:after="0" w:line="254" w:lineRule="exact"/>
        <w:rPr>
          <w:rFonts w:ascii="Arial" w:cs="Arial" w:eastAsia="Arial" w:hAnsi="Arial"/>
          <w:sz w:val="17"/>
          <w:szCs w:val="17"/>
          <w:color w:val="auto"/>
        </w:rPr>
      </w:pPr>
    </w:p>
    <w:p>
      <w:pPr>
        <w:ind w:left="462" w:right="20" w:hanging="462"/>
        <w:spacing w:after="0" w:line="295" w:lineRule="auto"/>
        <w:tabs>
          <w:tab w:leader="none" w:pos="462"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w:t>
      </w:r>
    </w:p>
    <w:p>
      <w:pPr>
        <w:spacing w:after="0" w:line="3" w:lineRule="exact"/>
        <w:rPr>
          <w:rFonts w:ascii="Arial" w:cs="Arial" w:eastAsia="Arial" w:hAnsi="Arial"/>
          <w:sz w:val="15"/>
          <w:szCs w:val="15"/>
          <w:color w:val="auto"/>
        </w:rPr>
      </w:pPr>
    </w:p>
    <w:p>
      <w:pPr>
        <w:ind w:left="462" w:right="60"/>
        <w:spacing w:after="0" w:line="262" w:lineRule="auto"/>
        <w:rPr>
          <w:rFonts w:ascii="Arial" w:cs="Arial" w:eastAsia="Arial" w:hAnsi="Arial"/>
          <w:sz w:val="15"/>
          <w:szCs w:val="15"/>
          <w:color w:val="auto"/>
        </w:rPr>
      </w:pPr>
      <w:r>
        <w:rPr>
          <w:rFonts w:ascii="Arial" w:cs="Arial" w:eastAsia="Arial" w:hAnsi="Arial"/>
          <w:sz w:val="17"/>
          <w:szCs w:val="17"/>
          <w:color w:val="auto"/>
        </w:rPr>
        <w:t>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June 30, 2005, we repurchased approximately 3.5 million ordinary shares at an average price of $28.33 per share.</w:t>
      </w:r>
    </w:p>
    <w:p>
      <w:pPr>
        <w:spacing w:after="0" w:line="186" w:lineRule="exact"/>
        <w:rPr>
          <w:sz w:val="20"/>
          <w:szCs w:val="20"/>
          <w:color w:val="auto"/>
        </w:rPr>
      </w:pPr>
    </w:p>
    <w:p>
      <w:pPr>
        <w:ind w:left="3942"/>
        <w:spacing w:after="0"/>
        <w:rPr>
          <w:sz w:val="20"/>
          <w:szCs w:val="20"/>
          <w:color w:val="auto"/>
        </w:rPr>
      </w:pPr>
      <w:r>
        <w:rPr>
          <w:rFonts w:ascii="Arial" w:cs="Arial" w:eastAsia="Arial" w:hAnsi="Arial"/>
          <w:sz w:val="17"/>
          <w:szCs w:val="17"/>
          <w:b w:val="1"/>
          <w:bCs w:val="1"/>
          <w:color w:val="auto"/>
        </w:rPr>
        <w:t>RATIO OF EARNINGS TO FIXED CHARGES</w:t>
      </w:r>
    </w:p>
    <w:p>
      <w:pPr>
        <w:spacing w:after="0" w:line="260" w:lineRule="exact"/>
        <w:rPr>
          <w:sz w:val="20"/>
          <w:szCs w:val="20"/>
          <w:color w:val="auto"/>
        </w:rPr>
      </w:pPr>
    </w:p>
    <w:p>
      <w:pPr>
        <w:ind w:left="322"/>
        <w:spacing w:after="0"/>
        <w:rPr>
          <w:sz w:val="20"/>
          <w:szCs w:val="20"/>
          <w:color w:val="auto"/>
        </w:rPr>
      </w:pPr>
      <w:r>
        <w:rPr>
          <w:rFonts w:ascii="Arial" w:cs="Arial" w:eastAsia="Arial" w:hAnsi="Arial"/>
          <w:sz w:val="17"/>
          <w:szCs w:val="17"/>
          <w:color w:val="auto"/>
        </w:rPr>
        <w:t>The following table presents our historical ratios of earnings to fixed charges for the periods indicated:</w:t>
      </w:r>
    </w:p>
    <w:p>
      <w:pPr>
        <w:spacing w:after="0" w:line="200" w:lineRule="exact"/>
        <w:rPr>
          <w:sz w:val="20"/>
          <w:szCs w:val="20"/>
          <w:color w:val="auto"/>
        </w:rPr>
      </w:pPr>
    </w:p>
    <w:p>
      <w:pPr>
        <w:spacing w:after="0" w:line="235" w:lineRule="exact"/>
        <w:rPr>
          <w:sz w:val="20"/>
          <w:szCs w:val="20"/>
          <w:color w:val="auto"/>
        </w:rPr>
      </w:pPr>
    </w:p>
    <w:tbl>
      <w:tblPr>
        <w:tblLayout w:type="fixed"/>
        <w:tblInd w:w="582"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440"/>
              <w:spacing w:after="0"/>
              <w:rPr>
                <w:sz w:val="20"/>
                <w:szCs w:val="20"/>
                <w:color w:val="auto"/>
              </w:rPr>
            </w:pPr>
            <w:r>
              <w:rPr>
                <w:rFonts w:ascii="Arial" w:cs="Arial" w:eastAsia="Arial" w:hAnsi="Arial"/>
                <w:sz w:val="13"/>
                <w:szCs w:val="13"/>
                <w:b w:val="1"/>
                <w:bCs w:val="1"/>
                <w:color w:val="auto"/>
              </w:rPr>
              <w:t>Fiscal Years Ended September 30,</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22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Nine Months Ended</w:t>
            </w: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000" w:type="dxa"/>
            <w:vAlign w:val="bottom"/>
          </w:tcPr>
          <w:p>
            <w:pPr>
              <w:spacing w:after="0"/>
              <w:rPr>
                <w:sz w:val="6"/>
                <w:szCs w:val="6"/>
                <w:color w:val="auto"/>
              </w:rPr>
            </w:pPr>
          </w:p>
        </w:tc>
        <w:tc>
          <w:tcPr>
            <w:tcW w:w="22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June 30, 2005</w:t>
            </w:r>
          </w:p>
        </w:tc>
        <w:tc>
          <w:tcPr>
            <w:tcW w:w="860" w:type="dxa"/>
            <w:vAlign w:val="bottom"/>
          </w:tcPr>
          <w:p>
            <w:pPr>
              <w:jc w:val="right"/>
              <w:ind w:right="224"/>
              <w:spacing w:after="0"/>
              <w:rPr>
                <w:sz w:val="20"/>
                <w:szCs w:val="20"/>
                <w:color w:val="auto"/>
              </w:rPr>
            </w:pPr>
            <w:r>
              <w:rPr>
                <w:rFonts w:ascii="Arial" w:cs="Arial" w:eastAsia="Arial" w:hAnsi="Arial"/>
                <w:sz w:val="13"/>
                <w:szCs w:val="13"/>
                <w:b w:val="1"/>
                <w:bCs w:val="1"/>
                <w:color w:val="auto"/>
              </w:rPr>
              <w:t>2004</w:t>
            </w:r>
          </w:p>
        </w:tc>
        <w:tc>
          <w:tcPr>
            <w:tcW w:w="1120" w:type="dxa"/>
            <w:vAlign w:val="bottom"/>
            <w:gridSpan w:val="2"/>
          </w:tcPr>
          <w:p>
            <w:pPr>
              <w:jc w:val="right"/>
              <w:ind w:right="244"/>
              <w:spacing w:after="0"/>
              <w:rPr>
                <w:sz w:val="20"/>
                <w:szCs w:val="20"/>
                <w:color w:val="auto"/>
              </w:rPr>
            </w:pPr>
            <w:r>
              <w:rPr>
                <w:rFonts w:ascii="Arial" w:cs="Arial" w:eastAsia="Arial" w:hAnsi="Arial"/>
                <w:sz w:val="13"/>
                <w:szCs w:val="13"/>
                <w:b w:val="1"/>
                <w:bCs w:val="1"/>
                <w:color w:val="auto"/>
              </w:rPr>
              <w:t>2003</w:t>
            </w:r>
          </w:p>
        </w:tc>
        <w:tc>
          <w:tcPr>
            <w:tcW w:w="940" w:type="dxa"/>
            <w:vAlign w:val="bottom"/>
            <w:gridSpan w:val="2"/>
          </w:tcPr>
          <w:p>
            <w:pPr>
              <w:jc w:val="right"/>
              <w:ind w:right="134"/>
              <w:spacing w:after="0"/>
              <w:rPr>
                <w:sz w:val="20"/>
                <w:szCs w:val="20"/>
                <w:color w:val="auto"/>
              </w:rPr>
            </w:pPr>
            <w:r>
              <w:rPr>
                <w:rFonts w:ascii="Arial" w:cs="Arial" w:eastAsia="Arial" w:hAnsi="Arial"/>
                <w:sz w:val="13"/>
                <w:szCs w:val="13"/>
                <w:b w:val="1"/>
                <w:bCs w:val="1"/>
                <w:color w:val="auto"/>
              </w:rPr>
              <w:t>2002</w:t>
            </w:r>
          </w:p>
        </w:tc>
        <w:tc>
          <w:tcPr>
            <w:tcW w:w="96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2001</w:t>
            </w:r>
          </w:p>
        </w:tc>
        <w:tc>
          <w:tcPr>
            <w:tcW w:w="112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2000</w:t>
            </w: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3000" w:type="dxa"/>
            <w:vAlign w:val="bottom"/>
          </w:tcPr>
          <w:p>
            <w:pPr>
              <w:spacing w:after="0"/>
              <w:rPr>
                <w:sz w:val="20"/>
                <w:szCs w:val="20"/>
                <w:color w:val="auto"/>
              </w:rPr>
            </w:pPr>
            <w:r>
              <w:rPr>
                <w:rFonts w:ascii="Arial" w:cs="Arial" w:eastAsia="Arial" w:hAnsi="Arial"/>
                <w:sz w:val="17"/>
                <w:szCs w:val="17"/>
                <w:color w:val="auto"/>
              </w:rPr>
              <w:t>Ratio(1)</w:t>
            </w:r>
          </w:p>
        </w:tc>
        <w:tc>
          <w:tcPr>
            <w:tcW w:w="22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31.06x</w:t>
            </w:r>
          </w:p>
        </w:tc>
        <w:tc>
          <w:tcPr>
            <w:tcW w:w="860" w:type="dxa"/>
            <w:vAlign w:val="bottom"/>
          </w:tcPr>
          <w:p>
            <w:pPr>
              <w:jc w:val="right"/>
              <w:ind w:right="84"/>
              <w:spacing w:after="0"/>
              <w:rPr>
                <w:sz w:val="20"/>
                <w:szCs w:val="20"/>
                <w:color w:val="auto"/>
              </w:rPr>
            </w:pPr>
            <w:r>
              <w:rPr>
                <w:rFonts w:ascii="Arial" w:cs="Arial" w:eastAsia="Arial" w:hAnsi="Arial"/>
                <w:sz w:val="17"/>
                <w:szCs w:val="17"/>
                <w:color w:val="auto"/>
              </w:rPr>
              <w:t>14.97x</w:t>
            </w:r>
          </w:p>
        </w:tc>
        <w:tc>
          <w:tcPr>
            <w:tcW w:w="240" w:type="dxa"/>
            <w:vAlign w:val="bottom"/>
          </w:tcPr>
          <w:p>
            <w:pPr>
              <w:spacing w:after="0"/>
              <w:rPr>
                <w:sz w:val="24"/>
                <w:szCs w:val="24"/>
                <w:color w:val="auto"/>
              </w:rPr>
            </w:pPr>
          </w:p>
        </w:tc>
        <w:tc>
          <w:tcPr>
            <w:tcW w:w="880" w:type="dxa"/>
            <w:vAlign w:val="bottom"/>
          </w:tcPr>
          <w:p>
            <w:pPr>
              <w:jc w:val="right"/>
              <w:ind w:right="84"/>
              <w:spacing w:after="0"/>
              <w:rPr>
                <w:sz w:val="20"/>
                <w:szCs w:val="20"/>
                <w:color w:val="auto"/>
              </w:rPr>
            </w:pPr>
            <w:r>
              <w:rPr>
                <w:rFonts w:ascii="Arial" w:cs="Arial" w:eastAsia="Arial" w:hAnsi="Arial"/>
                <w:sz w:val="17"/>
                <w:szCs w:val="17"/>
                <w:color w:val="auto"/>
              </w:rPr>
              <w:t>13.49x</w:t>
            </w:r>
          </w:p>
        </w:tc>
        <w:tc>
          <w:tcPr>
            <w:tcW w:w="2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1"/>
              </w:rPr>
              <w:t>3.87x</w:t>
            </w:r>
          </w:p>
        </w:tc>
        <w:tc>
          <w:tcPr>
            <w:tcW w:w="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9.19x</w:t>
            </w:r>
          </w:p>
        </w:tc>
        <w:tc>
          <w:tcPr>
            <w:tcW w:w="240" w:type="dxa"/>
            <w:vAlign w:val="bottom"/>
          </w:tcPr>
          <w:p>
            <w:pPr>
              <w:spacing w:after="0"/>
              <w:rPr>
                <w:sz w:val="24"/>
                <w:szCs w:val="24"/>
                <w:color w:val="auto"/>
              </w:rPr>
            </w:pPr>
          </w:p>
        </w:tc>
        <w:tc>
          <w:tcPr>
            <w:tcW w:w="880" w:type="dxa"/>
            <w:vAlign w:val="bottom"/>
          </w:tcPr>
          <w:p>
            <w:pPr>
              <w:jc w:val="right"/>
              <w:ind w:right="94"/>
              <w:spacing w:after="0"/>
              <w:rPr>
                <w:sz w:val="20"/>
                <w:szCs w:val="20"/>
                <w:color w:val="auto"/>
              </w:rPr>
            </w:pPr>
            <w:r>
              <w:rPr>
                <w:rFonts w:ascii="Arial" w:cs="Arial" w:eastAsia="Arial" w:hAnsi="Arial"/>
                <w:sz w:val="17"/>
                <w:szCs w:val="17"/>
                <w:color w:val="auto"/>
              </w:rPr>
              <w:t>10.10x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62" w:right="140" w:hanging="462"/>
        <w:spacing w:after="0" w:line="273" w:lineRule="auto"/>
        <w:tabs>
          <w:tab w:leader="none" w:pos="46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363" w:lineRule="exact"/>
        <w:rPr>
          <w:sz w:val="20"/>
          <w:szCs w:val="20"/>
          <w:color w:val="auto"/>
        </w:rPr>
      </w:pPr>
    </w:p>
    <w:p>
      <w:pPr>
        <w:jc w:val="center"/>
        <w:ind w:right="258"/>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147955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2"/>
          </w:cols>
          <w:pgMar w:left="418" w:top="1097" w:right="1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60"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i w:val="1"/>
          <w:iCs w:val="1"/>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are exposed to general global economic and market conditions, particularly those impacting the communications industry.</w:t>
      </w:r>
    </w:p>
    <w:p>
      <w:pPr>
        <w:spacing w:after="0" w:line="25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215" w:lineRule="exact"/>
        <w:rPr>
          <w:sz w:val="20"/>
          <w:szCs w:val="20"/>
          <w:color w:val="auto"/>
        </w:rPr>
      </w:pPr>
    </w:p>
    <w:p>
      <w:pPr>
        <w:ind w:right="60" w:firstLine="318"/>
        <w:spacing w:after="0" w:line="283" w:lineRule="auto"/>
        <w:rPr>
          <w:sz w:val="20"/>
          <w:szCs w:val="20"/>
          <w:color w:val="auto"/>
        </w:rPr>
      </w:pPr>
      <w:r>
        <w:rPr>
          <w:rFonts w:ascii="Arial" w:cs="Arial" w:eastAsia="Arial" w:hAnsi="Arial"/>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If we fail to adapt to changing market conditions and cannot compete successfully with existing or new competitors, our business could be harmed.</w:t>
      </w:r>
    </w:p>
    <w:p>
      <w:pPr>
        <w:spacing w:after="0" w:line="277"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213"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11" w:name="page12"/>
    <w:bookmarkEnd w:id="11"/>
    <w:p>
      <w:pPr>
        <w:ind w:left="320"/>
        <w:spacing w:after="0"/>
        <w:rPr>
          <w:sz w:val="20"/>
          <w:szCs w:val="20"/>
          <w:color w:val="auto"/>
        </w:rPr>
      </w:pPr>
      <w:r>
        <w:rPr>
          <w:rFonts w:ascii="Arial" w:cs="Arial" w:eastAsia="Arial" w:hAnsi="Arial"/>
          <w:sz w:val="17"/>
          <w:szCs w:val="17"/>
          <w:color w:val="auto"/>
        </w:rPr>
        <w:t>We believe that our ability to compete depends on a number of factors, including:</w:t>
      </w:r>
    </w:p>
    <w:p>
      <w:pPr>
        <w:spacing w:after="0" w:line="228" w:lineRule="exact"/>
        <w:rPr>
          <w:sz w:val="20"/>
          <w:szCs w:val="20"/>
          <w:color w:val="auto"/>
        </w:rPr>
      </w:pPr>
    </w:p>
    <w:p>
      <w:pPr>
        <w:ind w:left="460" w:hanging="110"/>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development by others of software that is competitive with our products and services,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price at which others offer competitive software and services,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responsiveness of our competitors to customer needs,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competitors to hire, retain and motivate key personnel.</w:t>
      </w:r>
    </w:p>
    <w:p>
      <w:pPr>
        <w:spacing w:after="0" w:line="281" w:lineRule="exact"/>
        <w:rPr>
          <w:sz w:val="20"/>
          <w:szCs w:val="20"/>
          <w:color w:val="auto"/>
        </w:rPr>
      </w:pPr>
    </w:p>
    <w:p>
      <w:pPr>
        <w:ind w:right="40" w:firstLine="318"/>
        <w:spacing w:after="0" w:line="282" w:lineRule="auto"/>
        <w:rPr>
          <w:sz w:val="20"/>
          <w:szCs w:val="20"/>
          <w:color w:val="auto"/>
        </w:rPr>
      </w:pPr>
      <w:r>
        <w:rPr>
          <w:rFonts w:ascii="Arial" w:cs="Arial" w:eastAsia="Arial" w:hAnsi="Arial"/>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If we do not continually enhance our products and service offerings, we may have difficulty retaining existing customers and attracting new customers.</w:t>
      </w:r>
    </w:p>
    <w:p>
      <w:pPr>
        <w:spacing w:after="0" w:line="277"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00" w:lineRule="exact"/>
        <w:rPr>
          <w:sz w:val="20"/>
          <w:szCs w:val="20"/>
          <w:color w:val="auto"/>
        </w:rPr>
      </w:pPr>
    </w:p>
    <w:p>
      <w:pPr>
        <w:spacing w:after="0" w:line="212" w:lineRule="exact"/>
        <w:rPr>
          <w:sz w:val="20"/>
          <w:szCs w:val="20"/>
          <w:color w:val="auto"/>
        </w:rPr>
      </w:pPr>
    </w:p>
    <w:p>
      <w:pPr>
        <w:ind w:left="340" w:right="200"/>
        <w:spacing w:after="0" w:line="286" w:lineRule="auto"/>
        <w:rPr>
          <w:sz w:val="20"/>
          <w:szCs w:val="20"/>
          <w:color w:val="auto"/>
        </w:rPr>
      </w:pPr>
      <w:r>
        <w:rPr>
          <w:rFonts w:ascii="Arial" w:cs="Arial" w:eastAsia="Arial" w:hAnsi="Arial"/>
          <w:sz w:val="17"/>
          <w:szCs w:val="17"/>
          <w:b w:val="1"/>
          <w:bCs w:val="1"/>
          <w:i w:val="1"/>
          <w:iCs w:val="1"/>
          <w:color w:val="auto"/>
        </w:rPr>
        <w:t>We may seek to acquire companies or technologies that could disrupt our ongoing business, distract our management and employees and adversely affect our results of operations.</w:t>
      </w:r>
    </w:p>
    <w:p>
      <w:pPr>
        <w:spacing w:after="0" w:line="196" w:lineRule="exact"/>
        <w:rPr>
          <w:sz w:val="20"/>
          <w:szCs w:val="20"/>
          <w:color w:val="auto"/>
        </w:rPr>
      </w:pPr>
    </w:p>
    <w:p>
      <w:pPr>
        <w:ind w:right="320" w:firstLine="318"/>
        <w:spacing w:after="0" w:line="306" w:lineRule="auto"/>
        <w:rPr>
          <w:sz w:val="20"/>
          <w:szCs w:val="20"/>
          <w:color w:val="auto"/>
        </w:rPr>
      </w:pPr>
      <w:r>
        <w:rPr>
          <w:rFonts w:ascii="Arial" w:cs="Arial" w:eastAsia="Arial" w:hAnsi="Arial"/>
          <w:sz w:val="15"/>
          <w:szCs w:val="15"/>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400" w:lineRule="exact"/>
        <w:rPr>
          <w:sz w:val="20"/>
          <w:szCs w:val="20"/>
          <w:color w:val="auto"/>
        </w:rPr>
      </w:pPr>
    </w:p>
    <w:p>
      <w:pPr>
        <w:ind w:left="340" w:right="340"/>
        <w:spacing w:after="0" w:line="286" w:lineRule="auto"/>
        <w:rPr>
          <w:sz w:val="20"/>
          <w:szCs w:val="20"/>
          <w:color w:val="auto"/>
        </w:rPr>
      </w:pPr>
      <w:r>
        <w:rPr>
          <w:rFonts w:ascii="Arial" w:cs="Arial" w:eastAsia="Arial" w:hAnsi="Arial"/>
          <w:sz w:val="17"/>
          <w:szCs w:val="17"/>
          <w:b w:val="1"/>
          <w:bCs w:val="1"/>
          <w:i w:val="1"/>
          <w:iCs w:val="1"/>
          <w:color w:val="auto"/>
        </w:rPr>
        <w:t>Our business is dependent on a limited number of significant customers, and the loss of any one of our significant customers could harm our results of operations.</w:t>
      </w:r>
    </w:p>
    <w:p>
      <w:pPr>
        <w:spacing w:after="0" w:line="196" w:lineRule="exact"/>
        <w:rPr>
          <w:sz w:val="20"/>
          <w:szCs w:val="20"/>
          <w:color w:val="auto"/>
        </w:rPr>
      </w:pPr>
    </w:p>
    <w:p>
      <w:pPr>
        <w:ind w:right="40" w:firstLine="318"/>
        <w:spacing w:after="0" w:line="315" w:lineRule="auto"/>
        <w:rPr>
          <w:sz w:val="20"/>
          <w:szCs w:val="20"/>
          <w:color w:val="auto"/>
        </w:rPr>
      </w:pPr>
      <w:r>
        <w:rPr>
          <w:rFonts w:ascii="Arial" w:cs="Arial" w:eastAsia="Arial" w:hAnsi="Arial"/>
          <w:sz w:val="15"/>
          <w:szCs w:val="15"/>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October 27, 2005, it beneficially owned approximately 5.4% of our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12" w:name="page13"/>
    <w:bookmarkEnd w:id="12"/>
    <w:p>
      <w:pPr>
        <w:ind w:right="160"/>
        <w:spacing w:after="0" w:line="286" w:lineRule="auto"/>
        <w:rPr>
          <w:sz w:val="20"/>
          <w:szCs w:val="20"/>
          <w:color w:val="auto"/>
        </w:rPr>
      </w:pPr>
      <w:r>
        <w:rPr>
          <w:rFonts w:ascii="Arial" w:cs="Arial" w:eastAsia="Arial" w:hAnsi="Arial"/>
          <w:sz w:val="17"/>
          <w:szCs w:val="17"/>
          <w:color w:val="auto"/>
        </w:rPr>
        <w:t>outstanding ordinary shares. The loss of any significant customer or a significant decrease in business from any such customer could harm our results of operations and financial condition.</w:t>
      </w:r>
    </w:p>
    <w:p>
      <w:pPr>
        <w:spacing w:after="0" w:line="196"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00" w:lineRule="exact"/>
        <w:rPr>
          <w:sz w:val="20"/>
          <w:szCs w:val="20"/>
          <w:color w:val="auto"/>
        </w:rPr>
      </w:pPr>
    </w:p>
    <w:p>
      <w:pPr>
        <w:spacing w:after="0" w:line="223" w:lineRule="exact"/>
        <w:rPr>
          <w:sz w:val="20"/>
          <w:szCs w:val="20"/>
          <w:color w:val="auto"/>
        </w:rPr>
      </w:pPr>
    </w:p>
    <w:p>
      <w:pPr>
        <w:ind w:left="340" w:right="280"/>
        <w:spacing w:after="0" w:line="286" w:lineRule="auto"/>
        <w:rPr>
          <w:sz w:val="20"/>
          <w:szCs w:val="20"/>
          <w:color w:val="auto"/>
        </w:rPr>
      </w:pPr>
      <w:r>
        <w:rPr>
          <w:rFonts w:ascii="Arial" w:cs="Arial" w:eastAsia="Arial" w:hAnsi="Arial"/>
          <w:sz w:val="17"/>
          <w:szCs w:val="17"/>
          <w:b w:val="1"/>
          <w:bCs w:val="1"/>
          <w:i w:val="1"/>
          <w:iCs w:val="1"/>
          <w:color w:val="auto"/>
        </w:rPr>
        <w:t>Our future success will depend on our ability to develop long-term relationships with our customers and to meet their expectations in providing products and performing services.</w:t>
      </w:r>
    </w:p>
    <w:p>
      <w:pPr>
        <w:spacing w:after="0" w:line="196" w:lineRule="exact"/>
        <w:rPr>
          <w:sz w:val="20"/>
          <w:szCs w:val="20"/>
          <w:color w:val="auto"/>
        </w:rPr>
      </w:pPr>
    </w:p>
    <w:p>
      <w:pPr>
        <w:ind w:right="300" w:firstLine="318"/>
        <w:spacing w:after="0" w:line="266" w:lineRule="auto"/>
        <w:rPr>
          <w:sz w:val="20"/>
          <w:szCs w:val="20"/>
          <w:color w:val="auto"/>
        </w:rPr>
      </w:pPr>
      <w:r>
        <w:rPr>
          <w:rFonts w:ascii="Arial" w:cs="Arial" w:eastAsia="Arial" w:hAnsi="Arial"/>
          <w:sz w:val="17"/>
          <w:szCs w:val="17"/>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be exposed to the credit risk of customers that have been adversely affected by weakened markets.</w:t>
      </w:r>
    </w:p>
    <w:p>
      <w:pPr>
        <w:spacing w:after="0" w:line="254"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00" w:lineRule="exact"/>
        <w:rPr>
          <w:sz w:val="20"/>
          <w:szCs w:val="20"/>
          <w:color w:val="auto"/>
        </w:rPr>
      </w:pPr>
    </w:p>
    <w:p>
      <w:pPr>
        <w:spacing w:after="0" w:line="218" w:lineRule="exact"/>
        <w:rPr>
          <w:sz w:val="20"/>
          <w:szCs w:val="20"/>
          <w:color w:val="auto"/>
        </w:rPr>
      </w:pPr>
    </w:p>
    <w:p>
      <w:pPr>
        <w:ind w:left="340" w:right="260"/>
        <w:spacing w:after="0" w:line="286" w:lineRule="auto"/>
        <w:rPr>
          <w:sz w:val="20"/>
          <w:szCs w:val="20"/>
          <w:color w:val="auto"/>
        </w:rPr>
      </w:pPr>
      <w:r>
        <w:rPr>
          <w:rFonts w:ascii="Arial" w:cs="Arial" w:eastAsia="Arial" w:hAnsi="Arial"/>
          <w:sz w:val="17"/>
          <w:szCs w:val="17"/>
          <w:b w:val="1"/>
          <w:bCs w:val="1"/>
          <w:i w:val="1"/>
          <w:iCs w:val="1"/>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96"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90"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3" w:name="page14"/>
    <w:bookmarkEnd w:id="13"/>
    <w:p>
      <w:pPr>
        <w:ind w:left="340" w:right="60"/>
        <w:spacing w:after="0" w:line="286" w:lineRule="auto"/>
        <w:rPr>
          <w:sz w:val="20"/>
          <w:szCs w:val="20"/>
          <w:color w:val="auto"/>
        </w:rPr>
      </w:pPr>
      <w:r>
        <w:rPr>
          <w:rFonts w:ascii="Arial" w:cs="Arial" w:eastAsia="Arial" w:hAnsi="Arial"/>
          <w:sz w:val="17"/>
          <w:szCs w:val="17"/>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196"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We have experienced fluctuations in our quarterly operating results and anticipate that such movement may continue and could intensify. Fluctuations may result from many factors, including:</w:t>
      </w:r>
    </w:p>
    <w:p>
      <w:pPr>
        <w:spacing w:after="0" w:line="169" w:lineRule="exact"/>
        <w:rPr>
          <w:sz w:val="20"/>
          <w:szCs w:val="20"/>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and timing of significant customer projects and license and service fees,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delays in or cancellations of significant projects by customers,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operating expenses,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competition,</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strategy,</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personnel changes,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economic and political conditions.</w:t>
      </w:r>
    </w:p>
    <w:p>
      <w:pPr>
        <w:spacing w:after="0" w:line="281" w:lineRule="exact"/>
        <w:rPr>
          <w:sz w:val="20"/>
          <w:szCs w:val="20"/>
          <w:color w:val="auto"/>
        </w:rPr>
      </w:pPr>
    </w:p>
    <w:p>
      <w:pPr>
        <w:jc w:val="both"/>
        <w:ind w:right="140" w:firstLine="318"/>
        <w:spacing w:after="0" w:line="297" w:lineRule="auto"/>
        <w:rPr>
          <w:sz w:val="20"/>
          <w:szCs w:val="20"/>
          <w:color w:val="auto"/>
        </w:rPr>
      </w:pPr>
      <w:r>
        <w:rPr>
          <w:rFonts w:ascii="Arial" w:cs="Arial" w:eastAsia="Arial" w:hAnsi="Arial"/>
          <w:sz w:val="16"/>
          <w:szCs w:val="16"/>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190"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00" w:lineRule="exact"/>
        <w:rPr>
          <w:sz w:val="20"/>
          <w:szCs w:val="20"/>
          <w:color w:val="auto"/>
        </w:rPr>
      </w:pPr>
    </w:p>
    <w:p>
      <w:pPr>
        <w:spacing w:after="0" w:line="225" w:lineRule="exact"/>
        <w:rPr>
          <w:sz w:val="20"/>
          <w:szCs w:val="20"/>
          <w:color w:val="auto"/>
        </w:rPr>
      </w:pPr>
    </w:p>
    <w:p>
      <w:pPr>
        <w:ind w:left="340" w:right="780"/>
        <w:spacing w:after="0" w:line="286" w:lineRule="auto"/>
        <w:rPr>
          <w:sz w:val="20"/>
          <w:szCs w:val="20"/>
          <w:color w:val="auto"/>
        </w:rPr>
      </w:pPr>
      <w:r>
        <w:rPr>
          <w:rFonts w:ascii="Arial" w:cs="Arial" w:eastAsia="Arial" w:hAnsi="Arial"/>
          <w:sz w:val="17"/>
          <w:szCs w:val="17"/>
          <w:b w:val="1"/>
          <w:bCs w:val="1"/>
          <w:i w:val="1"/>
          <w:iCs w:val="1"/>
          <w:color w:val="auto"/>
        </w:rPr>
        <w:t>Our revenue, earnings and profitability are impacted by the length of our sales cycle, and a longer sales cycle could adversely affect our results of operations and financial condition.</w:t>
      </w:r>
    </w:p>
    <w:p>
      <w:pPr>
        <w:spacing w:after="0" w:line="196"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the market for our products deteriorates, we may incur additional restructuring charges.</w:t>
      </w:r>
    </w:p>
    <w:p>
      <w:pPr>
        <w:spacing w:after="0" w:line="254"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63" w:right="239" w:bottom="1440" w:gutter="0" w:footer="0" w:header="0"/>
        </w:sectPr>
      </w:pPr>
    </w:p>
    <w:bookmarkStart w:id="14" w:name="page15"/>
    <w:bookmarkEnd w:id="14"/>
    <w:p>
      <w:pPr>
        <w:ind w:right="280"/>
        <w:spacing w:after="0" w:line="286" w:lineRule="auto"/>
        <w:rPr>
          <w:sz w:val="20"/>
          <w:szCs w:val="20"/>
          <w:color w:val="auto"/>
        </w:rPr>
      </w:pPr>
      <w:r>
        <w:rPr>
          <w:rFonts w:ascii="Arial" w:cs="Arial" w:eastAsia="Arial" w:hAnsi="Arial"/>
          <w:sz w:val="17"/>
          <w:szCs w:val="17"/>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fail to successfully plan and manage changes in the size of our operations our business will suffer.</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Over the last several years, we have both grown and contracted our operations in order to profitably offer our products and services in a rapidly changing market.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If we are unable to manage these changes and plan and manage any future changes in the size and scope of our operations, our business will suffer.</w:t>
      </w:r>
    </w:p>
    <w:p>
      <w:pPr>
        <w:spacing w:after="0" w:line="24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international presence exposes us to risks associated with varied and changing political, cultural and economic conditions worldwide.</w:t>
      </w:r>
    </w:p>
    <w:p>
      <w:pPr>
        <w:spacing w:after="0" w:line="266" w:lineRule="exact"/>
        <w:rPr>
          <w:sz w:val="20"/>
          <w:szCs w:val="20"/>
          <w:color w:val="auto"/>
        </w:rPr>
      </w:pPr>
    </w:p>
    <w:p>
      <w:pPr>
        <w:ind w:right="80" w:firstLine="318"/>
        <w:spacing w:after="0" w:line="310" w:lineRule="auto"/>
        <w:rPr>
          <w:sz w:val="20"/>
          <w:szCs w:val="20"/>
          <w:color w:val="auto"/>
        </w:rPr>
      </w:pPr>
      <w:r>
        <w:rPr>
          <w:rFonts w:ascii="Arial" w:cs="Arial" w:eastAsia="Arial" w:hAnsi="Arial"/>
          <w:sz w:val="15"/>
          <w:szCs w:val="15"/>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56" w:lineRule="exact"/>
        <w:rPr>
          <w:sz w:val="20"/>
          <w:szCs w:val="20"/>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lack of acceptance of non-localized products,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legal and cultural differences in the conduct of business,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longer payment cycles,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in collecting accounts receivable and withholding taxes that limit the repatriation of earnings,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trade barriers,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immigration regulations that limit our ability to deploy our employees,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political instability,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variations in effective income tax rates among countries where we conduct business.</w:t>
      </w:r>
    </w:p>
    <w:p>
      <w:pPr>
        <w:spacing w:after="0" w:line="281"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One or more of these factors could have a material adverse effect on our international operations, which could harm our results of operations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5" w:name="page16"/>
    <w:bookmarkEnd w:id="15"/>
    <w:p>
      <w:pPr>
        <w:ind w:left="340" w:right="40"/>
        <w:spacing w:after="0" w:line="286" w:lineRule="auto"/>
        <w:rPr>
          <w:sz w:val="20"/>
          <w:szCs w:val="20"/>
          <w:color w:val="auto"/>
        </w:rPr>
      </w:pPr>
      <w:r>
        <w:rPr>
          <w:rFonts w:ascii="Arial" w:cs="Arial" w:eastAsia="Arial" w:hAnsi="Arial"/>
          <w:sz w:val="17"/>
          <w:szCs w:val="17"/>
          <w:b w:val="1"/>
          <w:bCs w:val="1"/>
          <w:i w:val="1"/>
          <w:iCs w:val="1"/>
          <w:color w:val="auto"/>
        </w:rPr>
        <w:t>Political and economic conditions in the Middle East may adversely affect our business and our development facility in Cyprus may be adversely affected by political conditions in that country.</w:t>
      </w:r>
    </w:p>
    <w:p>
      <w:pPr>
        <w:spacing w:after="0" w:line="196"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2"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3"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international operations expose us to risks associated with fluctuations in foreign currency exchange rates that could adversely affect our business.</w:t>
      </w:r>
    </w:p>
    <w:p>
      <w:pPr>
        <w:spacing w:after="0" w:line="277"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90" w:lineRule="exact"/>
        <w:rPr>
          <w:sz w:val="20"/>
          <w:szCs w:val="20"/>
          <w:color w:val="auto"/>
        </w:rPr>
      </w:pPr>
    </w:p>
    <w:p>
      <w:pPr>
        <w:jc w:val="both"/>
        <w:ind w:right="60" w:firstLine="318"/>
        <w:spacing w:after="0" w:line="268" w:lineRule="auto"/>
        <w:rPr>
          <w:sz w:val="20"/>
          <w:szCs w:val="20"/>
          <w:color w:val="auto"/>
        </w:rPr>
      </w:pPr>
      <w:r>
        <w:rPr>
          <w:rFonts w:ascii="Arial" w:cs="Arial" w:eastAsia="Arial" w:hAnsi="Arial"/>
          <w:sz w:val="17"/>
          <w:szCs w:val="17"/>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2" w:lineRule="exact"/>
        <w:rPr>
          <w:sz w:val="20"/>
          <w:szCs w:val="20"/>
          <w:color w:val="auto"/>
        </w:rPr>
      </w:pPr>
    </w:p>
    <w:p>
      <w:pPr>
        <w:ind w:right="20" w:firstLine="318"/>
        <w:spacing w:after="0" w:line="297" w:lineRule="auto"/>
        <w:rPr>
          <w:sz w:val="20"/>
          <w:szCs w:val="20"/>
          <w:color w:val="auto"/>
        </w:rPr>
      </w:pPr>
      <w:r>
        <w:rPr>
          <w:rFonts w:ascii="Arial" w:cs="Arial" w:eastAsia="Arial" w:hAnsi="Arial"/>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63" w:right="239" w:bottom="1440" w:gutter="0" w:footer="0" w:header="0"/>
        </w:sectPr>
      </w:pPr>
    </w:p>
    <w:bookmarkStart w:id="16" w:name="page17"/>
    <w:bookmarkEnd w:id="16"/>
    <w:p>
      <w:pPr>
        <w:ind w:right="540" w:firstLine="318"/>
        <w:spacing w:after="0" w:line="286" w:lineRule="auto"/>
        <w:rPr>
          <w:sz w:val="20"/>
          <w:szCs w:val="20"/>
          <w:color w:val="auto"/>
        </w:rPr>
      </w:pPr>
      <w:r>
        <w:rPr>
          <w:rFonts w:ascii="Arial" w:cs="Arial" w:eastAsia="Arial" w:hAnsi="Arial"/>
          <w:sz w:val="17"/>
          <w:szCs w:val="17"/>
          <w:color w:val="auto"/>
        </w:rPr>
        <w:t>The imposition of exchange or price controls or other restrictions on the conversion of foreign currencies could also have a material adverse effect on our business, results of operations and financial condition.</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are unable to protect our proprietary technology from misappropriation, our business may be harmed.</w:t>
      </w:r>
    </w:p>
    <w:p>
      <w:pPr>
        <w:spacing w:after="0" w:line="254"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3"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95" w:lineRule="exact"/>
        <w:rPr>
          <w:sz w:val="20"/>
          <w:szCs w:val="20"/>
          <w:color w:val="auto"/>
        </w:rPr>
      </w:pPr>
    </w:p>
    <w:p>
      <w:pPr>
        <w:ind w:right="260" w:firstLine="318"/>
        <w:spacing w:after="0" w:line="286" w:lineRule="auto"/>
        <w:rPr>
          <w:sz w:val="20"/>
          <w:szCs w:val="20"/>
          <w:color w:val="auto"/>
        </w:rPr>
      </w:pPr>
      <w:r>
        <w:rPr>
          <w:rFonts w:ascii="Arial" w:cs="Arial" w:eastAsia="Arial" w:hAnsi="Arial"/>
          <w:sz w:val="17"/>
          <w:szCs w:val="17"/>
          <w:color w:val="auto"/>
        </w:rPr>
        <w:t>If we have to resort to legal proceedings to enforce our intellectual property rights, the proceedings could be burdensome, protracted and expensive and could involve a high degree of risk.</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Claims by others that we infringe their proprietary technology could harm our business.</w:t>
      </w:r>
    </w:p>
    <w:p>
      <w:pPr>
        <w:spacing w:after="0" w:line="25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89"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Product defects or software errors could adversely affect our business.</w:t>
      </w:r>
    </w:p>
    <w:p>
      <w:pPr>
        <w:spacing w:after="0" w:line="254" w:lineRule="exact"/>
        <w:rPr>
          <w:sz w:val="20"/>
          <w:szCs w:val="20"/>
          <w:color w:val="auto"/>
        </w:rPr>
      </w:pPr>
    </w:p>
    <w:p>
      <w:pPr>
        <w:jc w:val="both"/>
        <w:ind w:right="380" w:firstLine="318"/>
        <w:spacing w:after="0" w:line="273" w:lineRule="auto"/>
        <w:rPr>
          <w:sz w:val="20"/>
          <w:szCs w:val="20"/>
          <w:color w:val="auto"/>
        </w:rPr>
      </w:pPr>
      <w:r>
        <w:rPr>
          <w:rFonts w:ascii="Arial" w:cs="Arial" w:eastAsia="Arial" w:hAnsi="Arial"/>
          <w:sz w:val="17"/>
          <w:szCs w:val="17"/>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6" w:lineRule="exact"/>
        <w:rPr>
          <w:sz w:val="20"/>
          <w:szCs w:val="20"/>
          <w:color w:val="auto"/>
        </w:rPr>
      </w:pPr>
    </w:p>
    <w:p>
      <w:pPr>
        <w:ind w:right="20" w:firstLine="318"/>
        <w:spacing w:after="0" w:line="315" w:lineRule="auto"/>
        <w:rPr>
          <w:sz w:val="20"/>
          <w:szCs w:val="20"/>
          <w:color w:val="auto"/>
        </w:rPr>
      </w:pPr>
      <w:r>
        <w:rPr>
          <w:rFonts w:ascii="Arial" w:cs="Arial" w:eastAsia="Arial" w:hAnsi="Arial"/>
          <w:sz w:val="15"/>
          <w:szCs w:val="15"/>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51" w:right="239" w:bottom="1440" w:gutter="0" w:footer="0" w:header="0"/>
        </w:sectPr>
      </w:pPr>
    </w:p>
    <w:bookmarkStart w:id="17" w:name="page18"/>
    <w:bookmarkEnd w:id="17"/>
    <w:p>
      <w:pPr>
        <w:ind w:right="120"/>
        <w:spacing w:after="0" w:line="325" w:lineRule="auto"/>
        <w:rPr>
          <w:sz w:val="20"/>
          <w:szCs w:val="20"/>
          <w:color w:val="auto"/>
        </w:rPr>
      </w:pPr>
      <w:r>
        <w:rPr>
          <w:rFonts w:ascii="Arial" w:cs="Arial" w:eastAsia="Arial" w:hAnsi="Arial"/>
          <w:sz w:val="15"/>
          <w:szCs w:val="15"/>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2" w:lineRule="exact"/>
        <w:rPr>
          <w:sz w:val="20"/>
          <w:szCs w:val="20"/>
          <w:color w:val="auto"/>
        </w:rPr>
      </w:pPr>
    </w:p>
    <w:p>
      <w:pPr>
        <w:ind w:left="340" w:right="280"/>
        <w:spacing w:after="0" w:line="286" w:lineRule="auto"/>
        <w:rPr>
          <w:sz w:val="20"/>
          <w:szCs w:val="20"/>
          <w:color w:val="auto"/>
        </w:rPr>
      </w:pPr>
      <w:r>
        <w:rPr>
          <w:rFonts w:ascii="Arial" w:cs="Arial" w:eastAsia="Arial" w:hAnsi="Arial"/>
          <w:sz w:val="17"/>
          <w:szCs w:val="17"/>
          <w:b w:val="1"/>
          <w:bCs w:val="1"/>
          <w:i w:val="1"/>
          <w:iCs w:val="1"/>
          <w:color w:val="auto"/>
        </w:rPr>
        <w:t>System disruptions and failures may result in customer dissatisfaction, customer loss or both, which could materially and adversely affect our reputation and business.</w:t>
      </w:r>
    </w:p>
    <w:p>
      <w:pPr>
        <w:spacing w:after="0" w:line="196" w:lineRule="exact"/>
        <w:rPr>
          <w:sz w:val="20"/>
          <w:szCs w:val="20"/>
          <w:color w:val="auto"/>
        </w:rPr>
      </w:pPr>
    </w:p>
    <w:p>
      <w:pPr>
        <w:ind w:right="100" w:firstLine="318"/>
        <w:spacing w:after="0" w:line="297"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90" w:lineRule="exact"/>
        <w:rPr>
          <w:sz w:val="20"/>
          <w:szCs w:val="20"/>
          <w:color w:val="auto"/>
        </w:rPr>
      </w:pPr>
    </w:p>
    <w:p>
      <w:pPr>
        <w:ind w:right="360" w:firstLine="318"/>
        <w:spacing w:after="0" w:line="290" w:lineRule="auto"/>
        <w:rPr>
          <w:sz w:val="20"/>
          <w:szCs w:val="20"/>
          <w:color w:val="auto"/>
        </w:rPr>
      </w:pPr>
      <w:r>
        <w:rPr>
          <w:rFonts w:ascii="Arial" w:cs="Arial" w:eastAsia="Arial" w:hAnsi="Arial"/>
          <w:sz w:val="16"/>
          <w:szCs w:val="16"/>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95"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termination or reduction of certain government programs and tax benefits could adversely affect our overall effective tax rate.</w:t>
      </w:r>
    </w:p>
    <w:p>
      <w:pPr>
        <w:spacing w:after="0" w:line="254" w:lineRule="exact"/>
        <w:rPr>
          <w:sz w:val="20"/>
          <w:szCs w:val="20"/>
          <w:color w:val="auto"/>
        </w:rPr>
      </w:pPr>
    </w:p>
    <w:p>
      <w:pPr>
        <w:ind w:right="80" w:firstLine="318"/>
        <w:spacing w:after="0" w:line="297" w:lineRule="auto"/>
        <w:rPr>
          <w:sz w:val="20"/>
          <w:szCs w:val="20"/>
          <w:color w:val="auto"/>
        </w:rPr>
      </w:pPr>
      <w:r>
        <w:rPr>
          <w:rFonts w:ascii="Arial" w:cs="Arial" w:eastAsia="Arial" w:hAnsi="Arial"/>
          <w:sz w:val="16"/>
          <w:szCs w:val="16"/>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9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218" w:lineRule="exact"/>
        <w:rPr>
          <w:sz w:val="20"/>
          <w:szCs w:val="20"/>
          <w:color w:val="auto"/>
        </w:rPr>
      </w:pPr>
    </w:p>
    <w:p>
      <w:pPr>
        <w:ind w:right="20" w:firstLine="318"/>
        <w:spacing w:after="0" w:line="319" w:lineRule="auto"/>
        <w:rPr>
          <w:sz w:val="20"/>
          <w:szCs w:val="20"/>
          <w:color w:val="auto"/>
        </w:rPr>
      </w:pPr>
      <w:r>
        <w:rPr>
          <w:rFonts w:ascii="Arial" w:cs="Arial" w:eastAsia="Arial" w:hAnsi="Arial"/>
          <w:sz w:val="16"/>
          <w:szCs w:val="16"/>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8" w:name="page19"/>
    <w:bookmarkEnd w:id="18"/>
    <w:p>
      <w:pPr>
        <w:ind w:left="320"/>
        <w:spacing w:after="0"/>
        <w:rPr>
          <w:sz w:val="20"/>
          <w:szCs w:val="20"/>
          <w:color w:val="auto"/>
        </w:rPr>
      </w:pPr>
      <w:r>
        <w:rPr>
          <w:rFonts w:ascii="Arial" w:cs="Arial" w:eastAsia="Arial" w:hAnsi="Arial"/>
          <w:sz w:val="17"/>
          <w:szCs w:val="17"/>
          <w:color w:val="auto"/>
        </w:rPr>
        <w:t>Any of the following could have a material effect on our overall effective tax rate:</w:t>
      </w:r>
    </w:p>
    <w:p>
      <w:pPr>
        <w:spacing w:after="0" w:line="228" w:lineRule="exact"/>
        <w:rPr>
          <w:sz w:val="20"/>
          <w:szCs w:val="20"/>
          <w:color w:val="auto"/>
        </w:rPr>
      </w:pPr>
    </w:p>
    <w:p>
      <w:pPr>
        <w:ind w:left="460" w:hanging="110"/>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some programs may be discontinued,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unable to meet the requirements for continuing to qualify for some programs,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these programs and tax benefits may be unavailable at their current levels,</w:t>
      </w:r>
    </w:p>
    <w:p>
      <w:pPr>
        <w:spacing w:after="0" w:line="280" w:lineRule="exact"/>
        <w:rPr>
          <w:rFonts w:ascii="Arial" w:cs="Arial" w:eastAsia="Arial" w:hAnsi="Arial"/>
          <w:sz w:val="17"/>
          <w:szCs w:val="17"/>
          <w:color w:val="auto"/>
        </w:rPr>
      </w:pPr>
    </w:p>
    <w:p>
      <w:pPr>
        <w:ind w:left="460" w:right="60" w:hanging="110"/>
        <w:spacing w:after="0" w:line="28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upon expiration of a particular benefit, we may not be eligible to participate in a new program or qualify for a new tax benefit that would offset the loss of the expiring tax benefit,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required to refund previously recognized tax benefits if we are found to be in violation of the stipulated conditions.</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are currently the subject of a Securities Exchange Commission investigation, which could negatively affect our business and results of operations.</w:t>
      </w:r>
    </w:p>
    <w:p>
      <w:pPr>
        <w:spacing w:after="0" w:line="277"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In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It may be difficult for our shareholders to enforce any judgment obtained in the United States against us, the selling securityholders or our affiliates.</w:t>
      </w:r>
    </w:p>
    <w:p>
      <w:pPr>
        <w:spacing w:after="0" w:line="27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Capital Structure</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market price of our ordinary shares has and may continue to fluctuate widely.</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market price of our ordinary shares has fluctuated widely and may continue to do so. During fiscal year 2004, our ordinary shares traded as high as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$30.69 per share and as low as $18.08 per share. Our ordinary shares traded as high as $39.25 per share and as low as $6.10 per share in fiscal 2002 and as high 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$80.50 per share in fiscal 2001 and as low as $5.85 per share in fiscal 2003. As of October 27, 2005, the closing price of our ordinary shares was $25.75 per share.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Many factors could cause the market price of our ordinary shares to rise and fall, including:</w:t>
      </w:r>
    </w:p>
    <w:p>
      <w:pPr>
        <w:spacing w:after="0" w:line="222" w:lineRule="exact"/>
        <w:rPr>
          <w:sz w:val="20"/>
          <w:szCs w:val="20"/>
          <w:color w:val="auto"/>
        </w:rPr>
      </w:pPr>
    </w:p>
    <w:p>
      <w:pPr>
        <w:ind w:left="460" w:hanging="11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conditions in the industry and the economy as a whole,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variations in our quarterly operating results,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announcements of technological innovations by us or our competitors,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introductions of new products or new pricing policies by us or our competitors,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trends in the communications or software industries,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acquisitions or strategic alliances by us or others in our industry,</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19" w:name="page20"/>
    <w:bookmarkEnd w:id="19"/>
    <w:p>
      <w:pPr>
        <w:ind w:left="460" w:hanging="110"/>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estimates of our performance or recommendations by financial analysts,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political developments in the Middle East.</w:t>
      </w:r>
    </w:p>
    <w:p>
      <w:pPr>
        <w:spacing w:after="0" w:line="281"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Notes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notes are effectively subordinated to the debt and other liabilities of our subsidiaries.</w:t>
      </w:r>
    </w:p>
    <w:p>
      <w:pPr>
        <w:spacing w:after="0" w:line="25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are dependent upon our subsidiaries to service our debt.</w:t>
      </w:r>
    </w:p>
    <w:p>
      <w:pPr>
        <w:spacing w:after="0" w:line="254" w:lineRule="exact"/>
        <w:rPr>
          <w:sz w:val="20"/>
          <w:szCs w:val="20"/>
          <w:color w:val="auto"/>
        </w:rPr>
      </w:pPr>
    </w:p>
    <w:p>
      <w:pPr>
        <w:ind w:right="100" w:firstLine="318"/>
        <w:spacing w:after="0" w:line="286" w:lineRule="auto"/>
        <w:rPr>
          <w:sz w:val="20"/>
          <w:szCs w:val="20"/>
          <w:color w:val="auto"/>
        </w:rPr>
      </w:pPr>
      <w:r>
        <w:rPr>
          <w:rFonts w:ascii="Arial" w:cs="Arial" w:eastAsia="Arial" w:hAnsi="Arial"/>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200" w:lineRule="exact"/>
        <w:rPr>
          <w:sz w:val="20"/>
          <w:szCs w:val="20"/>
          <w:color w:val="auto"/>
        </w:rPr>
      </w:pPr>
    </w:p>
    <w:p>
      <w:pPr>
        <w:spacing w:after="0" w:line="212" w:lineRule="exact"/>
        <w:rPr>
          <w:sz w:val="20"/>
          <w:szCs w:val="20"/>
          <w:color w:val="auto"/>
        </w:rPr>
      </w:pPr>
    </w:p>
    <w:p>
      <w:pPr>
        <w:ind w:left="340" w:right="360"/>
        <w:spacing w:after="0" w:line="286" w:lineRule="auto"/>
        <w:rPr>
          <w:sz w:val="20"/>
          <w:szCs w:val="20"/>
          <w:color w:val="auto"/>
        </w:rPr>
      </w:pPr>
      <w:r>
        <w:rPr>
          <w:rFonts w:ascii="Arial" w:cs="Arial" w:eastAsia="Arial" w:hAnsi="Arial"/>
          <w:sz w:val="17"/>
          <w:szCs w:val="17"/>
          <w:b w:val="1"/>
          <w:bCs w:val="1"/>
          <w:i w:val="1"/>
          <w:iCs w:val="1"/>
          <w:color w:val="auto"/>
        </w:rPr>
        <w:t>We may not have the funds necessary to finance the repurchase of the notes or may otherwise be restricted from making such repurchase if required by holders pursuant to the indenture.</w:t>
      </w:r>
    </w:p>
    <w:p>
      <w:pPr>
        <w:spacing w:after="0" w:line="196"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The indebtedness created by the notes, and any future indebtedness, could adversely affect our business and our ability to make full payment on the notes.</w:t>
      </w:r>
    </w:p>
    <w:p>
      <w:pPr>
        <w:spacing w:after="0" w:line="289" w:lineRule="exact"/>
        <w:rPr>
          <w:sz w:val="20"/>
          <w:szCs w:val="20"/>
          <w:color w:val="auto"/>
        </w:rPr>
      </w:pPr>
    </w:p>
    <w:p>
      <w:pPr>
        <w:ind w:right="260" w:firstLine="318"/>
        <w:spacing w:after="0" w:line="286" w:lineRule="auto"/>
        <w:rPr>
          <w:sz w:val="20"/>
          <w:szCs w:val="20"/>
          <w:color w:val="auto"/>
        </w:rPr>
      </w:pPr>
      <w:r>
        <w:rPr>
          <w:rFonts w:ascii="Arial" w:cs="Arial" w:eastAsia="Arial" w:hAnsi="Arial"/>
          <w:sz w:val="17"/>
          <w:szCs w:val="17"/>
          <w:color w:val="auto"/>
        </w:rPr>
        <w:t>Our aggregate level of indebtedness increased as a result of the sale by us of the notes to the initial purchasers. As of June 30, 2005, we had $458.0 million of outstanding indebtedness and cash and short term investments of $1.3 billion.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0" w:name="page21"/>
    <w:bookmarkEnd w:id="20"/>
    <w:p>
      <w:pPr>
        <w:ind w:right="260" w:firstLine="318"/>
        <w:spacing w:after="0" w:line="286" w:lineRule="auto"/>
        <w:rPr>
          <w:sz w:val="20"/>
          <w:szCs w:val="20"/>
          <w:color w:val="auto"/>
        </w:rPr>
      </w:pPr>
      <w:r>
        <w:rPr>
          <w:rFonts w:ascii="Arial" w:cs="Arial" w:eastAsia="Arial" w:hAnsi="Arial"/>
          <w:sz w:val="17"/>
          <w:szCs w:val="17"/>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9" w:lineRule="exact"/>
        <w:rPr>
          <w:sz w:val="20"/>
          <w:szCs w:val="20"/>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our vulnerability to adverse economic and industry conditions,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limiting our ability to make acquisitions,</w:t>
      </w:r>
    </w:p>
    <w:p>
      <w:pPr>
        <w:spacing w:after="0" w:line="280" w:lineRule="exact"/>
        <w:rPr>
          <w:rFonts w:ascii="Arial" w:cs="Arial" w:eastAsia="Arial" w:hAnsi="Arial"/>
          <w:sz w:val="17"/>
          <w:szCs w:val="17"/>
          <w:color w:val="auto"/>
        </w:rPr>
      </w:pPr>
    </w:p>
    <w:p>
      <w:pPr>
        <w:ind w:left="460" w:right="24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requiring the dedication of a substantial portion of our cash flow from operations to service our indebtedness, thereby reducing the amount of our cash flow available for other purposes, including capital expenditures,</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industries in which we compete,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and competitors that may have better access to capital resources.</w:t>
      </w:r>
    </w:p>
    <w:p>
      <w:pPr>
        <w:spacing w:after="0" w:line="292"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00" w:lineRule="exact"/>
        <w:rPr>
          <w:sz w:val="20"/>
          <w:szCs w:val="20"/>
          <w:color w:val="auto"/>
        </w:rPr>
      </w:pPr>
    </w:p>
    <w:p>
      <w:pPr>
        <w:spacing w:after="0" w:line="225" w:lineRule="exact"/>
        <w:rPr>
          <w:sz w:val="20"/>
          <w:szCs w:val="20"/>
          <w:color w:val="auto"/>
        </w:rPr>
      </w:pPr>
    </w:p>
    <w:p>
      <w:pPr>
        <w:ind w:left="340" w:right="580"/>
        <w:spacing w:after="0" w:line="286" w:lineRule="auto"/>
        <w:rPr>
          <w:sz w:val="20"/>
          <w:szCs w:val="20"/>
          <w:color w:val="auto"/>
        </w:rPr>
      </w:pPr>
      <w:r>
        <w:rPr>
          <w:rFonts w:ascii="Arial" w:cs="Arial" w:eastAsia="Arial" w:hAnsi="Arial"/>
          <w:sz w:val="17"/>
          <w:szCs w:val="17"/>
          <w:b w:val="1"/>
          <w:bCs w:val="1"/>
          <w:i w:val="1"/>
          <w:iCs w:val="1"/>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19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 public market may not develop for the notes.</w:t>
      </w:r>
    </w:p>
    <w:p>
      <w:pPr>
        <w:spacing w:after="0" w:line="25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51"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7"/>
          <w:szCs w:val="17"/>
          <w:b w:val="1"/>
          <w:bCs w:val="1"/>
          <w:i w:val="1"/>
          <w:iCs w:val="1"/>
          <w:color w:val="auto"/>
        </w:rPr>
        <w:t>The trading prices of the notes could be significantly affected by the trading prices of our ordinary shares.</w:t>
      </w:r>
    </w:p>
    <w:p>
      <w:pPr>
        <w:spacing w:after="0" w:line="254"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The conditional conversion feature of the notes could result in your not receiving the value of the ordinary shares into which the notes are convertible.</w:t>
      </w:r>
    </w:p>
    <w:p>
      <w:pPr>
        <w:spacing w:after="0" w:line="277"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conversion rate of the notes may not be adjusted for all dilutive events.</w:t>
      </w:r>
    </w:p>
    <w:p>
      <w:pPr>
        <w:spacing w:after="0" w:line="25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 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Conversion of the notes will dilute the ownership interest of existing shareholders, including holders who had previously converted their notes.</w:t>
      </w:r>
    </w:p>
    <w:p>
      <w:pPr>
        <w:spacing w:after="0" w:line="266" w:lineRule="exact"/>
        <w:rPr>
          <w:sz w:val="20"/>
          <w:szCs w:val="20"/>
          <w:color w:val="auto"/>
        </w:rPr>
      </w:pPr>
    </w:p>
    <w:p>
      <w:pPr>
        <w:jc w:val="both"/>
        <w:ind w:right="340" w:firstLine="318"/>
        <w:spacing w:after="0" w:line="273" w:lineRule="auto"/>
        <w:rPr>
          <w:sz w:val="20"/>
          <w:szCs w:val="20"/>
          <w:color w:val="auto"/>
        </w:rPr>
      </w:pPr>
      <w:r>
        <w:rPr>
          <w:rFonts w:ascii="Arial" w:cs="Arial" w:eastAsia="Arial" w:hAnsi="Arial"/>
          <w:sz w:val="17"/>
          <w:szCs w:val="17"/>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00" w:lineRule="exact"/>
        <w:rPr>
          <w:sz w:val="20"/>
          <w:szCs w:val="20"/>
          <w:color w:val="auto"/>
        </w:rPr>
      </w:pPr>
    </w:p>
    <w:p>
      <w:pPr>
        <w:spacing w:after="0" w:line="218" w:lineRule="exact"/>
        <w:rPr>
          <w:sz w:val="20"/>
          <w:szCs w:val="20"/>
          <w:color w:val="auto"/>
        </w:rPr>
      </w:pPr>
    </w:p>
    <w:p>
      <w:pPr>
        <w:ind w:left="340" w:right="240"/>
        <w:spacing w:after="0" w:line="286" w:lineRule="auto"/>
        <w:rPr>
          <w:sz w:val="20"/>
          <w:szCs w:val="20"/>
          <w:color w:val="auto"/>
        </w:rPr>
      </w:pPr>
      <w:r>
        <w:rPr>
          <w:rFonts w:ascii="Arial" w:cs="Arial" w:eastAsia="Arial" w:hAnsi="Arial"/>
          <w:sz w:val="17"/>
          <w:szCs w:val="17"/>
          <w:b w:val="1"/>
          <w:bCs w:val="1"/>
          <w:i w:val="1"/>
          <w:iCs w:val="1"/>
          <w:color w:val="auto"/>
        </w:rPr>
        <w:t>If you hold notes, you will not be entitled to any rights with respect to our ordinary shares, but you will be subject to all changes made with respect to our ordinary shares.</w:t>
      </w:r>
    </w:p>
    <w:p>
      <w:pPr>
        <w:spacing w:after="0" w:line="196"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63"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SPECIAL NOTE REGARDING FORWARD-LOOKING INFORMATION</w:t>
      </w:r>
    </w:p>
    <w:p>
      <w:pPr>
        <w:spacing w:after="0" w:line="260"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221"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7"/>
          <w:szCs w:val="17"/>
          <w:b w:val="1"/>
          <w:bCs w:val="1"/>
          <w:color w:val="auto"/>
        </w:rPr>
        <w:t>OFFERING STATISTICS AND TIMETABLE</w:t>
      </w:r>
    </w:p>
    <w:p>
      <w:pPr>
        <w:spacing w:after="0" w:line="26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REASONS FOR THE OFFER AND USE OF PROCEEDS</w:t>
      </w:r>
    </w:p>
    <w:p>
      <w:pPr>
        <w:spacing w:after="0" w:line="260" w:lineRule="exact"/>
        <w:rPr>
          <w:sz w:val="20"/>
          <w:szCs w:val="20"/>
          <w:color w:val="auto"/>
        </w:rPr>
      </w:pPr>
    </w:p>
    <w:p>
      <w:pPr>
        <w:jc w:val="both"/>
        <w:ind w:right="420" w:firstLine="318"/>
        <w:spacing w:after="0" w:line="273" w:lineRule="auto"/>
        <w:rPr>
          <w:sz w:val="20"/>
          <w:szCs w:val="20"/>
          <w:color w:val="auto"/>
        </w:rPr>
      </w:pPr>
      <w:r>
        <w:rPr>
          <w:rFonts w:ascii="Arial" w:cs="Arial" w:eastAsia="Arial" w:hAnsi="Arial"/>
          <w:sz w:val="17"/>
          <w:szCs w:val="17"/>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DIVIDEND POLICY</w:t>
      </w:r>
    </w:p>
    <w:p>
      <w:pPr>
        <w:spacing w:after="0" w:line="260"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7"/>
          <w:szCs w:val="17"/>
          <w:b w:val="1"/>
          <w:bCs w:val="1"/>
          <w:color w:val="auto"/>
        </w:rPr>
        <w:t>THE OFFER AND LISTING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60"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Our ordinary shares have been quoted on the NYSE since June 19, 1998, under the symbol “DOX.” The following table sets forth the high and low reported sale prices for our ordinary shares for the periods indicated:</w:t>
      </w:r>
    </w:p>
    <w:p>
      <w:pPr>
        <w:spacing w:after="0" w:line="376"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High</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215"/>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Arial" w:cs="Arial" w:eastAsia="Arial" w:hAnsi="Arial"/>
                <w:sz w:val="17"/>
                <w:szCs w:val="17"/>
                <w:b w:val="1"/>
                <w:bCs w:val="1"/>
                <w:color w:val="auto"/>
              </w:rPr>
              <w:t>Fiscal Year Ended September 30,</w:t>
            </w:r>
          </w:p>
        </w:tc>
        <w:tc>
          <w:tcPr>
            <w:tcW w:w="9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2001</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$80.50</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25.85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Arial" w:cs="Arial" w:eastAsia="Arial" w:hAnsi="Arial"/>
                <w:sz w:val="17"/>
                <w:szCs w:val="17"/>
                <w:color w:val="auto"/>
              </w:rPr>
              <w:t>2002</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$39.25</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2003</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$27.25</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Arial" w:cs="Arial" w:eastAsia="Arial" w:hAnsi="Arial"/>
                <w:sz w:val="17"/>
                <w:szCs w:val="17"/>
                <w:color w:val="auto"/>
              </w:rPr>
              <w:t>2004</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$30.69</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18.08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2005</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$30.96</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20.70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Arial" w:cs="Arial" w:eastAsia="Arial" w:hAnsi="Arial"/>
                <w:sz w:val="17"/>
                <w:szCs w:val="17"/>
                <w:b w:val="1"/>
                <w:bCs w:val="1"/>
                <w:color w:val="auto"/>
              </w:rPr>
              <w:t>Quarter</w:t>
            </w:r>
          </w:p>
        </w:tc>
        <w:tc>
          <w:tcPr>
            <w:tcW w:w="9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i w:val="1"/>
                <w:iCs w:val="1"/>
                <w:color w:val="auto"/>
              </w:rPr>
              <w:t>Fiscal 2004: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First Quarter</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$27.10</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18.90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7"/>
                <w:szCs w:val="17"/>
                <w:color w:val="auto"/>
              </w:rPr>
              <w:t>Second Quarter</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$29.74</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Third Quarter</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$30.69</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22.65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7"/>
                <w:szCs w:val="17"/>
                <w:color w:val="auto"/>
              </w:rPr>
              <w:t>Fourth Quarter</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$24.00</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18.08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Arial" w:cs="Arial" w:eastAsia="Arial" w:hAnsi="Arial"/>
                <w:sz w:val="17"/>
                <w:szCs w:val="17"/>
                <w:i w:val="1"/>
                <w:iCs w:val="1"/>
                <w:color w:val="auto"/>
              </w:rPr>
              <w:t>Fiscal 2005:</w:t>
            </w:r>
          </w:p>
        </w:tc>
        <w:tc>
          <w:tcPr>
            <w:tcW w:w="9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7"/>
                <w:szCs w:val="17"/>
                <w:color w:val="auto"/>
              </w:rPr>
              <w:t>First Quarter</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$27.56</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20.70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Second Quarter</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$30.66</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24.29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7"/>
                <w:szCs w:val="17"/>
                <w:color w:val="auto"/>
              </w:rPr>
              <w:t>Third Quarter</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$30.96</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25.48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Fourth Quarter</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$30.30</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25.97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i w:val="1"/>
                <w:iCs w:val="1"/>
                <w:color w:val="auto"/>
              </w:rPr>
              <w:t>Fiscal 2006:</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First Quarter (through October 27, 2005)</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$27.80</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24.30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i w:val="1"/>
                <w:iCs w:val="1"/>
                <w:color w:val="auto"/>
              </w:rPr>
              <w:t>Most Recent Six Months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April, 2005</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$30.96</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25.75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7"/>
                <w:szCs w:val="17"/>
                <w:color w:val="auto"/>
              </w:rPr>
              <w:t>May, 2005</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$28.91</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26.75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June, 2005</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$27.64</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25.48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7"/>
                <w:szCs w:val="17"/>
                <w:color w:val="auto"/>
              </w:rPr>
              <w:t>July, 2005</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$29.97</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26.44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Arial" w:cs="Arial" w:eastAsia="Arial" w:hAnsi="Arial"/>
                <w:sz w:val="17"/>
                <w:szCs w:val="17"/>
                <w:color w:val="auto"/>
              </w:rPr>
              <w:t>August, 2005</w:t>
            </w:r>
          </w:p>
        </w:tc>
        <w:tc>
          <w:tcPr>
            <w:tcW w:w="920" w:type="dxa"/>
            <w:vAlign w:val="bottom"/>
            <w:shd w:val="clear" w:color="auto" w:fill="C4D8E2"/>
          </w:tcPr>
          <w:p>
            <w:pPr>
              <w:jc w:val="center"/>
              <w:spacing w:after="0"/>
              <w:rPr>
                <w:sz w:val="20"/>
                <w:szCs w:val="20"/>
                <w:color w:val="auto"/>
              </w:rPr>
            </w:pPr>
            <w:r>
              <w:rPr>
                <w:rFonts w:ascii="Arial" w:cs="Arial" w:eastAsia="Arial" w:hAnsi="Arial"/>
                <w:sz w:val="17"/>
                <w:szCs w:val="17"/>
                <w:color w:val="auto"/>
                <w:w w:val="96"/>
              </w:rPr>
              <w:t>$30.30</w:t>
            </w:r>
          </w:p>
        </w:tc>
        <w:tc>
          <w:tcPr>
            <w:tcW w:w="460" w:type="dxa"/>
            <w:vAlign w:val="bottom"/>
            <w:gridSpan w:val="2"/>
            <w:shd w:val="clear" w:color="auto" w:fill="C4D8E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Arial" w:cs="Arial" w:eastAsia="Arial" w:hAnsi="Arial"/>
                <w:sz w:val="17"/>
                <w:szCs w:val="17"/>
                <w:color w:val="auto"/>
                <w:w w:val="84"/>
              </w:rPr>
              <w:t>27.60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7"/>
                <w:szCs w:val="17"/>
                <w:color w:val="auto"/>
              </w:rPr>
              <w:t>September, 2005</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$29.76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55"/>
              <w:spacing w:after="0"/>
              <w:rPr>
                <w:sz w:val="20"/>
                <w:szCs w:val="20"/>
                <w:color w:val="auto"/>
              </w:rPr>
            </w:pPr>
            <w:r>
              <w:rPr>
                <w:rFonts w:ascii="Arial" w:cs="Arial" w:eastAsia="Arial" w:hAnsi="Arial"/>
                <w:sz w:val="17"/>
                <w:szCs w:val="17"/>
                <w:color w:val="auto"/>
                <w:w w:val="84"/>
              </w:rPr>
              <w:t>25.97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As of October 27, 2005, we had 200,052,688 ordinary shares outstanding and there were approximately 223 holders of record of our ordinary shares. This figure does not reflect persons or entities who hold their ordinary shares in nominee or “street” name through various brokerage firms.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September 29, 2005, the last reported sale price of our ordinary shares on the NYSE was $27.60.</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9" w:right="27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Expenses of the Issue</w:t>
      </w:r>
    </w:p>
    <w:p>
      <w:pPr>
        <w:spacing w:after="0" w:line="260" w:lineRule="exact"/>
        <w:rPr>
          <w:sz w:val="20"/>
          <w:szCs w:val="20"/>
          <w:color w:val="auto"/>
        </w:rPr>
      </w:pPr>
    </w:p>
    <w:p>
      <w:pPr>
        <w:ind w:right="40" w:firstLine="318"/>
        <w:spacing w:after="0" w:line="286" w:lineRule="auto"/>
        <w:rPr>
          <w:sz w:val="20"/>
          <w:szCs w:val="20"/>
          <w:color w:val="auto"/>
        </w:rPr>
      </w:pPr>
      <w:r>
        <w:rPr>
          <w:rFonts w:ascii="Arial" w:cs="Arial" w:eastAsia="Arial" w:hAnsi="Arial"/>
          <w:sz w:val="16"/>
          <w:szCs w:val="16"/>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spacing w:after="0"/>
              <w:rPr>
                <w:sz w:val="20"/>
                <w:szCs w:val="20"/>
                <w:color w:val="auto"/>
              </w:rPr>
            </w:pPr>
            <w:r>
              <w:rPr>
                <w:rFonts w:ascii="Arial" w:cs="Arial" w:eastAsia="Arial" w:hAnsi="Arial"/>
                <w:sz w:val="17"/>
                <w:szCs w:val="17"/>
                <w:color w:val="auto"/>
              </w:rPr>
              <w:t>Filing Fee — Securities and Exchange Commission</w:t>
            </w:r>
          </w:p>
        </w:tc>
        <w:tc>
          <w:tcPr>
            <w:tcW w:w="124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57,015</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75,000</w:t>
            </w: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spacing w:after="0"/>
              <w:rPr>
                <w:sz w:val="20"/>
                <w:szCs w:val="20"/>
                <w:color w:val="auto"/>
              </w:rPr>
            </w:pPr>
            <w:r>
              <w:rPr>
                <w:rFonts w:ascii="Arial" w:cs="Arial" w:eastAsia="Arial" w:hAnsi="Arial"/>
                <w:sz w:val="17"/>
                <w:szCs w:val="17"/>
                <w:color w:val="auto"/>
              </w:rPr>
              <w:t>Registrar and Transfer agent fees and expenses</w:t>
            </w:r>
          </w:p>
        </w:tc>
        <w:tc>
          <w:tcPr>
            <w:tcW w:w="124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5,000</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20,000</w:t>
            </w: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spacing w:after="0"/>
              <w:rPr>
                <w:sz w:val="20"/>
                <w:szCs w:val="20"/>
                <w:color w:val="auto"/>
              </w:rPr>
            </w:pPr>
            <w:r>
              <w:rPr>
                <w:rFonts w:ascii="Arial" w:cs="Arial" w:eastAsia="Arial" w:hAnsi="Arial"/>
                <w:sz w:val="17"/>
                <w:szCs w:val="17"/>
                <w:color w:val="auto"/>
              </w:rPr>
              <w:t>Printing, EDGAR formatting and mailing expenses</w:t>
            </w:r>
          </w:p>
        </w:tc>
        <w:tc>
          <w:tcPr>
            <w:tcW w:w="124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25,000</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Miscellaneous expenses</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10,000</w:t>
            </w: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3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3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ind w:left="160"/>
              <w:spacing w:after="0"/>
              <w:rPr>
                <w:sz w:val="20"/>
                <w:szCs w:val="20"/>
                <w:color w:val="auto"/>
              </w:rPr>
            </w:pPr>
            <w:r>
              <w:rPr>
                <w:rFonts w:ascii="Arial" w:cs="Arial" w:eastAsia="Arial" w:hAnsi="Arial"/>
                <w:sz w:val="17"/>
                <w:szCs w:val="17"/>
                <w:color w:val="auto"/>
              </w:rPr>
              <w:t>Total Expenses</w:t>
            </w:r>
          </w:p>
        </w:tc>
        <w:tc>
          <w:tcPr>
            <w:tcW w:w="124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4D8E2"/>
          </w:tcPr>
          <w:p>
            <w:pPr>
              <w:jc w:val="right"/>
              <w:spacing w:after="0"/>
              <w:rPr>
                <w:sz w:val="20"/>
                <w:szCs w:val="20"/>
                <w:color w:val="auto"/>
              </w:rPr>
            </w:pPr>
            <w:r>
              <w:rPr>
                <w:rFonts w:ascii="Arial" w:cs="Arial" w:eastAsia="Arial" w:hAnsi="Arial"/>
                <w:sz w:val="17"/>
                <w:szCs w:val="17"/>
                <w:color w:val="auto"/>
                <w:w w:val="91"/>
              </w:rPr>
              <w:t>192,015</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700" w:type="dxa"/>
            <w:vAlign w:val="bottom"/>
            <w:vMerge w:val="restart"/>
          </w:tcPr>
          <w:p>
            <w:pPr>
              <w:ind w:left="3320"/>
              <w:spacing w:after="0"/>
              <w:rPr>
                <w:sz w:val="20"/>
                <w:szCs w:val="20"/>
                <w:color w:val="auto"/>
              </w:rPr>
            </w:pPr>
            <w:r>
              <w:rPr>
                <w:rFonts w:ascii="Arial" w:cs="Arial" w:eastAsia="Arial" w:hAnsi="Arial"/>
                <w:sz w:val="17"/>
                <w:szCs w:val="17"/>
                <w:color w:val="auto"/>
              </w:rPr>
              <w:t>23</w:t>
            </w:r>
          </w:p>
        </w:tc>
        <w:tc>
          <w:tcPr>
            <w:tcW w:w="124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3"/>
        </w:trPr>
        <w:tc>
          <w:tcPr>
            <w:tcW w:w="230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0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-524510</wp:posOffset>
            </wp:positionV>
            <wp:extent cx="127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-524510</wp:posOffset>
            </wp:positionV>
            <wp:extent cx="127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7"/>
          <w:szCs w:val="17"/>
          <w:b w:val="1"/>
          <w:bCs w:val="1"/>
          <w:color w:val="auto"/>
        </w:rPr>
        <w:t>CAPITALIZATION</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our unaudited actual consolidated capitalization as of June 30, 2005.</w:t>
      </w:r>
    </w:p>
    <w:p>
      <w:pPr>
        <w:spacing w:after="0" w:line="254"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2080" w:type="dxa"/>
            <w:vAlign w:val="bottom"/>
            <w:gridSpan w:val="3"/>
          </w:tcPr>
          <w:p>
            <w:pPr>
              <w:ind w:left="640"/>
              <w:spacing w:after="0"/>
              <w:rPr>
                <w:sz w:val="20"/>
                <w:szCs w:val="20"/>
                <w:color w:val="auto"/>
              </w:rPr>
            </w:pPr>
            <w:r>
              <w:rPr>
                <w:rFonts w:ascii="Arial" w:cs="Arial" w:eastAsia="Arial" w:hAnsi="Arial"/>
                <w:sz w:val="13"/>
                <w:szCs w:val="13"/>
                <w:b w:val="1"/>
                <w:bCs w:val="1"/>
                <w:color w:val="auto"/>
              </w:rPr>
              <w:t>As of June 30,</w:t>
            </w:r>
          </w:p>
        </w:tc>
      </w:tr>
      <w:tr>
        <w:trPr>
          <w:trHeight w:val="146"/>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75"/>
              <w:spacing w:after="0" w:line="146" w:lineRule="exact"/>
              <w:rPr>
                <w:sz w:val="20"/>
                <w:szCs w:val="20"/>
                <w:color w:val="auto"/>
              </w:rPr>
            </w:pPr>
            <w:r>
              <w:rPr>
                <w:rFonts w:ascii="Arial" w:cs="Arial" w:eastAsia="Arial" w:hAnsi="Arial"/>
                <w:sz w:val="13"/>
                <w:szCs w:val="13"/>
                <w:b w:val="1"/>
                <w:bCs w:val="1"/>
                <w:color w:val="auto"/>
              </w:rPr>
              <w:t>2005</w:t>
            </w:r>
          </w:p>
        </w:tc>
        <w:tc>
          <w:tcPr>
            <w:tcW w:w="660" w:type="dxa"/>
            <w:vAlign w:val="bottom"/>
          </w:tcPr>
          <w:p>
            <w:pPr>
              <w:spacing w:after="0"/>
              <w:rPr>
                <w:sz w:val="12"/>
                <w:szCs w:val="12"/>
                <w:color w:val="auto"/>
              </w:rPr>
            </w:pPr>
          </w:p>
        </w:tc>
      </w:tr>
      <w:tr>
        <w:trPr>
          <w:trHeight w:val="170"/>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80" w:type="dxa"/>
            <w:vAlign w:val="bottom"/>
            <w:gridSpan w:val="3"/>
          </w:tcPr>
          <w:p>
            <w:pPr>
              <w:ind w:left="700"/>
              <w:spacing w:after="0"/>
              <w:rPr>
                <w:sz w:val="20"/>
                <w:szCs w:val="20"/>
                <w:color w:val="auto"/>
              </w:rPr>
            </w:pPr>
            <w:r>
              <w:rPr>
                <w:rFonts w:ascii="Arial" w:cs="Arial" w:eastAsia="Arial" w:hAnsi="Arial"/>
                <w:sz w:val="13"/>
                <w:szCs w:val="13"/>
                <w:b w:val="1"/>
                <w:bCs w:val="1"/>
                <w:color w:val="auto"/>
              </w:rPr>
              <w:t>(unaudited)</w:t>
            </w:r>
          </w:p>
        </w:tc>
      </w:tr>
      <w:tr>
        <w:trPr>
          <w:trHeight w:val="94"/>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45"/>
        </w:trPr>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80" w:type="dxa"/>
            <w:vAlign w:val="bottom"/>
            <w:gridSpan w:val="3"/>
          </w:tcPr>
          <w:p>
            <w:pPr>
              <w:ind w:left="620"/>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Short-term portion of capital lease obligations — secured and unguaranteed</w:t>
            </w:r>
          </w:p>
        </w:tc>
        <w:tc>
          <w:tcPr>
            <w:tcW w:w="720" w:type="dxa"/>
            <w:vAlign w:val="bottom"/>
            <w:shd w:val="clear" w:color="auto" w:fill="C4D8E2"/>
          </w:tcPr>
          <w:p>
            <w:pPr>
              <w:ind w:left="6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4D8E2"/>
          </w:tcPr>
          <w:p>
            <w:pPr>
              <w:jc w:val="right"/>
              <w:spacing w:after="0"/>
              <w:rPr>
                <w:sz w:val="20"/>
                <w:szCs w:val="20"/>
                <w:color w:val="auto"/>
              </w:rPr>
            </w:pPr>
            <w:r>
              <w:rPr>
                <w:rFonts w:ascii="Arial" w:cs="Arial" w:eastAsia="Arial" w:hAnsi="Arial"/>
                <w:sz w:val="17"/>
                <w:szCs w:val="17"/>
                <w:color w:val="auto"/>
              </w:rPr>
              <w:t>5,907</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Short-term portion of capital lease obligations — secured and guaranteed</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469</w:t>
            </w:r>
          </w:p>
        </w:tc>
        <w:tc>
          <w:tcPr>
            <w:tcW w:w="66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Capital lease obligations, less current portion — secured and unguaranteed</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Arial" w:cs="Arial" w:eastAsia="Arial" w:hAnsi="Arial"/>
                <w:sz w:val="17"/>
                <w:szCs w:val="17"/>
                <w:color w:val="auto"/>
              </w:rPr>
              <w:t>370</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Short-term financing arrangements — unsecured and unguaranteed</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989</w:t>
            </w:r>
          </w:p>
        </w:tc>
        <w:tc>
          <w:tcPr>
            <w:tcW w:w="66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2% Convertible Notes due 2008</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Arial" w:cs="Arial" w:eastAsia="Arial" w:hAnsi="Arial"/>
                <w:sz w:val="17"/>
                <w:szCs w:val="17"/>
                <w:color w:val="auto"/>
              </w:rPr>
              <w:t>272</w:t>
            </w:r>
          </w:p>
        </w:tc>
        <w:tc>
          <w:tcPr>
            <w:tcW w:w="660" w:type="dxa"/>
            <w:vAlign w:val="bottom"/>
            <w:shd w:val="clear" w:color="auto" w:fill="C4D8E2"/>
          </w:tcPr>
          <w:p>
            <w:pPr>
              <w:spacing w:after="0"/>
              <w:rPr>
                <w:sz w:val="18"/>
                <w:szCs w:val="18"/>
                <w:color w:val="auto"/>
              </w:rPr>
            </w:pPr>
          </w:p>
        </w:tc>
      </w:tr>
      <w:tr>
        <w:trPr>
          <w:trHeight w:val="217"/>
        </w:trPr>
        <w:tc>
          <w:tcPr>
            <w:tcW w:w="17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0.50% Convertible Senior Notes due 2024 — unsecured and unguaranteed</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450,000</w:t>
            </w:r>
          </w:p>
        </w:tc>
        <w:tc>
          <w:tcPr>
            <w:tcW w:w="660" w:type="dxa"/>
            <w:vAlign w:val="bottom"/>
          </w:tcPr>
          <w:p>
            <w:pPr>
              <w:spacing w:after="0"/>
              <w:rPr>
                <w:sz w:val="18"/>
                <w:szCs w:val="18"/>
                <w:color w:val="auto"/>
              </w:rPr>
            </w:pPr>
          </w:p>
        </w:tc>
      </w:tr>
      <w:tr>
        <w:trPr>
          <w:trHeight w:val="100"/>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r>
      <w:tr>
        <w:trPr>
          <w:trHeight w:val="99"/>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2"/>
        </w:trPr>
        <w:tc>
          <w:tcPr>
            <w:tcW w:w="1720" w:type="dxa"/>
            <w:vAlign w:val="bottom"/>
          </w:tcPr>
          <w:p>
            <w:pPr>
              <w:spacing w:after="0"/>
              <w:rPr>
                <w:sz w:val="18"/>
                <w:szCs w:val="18"/>
                <w:color w:val="auto"/>
              </w:rPr>
            </w:pPr>
          </w:p>
        </w:tc>
        <w:tc>
          <w:tcPr>
            <w:tcW w:w="360" w:type="dxa"/>
            <w:vAlign w:val="bottom"/>
            <w:shd w:val="clear" w:color="auto" w:fill="C4D8E2"/>
          </w:tcPr>
          <w:p>
            <w:pPr>
              <w:spacing w:after="0"/>
              <w:rPr>
                <w:sz w:val="18"/>
                <w:szCs w:val="18"/>
                <w:color w:val="auto"/>
              </w:rPr>
            </w:pPr>
          </w:p>
        </w:tc>
        <w:tc>
          <w:tcPr>
            <w:tcW w:w="5560" w:type="dxa"/>
            <w:vAlign w:val="bottom"/>
            <w:shd w:val="clear" w:color="auto" w:fill="C4D8E2"/>
          </w:tcPr>
          <w:p>
            <w:pPr>
              <w:ind w:left="80"/>
              <w:spacing w:after="0"/>
              <w:rPr>
                <w:sz w:val="20"/>
                <w:szCs w:val="20"/>
                <w:color w:val="auto"/>
              </w:rPr>
            </w:pPr>
            <w:r>
              <w:rPr>
                <w:rFonts w:ascii="Arial" w:cs="Arial" w:eastAsia="Arial" w:hAnsi="Arial"/>
                <w:sz w:val="17"/>
                <w:szCs w:val="17"/>
                <w:color w:val="auto"/>
              </w:rPr>
              <w:t>Total indebtedness</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Arial" w:cs="Arial" w:eastAsia="Arial" w:hAnsi="Arial"/>
                <w:sz w:val="17"/>
                <w:szCs w:val="17"/>
                <w:color w:val="auto"/>
              </w:rPr>
              <w:t>458,007</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5920" w:type="dxa"/>
            <w:vAlign w:val="bottom"/>
            <w:gridSpan w:val="2"/>
            <w:shd w:val="clear" w:color="auto" w:fill="C4D8E2"/>
          </w:tcPr>
          <w:p>
            <w:pPr>
              <w:ind w:left="220"/>
              <w:spacing w:after="0"/>
              <w:rPr>
                <w:sz w:val="20"/>
                <w:szCs w:val="20"/>
                <w:color w:val="auto"/>
              </w:rPr>
            </w:pPr>
            <w:r>
              <w:rPr>
                <w:rFonts w:ascii="Arial" w:cs="Arial" w:eastAsia="Arial" w:hAnsi="Arial"/>
                <w:sz w:val="17"/>
                <w:szCs w:val="17"/>
                <w:color w:val="auto"/>
                <w:w w:val="93"/>
              </w:rPr>
              <w:t>Preferred Shares — Authorized 25,000 shares; £0.01 par value; 0 shares issued</w:t>
            </w:r>
          </w:p>
        </w:tc>
        <w:tc>
          <w:tcPr>
            <w:tcW w:w="720" w:type="dxa"/>
            <w:vAlign w:val="bottom"/>
            <w:shd w:val="clear" w:color="auto" w:fill="C4D8E2"/>
          </w:tcPr>
          <w:p>
            <w:pPr>
              <w:spacing w:after="0"/>
              <w:rPr>
                <w:sz w:val="17"/>
                <w:szCs w:val="17"/>
                <w:color w:val="auto"/>
              </w:rPr>
            </w:pPr>
          </w:p>
        </w:tc>
        <w:tc>
          <w:tcPr>
            <w:tcW w:w="700" w:type="dxa"/>
            <w:vAlign w:val="bottom"/>
            <w:shd w:val="clear" w:color="auto" w:fill="C4D8E2"/>
          </w:tcPr>
          <w:p>
            <w:pPr>
              <w:spacing w:after="0"/>
              <w:rPr>
                <w:sz w:val="17"/>
                <w:szCs w:val="17"/>
                <w:color w:val="auto"/>
              </w:rPr>
            </w:pPr>
          </w:p>
        </w:tc>
        <w:tc>
          <w:tcPr>
            <w:tcW w:w="660" w:type="dxa"/>
            <w:vAlign w:val="bottom"/>
            <w:shd w:val="clear" w:color="auto" w:fill="C4D8E2"/>
          </w:tcPr>
          <w:p>
            <w:pPr>
              <w:spacing w:after="0"/>
              <w:rPr>
                <w:sz w:val="17"/>
                <w:szCs w:val="17"/>
                <w:color w:val="auto"/>
              </w:rPr>
            </w:pPr>
          </w:p>
        </w:tc>
      </w:tr>
      <w:tr>
        <w:trPr>
          <w:trHeight w:val="220"/>
        </w:trPr>
        <w:tc>
          <w:tcPr>
            <w:tcW w:w="1720" w:type="dxa"/>
            <w:vAlign w:val="bottom"/>
          </w:tcPr>
          <w:p>
            <w:pPr>
              <w:spacing w:after="0"/>
              <w:rPr>
                <w:sz w:val="19"/>
                <w:szCs w:val="19"/>
                <w:color w:val="auto"/>
              </w:rPr>
            </w:pPr>
          </w:p>
        </w:tc>
        <w:tc>
          <w:tcPr>
            <w:tcW w:w="5920" w:type="dxa"/>
            <w:vAlign w:val="bottom"/>
            <w:gridSpan w:val="2"/>
            <w:shd w:val="clear" w:color="auto" w:fill="C4D8E2"/>
          </w:tcPr>
          <w:p>
            <w:pPr>
              <w:ind w:left="340"/>
              <w:spacing w:after="0"/>
              <w:rPr>
                <w:sz w:val="20"/>
                <w:szCs w:val="20"/>
                <w:color w:val="auto"/>
              </w:rPr>
            </w:pPr>
            <w:r>
              <w:rPr>
                <w:rFonts w:ascii="Arial" w:cs="Arial" w:eastAsia="Arial" w:hAnsi="Arial"/>
                <w:sz w:val="17"/>
                <w:szCs w:val="17"/>
                <w:color w:val="auto"/>
              </w:rPr>
              <w:t>and outstanding</w:t>
            </w:r>
          </w:p>
        </w:tc>
        <w:tc>
          <w:tcPr>
            <w:tcW w:w="720" w:type="dxa"/>
            <w:vAlign w:val="bottom"/>
            <w:shd w:val="clear" w:color="auto" w:fill="C4D8E2"/>
          </w:tcPr>
          <w:p>
            <w:pPr>
              <w:spacing w:after="0"/>
              <w:rPr>
                <w:sz w:val="19"/>
                <w:szCs w:val="19"/>
                <w:color w:val="auto"/>
              </w:rPr>
            </w:pPr>
          </w:p>
        </w:tc>
        <w:tc>
          <w:tcPr>
            <w:tcW w:w="1360" w:type="dxa"/>
            <w:vAlign w:val="bottom"/>
            <w:gridSpan w:val="2"/>
            <w:shd w:val="clear" w:color="auto" w:fill="C4D8E2"/>
          </w:tcPr>
          <w:p>
            <w:pPr>
              <w:jc w:val="right"/>
              <w:ind w:right="680"/>
              <w:spacing w:after="0"/>
              <w:rPr>
                <w:sz w:val="20"/>
                <w:szCs w:val="20"/>
                <w:color w:val="auto"/>
              </w:rPr>
            </w:pPr>
            <w:r>
              <w:rPr>
                <w:rFonts w:ascii="Arial" w:cs="Arial" w:eastAsia="Arial" w:hAnsi="Arial"/>
                <w:sz w:val="17"/>
                <w:szCs w:val="17"/>
                <w:color w:val="auto"/>
              </w:rPr>
              <w:t>—</w:t>
            </w:r>
          </w:p>
        </w:tc>
      </w:tr>
      <w:tr>
        <w:trPr>
          <w:trHeight w:val="203"/>
        </w:trPr>
        <w:tc>
          <w:tcPr>
            <w:tcW w:w="1720" w:type="dxa"/>
            <w:vAlign w:val="bottom"/>
          </w:tcPr>
          <w:p>
            <w:pPr>
              <w:spacing w:after="0"/>
              <w:rPr>
                <w:sz w:val="17"/>
                <w:szCs w:val="17"/>
                <w:color w:val="auto"/>
              </w:rPr>
            </w:pPr>
          </w:p>
        </w:tc>
        <w:tc>
          <w:tcPr>
            <w:tcW w:w="5920" w:type="dxa"/>
            <w:vAlign w:val="bottom"/>
            <w:gridSpan w:val="2"/>
          </w:tcPr>
          <w:p>
            <w:pPr>
              <w:ind w:left="220"/>
              <w:spacing w:after="0"/>
              <w:rPr>
                <w:sz w:val="20"/>
                <w:szCs w:val="20"/>
                <w:color w:val="auto"/>
              </w:rPr>
            </w:pPr>
            <w:r>
              <w:rPr>
                <w:rFonts w:ascii="Arial" w:cs="Arial" w:eastAsia="Arial" w:hAnsi="Arial"/>
                <w:sz w:val="17"/>
                <w:szCs w:val="17"/>
                <w:color w:val="auto"/>
              </w:rPr>
              <w:t>Ordinary Shares — Authorized 550,000 shares; £0.01 par value; 226,377</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1720" w:type="dxa"/>
            <w:vAlign w:val="bottom"/>
          </w:tcPr>
          <w:p>
            <w:pPr>
              <w:spacing w:after="0"/>
              <w:rPr>
                <w:sz w:val="19"/>
                <w:szCs w:val="19"/>
                <w:color w:val="auto"/>
              </w:rPr>
            </w:pPr>
          </w:p>
        </w:tc>
        <w:tc>
          <w:tcPr>
            <w:tcW w:w="5920" w:type="dxa"/>
            <w:vAlign w:val="bottom"/>
            <w:gridSpan w:val="2"/>
          </w:tcPr>
          <w:p>
            <w:pPr>
              <w:ind w:left="340"/>
              <w:spacing w:after="0"/>
              <w:rPr>
                <w:sz w:val="20"/>
                <w:szCs w:val="20"/>
                <w:color w:val="auto"/>
              </w:rPr>
            </w:pPr>
            <w:r>
              <w:rPr>
                <w:rFonts w:ascii="Arial" w:cs="Arial" w:eastAsia="Arial" w:hAnsi="Arial"/>
                <w:sz w:val="17"/>
                <w:szCs w:val="17"/>
                <w:color w:val="auto"/>
              </w:rPr>
              <w:t>issued and 199,239 outstanding(1)</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3,628</w:t>
            </w:r>
          </w:p>
        </w:tc>
        <w:tc>
          <w:tcPr>
            <w:tcW w:w="660" w:type="dxa"/>
            <w:vAlign w:val="bottom"/>
          </w:tcPr>
          <w:p>
            <w:pPr>
              <w:spacing w:after="0"/>
              <w:rPr>
                <w:sz w:val="19"/>
                <w:szCs w:val="19"/>
                <w:color w:val="auto"/>
              </w:rPr>
            </w:pPr>
          </w:p>
        </w:tc>
      </w:tr>
      <w:tr>
        <w:trPr>
          <w:trHeight w:val="213"/>
        </w:trPr>
        <w:tc>
          <w:tcPr>
            <w:tcW w:w="1720" w:type="dxa"/>
            <w:vAlign w:val="bottom"/>
          </w:tcPr>
          <w:p>
            <w:pPr>
              <w:spacing w:after="0"/>
              <w:rPr>
                <w:sz w:val="18"/>
                <w:szCs w:val="18"/>
                <w:color w:val="auto"/>
              </w:rPr>
            </w:pPr>
          </w:p>
        </w:tc>
        <w:tc>
          <w:tcPr>
            <w:tcW w:w="5920" w:type="dxa"/>
            <w:vAlign w:val="bottom"/>
            <w:gridSpan w:val="2"/>
            <w:shd w:val="clear" w:color="auto" w:fill="C4D8E2"/>
          </w:tcPr>
          <w:p>
            <w:pPr>
              <w:ind w:left="220"/>
              <w:spacing w:after="0"/>
              <w:rPr>
                <w:sz w:val="20"/>
                <w:szCs w:val="20"/>
                <w:color w:val="auto"/>
              </w:rPr>
            </w:pPr>
            <w:r>
              <w:rPr>
                <w:rFonts w:ascii="Arial" w:cs="Arial" w:eastAsia="Arial" w:hAnsi="Arial"/>
                <w:sz w:val="17"/>
                <w:szCs w:val="17"/>
                <w:color w:val="auto"/>
              </w:rPr>
              <w:t>Additional paid-in capital</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Arial" w:cs="Arial" w:eastAsia="Arial" w:hAnsi="Arial"/>
                <w:sz w:val="17"/>
                <w:szCs w:val="17"/>
                <w:color w:val="auto"/>
                <w:w w:val="87"/>
              </w:rPr>
              <w:t>1,853,692</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Arial" w:cs="Arial" w:eastAsia="Arial" w:hAnsi="Arial"/>
                <w:sz w:val="17"/>
                <w:szCs w:val="17"/>
                <w:color w:val="auto"/>
              </w:rPr>
              <w:t>Treasury Stock, at cost — 27,138 ordinary shares</w:t>
            </w:r>
          </w:p>
        </w:tc>
        <w:tc>
          <w:tcPr>
            <w:tcW w:w="7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7"/>
                <w:szCs w:val="17"/>
                <w:color w:val="auto"/>
                <w:w w:val="98"/>
              </w:rPr>
              <w:t>(602,392)</w:t>
            </w: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ind w:left="220"/>
              <w:spacing w:after="0"/>
              <w:rPr>
                <w:sz w:val="20"/>
                <w:szCs w:val="20"/>
                <w:color w:val="auto"/>
              </w:rPr>
            </w:pPr>
            <w:r>
              <w:rPr>
                <w:rFonts w:ascii="Arial" w:cs="Arial" w:eastAsia="Arial" w:hAnsi="Arial"/>
                <w:sz w:val="17"/>
                <w:szCs w:val="17"/>
                <w:color w:val="auto"/>
              </w:rPr>
              <w:t>Accumulated other comprehensive loss</w:t>
            </w:r>
          </w:p>
        </w:tc>
        <w:tc>
          <w:tcPr>
            <w:tcW w:w="720" w:type="dxa"/>
            <w:vAlign w:val="bottom"/>
            <w:shd w:val="clear" w:color="auto" w:fill="C4D8E2"/>
          </w:tcPr>
          <w:p>
            <w:pPr>
              <w:spacing w:after="0"/>
              <w:rPr>
                <w:sz w:val="18"/>
                <w:szCs w:val="18"/>
                <w:color w:val="auto"/>
              </w:rPr>
            </w:pPr>
          </w:p>
        </w:tc>
        <w:tc>
          <w:tcPr>
            <w:tcW w:w="1360" w:type="dxa"/>
            <w:vAlign w:val="bottom"/>
            <w:gridSpan w:val="2"/>
            <w:shd w:val="clear" w:color="auto" w:fill="C4D8E2"/>
          </w:tcPr>
          <w:p>
            <w:pPr>
              <w:jc w:val="right"/>
              <w:ind w:right="620"/>
              <w:spacing w:after="0"/>
              <w:rPr>
                <w:sz w:val="20"/>
                <w:szCs w:val="20"/>
                <w:color w:val="auto"/>
              </w:rPr>
            </w:pPr>
            <w:r>
              <w:rPr>
                <w:rFonts w:ascii="Arial" w:cs="Arial" w:eastAsia="Arial" w:hAnsi="Arial"/>
                <w:sz w:val="17"/>
                <w:szCs w:val="17"/>
                <w:color w:val="auto"/>
              </w:rPr>
              <w:t>(7,561)</w:t>
            </w:r>
          </w:p>
        </w:tc>
      </w:tr>
      <w:tr>
        <w:trPr>
          <w:trHeight w:val="212"/>
        </w:trPr>
        <w:tc>
          <w:tcPr>
            <w:tcW w:w="17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Arial" w:cs="Arial" w:eastAsia="Arial" w:hAnsi="Arial"/>
                <w:sz w:val="17"/>
                <w:szCs w:val="17"/>
                <w:color w:val="auto"/>
              </w:rPr>
              <w:t>Unearned compensation</w:t>
            </w:r>
          </w:p>
        </w:tc>
        <w:tc>
          <w:tcPr>
            <w:tcW w:w="7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7"/>
                <w:szCs w:val="17"/>
                <w:color w:val="auto"/>
              </w:rPr>
              <w:t>(41)</w:t>
            </w: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ind w:left="220"/>
              <w:spacing w:after="0"/>
              <w:rPr>
                <w:sz w:val="20"/>
                <w:szCs w:val="20"/>
                <w:color w:val="auto"/>
              </w:rPr>
            </w:pPr>
            <w:r>
              <w:rPr>
                <w:rFonts w:ascii="Arial" w:cs="Arial" w:eastAsia="Arial" w:hAnsi="Arial"/>
                <w:sz w:val="17"/>
                <w:szCs w:val="17"/>
                <w:color w:val="auto"/>
              </w:rPr>
              <w:t>Retained earnings</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Arial" w:cs="Arial" w:eastAsia="Arial" w:hAnsi="Arial"/>
                <w:sz w:val="17"/>
                <w:szCs w:val="17"/>
                <w:color w:val="auto"/>
              </w:rPr>
              <w:t>328,327</w:t>
            </w:r>
          </w:p>
        </w:tc>
        <w:tc>
          <w:tcPr>
            <w:tcW w:w="660" w:type="dxa"/>
            <w:vAlign w:val="bottom"/>
            <w:shd w:val="clear" w:color="auto" w:fill="C4D8E2"/>
          </w:tcPr>
          <w:p>
            <w:pPr>
              <w:spacing w:after="0"/>
              <w:rPr>
                <w:sz w:val="18"/>
                <w:szCs w:val="18"/>
                <w:color w:val="auto"/>
              </w:rPr>
            </w:pPr>
          </w:p>
        </w:tc>
      </w:tr>
      <w:tr>
        <w:trPr>
          <w:trHeight w:val="106"/>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r>
      <w:tr>
        <w:trPr>
          <w:trHeight w:val="308"/>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tcPr>
          <w:p>
            <w:pPr>
              <w:ind w:left="80"/>
              <w:spacing w:after="0"/>
              <w:rPr>
                <w:sz w:val="20"/>
                <w:szCs w:val="20"/>
                <w:color w:val="auto"/>
              </w:rPr>
            </w:pPr>
            <w:r>
              <w:rPr>
                <w:rFonts w:ascii="Arial" w:cs="Arial" w:eastAsia="Arial" w:hAnsi="Arial"/>
                <w:sz w:val="17"/>
                <w:szCs w:val="17"/>
                <w:color w:val="auto"/>
              </w:rPr>
              <w:t>Total shareholders’ equity</w:t>
            </w:r>
          </w:p>
        </w:tc>
        <w:tc>
          <w:tcPr>
            <w:tcW w:w="7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1,575,653</w:t>
            </w:r>
          </w:p>
        </w:tc>
        <w:tc>
          <w:tcPr>
            <w:tcW w:w="660" w:type="dxa"/>
            <w:vAlign w:val="bottom"/>
          </w:tcPr>
          <w:p>
            <w:pPr>
              <w:spacing w:after="0"/>
              <w:rPr>
                <w:sz w:val="24"/>
                <w:szCs w:val="24"/>
                <w:color w:val="auto"/>
              </w:rPr>
            </w:pPr>
          </w:p>
        </w:tc>
      </w:tr>
      <w:tr>
        <w:trPr>
          <w:trHeight w:val="109"/>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r>
      <w:tr>
        <w:trPr>
          <w:trHeight w:val="99"/>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2"/>
        </w:trPr>
        <w:tc>
          <w:tcPr>
            <w:tcW w:w="1720" w:type="dxa"/>
            <w:vAlign w:val="bottom"/>
          </w:tcPr>
          <w:p>
            <w:pPr>
              <w:spacing w:after="0"/>
              <w:rPr>
                <w:sz w:val="18"/>
                <w:szCs w:val="18"/>
                <w:color w:val="auto"/>
              </w:rPr>
            </w:pPr>
          </w:p>
        </w:tc>
        <w:tc>
          <w:tcPr>
            <w:tcW w:w="360" w:type="dxa"/>
            <w:vAlign w:val="bottom"/>
            <w:shd w:val="clear" w:color="auto" w:fill="C4D8E2"/>
          </w:tcPr>
          <w:p>
            <w:pPr>
              <w:spacing w:after="0"/>
              <w:rPr>
                <w:sz w:val="18"/>
                <w:szCs w:val="18"/>
                <w:color w:val="auto"/>
              </w:rPr>
            </w:pPr>
          </w:p>
        </w:tc>
        <w:tc>
          <w:tcPr>
            <w:tcW w:w="5560" w:type="dxa"/>
            <w:vAlign w:val="bottom"/>
            <w:shd w:val="clear" w:color="auto" w:fill="C4D8E2"/>
          </w:tcPr>
          <w:p>
            <w:pPr>
              <w:ind w:left="80"/>
              <w:spacing w:after="0"/>
              <w:rPr>
                <w:sz w:val="20"/>
                <w:szCs w:val="20"/>
                <w:color w:val="auto"/>
              </w:rPr>
            </w:pPr>
            <w:r>
              <w:rPr>
                <w:rFonts w:ascii="Arial" w:cs="Arial" w:eastAsia="Arial" w:hAnsi="Arial"/>
                <w:sz w:val="17"/>
                <w:szCs w:val="17"/>
                <w:color w:val="auto"/>
              </w:rPr>
              <w:t>Total capitalization</w:t>
            </w:r>
          </w:p>
        </w:tc>
        <w:tc>
          <w:tcPr>
            <w:tcW w:w="720" w:type="dxa"/>
            <w:vAlign w:val="bottom"/>
            <w:shd w:val="clear" w:color="auto" w:fill="C4D8E2"/>
          </w:tcPr>
          <w:p>
            <w:pPr>
              <w:ind w:left="64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4D8E2"/>
          </w:tcPr>
          <w:p>
            <w:pPr>
              <w:jc w:val="right"/>
              <w:spacing w:after="0"/>
              <w:rPr>
                <w:sz w:val="20"/>
                <w:szCs w:val="20"/>
                <w:color w:val="auto"/>
              </w:rPr>
            </w:pPr>
            <w:r>
              <w:rPr>
                <w:rFonts w:ascii="Arial" w:cs="Arial" w:eastAsia="Arial" w:hAnsi="Arial"/>
                <w:sz w:val="17"/>
                <w:szCs w:val="17"/>
                <w:color w:val="auto"/>
                <w:w w:val="87"/>
              </w:rPr>
              <w:t>2,033,660</w:t>
            </w:r>
          </w:p>
        </w:tc>
        <w:tc>
          <w:tcPr>
            <w:tcW w:w="660" w:type="dxa"/>
            <w:vAlign w:val="bottom"/>
            <w:shd w:val="clear" w:color="auto" w:fill="C4D8E2"/>
          </w:tcPr>
          <w:p>
            <w:pPr>
              <w:spacing w:after="0"/>
              <w:rPr>
                <w:sz w:val="18"/>
                <w:szCs w:val="18"/>
                <w:color w:val="auto"/>
              </w:rPr>
            </w:pPr>
          </w:p>
        </w:tc>
      </w:tr>
      <w:tr>
        <w:trPr>
          <w:trHeight w:val="142"/>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660" w:type="dxa"/>
            <w:vAlign w:val="bottom"/>
          </w:tcPr>
          <w:p>
            <w:pPr>
              <w:spacing w:after="0"/>
              <w:rPr>
                <w:sz w:val="12"/>
                <w:szCs w:val="12"/>
                <w:color w:val="auto"/>
              </w:rPr>
            </w:pPr>
          </w:p>
        </w:tc>
      </w:tr>
      <w:tr>
        <w:trPr>
          <w:trHeight w:val="314"/>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-245110</wp:posOffset>
            </wp:positionV>
            <wp:extent cx="127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-245110</wp:posOffset>
            </wp:positionV>
            <wp:extent cx="127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3" w:lineRule="exact"/>
        <w:rPr>
          <w:sz w:val="20"/>
          <w:szCs w:val="20"/>
          <w:color w:val="auto"/>
        </w:rPr>
      </w:pPr>
    </w:p>
    <w:p>
      <w:pPr>
        <w:ind w:left="460" w:right="20" w:hanging="454"/>
        <w:spacing w:after="0" w:line="273"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Reflects ordinary shares issued and outstanding as of June 30, 2005. Does not include 26,597 ordinary shares reserved for issuance upon the exercise of stock options that have been granted under our stock option plan and by companies we have acquired. As of June 30, 2005, there were 199,239 ordinary shares outstanding.</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19"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DESCRIPTION OF NOTES</w:t>
      </w:r>
    </w:p>
    <w:p>
      <w:pPr>
        <w:spacing w:after="0" w:line="260" w:lineRule="exact"/>
        <w:rPr>
          <w:sz w:val="20"/>
          <w:szCs w:val="20"/>
          <w:color w:val="auto"/>
        </w:rPr>
      </w:pPr>
    </w:p>
    <w:p>
      <w:pPr>
        <w:ind w:right="300" w:firstLine="318"/>
        <w:spacing w:after="0" w:line="268" w:lineRule="auto"/>
        <w:rPr>
          <w:sz w:val="20"/>
          <w:szCs w:val="20"/>
          <w:color w:val="auto"/>
        </w:rPr>
      </w:pPr>
      <w:r>
        <w:rPr>
          <w:rFonts w:ascii="Arial" w:cs="Arial" w:eastAsia="Arial" w:hAnsi="Arial"/>
          <w:sz w:val="17"/>
          <w:szCs w:val="17"/>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21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213" w:lineRule="exact"/>
        <w:rPr>
          <w:sz w:val="20"/>
          <w:szCs w:val="20"/>
          <w:color w:val="auto"/>
        </w:rPr>
      </w:pPr>
    </w:p>
    <w:p>
      <w:pPr>
        <w:ind w:right="160" w:firstLine="318"/>
        <w:spacing w:after="0" w:line="286" w:lineRule="auto"/>
        <w:rPr>
          <w:sz w:val="20"/>
          <w:szCs w:val="20"/>
          <w:color w:val="auto"/>
        </w:rPr>
      </w:pPr>
      <w:r>
        <w:rPr>
          <w:rFonts w:ascii="Arial" w:cs="Arial" w:eastAsia="Arial" w:hAnsi="Arial"/>
          <w:sz w:val="17"/>
          <w:szCs w:val="17"/>
          <w:color w:val="auto"/>
        </w:rPr>
        <w:t>As used in this “Description of Notes” section, references to “Amdocs,” “we,” “our” or “us” refer solely to Amdocs Limited and not to our subsidiaries, unless the context otherwise requires.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0" w:lineRule="exact"/>
        <w:rPr>
          <w:sz w:val="20"/>
          <w:szCs w:val="20"/>
          <w:color w:val="auto"/>
        </w:rPr>
      </w:pPr>
    </w:p>
    <w:p>
      <w:pPr>
        <w:ind w:right="80" w:firstLine="318"/>
        <w:spacing w:after="0" w:line="273" w:lineRule="auto"/>
        <w:rPr>
          <w:sz w:val="20"/>
          <w:szCs w:val="20"/>
          <w:color w:val="auto"/>
        </w:rPr>
      </w:pPr>
      <w:r>
        <w:rPr>
          <w:rFonts w:ascii="Arial" w:cs="Arial" w:eastAsia="Arial" w:hAnsi="Arial"/>
          <w:sz w:val="17"/>
          <w:szCs w:val="17"/>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206"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6"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80" w:firstLine="318"/>
        <w:spacing w:after="0" w:line="315" w:lineRule="auto"/>
        <w:rPr>
          <w:sz w:val="20"/>
          <w:szCs w:val="20"/>
          <w:color w:val="auto"/>
        </w:rPr>
      </w:pPr>
      <w:r>
        <w:rPr>
          <w:rFonts w:ascii="Arial" w:cs="Arial" w:eastAsia="Arial" w:hAnsi="Arial"/>
          <w:sz w:val="15"/>
          <w:szCs w:val="15"/>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79"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196"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196" w:lineRule="exact"/>
        <w:rPr>
          <w:sz w:val="20"/>
          <w:szCs w:val="20"/>
          <w:color w:val="auto"/>
        </w:rPr>
      </w:pPr>
    </w:p>
    <w:p>
      <w:pPr>
        <w:ind w:right="200" w:firstLine="318"/>
        <w:spacing w:after="0" w:line="356" w:lineRule="auto"/>
        <w:rPr>
          <w:sz w:val="20"/>
          <w:szCs w:val="20"/>
          <w:color w:val="auto"/>
        </w:rPr>
      </w:pPr>
      <w:r>
        <w:rPr>
          <w:rFonts w:ascii="Arial" w:cs="Arial" w:eastAsia="Arial" w:hAnsi="Arial"/>
          <w:sz w:val="15"/>
          <w:szCs w:val="15"/>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beginning September 15, 2004, to record holders at the close of business on the preceding March 1 and September 1, as the case may be.</w:t>
      </w:r>
    </w:p>
    <w:p>
      <w:pPr>
        <w:spacing w:after="0" w:line="25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notes are not subject to a sinking fund provision and are not subject to defeasance or covenant defeasance under the indenture.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Notes</w:t>
      </w:r>
    </w:p>
    <w:p>
      <w:pPr>
        <w:spacing w:after="0" w:line="260" w:lineRule="exact"/>
        <w:rPr>
          <w:sz w:val="20"/>
          <w:szCs w:val="20"/>
          <w:color w:val="auto"/>
        </w:rPr>
      </w:pPr>
    </w:p>
    <w:p>
      <w:pPr>
        <w:ind w:right="100" w:firstLine="318"/>
        <w:spacing w:after="0" w:line="286" w:lineRule="auto"/>
        <w:rPr>
          <w:sz w:val="20"/>
          <w:szCs w:val="20"/>
          <w:color w:val="auto"/>
        </w:rPr>
      </w:pPr>
      <w:r>
        <w:rPr>
          <w:rFonts w:ascii="Arial" w:cs="Arial" w:eastAsia="Arial" w:hAnsi="Arial"/>
          <w:sz w:val="17"/>
          <w:szCs w:val="17"/>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9" w:lineRule="exact"/>
        <w:rPr>
          <w:sz w:val="20"/>
          <w:szCs w:val="20"/>
          <w:color w:val="auto"/>
        </w:rPr>
      </w:pPr>
    </w:p>
    <w:p>
      <w:pPr>
        <w:ind w:left="460" w:hanging="11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subject to certain exceptions, upon satisfaction of a market price condition;</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satisfaction of a trading price condition;</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the occurrence of certain credit ratings events;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notice of redemption;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the occurrence of specified corporate transactions.</w:t>
      </w:r>
    </w:p>
    <w:p>
      <w:pPr>
        <w:spacing w:after="0" w:line="281" w:lineRule="exact"/>
        <w:rPr>
          <w:sz w:val="20"/>
          <w:szCs w:val="20"/>
          <w:color w:val="auto"/>
        </w:rPr>
      </w:pPr>
    </w:p>
    <w:p>
      <w:pPr>
        <w:ind w:right="160" w:firstLine="318"/>
        <w:spacing w:after="0" w:line="273" w:lineRule="auto"/>
        <w:rPr>
          <w:sz w:val="20"/>
          <w:szCs w:val="20"/>
          <w:color w:val="auto"/>
        </w:rPr>
      </w:pPr>
      <w:r>
        <w:rPr>
          <w:rFonts w:ascii="Arial" w:cs="Arial" w:eastAsia="Arial" w:hAnsi="Arial"/>
          <w:sz w:val="17"/>
          <w:szCs w:val="17"/>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6" w:lineRule="exact"/>
        <w:rPr>
          <w:sz w:val="20"/>
          <w:szCs w:val="20"/>
          <w:color w:val="auto"/>
        </w:rPr>
      </w:pPr>
    </w:p>
    <w:p>
      <w:pPr>
        <w:ind w:right="80" w:firstLine="318"/>
        <w:spacing w:after="0" w:line="310" w:lineRule="auto"/>
        <w:rPr>
          <w:sz w:val="20"/>
          <w:szCs w:val="20"/>
          <w:color w:val="auto"/>
        </w:rPr>
      </w:pPr>
      <w:r>
        <w:rPr>
          <w:rFonts w:ascii="Arial" w:cs="Arial" w:eastAsia="Arial" w:hAnsi="Arial"/>
          <w:sz w:val="15"/>
          <w:szCs w:val="15"/>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82"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Conversion Upon Satisfaction of Market Price Condition</w:t>
      </w:r>
    </w:p>
    <w:p>
      <w:pPr>
        <w:spacing w:after="0" w:line="254" w:lineRule="exact"/>
        <w:rPr>
          <w:sz w:val="20"/>
          <w:szCs w:val="20"/>
          <w:color w:val="auto"/>
        </w:rPr>
      </w:pPr>
    </w:p>
    <w:p>
      <w:pPr>
        <w:ind w:right="260" w:firstLine="318"/>
        <w:spacing w:after="0" w:line="286" w:lineRule="auto"/>
        <w:rPr>
          <w:sz w:val="20"/>
          <w:szCs w:val="20"/>
          <w:color w:val="auto"/>
        </w:rPr>
      </w:pPr>
      <w:r>
        <w:rPr>
          <w:rFonts w:ascii="Arial" w:cs="Arial" w:eastAsia="Arial" w:hAnsi="Arial"/>
          <w:sz w:val="17"/>
          <w:szCs w:val="17"/>
          <w:color w:val="auto"/>
        </w:rPr>
        <w:t>You may surrender your note for conversion into our ordinary shares prior to the close of business on the maturity date during any fiscal quarter commencing after March 31, 2004, and only during such fiscal quarter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9" w:name="page30"/>
    <w:bookmarkEnd w:id="29"/>
    <w:p>
      <w:pPr>
        <w:ind w:right="340"/>
        <w:spacing w:after="0" w:line="286" w:lineRule="auto"/>
        <w:rPr>
          <w:sz w:val="20"/>
          <w:szCs w:val="20"/>
          <w:color w:val="auto"/>
        </w:rPr>
      </w:pPr>
      <w:r>
        <w:rPr>
          <w:rFonts w:ascii="Arial" w:cs="Arial" w:eastAsia="Arial" w:hAnsi="Arial"/>
          <w:sz w:val="17"/>
          <w:szCs w:val="17"/>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9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Conversion Upon Satisfaction of Trading Price Condition</w:t>
      </w:r>
    </w:p>
    <w:p>
      <w:pPr>
        <w:spacing w:after="0" w:line="25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 xml:space="preserve">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“trading price” of the notes on any date of determination means the average of the secondary market bid quotations obtained by the trustee for $10,000,000</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principal amount of the notes at approximately 3:30 p.m., New York City time, on such determination date from three independent nationally recognized securities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dealers we select;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three such bids cannot reasonably be obtained by the trustee, but two such bids are obtained, then the average of the two bids shall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be used, and if only one such bid can reasonably be obtained by the trustee, that one bid shall be used. If the trustee cannot reasonably obtain at least one bid for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$10,000,000 principal amount of the notes from a nationally recognized securities dealer, then the trading price per $1,000 principal amount of notes will be deemed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to be less than 98% of the product of the “closing sale price” of our ordinary shares and the conversion rate.</w:t>
      </w:r>
    </w:p>
    <w:p>
      <w:pPr>
        <w:spacing w:after="0" w:line="249"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Conversion Upon Credit Ratings Event</w:t>
      </w:r>
    </w:p>
    <w:p>
      <w:pPr>
        <w:spacing w:after="0" w:line="254"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30" w:name="page31"/>
    <w:bookmarkEnd w:id="30"/>
    <w:p>
      <w:pPr>
        <w:ind w:left="340"/>
        <w:spacing w:after="0"/>
        <w:rPr>
          <w:sz w:val="20"/>
          <w:szCs w:val="20"/>
          <w:color w:val="auto"/>
        </w:rPr>
      </w:pPr>
      <w:r>
        <w:rPr>
          <w:rFonts w:ascii="Arial" w:cs="Arial" w:eastAsia="Arial" w:hAnsi="Arial"/>
          <w:sz w:val="17"/>
          <w:szCs w:val="17"/>
          <w:b w:val="1"/>
          <w:bCs w:val="1"/>
          <w:i w:val="1"/>
          <w:iCs w:val="1"/>
          <w:color w:val="auto"/>
        </w:rPr>
        <w:t>Conversion Upon Notice of Redemption</w:t>
      </w:r>
    </w:p>
    <w:p>
      <w:pPr>
        <w:spacing w:after="0" w:line="254" w:lineRule="exact"/>
        <w:rPr>
          <w:sz w:val="20"/>
          <w:szCs w:val="20"/>
          <w:color w:val="auto"/>
        </w:rPr>
      </w:pPr>
    </w:p>
    <w:p>
      <w:pPr>
        <w:ind w:right="420" w:firstLine="318"/>
        <w:spacing w:after="0" w:line="286" w:lineRule="auto"/>
        <w:rPr>
          <w:sz w:val="20"/>
          <w:szCs w:val="20"/>
          <w:color w:val="auto"/>
        </w:rPr>
      </w:pPr>
      <w:r>
        <w:rPr>
          <w:rFonts w:ascii="Arial" w:cs="Arial" w:eastAsia="Arial" w:hAnsi="Arial"/>
          <w:sz w:val="17"/>
          <w:szCs w:val="17"/>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Conversion Upon Specified Corporate Transactions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we elect to:</w:t>
      </w:r>
    </w:p>
    <w:p>
      <w:pPr>
        <w:spacing w:after="0" w:line="228" w:lineRule="exact"/>
        <w:rPr>
          <w:sz w:val="20"/>
          <w:szCs w:val="20"/>
          <w:color w:val="auto"/>
        </w:rPr>
      </w:pPr>
    </w:p>
    <w:p>
      <w:pPr>
        <w:ind w:left="460" w:right="120" w:hanging="110"/>
        <w:spacing w:after="0" w:line="27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206" w:lineRule="exact"/>
        <w:rPr>
          <w:rFonts w:ascii="Arial" w:cs="Arial" w:eastAsia="Arial" w:hAnsi="Arial"/>
          <w:sz w:val="17"/>
          <w:szCs w:val="17"/>
          <w:color w:val="auto"/>
        </w:rPr>
      </w:pPr>
    </w:p>
    <w:p>
      <w:pPr>
        <w:ind w:left="460" w:right="200" w:hanging="110"/>
        <w:spacing w:after="0" w:line="319"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46" w:lineRule="exact"/>
        <w:rPr>
          <w:sz w:val="20"/>
          <w:szCs w:val="20"/>
          <w:color w:val="auto"/>
        </w:rPr>
      </w:pPr>
    </w:p>
    <w:p>
      <w:pPr>
        <w:ind w:right="40"/>
        <w:spacing w:after="0" w:line="325" w:lineRule="auto"/>
        <w:rPr>
          <w:sz w:val="20"/>
          <w:szCs w:val="20"/>
          <w:color w:val="auto"/>
        </w:rPr>
      </w:pPr>
      <w:r>
        <w:rPr>
          <w:rFonts w:ascii="Arial" w:cs="Arial" w:eastAsia="Arial" w:hAnsi="Arial"/>
          <w:sz w:val="15"/>
          <w:szCs w:val="15"/>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172"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Conversion Procedures</w:t>
      </w:r>
    </w:p>
    <w:p>
      <w:pPr>
        <w:spacing w:after="0" w:line="25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To convert your note into ordinary shares you must do the following (or comply with DTC procedures for doing so in respect of your beneficial interest in notes evidenced by a global note):</w:t>
      </w:r>
    </w:p>
    <w:p>
      <w:pPr>
        <w:spacing w:after="0" w:line="169" w:lineRule="exact"/>
        <w:rPr>
          <w:sz w:val="20"/>
          <w:szCs w:val="20"/>
          <w:color w:val="auto"/>
        </w:rPr>
      </w:pPr>
    </w:p>
    <w:p>
      <w:pPr>
        <w:ind w:left="460" w:hanging="110"/>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complete and manually sign the conversion notice on the back of the note or facsimile of the conversion notice and deliver this notice to the conversion agent;</w:t>
      </w:r>
    </w:p>
    <w:p>
      <w:pPr>
        <w:spacing w:after="0" w:line="303" w:lineRule="exact"/>
        <w:rPr>
          <w:rFonts w:ascii="Arial" w:cs="Arial" w:eastAsia="Arial" w:hAnsi="Arial"/>
          <w:sz w:val="15"/>
          <w:szCs w:val="15"/>
          <w:color w:val="auto"/>
        </w:rPr>
      </w:pPr>
    </w:p>
    <w:p>
      <w:pPr>
        <w:ind w:left="460" w:hanging="110"/>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surrender the note to the conversion agent;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required, furnish appropriate endorsements and transfer documents;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63" w:right="259" w:bottom="1440" w:gutter="0" w:footer="0" w:header="0"/>
        </w:sectPr>
      </w:pPr>
    </w:p>
    <w:bookmarkStart w:id="31" w:name="page32"/>
    <w:bookmarkEnd w:id="31"/>
    <w:p>
      <w:pPr>
        <w:ind w:left="140" w:hanging="110"/>
        <w:spacing w:after="0"/>
        <w:tabs>
          <w:tab w:leader="none" w:pos="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required, pay all transfer or similar taxes; and</w:t>
      </w:r>
    </w:p>
    <w:p>
      <w:pPr>
        <w:spacing w:after="0" w:line="280" w:lineRule="exact"/>
        <w:rPr>
          <w:rFonts w:ascii="Arial" w:cs="Arial" w:eastAsia="Arial" w:hAnsi="Arial"/>
          <w:sz w:val="17"/>
          <w:szCs w:val="17"/>
          <w:color w:val="auto"/>
        </w:rPr>
      </w:pPr>
    </w:p>
    <w:p>
      <w:pPr>
        <w:ind w:left="140" w:hanging="110"/>
        <w:spacing w:after="0"/>
        <w:tabs>
          <w:tab w:leader="none" w:pos="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required, pay funds equal to interest payable on the next interest payment date.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date you comply with these requirements is the conversion date under the indenture.</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Conversion Rate Adjustments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We will adjust the conversion rate if any of the following events occurs:</w:t>
      </w:r>
    </w:p>
    <w:p>
      <w:pPr>
        <w:spacing w:after="0" w:line="254" w:lineRule="exact"/>
        <w:rPr>
          <w:sz w:val="20"/>
          <w:szCs w:val="20"/>
          <w:color w:val="auto"/>
        </w:rPr>
      </w:pPr>
    </w:p>
    <w:p>
      <w:pPr>
        <w:ind w:left="580" w:hanging="233"/>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issue ordinary shares as a dividend or distribution on our ordinary shares.</w:t>
      </w:r>
    </w:p>
    <w:p>
      <w:pPr>
        <w:spacing w:after="0" w:line="280" w:lineRule="exact"/>
        <w:rPr>
          <w:rFonts w:ascii="Arial" w:cs="Arial" w:eastAsia="Arial" w:hAnsi="Arial"/>
          <w:sz w:val="17"/>
          <w:szCs w:val="17"/>
          <w:color w:val="auto"/>
        </w:rPr>
      </w:pPr>
    </w:p>
    <w:p>
      <w:pPr>
        <w:ind w:left="20" w:right="220" w:firstLine="327"/>
        <w:spacing w:after="0" w:line="273" w:lineRule="auto"/>
        <w:tabs>
          <w:tab w:leader="none" w:pos="5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232" w:lineRule="exact"/>
        <w:rPr>
          <w:rFonts w:ascii="Arial" w:cs="Arial" w:eastAsia="Arial" w:hAnsi="Arial"/>
          <w:sz w:val="17"/>
          <w:szCs w:val="17"/>
          <w:color w:val="auto"/>
        </w:rPr>
      </w:pPr>
    </w:p>
    <w:p>
      <w:pPr>
        <w:ind w:left="580" w:hanging="233"/>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subdivide or combine our ordinary shares.</w:t>
      </w:r>
    </w:p>
    <w:p>
      <w:pPr>
        <w:spacing w:after="0" w:line="280" w:lineRule="exact"/>
        <w:rPr>
          <w:rFonts w:ascii="Arial" w:cs="Arial" w:eastAsia="Arial" w:hAnsi="Arial"/>
          <w:sz w:val="17"/>
          <w:szCs w:val="17"/>
          <w:color w:val="auto"/>
        </w:rPr>
      </w:pPr>
    </w:p>
    <w:p>
      <w:pPr>
        <w:ind w:left="20" w:right="120" w:firstLine="327"/>
        <w:spacing w:after="0" w:line="286" w:lineRule="auto"/>
        <w:tabs>
          <w:tab w:leader="none" w:pos="5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22" w:lineRule="exact"/>
        <w:rPr>
          <w:sz w:val="20"/>
          <w:szCs w:val="20"/>
          <w:color w:val="auto"/>
        </w:rPr>
      </w:pPr>
    </w:p>
    <w:p>
      <w:pPr>
        <w:ind w:left="20" w:firstLine="317"/>
        <w:spacing w:after="0" w:line="266" w:lineRule="auto"/>
        <w:rPr>
          <w:sz w:val="20"/>
          <w:szCs w:val="20"/>
          <w:color w:val="auto"/>
        </w:rPr>
      </w:pPr>
      <w:r>
        <w:rPr>
          <w:rFonts w:ascii="Arial" w:cs="Arial" w:eastAsia="Arial" w:hAnsi="Arial"/>
          <w:sz w:val="17"/>
          <w:szCs w:val="17"/>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40" w:lineRule="exact"/>
        <w:rPr>
          <w:sz w:val="20"/>
          <w:szCs w:val="20"/>
          <w:color w:val="auto"/>
        </w:rPr>
      </w:pPr>
    </w:p>
    <w:p>
      <w:pPr>
        <w:ind w:left="20" w:right="20" w:firstLine="317"/>
        <w:spacing w:after="0" w:line="298" w:lineRule="auto"/>
        <w:rPr>
          <w:sz w:val="20"/>
          <w:szCs w:val="20"/>
          <w:color w:val="auto"/>
        </w:rPr>
      </w:pPr>
      <w:r>
        <w:rPr>
          <w:rFonts w:ascii="Arial" w:cs="Arial" w:eastAsia="Arial" w:hAnsi="Arial"/>
          <w:sz w:val="15"/>
          <w:szCs w:val="15"/>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sz w:val="20"/>
          <w:szCs w:val="20"/>
          <w:color w:val="auto"/>
        </w:rPr>
      </w:pPr>
    </w:p>
    <w:p>
      <w:pPr>
        <w:ind w:left="20" w:right="420" w:firstLine="10"/>
        <w:spacing w:after="0" w:line="279" w:lineRule="auto"/>
        <w:tabs>
          <w:tab w:leader="none" w:pos="26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227" w:lineRule="exact"/>
        <w:rPr>
          <w:rFonts w:ascii="Arial" w:cs="Arial" w:eastAsia="Arial" w:hAnsi="Arial"/>
          <w:sz w:val="17"/>
          <w:szCs w:val="17"/>
          <w:color w:val="auto"/>
        </w:rPr>
      </w:pPr>
    </w:p>
    <w:p>
      <w:pPr>
        <w:ind w:left="20" w:right="40" w:firstLine="327"/>
        <w:spacing w:after="0" w:line="297" w:lineRule="auto"/>
        <w:tabs>
          <w:tab w:leader="none" w:pos="578" w:val="left"/>
        </w:tabs>
        <w:numPr>
          <w:ilvl w:val="1"/>
          <w:numId w:val="20"/>
        </w:numPr>
        <w:rPr>
          <w:rFonts w:ascii="Arial" w:cs="Arial" w:eastAsia="Arial" w:hAnsi="Arial"/>
          <w:sz w:val="16"/>
          <w:szCs w:val="16"/>
          <w:color w:val="auto"/>
        </w:rPr>
      </w:pPr>
      <w:r>
        <w:rPr>
          <w:rFonts w:ascii="Arial" w:cs="Arial" w:eastAsia="Arial" w:hAnsi="Arial"/>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216" w:lineRule="exact"/>
        <w:rPr>
          <w:rFonts w:ascii="Arial" w:cs="Arial" w:eastAsia="Arial" w:hAnsi="Arial"/>
          <w:sz w:val="16"/>
          <w:szCs w:val="16"/>
          <w:color w:val="auto"/>
        </w:rPr>
      </w:pPr>
    </w:p>
    <w:p>
      <w:pPr>
        <w:ind w:left="20" w:right="180" w:firstLine="327"/>
        <w:spacing w:after="0" w:line="286" w:lineRule="auto"/>
        <w:tabs>
          <w:tab w:leader="none" w:pos="581" w:val="left"/>
        </w:tabs>
        <w:numPr>
          <w:ilvl w:val="1"/>
          <w:numId w:val="20"/>
        </w:numPr>
        <w:rPr>
          <w:rFonts w:ascii="Arial" w:cs="Arial" w:eastAsia="Arial" w:hAnsi="Arial"/>
          <w:sz w:val="17"/>
          <w:szCs w:val="17"/>
          <w:color w:val="auto"/>
        </w:rPr>
      </w:pPr>
      <w:r>
        <w:rPr>
          <w:rFonts w:ascii="Arial" w:cs="Arial" w:eastAsia="Arial" w:hAnsi="Arial"/>
          <w:sz w:val="17"/>
          <w:szCs w:val="17"/>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adjustment referred to in this clause (6) will only be made if:</w:t>
      </w:r>
    </w:p>
    <w:p>
      <w:pPr>
        <w:spacing w:after="0" w:line="228" w:lineRule="exact"/>
        <w:rPr>
          <w:sz w:val="20"/>
          <w:szCs w:val="20"/>
          <w:color w:val="auto"/>
        </w:rPr>
      </w:pPr>
    </w:p>
    <w:p>
      <w:pPr>
        <w:ind w:left="500" w:right="60" w:hanging="126"/>
        <w:spacing w:after="0" w:line="286"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tender offer or exchange offer is for an amount that increases the offeror’s ownership of ordinary shares to more than 25% of the total ordinary shares outstanding; and</w:t>
      </w:r>
    </w:p>
    <w:p>
      <w:pPr>
        <w:spacing w:after="0" w:line="195" w:lineRule="exact"/>
        <w:rPr>
          <w:rFonts w:ascii="Arial" w:cs="Arial" w:eastAsia="Arial" w:hAnsi="Arial"/>
          <w:sz w:val="17"/>
          <w:szCs w:val="17"/>
          <w:color w:val="auto"/>
        </w:rPr>
      </w:pPr>
    </w:p>
    <w:p>
      <w:pPr>
        <w:ind w:left="500" w:right="280" w:hanging="126"/>
        <w:spacing w:after="0" w:line="356" w:lineRule="auto"/>
        <w:tabs>
          <w:tab w:leader="none" w:pos="5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23" w:lineRule="exact"/>
        <w:rPr>
          <w:sz w:val="20"/>
          <w:szCs w:val="20"/>
          <w:color w:val="auto"/>
        </w:rPr>
      </w:pPr>
    </w:p>
    <w:p>
      <w:pPr>
        <w:ind w:left="20" w:right="280"/>
        <w:spacing w:after="0" w:line="286" w:lineRule="auto"/>
        <w:rPr>
          <w:sz w:val="20"/>
          <w:szCs w:val="20"/>
          <w:color w:val="auto"/>
        </w:rPr>
      </w:pPr>
      <w:r>
        <w:rPr>
          <w:rFonts w:ascii="Arial" w:cs="Arial" w:eastAsia="Arial" w:hAnsi="Arial"/>
          <w:sz w:val="17"/>
          <w:szCs w:val="17"/>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9"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147955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560" w:top="925" w:right="239" w:bottom="1440" w:gutter="0" w:footer="0" w:header="0"/>
        </w:sectPr>
      </w:pPr>
    </w:p>
    <w:bookmarkStart w:id="32" w:name="page33"/>
    <w:bookmarkEnd w:id="32"/>
    <w:p>
      <w:pPr>
        <w:ind w:right="40" w:firstLine="318"/>
        <w:spacing w:after="0" w:line="268" w:lineRule="auto"/>
        <w:rPr>
          <w:sz w:val="20"/>
          <w:szCs w:val="20"/>
          <w:color w:val="auto"/>
        </w:rPr>
      </w:pPr>
      <w:r>
        <w:rPr>
          <w:rFonts w:ascii="Arial" w:cs="Arial" w:eastAsia="Arial" w:hAnsi="Arial"/>
          <w:sz w:val="17"/>
          <w:szCs w:val="17"/>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the event of:</w:t>
      </w:r>
    </w:p>
    <w:p>
      <w:pPr>
        <w:spacing w:after="0" w:line="228" w:lineRule="exact"/>
        <w:rPr>
          <w:sz w:val="20"/>
          <w:szCs w:val="20"/>
          <w:color w:val="auto"/>
        </w:rPr>
      </w:pPr>
    </w:p>
    <w:p>
      <w:pPr>
        <w:ind w:left="460" w:hanging="110"/>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reclassification of our ordinary shares;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consolidation, merger or combination involving us;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sale or conveyance to another person or entity of all or substantially all of our property and assets;</w:t>
      </w:r>
    </w:p>
    <w:p>
      <w:pPr>
        <w:spacing w:after="0" w:line="2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20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6" w:lineRule="exact"/>
        <w:rPr>
          <w:sz w:val="20"/>
          <w:szCs w:val="20"/>
          <w:color w:val="auto"/>
        </w:rPr>
      </w:pPr>
    </w:p>
    <w:p>
      <w:pPr>
        <w:ind w:right="540" w:firstLine="318"/>
        <w:spacing w:after="0" w:line="268" w:lineRule="auto"/>
        <w:rPr>
          <w:sz w:val="20"/>
          <w:szCs w:val="20"/>
          <w:color w:val="auto"/>
        </w:rPr>
      </w:pPr>
      <w:r>
        <w:rPr>
          <w:rFonts w:ascii="Arial" w:cs="Arial" w:eastAsia="Arial" w:hAnsi="Arial"/>
          <w:sz w:val="17"/>
          <w:szCs w:val="17"/>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Optional Redemption by Amdocs</w:t>
      </w:r>
    </w:p>
    <w:p>
      <w:pPr>
        <w:spacing w:after="0" w:line="260"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3" w:lineRule="exact"/>
        <w:rPr>
          <w:sz w:val="20"/>
          <w:szCs w:val="20"/>
          <w:color w:val="auto"/>
        </w:rPr>
      </w:pPr>
    </w:p>
    <w:p>
      <w:pPr>
        <w:ind w:right="20" w:firstLine="318"/>
        <w:spacing w:after="0" w:line="319" w:lineRule="auto"/>
        <w:rPr>
          <w:sz w:val="20"/>
          <w:szCs w:val="20"/>
          <w:color w:val="auto"/>
        </w:rPr>
      </w:pPr>
      <w:r>
        <w:rPr>
          <w:rFonts w:ascii="Arial" w:cs="Arial" w:eastAsia="Arial" w:hAnsi="Arial"/>
          <w:sz w:val="16"/>
          <w:szCs w:val="16"/>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convert a portion of your notes, the converted portion will be deemed to the extent practicable to be of the portion selected for redemption.</w:t>
      </w:r>
    </w:p>
    <w:p>
      <w:pPr>
        <w:spacing w:after="0" w:line="254" w:lineRule="exact"/>
        <w:rPr>
          <w:sz w:val="20"/>
          <w:szCs w:val="20"/>
          <w:color w:val="auto"/>
        </w:rPr>
      </w:pPr>
    </w:p>
    <w:p>
      <w:pPr>
        <w:ind w:right="160" w:firstLine="318"/>
        <w:spacing w:after="0" w:line="286" w:lineRule="auto"/>
        <w:rPr>
          <w:sz w:val="20"/>
          <w:szCs w:val="20"/>
          <w:color w:val="auto"/>
        </w:rPr>
      </w:pPr>
      <w:r>
        <w:rPr>
          <w:rFonts w:ascii="Arial" w:cs="Arial" w:eastAsia="Arial" w:hAnsi="Arial"/>
          <w:sz w:val="17"/>
          <w:szCs w:val="17"/>
          <w:color w:val="auto"/>
        </w:rPr>
        <w:t>We may not redeem the notes if we have failed to pay any interest on the notes and such failure to pay is continuing, or if the principal amount of the notes has been accelerated.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at Option of the Holder</w:t>
      </w:r>
    </w:p>
    <w:p>
      <w:pPr>
        <w:spacing w:after="0" w:line="260" w:lineRule="exact"/>
        <w:rPr>
          <w:sz w:val="20"/>
          <w:szCs w:val="20"/>
          <w:color w:val="auto"/>
        </w:rPr>
      </w:pPr>
    </w:p>
    <w:p>
      <w:pPr>
        <w:ind w:right="200" w:firstLine="318"/>
        <w:spacing w:after="0" w:line="266" w:lineRule="auto"/>
        <w:rPr>
          <w:sz w:val="20"/>
          <w:szCs w:val="20"/>
          <w:color w:val="auto"/>
        </w:rPr>
      </w:pPr>
      <w:r>
        <w:rPr>
          <w:rFonts w:ascii="Arial" w:cs="Arial" w:eastAsia="Arial" w:hAnsi="Arial"/>
          <w:sz w:val="17"/>
          <w:szCs w:val="17"/>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3"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The repurchase price payable for a note will be equal to the principal amount to be repurchased, plus accrued and unpaid interest and liquidated damages, if any, to, but excluding, the repurchase date.</w:t>
      </w:r>
    </w:p>
    <w:p>
      <w:pPr>
        <w:spacing w:after="0" w:line="196"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85" w:lineRule="exact"/>
        <w:rPr>
          <w:sz w:val="20"/>
          <w:szCs w:val="20"/>
          <w:color w:val="auto"/>
        </w:rPr>
      </w:pPr>
    </w:p>
    <w:p>
      <w:pPr>
        <w:ind w:left="460" w:right="320" w:hanging="110"/>
        <w:spacing w:after="0" w:line="28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registration of the ordinary shares to be issued upon repurchase under the Securities Act and the Securities Exchange Act of 1934, referred to herein as the Exchange Act, if required;</w:t>
      </w:r>
    </w:p>
    <w:p>
      <w:pPr>
        <w:spacing w:after="0" w:line="195" w:lineRule="exact"/>
        <w:rPr>
          <w:rFonts w:ascii="Arial" w:cs="Arial" w:eastAsia="Arial" w:hAnsi="Arial"/>
          <w:sz w:val="17"/>
          <w:szCs w:val="17"/>
          <w:color w:val="auto"/>
        </w:rPr>
      </w:pPr>
    </w:p>
    <w:p>
      <w:pPr>
        <w:ind w:left="460" w:right="560" w:hanging="110"/>
        <w:spacing w:after="0" w:line="28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qualification of the ordinary shares to be issued upon repurchase under applicable state securities laws, if necessary, or the availability of an exemption therefrom; and</w:t>
      </w:r>
    </w:p>
    <w:p>
      <w:pPr>
        <w:spacing w:after="0" w:line="195" w:lineRule="exact"/>
        <w:rPr>
          <w:rFonts w:ascii="Arial" w:cs="Arial" w:eastAsia="Arial" w:hAnsi="Arial"/>
          <w:sz w:val="17"/>
          <w:szCs w:val="17"/>
          <w:color w:val="auto"/>
        </w:rPr>
      </w:pPr>
    </w:p>
    <w:p>
      <w:pPr>
        <w:ind w:left="460" w:right="140" w:hanging="110"/>
        <w:spacing w:after="0" w:line="28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listing of the ordinary shares on a United States national securities exchange or quotation thereof in an inter-dealer quotation system of any registered United States national securities association.</w:t>
      </w:r>
    </w:p>
    <w:p>
      <w:pPr>
        <w:spacing w:after="0" w:line="196"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2"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You may withdraw any written repurchase notice by delivering a written notice of withdrawal to the paying agent prior to the close of business on the repurchase date. The withdrawal notice must state:</w:t>
      </w:r>
    </w:p>
    <w:p>
      <w:pPr>
        <w:spacing w:after="0" w:line="169" w:lineRule="exact"/>
        <w:rPr>
          <w:sz w:val="20"/>
          <w:szCs w:val="20"/>
          <w:color w:val="auto"/>
        </w:rPr>
      </w:pPr>
    </w:p>
    <w:p>
      <w:pPr>
        <w:ind w:left="460" w:hanging="110"/>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principal amount of the withdrawn notes;</w:t>
      </w:r>
    </w:p>
    <w:p>
      <w:pPr>
        <w:spacing w:after="0" w:line="280" w:lineRule="exact"/>
        <w:rPr>
          <w:rFonts w:ascii="Arial" w:cs="Arial" w:eastAsia="Arial" w:hAnsi="Arial"/>
          <w:sz w:val="17"/>
          <w:szCs w:val="17"/>
          <w:color w:val="auto"/>
        </w:rPr>
      </w:pPr>
    </w:p>
    <w:p>
      <w:pPr>
        <w:ind w:left="460" w:right="520" w:hanging="110"/>
        <w:spacing w:after="0" w:line="28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certificated notes have been issued, the certificate numbers of the withdrawn notes (or, if your notes are not certificated, your withdrawal notice must comply with appropriate DTC procedures);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principal amount, if any, that remains subject to the repurchase notice.</w:t>
      </w:r>
    </w:p>
    <w:p>
      <w:pPr>
        <w:spacing w:after="0" w:line="281"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34" w:name="page35"/>
    <w:bookmarkEnd w:id="34"/>
    <w:p>
      <w:pPr>
        <w:ind w:right="60" w:firstLine="318"/>
        <w:spacing w:after="0" w:line="266" w:lineRule="auto"/>
        <w:rPr>
          <w:sz w:val="20"/>
          <w:szCs w:val="20"/>
          <w:color w:val="auto"/>
        </w:rPr>
      </w:pPr>
      <w:r>
        <w:rPr>
          <w:rFonts w:ascii="Arial" w:cs="Arial" w:eastAsia="Arial" w:hAnsi="Arial"/>
          <w:sz w:val="17"/>
          <w:szCs w:val="17"/>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187" w:lineRule="exact"/>
        <w:rPr>
          <w:sz w:val="20"/>
          <w:szCs w:val="20"/>
          <w:color w:val="auto"/>
        </w:rPr>
      </w:pPr>
    </w:p>
    <w:p>
      <w:pPr>
        <w:ind w:left="460" w:hanging="110"/>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note will cease to be outstanding;</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interest will cease to accrue;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other rights of the holder will terminate, other than the right to receive the repurchase price upon delivery of the note.</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This will be the case whether or not book-entry transfer of the note has been made or the note has been delivered to the paying agent.</w:t>
      </w:r>
    </w:p>
    <w:p>
      <w:pPr>
        <w:spacing w:after="0" w:line="254" w:lineRule="exact"/>
        <w:rPr>
          <w:sz w:val="20"/>
          <w:szCs w:val="20"/>
          <w:color w:val="auto"/>
        </w:rPr>
      </w:pPr>
    </w:p>
    <w:p>
      <w:pPr>
        <w:ind w:right="140" w:firstLine="318"/>
        <w:spacing w:after="0" w:line="304" w:lineRule="auto"/>
        <w:rPr>
          <w:sz w:val="20"/>
          <w:szCs w:val="20"/>
          <w:color w:val="auto"/>
        </w:rPr>
      </w:pPr>
      <w:r>
        <w:rPr>
          <w:rFonts w:ascii="Arial" w:cs="Arial" w:eastAsia="Arial" w:hAnsi="Arial"/>
          <w:sz w:val="15"/>
          <w:szCs w:val="15"/>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will comply with the provisions of Rule 13e-4 and any other tender offer rules under the Exchange Act that may be applicable at the time of the tender offer.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To the extent applicable, we will file a Schedule TO or any other schedule required in connection with any offer by us to repurchase the notes.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at Option of the Holder Upon a Designated Event</w:t>
      </w:r>
    </w:p>
    <w:p>
      <w:pPr>
        <w:spacing w:after="0" w:line="260" w:lineRule="exact"/>
        <w:rPr>
          <w:sz w:val="20"/>
          <w:szCs w:val="20"/>
          <w:color w:val="auto"/>
        </w:rPr>
      </w:pPr>
    </w:p>
    <w:p>
      <w:pPr>
        <w:jc w:val="both"/>
        <w:ind w:right="20" w:firstLine="318"/>
        <w:spacing w:after="0" w:line="273" w:lineRule="auto"/>
        <w:rPr>
          <w:sz w:val="20"/>
          <w:szCs w:val="20"/>
          <w:color w:val="auto"/>
        </w:rPr>
      </w:pPr>
      <w:r>
        <w:rPr>
          <w:rFonts w:ascii="Arial" w:cs="Arial" w:eastAsia="Arial" w:hAnsi="Arial"/>
          <w:sz w:val="17"/>
          <w:szCs w:val="17"/>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6" w:lineRule="exact"/>
        <w:rPr>
          <w:sz w:val="20"/>
          <w:szCs w:val="20"/>
          <w:color w:val="auto"/>
        </w:rPr>
      </w:pPr>
    </w:p>
    <w:p>
      <w:pPr>
        <w:ind w:firstLine="318"/>
        <w:spacing w:after="0" w:line="325" w:lineRule="auto"/>
        <w:rPr>
          <w:sz w:val="20"/>
          <w:szCs w:val="20"/>
          <w:color w:val="auto"/>
        </w:rPr>
      </w:pPr>
      <w:r>
        <w:rPr>
          <w:rFonts w:ascii="Arial" w:cs="Arial" w:eastAsia="Arial" w:hAnsi="Arial"/>
          <w:sz w:val="15"/>
          <w:szCs w:val="15"/>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72" w:lineRule="exact"/>
        <w:rPr>
          <w:sz w:val="20"/>
          <w:szCs w:val="20"/>
          <w:color w:val="auto"/>
        </w:rPr>
      </w:pPr>
    </w:p>
    <w:p>
      <w:pPr>
        <w:ind w:right="100" w:firstLine="318"/>
        <w:spacing w:after="0" w:line="290" w:lineRule="auto"/>
        <w:rPr>
          <w:sz w:val="20"/>
          <w:szCs w:val="20"/>
          <w:color w:val="auto"/>
        </w:rPr>
      </w:pPr>
      <w:r>
        <w:rPr>
          <w:rFonts w:ascii="Arial" w:cs="Arial" w:eastAsia="Arial" w:hAnsi="Arial"/>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9" w:lineRule="exact"/>
        <w:rPr>
          <w:sz w:val="20"/>
          <w:szCs w:val="20"/>
          <w:color w:val="auto"/>
        </w:rPr>
      </w:pPr>
    </w:p>
    <w:p>
      <w:pPr>
        <w:ind w:left="5620" w:right="3040" w:hanging="5270"/>
        <w:spacing w:after="0" w:line="578" w:lineRule="auto"/>
        <w:tabs>
          <w:tab w:leader="none" w:pos="461"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registration of the shares to be issued upon redemption under the Securities Act and the Exchange Act, if required;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35" w:name="page36"/>
    <w:bookmarkEnd w:id="35"/>
    <w:p>
      <w:pPr>
        <w:ind w:left="460" w:hanging="110"/>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qualification of the shares to be issued upon redemption under applicable state securities laws, if necessary, or the availability of an exemption therefrom; and</w:t>
      </w:r>
    </w:p>
    <w:p>
      <w:pPr>
        <w:spacing w:after="0" w:line="303" w:lineRule="exact"/>
        <w:rPr>
          <w:rFonts w:ascii="Arial" w:cs="Arial" w:eastAsia="Arial" w:hAnsi="Arial"/>
          <w:sz w:val="15"/>
          <w:szCs w:val="15"/>
          <w:color w:val="auto"/>
        </w:rPr>
      </w:pPr>
    </w:p>
    <w:p>
      <w:pPr>
        <w:ind w:left="460" w:right="320" w:hanging="110"/>
        <w:spacing w:after="0" w:line="286"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listing of the shares on a United States national securities exchange or quotation thereof in an inter-dealer quotation system of any registered United States national securities association.</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If any condition is not satisfied, such as the condition that there be no restrictions on any transfer of the shares, the repurchase price may be paid only in cash.</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may, at any time, irrevocably relinquish our right to pay the repurchase price in shares by entering into a supplemental indenture with the trustee.</w:t>
      </w:r>
    </w:p>
    <w:p>
      <w:pPr>
        <w:spacing w:after="0" w:line="249" w:lineRule="exact"/>
        <w:rPr>
          <w:sz w:val="20"/>
          <w:szCs w:val="20"/>
          <w:color w:val="auto"/>
        </w:rPr>
      </w:pPr>
    </w:p>
    <w:p>
      <w:pPr>
        <w:ind w:right="80" w:firstLine="318"/>
        <w:spacing w:after="0" w:line="283" w:lineRule="auto"/>
        <w:rPr>
          <w:sz w:val="20"/>
          <w:szCs w:val="20"/>
          <w:color w:val="auto"/>
        </w:rPr>
      </w:pPr>
      <w:r>
        <w:rPr>
          <w:rFonts w:ascii="Arial" w:cs="Arial" w:eastAsia="Arial" w:hAnsi="Arial"/>
          <w:sz w:val="16"/>
          <w:szCs w:val="16"/>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1"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You may withdraw any written repurchase notice by delivering a written notice of withdrawal to the paying agent prior to the close of business on the repurchase date. The withdrawal notice must state:</w:t>
      </w:r>
    </w:p>
    <w:p>
      <w:pPr>
        <w:spacing w:after="0" w:line="169" w:lineRule="exact"/>
        <w:rPr>
          <w:sz w:val="20"/>
          <w:szCs w:val="20"/>
          <w:color w:val="auto"/>
        </w:rPr>
      </w:pPr>
    </w:p>
    <w:p>
      <w:pPr>
        <w:ind w:left="460" w:hanging="110"/>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principal amount of the withdrawn notes;</w:t>
      </w:r>
    </w:p>
    <w:p>
      <w:pPr>
        <w:spacing w:after="0" w:line="280" w:lineRule="exact"/>
        <w:rPr>
          <w:rFonts w:ascii="Arial" w:cs="Arial" w:eastAsia="Arial" w:hAnsi="Arial"/>
          <w:sz w:val="17"/>
          <w:szCs w:val="17"/>
          <w:color w:val="auto"/>
        </w:rPr>
      </w:pPr>
    </w:p>
    <w:p>
      <w:pPr>
        <w:ind w:left="460" w:right="540" w:hanging="110"/>
        <w:spacing w:after="0" w:line="286"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certificated notes have been issued, the certificate numbers of the withdrawn notes (or, if your notes are not certificated, your withdrawal notice must comply with appropriate DTC procedures);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principal amount, if any, that remains subject to the repurchase notice.</w:t>
      </w:r>
    </w:p>
    <w:p>
      <w:pPr>
        <w:spacing w:after="0" w:line="281"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87" w:lineRule="exact"/>
        <w:rPr>
          <w:sz w:val="20"/>
          <w:szCs w:val="20"/>
          <w:color w:val="auto"/>
        </w:rPr>
      </w:pPr>
    </w:p>
    <w:p>
      <w:pPr>
        <w:ind w:left="460" w:hanging="110"/>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note will cease to be outstanding;</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interest will cease to accrue;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other rights of the holder will terminate, other than the right to receive the repurchase price upon delivery of the note.</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This will be the case whether or not book-entry transfer of the note has been made or the note has been delivered to the paying agent.</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“designated event” will be deemed to have occurred upon a fundamental change or a termination of trading.</w:t>
      </w:r>
    </w:p>
    <w:p>
      <w:pPr>
        <w:spacing w:after="0" w:line="254" w:lineRule="exact"/>
        <w:rPr>
          <w:sz w:val="20"/>
          <w:szCs w:val="20"/>
          <w:color w:val="auto"/>
        </w:rPr>
      </w:pPr>
    </w:p>
    <w:p>
      <w:pPr>
        <w:ind w:right="140" w:firstLine="318"/>
        <w:spacing w:after="0" w:line="325" w:lineRule="auto"/>
        <w:rPr>
          <w:sz w:val="20"/>
          <w:szCs w:val="20"/>
          <w:color w:val="auto"/>
        </w:rPr>
      </w:pPr>
      <w:r>
        <w:rPr>
          <w:rFonts w:ascii="Arial" w:cs="Arial" w:eastAsia="Arial" w:hAnsi="Arial"/>
          <w:sz w:val="15"/>
          <w:szCs w:val="15"/>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46" w:lineRule="exact"/>
        <w:rPr>
          <w:sz w:val="20"/>
          <w:szCs w:val="20"/>
          <w:color w:val="auto"/>
        </w:rPr>
      </w:pPr>
    </w:p>
    <w:p>
      <w:pPr>
        <w:ind w:left="5620" w:right="2580" w:hanging="5270"/>
        <w:spacing w:after="0" w:line="578" w:lineRule="auto"/>
        <w:tabs>
          <w:tab w:leader="none" w:pos="4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listed on, or immediately after the transaction or event will be listed on, a United States national securities exchange, or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36" w:name="page37"/>
    <w:bookmarkEnd w:id="36"/>
    <w:p>
      <w:pPr>
        <w:ind w:left="460" w:right="460" w:hanging="110"/>
        <w:spacing w:after="0" w:line="28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96"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96" w:lineRule="exact"/>
        <w:rPr>
          <w:sz w:val="20"/>
          <w:szCs w:val="20"/>
          <w:color w:val="auto"/>
        </w:rPr>
      </w:pPr>
    </w:p>
    <w:p>
      <w:pPr>
        <w:ind w:right="80" w:firstLine="318"/>
        <w:spacing w:after="0" w:line="273" w:lineRule="auto"/>
        <w:rPr>
          <w:sz w:val="20"/>
          <w:szCs w:val="20"/>
          <w:color w:val="auto"/>
        </w:rPr>
      </w:pPr>
      <w:r>
        <w:rPr>
          <w:rFonts w:ascii="Arial" w:cs="Arial" w:eastAsia="Arial" w:hAnsi="Arial"/>
          <w:sz w:val="17"/>
          <w:szCs w:val="17"/>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6"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189"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Tax Amounts</w:t>
      </w:r>
    </w:p>
    <w:p>
      <w:pPr>
        <w:spacing w:after="0" w:line="26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188" w:lineRule="exact"/>
        <w:rPr>
          <w:sz w:val="20"/>
          <w:szCs w:val="20"/>
          <w:color w:val="auto"/>
        </w:rPr>
      </w:pPr>
    </w:p>
    <w:p>
      <w:pPr>
        <w:ind w:left="460" w:right="80" w:hanging="110"/>
        <w:spacing w:after="0" w:line="26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211" w:lineRule="exact"/>
        <w:rPr>
          <w:rFonts w:ascii="Arial" w:cs="Arial" w:eastAsia="Arial" w:hAnsi="Arial"/>
          <w:sz w:val="17"/>
          <w:szCs w:val="17"/>
          <w:color w:val="auto"/>
        </w:rPr>
      </w:pPr>
    </w:p>
    <w:p>
      <w:pPr>
        <w:ind w:left="460" w:right="240" w:hanging="110"/>
        <w:spacing w:after="0" w:line="286"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37" w:name="page38"/>
    <w:bookmarkEnd w:id="37"/>
    <w:p>
      <w:pPr>
        <w:ind w:left="460" w:hanging="110"/>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account of any inheritance, gift, estate, personal property, sales, or similar taxes duties, levies, assessments or similar governmental charges; or</w:t>
      </w:r>
    </w:p>
    <w:p>
      <w:pPr>
        <w:spacing w:after="0" w:line="292" w:lineRule="exact"/>
        <w:rPr>
          <w:rFonts w:ascii="Arial" w:cs="Arial" w:eastAsia="Arial" w:hAnsi="Arial"/>
          <w:sz w:val="16"/>
          <w:szCs w:val="16"/>
          <w:color w:val="auto"/>
        </w:rPr>
      </w:pPr>
    </w:p>
    <w:p>
      <w:pPr>
        <w:ind w:left="460" w:right="60" w:hanging="110"/>
        <w:spacing w:after="0" w:line="286"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account of any taxes, duties, levies, assessments or governmental charges that are payable otherwise than by withholding from payments in respect of such note.</w:t>
      </w:r>
    </w:p>
    <w:p>
      <w:pPr>
        <w:spacing w:after="0" w:line="196" w:lineRule="exact"/>
        <w:rPr>
          <w:sz w:val="20"/>
          <w:szCs w:val="20"/>
          <w:color w:val="auto"/>
        </w:rPr>
      </w:pPr>
    </w:p>
    <w:p>
      <w:pPr>
        <w:ind w:right="220" w:firstLine="318"/>
        <w:spacing w:after="0" w:line="297" w:lineRule="auto"/>
        <w:rPr>
          <w:sz w:val="20"/>
          <w:szCs w:val="20"/>
          <w:color w:val="auto"/>
        </w:rPr>
      </w:pPr>
      <w:r>
        <w:rPr>
          <w:rFonts w:ascii="Arial" w:cs="Arial" w:eastAsia="Arial" w:hAnsi="Arial"/>
          <w:sz w:val="16"/>
          <w:szCs w:val="16"/>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90" w:lineRule="exact"/>
        <w:rPr>
          <w:sz w:val="20"/>
          <w:szCs w:val="20"/>
          <w:color w:val="auto"/>
        </w:rPr>
      </w:pPr>
    </w:p>
    <w:p>
      <w:pPr>
        <w:ind w:right="120" w:firstLine="318"/>
        <w:spacing w:after="0" w:line="286" w:lineRule="auto"/>
        <w:rPr>
          <w:sz w:val="20"/>
          <w:szCs w:val="20"/>
          <w:color w:val="auto"/>
        </w:rPr>
      </w:pPr>
      <w:r>
        <w:rPr>
          <w:rFonts w:ascii="Arial" w:cs="Arial" w:eastAsia="Arial" w:hAnsi="Arial"/>
          <w:sz w:val="17"/>
          <w:szCs w:val="17"/>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96"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213"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Redemption</w:t>
      </w:r>
    </w:p>
    <w:p>
      <w:pPr>
        <w:spacing w:after="0" w:line="260"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9"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5"/>
          <w:szCs w:val="15"/>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6" w:lineRule="exact"/>
        <w:rPr>
          <w:sz w:val="20"/>
          <w:szCs w:val="20"/>
          <w:color w:val="auto"/>
        </w:rPr>
      </w:pPr>
    </w:p>
    <w:p>
      <w:pPr>
        <w:ind w:right="40" w:firstLine="318"/>
        <w:spacing w:after="0" w:line="286" w:lineRule="auto"/>
        <w:rPr>
          <w:sz w:val="20"/>
          <w:szCs w:val="20"/>
          <w:color w:val="auto"/>
        </w:rPr>
      </w:pPr>
      <w:r>
        <w:rPr>
          <w:rFonts w:ascii="Arial" w:cs="Arial" w:eastAsia="Arial" w:hAnsi="Arial"/>
          <w:sz w:val="16"/>
          <w:szCs w:val="16"/>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and Sale of Assets by Amdocs</w:t>
      </w:r>
    </w:p>
    <w:p>
      <w:pPr>
        <w:spacing w:after="0" w:line="260"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80" w:lineRule="exact"/>
        <w:rPr>
          <w:sz w:val="20"/>
          <w:szCs w:val="20"/>
          <w:color w:val="auto"/>
        </w:rPr>
      </w:pPr>
    </w:p>
    <w:p>
      <w:pPr>
        <w:ind w:left="460" w:right="60" w:hanging="110"/>
        <w:spacing w:after="0" w:line="28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201" w:lineRule="exact"/>
        <w:rPr>
          <w:rFonts w:ascii="Arial" w:cs="Arial" w:eastAsia="Arial" w:hAnsi="Arial"/>
          <w:sz w:val="16"/>
          <w:szCs w:val="16"/>
          <w:color w:val="auto"/>
        </w:rPr>
      </w:pPr>
    </w:p>
    <w:p>
      <w:pPr>
        <w:ind w:left="460" w:right="380" w:hanging="110"/>
        <w:spacing w:after="0" w:line="286"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after giving effect to such transaction, there is no event of default under the indenture, and no event which, after notice or passage of time or both, would become an event of default; and</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requirements as described in the indenture are met.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 Notice and Waiver</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are events of default under the indenture:</w:t>
      </w:r>
    </w:p>
    <w:p>
      <w:pPr>
        <w:spacing w:after="0" w:line="228" w:lineRule="exact"/>
        <w:rPr>
          <w:sz w:val="20"/>
          <w:szCs w:val="20"/>
          <w:color w:val="auto"/>
        </w:rPr>
      </w:pPr>
    </w:p>
    <w:p>
      <w:pPr>
        <w:ind w:left="460" w:hanging="110"/>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fail to pay principal when due at maturity, upon redemption, repurchase or otherwise on the notes;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fail to pay any interest and liquidated damages, if any, on the notes, when due and such failure continues for a period of 30 days;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fail to provide timely notice of a designated event;</w:t>
      </w:r>
    </w:p>
    <w:p>
      <w:pPr>
        <w:spacing w:after="0" w:line="280" w:lineRule="exact"/>
        <w:rPr>
          <w:rFonts w:ascii="Arial" w:cs="Arial" w:eastAsia="Arial" w:hAnsi="Arial"/>
          <w:sz w:val="17"/>
          <w:szCs w:val="17"/>
          <w:color w:val="auto"/>
        </w:rPr>
      </w:pPr>
    </w:p>
    <w:p>
      <w:pPr>
        <w:ind w:left="460" w:right="340" w:hanging="110"/>
        <w:spacing w:after="0" w:line="28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95" w:lineRule="exact"/>
        <w:rPr>
          <w:rFonts w:ascii="Arial" w:cs="Arial" w:eastAsia="Arial" w:hAnsi="Arial"/>
          <w:sz w:val="17"/>
          <w:szCs w:val="17"/>
          <w:color w:val="auto"/>
        </w:rPr>
      </w:pPr>
    </w:p>
    <w:p>
      <w:pPr>
        <w:ind w:left="460" w:right="400" w:hanging="110"/>
        <w:spacing w:after="0" w:line="28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payment defaults or other defaults causing acceleration of indebtedness prior to maturity, where the principal amount of the indebtedness subject to such defaults aggregates $50.0 million or more;</w:t>
      </w:r>
    </w:p>
    <w:p>
      <w:pPr>
        <w:spacing w:after="0" w:line="195" w:lineRule="exact"/>
        <w:rPr>
          <w:rFonts w:ascii="Arial" w:cs="Arial" w:eastAsia="Arial" w:hAnsi="Arial"/>
          <w:sz w:val="17"/>
          <w:szCs w:val="17"/>
          <w:color w:val="auto"/>
        </w:rPr>
      </w:pPr>
    </w:p>
    <w:p>
      <w:pPr>
        <w:ind w:left="460" w:right="60" w:hanging="110"/>
        <w:spacing w:after="0" w:line="28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fail to deliver our ordinary shares upon conversion of the notes within the time period required by the indenture, and such failure continues for a period of five days; or</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events involving our bankruptcy, insolvency or reorganization.</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39" w:name="page40"/>
    <w:bookmarkEnd w:id="39"/>
    <w:p>
      <w:pPr>
        <w:ind w:left="320"/>
        <w:spacing w:after="0"/>
        <w:rPr>
          <w:sz w:val="20"/>
          <w:szCs w:val="20"/>
          <w:color w:val="auto"/>
        </w:rPr>
      </w:pPr>
      <w:r>
        <w:rPr>
          <w:rFonts w:ascii="Arial" w:cs="Arial" w:eastAsia="Arial" w:hAnsi="Arial"/>
          <w:sz w:val="16"/>
          <w:szCs w:val="16"/>
          <w:color w:val="auto"/>
        </w:rPr>
        <w:t>The trustee may withhold notice to the holders of the notes of any default, except defaults in payment of interest or liquidated damages, if any, on the notes.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However, the trustee must consider it to be in the interest of the holders of the notes to withhold this notice.</w:t>
      </w:r>
    </w:p>
    <w:p>
      <w:pPr>
        <w:spacing w:after="0" w:line="249" w:lineRule="exact"/>
        <w:rPr>
          <w:sz w:val="20"/>
          <w:szCs w:val="20"/>
          <w:color w:val="auto"/>
        </w:rPr>
      </w:pPr>
    </w:p>
    <w:p>
      <w:pPr>
        <w:ind w:right="40" w:firstLine="318"/>
        <w:spacing w:after="0" w:line="310" w:lineRule="auto"/>
        <w:rPr>
          <w:sz w:val="20"/>
          <w:szCs w:val="20"/>
          <w:color w:val="auto"/>
        </w:rPr>
      </w:pPr>
      <w:r>
        <w:rPr>
          <w:rFonts w:ascii="Arial" w:cs="Arial" w:eastAsia="Arial" w:hAnsi="Arial"/>
          <w:sz w:val="15"/>
          <w:szCs w:val="15"/>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82"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96"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The holders of a majority of outstanding notes will have the right to direct the time, method and place of any proceedings for any remedy available to the trustee, subject to limitations specified in the indenture.</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No holder of the notes may pursue any remedy under the indenture, except in the case of a default in the payment of principal or interest on the notes, unless:</w:t>
      </w:r>
    </w:p>
    <w:p>
      <w:pPr>
        <w:spacing w:after="0" w:line="251" w:lineRule="exact"/>
        <w:rPr>
          <w:sz w:val="20"/>
          <w:szCs w:val="20"/>
          <w:color w:val="auto"/>
        </w:rPr>
      </w:pPr>
    </w:p>
    <w:p>
      <w:pPr>
        <w:ind w:left="460" w:hanging="110"/>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holder has given the trustee written notice of an event of default;</w:t>
      </w:r>
    </w:p>
    <w:p>
      <w:pPr>
        <w:spacing w:after="0" w:line="280" w:lineRule="exact"/>
        <w:rPr>
          <w:rFonts w:ascii="Arial" w:cs="Arial" w:eastAsia="Arial" w:hAnsi="Arial"/>
          <w:sz w:val="17"/>
          <w:szCs w:val="17"/>
          <w:color w:val="auto"/>
        </w:rPr>
      </w:pPr>
    </w:p>
    <w:p>
      <w:pPr>
        <w:ind w:left="460" w:right="40" w:hanging="110"/>
        <w:spacing w:after="0" w:line="286"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outstanding notes make a written request and offer indemnity reasonably satisfactory to the trustee to pursue the remedy;</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trustee does not receive an inconsistent direction from the holders of a majority in principal amount of the notes;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holder or holders have offered security or indemnity reasonably satisfactory to the trustee against any costs, liability or expense of the trustee; and</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trustee fails to comply with the request within 60 days after receipt of the request and offer of indemnity.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and Waiver</w:t>
      </w:r>
    </w:p>
    <w:p>
      <w:pPr>
        <w:spacing w:after="0" w:line="260"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9" w:lineRule="exact"/>
        <w:rPr>
          <w:sz w:val="20"/>
          <w:szCs w:val="20"/>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extend the fixed maturity of any note;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 the rate or extend the time for payment of interest, or liquidated damages, if any, on any note;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 the principal amount of any note;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 any amount payable upon redemption or repurchase of any note;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adversely change our obligation to repurchase any note at the option of a holder or upon a designated event;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impair the right of a holder to institute suit for payment on any note;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 the currency in which any note is payable;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impair the right of a holder to convert any note or reduce the number of ordinary shares or the amount of any other property receivable upon conversion;</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 the quorum or voting requirements under the indenture;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40" w:name="page41"/>
    <w:bookmarkEnd w:id="40"/>
    <w:p>
      <w:pPr>
        <w:ind w:left="460" w:hanging="110"/>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subject to specified exceptions, modify certain of the provisions of the indenture relating to modification or waiver of provisions of the indenture; or</w:t>
      </w:r>
    </w:p>
    <w:p>
      <w:pPr>
        <w:spacing w:after="0" w:line="292" w:lineRule="exact"/>
        <w:rPr>
          <w:rFonts w:ascii="Arial" w:cs="Arial" w:eastAsia="Arial" w:hAnsi="Arial"/>
          <w:sz w:val="16"/>
          <w:szCs w:val="16"/>
          <w:color w:val="auto"/>
        </w:rPr>
      </w:pPr>
    </w:p>
    <w:p>
      <w:pPr>
        <w:ind w:left="460" w:hanging="110"/>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reduce the percentage of notes required for consent to any modification of the indenture.</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permitted to modify certain provisions of the indenture without the consent of the holders of the notes.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Denomination and Registration</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notes were issued:</w:t>
      </w:r>
    </w:p>
    <w:p>
      <w:pPr>
        <w:spacing w:after="0" w:line="228" w:lineRule="exact"/>
        <w:rPr>
          <w:sz w:val="20"/>
          <w:szCs w:val="20"/>
          <w:color w:val="auto"/>
        </w:rPr>
      </w:pPr>
    </w:p>
    <w:p>
      <w:pPr>
        <w:ind w:left="460" w:hanging="110"/>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fully registered form;</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without interest coupons;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denominations of $1,000 principal amount and integral multiples of $1,000.</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Global Note, Book-Entry Form</w:t>
      </w:r>
    </w:p>
    <w:p>
      <w:pPr>
        <w:spacing w:after="0" w:line="254" w:lineRule="exact"/>
        <w:rPr>
          <w:sz w:val="20"/>
          <w:szCs w:val="20"/>
          <w:color w:val="auto"/>
        </w:rPr>
      </w:pPr>
    </w:p>
    <w:p>
      <w:pPr>
        <w:jc w:val="both"/>
        <w:ind w:right="180" w:firstLine="318"/>
        <w:spacing w:after="0" w:line="273" w:lineRule="auto"/>
        <w:rPr>
          <w:sz w:val="20"/>
          <w:szCs w:val="20"/>
          <w:color w:val="auto"/>
        </w:rPr>
      </w:pPr>
      <w:r>
        <w:rPr>
          <w:rFonts w:ascii="Arial" w:cs="Arial" w:eastAsia="Arial" w:hAnsi="Arial"/>
          <w:sz w:val="17"/>
          <w:szCs w:val="17"/>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6"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jc w:val="both"/>
        <w:ind w:right="40" w:firstLine="318"/>
        <w:spacing w:after="0" w:line="268" w:lineRule="auto"/>
        <w:rPr>
          <w:sz w:val="20"/>
          <w:szCs w:val="20"/>
          <w:color w:val="auto"/>
        </w:rPr>
      </w:pPr>
      <w:r>
        <w:rPr>
          <w:rFonts w:ascii="Arial" w:cs="Arial" w:eastAsia="Arial" w:hAnsi="Arial"/>
          <w:sz w:val="17"/>
          <w:szCs w:val="17"/>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85" w:lineRule="exact"/>
        <w:rPr>
          <w:sz w:val="20"/>
          <w:szCs w:val="20"/>
          <w:color w:val="auto"/>
        </w:rPr>
      </w:pPr>
    </w:p>
    <w:p>
      <w:pPr>
        <w:ind w:left="460" w:hanging="110"/>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receive physical delivery of certificates in definitive registered form;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be considered holders of the global note.</w:t>
      </w:r>
    </w:p>
    <w:p>
      <w:pPr>
        <w:spacing w:after="0" w:line="281" w:lineRule="exact"/>
        <w:rPr>
          <w:sz w:val="20"/>
          <w:szCs w:val="20"/>
          <w:color w:val="auto"/>
        </w:rPr>
      </w:pPr>
    </w:p>
    <w:p>
      <w:pPr>
        <w:ind w:right="240" w:firstLine="318"/>
        <w:spacing w:after="0" w:line="273" w:lineRule="auto"/>
        <w:rPr>
          <w:sz w:val="20"/>
          <w:szCs w:val="20"/>
          <w:color w:val="auto"/>
        </w:rPr>
      </w:pPr>
      <w:r>
        <w:rPr>
          <w:rFonts w:ascii="Arial" w:cs="Arial" w:eastAsia="Arial" w:hAnsi="Arial"/>
          <w:sz w:val="17"/>
          <w:szCs w:val="17"/>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80" w:lineRule="exact"/>
        <w:rPr>
          <w:sz w:val="20"/>
          <w:szCs w:val="20"/>
          <w:color w:val="auto"/>
        </w:rPr>
      </w:pPr>
    </w:p>
    <w:p>
      <w:pPr>
        <w:ind w:left="460" w:hanging="110"/>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the records relating to, or payments made on account of, beneficial ownership interests in a global note;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maintaining, supervising or reviewing any records relating to the beneficial ownership interests.</w:t>
      </w:r>
    </w:p>
    <w:p>
      <w:pPr>
        <w:spacing w:after="0" w:line="281"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25" w:right="339" w:bottom="1440" w:gutter="0" w:footer="0" w:header="0"/>
        </w:sectPr>
      </w:pPr>
    </w:p>
    <w:bookmarkStart w:id="41" w:name="page42"/>
    <w:bookmarkEnd w:id="41"/>
    <w:p>
      <w:pPr>
        <w:ind w:left="320"/>
        <w:spacing w:after="0"/>
        <w:rPr>
          <w:sz w:val="20"/>
          <w:szCs w:val="20"/>
          <w:color w:val="auto"/>
        </w:rPr>
      </w:pPr>
      <w:r>
        <w:rPr>
          <w:rFonts w:ascii="Arial" w:cs="Arial" w:eastAsia="Arial" w:hAnsi="Arial"/>
          <w:sz w:val="17"/>
          <w:szCs w:val="17"/>
          <w:color w:val="auto"/>
        </w:rPr>
        <w:t>DTC has advised us that it is:</w:t>
      </w:r>
    </w:p>
    <w:p>
      <w:pPr>
        <w:spacing w:after="0" w:line="228" w:lineRule="exact"/>
        <w:rPr>
          <w:sz w:val="20"/>
          <w:szCs w:val="20"/>
          <w:color w:val="auto"/>
        </w:rPr>
      </w:pPr>
    </w:p>
    <w:p>
      <w:pPr>
        <w:ind w:left="460" w:hanging="110"/>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limited purpose trust company organized under the laws of the State of New York, and a member of the Federal Reserve System;</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“clearing corporation” within the meaning of the Uniform Commercial Code;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“clearing agency” registered pursuant to the provisions of Section 17A of the Exchange Act.</w:t>
      </w:r>
    </w:p>
    <w:p>
      <w:pPr>
        <w:spacing w:after="0" w:line="281" w:lineRule="exact"/>
        <w:rPr>
          <w:sz w:val="20"/>
          <w:szCs w:val="20"/>
          <w:color w:val="auto"/>
        </w:rPr>
      </w:pPr>
    </w:p>
    <w:p>
      <w:pPr>
        <w:ind w:firstLine="318"/>
        <w:spacing w:after="0" w:line="315" w:lineRule="auto"/>
        <w:rPr>
          <w:sz w:val="20"/>
          <w:szCs w:val="20"/>
          <w:color w:val="auto"/>
        </w:rPr>
      </w:pPr>
      <w:r>
        <w:rPr>
          <w:rFonts w:ascii="Arial" w:cs="Arial" w:eastAsia="Arial" w:hAnsi="Arial"/>
          <w:sz w:val="15"/>
          <w:szCs w:val="15"/>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79" w:lineRule="exact"/>
        <w:rPr>
          <w:sz w:val="20"/>
          <w:szCs w:val="20"/>
          <w:color w:val="auto"/>
        </w:rPr>
      </w:pPr>
    </w:p>
    <w:p>
      <w:pPr>
        <w:ind w:right="440" w:firstLine="318"/>
        <w:spacing w:after="0" w:line="286" w:lineRule="auto"/>
        <w:rPr>
          <w:sz w:val="20"/>
          <w:szCs w:val="20"/>
          <w:color w:val="auto"/>
        </w:rPr>
      </w:pPr>
      <w:r>
        <w:rPr>
          <w:rFonts w:ascii="Arial" w:cs="Arial" w:eastAsia="Arial" w:hAnsi="Arial"/>
          <w:sz w:val="17"/>
          <w:szCs w:val="17"/>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96" w:lineRule="exact"/>
        <w:rPr>
          <w:sz w:val="20"/>
          <w:szCs w:val="20"/>
          <w:color w:val="auto"/>
        </w:rPr>
      </w:pPr>
    </w:p>
    <w:p>
      <w:pPr>
        <w:ind w:right="80" w:firstLine="318"/>
        <w:spacing w:after="0" w:line="315" w:lineRule="auto"/>
        <w:rPr>
          <w:sz w:val="20"/>
          <w:szCs w:val="20"/>
          <w:color w:val="auto"/>
        </w:rPr>
      </w:pPr>
      <w:r>
        <w:rPr>
          <w:rFonts w:ascii="Arial" w:cs="Arial" w:eastAsia="Arial" w:hAnsi="Arial"/>
          <w:sz w:val="15"/>
          <w:szCs w:val="15"/>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60"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0" w:lineRule="exact"/>
        <w:rPr>
          <w:sz w:val="20"/>
          <w:szCs w:val="20"/>
          <w:color w:val="auto"/>
        </w:rPr>
      </w:pPr>
    </w:p>
    <w:p>
      <w:pPr>
        <w:ind w:left="460" w:right="340" w:hanging="110"/>
        <w:spacing w:after="0" w:line="286"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95" w:lineRule="exact"/>
        <w:rPr>
          <w:rFonts w:ascii="Arial" w:cs="Arial" w:eastAsia="Arial" w:hAnsi="Arial"/>
          <w:sz w:val="17"/>
          <w:szCs w:val="17"/>
          <w:color w:val="auto"/>
        </w:rPr>
      </w:pPr>
    </w:p>
    <w:p>
      <w:pPr>
        <w:ind w:left="460" w:right="80" w:hanging="110"/>
        <w:spacing w:after="0" w:line="286"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expiration of the holding period applicable to such securities held by persons that are not affiliates of Amdocs under Rule 144(k) under the Securities Act, or any successor provision.</w:t>
      </w:r>
    </w:p>
    <w:p>
      <w:pPr>
        <w:spacing w:after="0" w:line="196"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When we use the term “registrable securities” in this section, we are referring to the notes and the ordinary shares issuable upon conversion of the notes until the earliest of:</w:t>
      </w:r>
    </w:p>
    <w:p>
      <w:pPr>
        <w:spacing w:after="0" w:line="169" w:lineRule="exact"/>
        <w:rPr>
          <w:sz w:val="20"/>
          <w:szCs w:val="20"/>
          <w:color w:val="auto"/>
        </w:rPr>
      </w:pPr>
    </w:p>
    <w:p>
      <w:pPr>
        <w:ind w:left="460" w:hanging="110"/>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effective registration under the Securities Act and the resale of the securities in accordance with the registration statement;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expiration of the holding period with respect to the registrable securities under Rule 144(k) under the Securities Act;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sale of the registrable securities to the public pursuant to Rule 144 under the Securities Act.</w:t>
      </w:r>
    </w:p>
    <w:p>
      <w:pPr>
        <w:spacing w:after="0" w:line="281"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42" w:name="page43"/>
    <w:bookmarkEnd w:id="42"/>
    <w:p>
      <w:pPr>
        <w:ind w:right="320" w:firstLine="318"/>
        <w:spacing w:after="0" w:line="286" w:lineRule="auto"/>
        <w:rPr>
          <w:sz w:val="20"/>
          <w:szCs w:val="20"/>
          <w:color w:val="auto"/>
        </w:rPr>
      </w:pPr>
      <w:r>
        <w:rPr>
          <w:rFonts w:ascii="Arial" w:cs="Arial" w:eastAsia="Arial" w:hAnsi="Arial"/>
          <w:sz w:val="17"/>
          <w:szCs w:val="17"/>
          <w:color w:val="auto"/>
        </w:rPr>
        <w:t>We may suspend the use of the prospectus under certain circumstances relating to pending corporate developments, public filings with the SEC and similar events. Any suspension period shall not exceed:</w:t>
      </w:r>
    </w:p>
    <w:p>
      <w:pPr>
        <w:spacing w:after="0" w:line="169" w:lineRule="exact"/>
        <w:rPr>
          <w:sz w:val="20"/>
          <w:szCs w:val="20"/>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30 days in any three-month period;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aggregate of 90 days for all periods in any 12-month period.</w:t>
      </w:r>
    </w:p>
    <w:p>
      <w:pPr>
        <w:spacing w:after="0" w:line="281" w:lineRule="exact"/>
        <w:rPr>
          <w:sz w:val="20"/>
          <w:szCs w:val="20"/>
          <w:color w:val="auto"/>
        </w:rPr>
      </w:pPr>
    </w:p>
    <w:p>
      <w:pPr>
        <w:ind w:right="880" w:firstLine="318"/>
        <w:spacing w:after="0" w:line="286" w:lineRule="auto"/>
        <w:rPr>
          <w:sz w:val="20"/>
          <w:szCs w:val="20"/>
          <w:color w:val="auto"/>
        </w:rPr>
      </w:pPr>
      <w:r>
        <w:rPr>
          <w:rFonts w:ascii="Arial" w:cs="Arial" w:eastAsia="Arial" w:hAnsi="Arial"/>
          <w:sz w:val="17"/>
          <w:szCs w:val="17"/>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96" w:lineRule="exact"/>
        <w:rPr>
          <w:sz w:val="20"/>
          <w:szCs w:val="20"/>
          <w:color w:val="auto"/>
        </w:rPr>
      </w:pPr>
    </w:p>
    <w:p>
      <w:pPr>
        <w:ind w:right="420" w:firstLine="318"/>
        <w:spacing w:after="0" w:line="319" w:lineRule="auto"/>
        <w:rPr>
          <w:sz w:val="20"/>
          <w:szCs w:val="20"/>
          <w:color w:val="auto"/>
        </w:rPr>
      </w:pPr>
      <w:r>
        <w:rPr>
          <w:rFonts w:ascii="Arial" w:cs="Arial" w:eastAsia="Arial" w:hAnsi="Arial"/>
          <w:sz w:val="16"/>
          <w:szCs w:val="16"/>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46" w:lineRule="exact"/>
        <w:rPr>
          <w:sz w:val="20"/>
          <w:szCs w:val="20"/>
          <w:color w:val="auto"/>
        </w:rPr>
      </w:pPr>
    </w:p>
    <w:p>
      <w:pPr>
        <w:jc w:val="both"/>
        <w:ind w:left="460" w:right="20" w:hanging="110"/>
        <w:spacing w:after="0" w:line="325"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72" w:lineRule="exact"/>
        <w:rPr>
          <w:rFonts w:ascii="Arial" w:cs="Arial" w:eastAsia="Arial" w:hAnsi="Arial"/>
          <w:sz w:val="15"/>
          <w:szCs w:val="15"/>
          <w:color w:val="auto"/>
        </w:rPr>
      </w:pPr>
    </w:p>
    <w:p>
      <w:pPr>
        <w:ind w:left="460" w:right="20" w:hanging="110"/>
        <w:spacing w:after="0" w:line="26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no event will liquidated damages accrue at an annual rate exceeding 0.50%.</w:t>
      </w:r>
    </w:p>
    <w:p>
      <w:pPr>
        <w:spacing w:after="0" w:line="2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holder who elects to sell registrable securities pursuant to the shelf registration statement will be required to:</w:t>
      </w:r>
    </w:p>
    <w:p>
      <w:pPr>
        <w:spacing w:after="0" w:line="228" w:lineRule="exact"/>
        <w:rPr>
          <w:sz w:val="20"/>
          <w:szCs w:val="20"/>
          <w:color w:val="auto"/>
        </w:rPr>
      </w:pPr>
    </w:p>
    <w:p>
      <w:pPr>
        <w:ind w:left="460" w:hanging="110"/>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be named as a selling securityholder in the related prospectus;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deliver a prospectus to purchasers;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be subject to the provisions of the registration rights agreement, including indemnification provisions.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 the registration rights agreement we will:</w:t>
      </w:r>
    </w:p>
    <w:p>
      <w:pPr>
        <w:spacing w:after="0" w:line="228" w:lineRule="exact"/>
        <w:rPr>
          <w:sz w:val="20"/>
          <w:szCs w:val="20"/>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pay all customary expenses with respect to the shelf registration statement;</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each registered holder copies of the prospectus;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notify holders when the shelf registration statement has become effective; and</w:t>
      </w:r>
    </w:p>
    <w:p>
      <w:pPr>
        <w:spacing w:after="0" w:line="280" w:lineRule="exact"/>
        <w:rPr>
          <w:rFonts w:ascii="Arial" w:cs="Arial" w:eastAsia="Arial" w:hAnsi="Arial"/>
          <w:sz w:val="17"/>
          <w:szCs w:val="17"/>
          <w:color w:val="auto"/>
        </w:rPr>
      </w:pPr>
    </w:p>
    <w:p>
      <w:pPr>
        <w:ind w:left="460" w:right="360" w:hanging="110"/>
        <w:spacing w:after="0" w:line="286"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take other reasonable actions as are required to permit unrestricted resales of the registrable securities in accordance with the terms and conditions of the registration rights agreement.</w:t>
      </w:r>
    </w:p>
    <w:p>
      <w:pPr>
        <w:spacing w:after="0" w:line="196" w:lineRule="exact"/>
        <w:rPr>
          <w:sz w:val="20"/>
          <w:szCs w:val="20"/>
          <w:color w:val="auto"/>
        </w:rPr>
      </w:pPr>
    </w:p>
    <w:p>
      <w:pPr>
        <w:ind w:right="100" w:firstLine="318"/>
        <w:spacing w:after="0" w:line="286" w:lineRule="auto"/>
        <w:rPr>
          <w:sz w:val="20"/>
          <w:szCs w:val="20"/>
          <w:color w:val="auto"/>
        </w:rPr>
      </w:pPr>
      <w:r>
        <w:rPr>
          <w:rFonts w:ascii="Arial" w:cs="Arial" w:eastAsia="Arial" w:hAnsi="Arial"/>
          <w:sz w:val="17"/>
          <w:szCs w:val="17"/>
          <w:color w:val="auto"/>
        </w:rPr>
        <w:t>The plan of distribution of the shelf registration statement, of which this prospectus is a part, permits resales of registrable securities by selling securityholders through brokers and dealers.</w:t>
      </w:r>
    </w:p>
    <w:p>
      <w:pPr>
        <w:spacing w:after="0" w:line="196" w:lineRule="exact"/>
        <w:rPr>
          <w:sz w:val="20"/>
          <w:szCs w:val="20"/>
          <w:color w:val="auto"/>
        </w:rPr>
      </w:pPr>
    </w:p>
    <w:p>
      <w:pPr>
        <w:ind w:right="480" w:firstLine="318"/>
        <w:spacing w:after="0" w:line="286" w:lineRule="auto"/>
        <w:rPr>
          <w:sz w:val="20"/>
          <w:szCs w:val="20"/>
          <w:color w:val="auto"/>
        </w:rPr>
      </w:pPr>
      <w:r>
        <w:rPr>
          <w:rFonts w:ascii="Arial" w:cs="Arial" w:eastAsia="Arial" w:hAnsi="Arial"/>
          <w:sz w:val="17"/>
          <w:szCs w:val="17"/>
          <w:color w:val="auto"/>
        </w:rPr>
        <w:t>We agreed in the registration rights agreement to give notice to all holders of the filing and effectiveness of the shelf registration statement, of which this prospectus is a part.</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51" w:right="339" w:bottom="1440" w:gutter="0" w:footer="0" w:header="0"/>
        </w:sectPr>
      </w:pPr>
    </w:p>
    <w:bookmarkStart w:id="43" w:name="page44"/>
    <w:bookmarkEnd w:id="43"/>
    <w:p>
      <w:pPr>
        <w:ind w:right="60" w:firstLine="318"/>
        <w:spacing w:after="0" w:line="286" w:lineRule="auto"/>
        <w:rPr>
          <w:sz w:val="20"/>
          <w:szCs w:val="20"/>
          <w:color w:val="auto"/>
        </w:rPr>
      </w:pPr>
      <w:r>
        <w:rPr>
          <w:rFonts w:ascii="Arial" w:cs="Arial" w:eastAsia="Arial" w:hAnsi="Arial"/>
          <w:sz w:val="17"/>
          <w:szCs w:val="17"/>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144A Information Request</w:t>
      </w:r>
    </w:p>
    <w:p>
      <w:pPr>
        <w:spacing w:after="0" w:line="260"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Concerning the Trustee</w:t>
      </w:r>
    </w:p>
    <w:p>
      <w:pPr>
        <w:spacing w:after="0" w:line="260" w:lineRule="exact"/>
        <w:rPr>
          <w:sz w:val="20"/>
          <w:szCs w:val="20"/>
          <w:color w:val="auto"/>
        </w:rPr>
      </w:pPr>
    </w:p>
    <w:p>
      <w:pPr>
        <w:ind w:right="260" w:firstLine="318"/>
        <w:spacing w:after="0" w:line="286" w:lineRule="auto"/>
        <w:rPr>
          <w:sz w:val="20"/>
          <w:szCs w:val="20"/>
          <w:color w:val="auto"/>
        </w:rPr>
      </w:pPr>
      <w:r>
        <w:rPr>
          <w:rFonts w:ascii="Arial" w:cs="Arial" w:eastAsia="Arial" w:hAnsi="Arial"/>
          <w:sz w:val="17"/>
          <w:szCs w:val="17"/>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96"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Governing Law</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notes and the indenture are governed by, and construed in accordance with, the laws of the State of New York.</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7"/>
          <w:szCs w:val="17"/>
          <w:b w:val="1"/>
          <w:bCs w:val="1"/>
          <w:color w:val="auto"/>
        </w:rPr>
        <w:t>DESCRIPTION OF SHARE CAPITAL</w:t>
      </w:r>
    </w:p>
    <w:p>
      <w:pPr>
        <w:spacing w:after="0" w:line="260" w:lineRule="exact"/>
        <w:rPr>
          <w:sz w:val="20"/>
          <w:szCs w:val="20"/>
          <w:color w:val="auto"/>
        </w:rPr>
      </w:pPr>
    </w:p>
    <w:p>
      <w:pPr>
        <w:ind w:right="60" w:firstLine="318"/>
        <w:spacing w:after="0" w:line="286" w:lineRule="auto"/>
        <w:rPr>
          <w:sz w:val="20"/>
          <w:szCs w:val="20"/>
          <w:color w:val="auto"/>
        </w:rPr>
      </w:pPr>
      <w:r>
        <w:rPr>
          <w:rFonts w:ascii="Arial" w:cs="Arial" w:eastAsia="Arial" w:hAnsi="Arial"/>
          <w:sz w:val="17"/>
          <w:szCs w:val="17"/>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96"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The share capital of Amdocs is £5,750,000 divided into (i) 25,000,000 preferred shares with a par value of £0.01 per share and (ii) 550,000,000 ordinary shares with a par value of £0.01 per share, consisting of 500,000,000 voting ordinary shares and 50,000,000 non-voting ordinary shares. As of June 30, 2005, 199,237,626 ordinary shares were outstanding (net of treasury shares) and no non-voting ordinary shares or preferred shares were outstanding. The rights, preferences and restrictions attaching to each class of the shares are as follows: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Shares</w:t>
      </w:r>
    </w:p>
    <w:p>
      <w:pPr>
        <w:spacing w:after="0" w:line="234" w:lineRule="exact"/>
        <w:rPr>
          <w:sz w:val="20"/>
          <w:szCs w:val="20"/>
          <w:color w:val="auto"/>
        </w:rPr>
      </w:pPr>
    </w:p>
    <w:p>
      <w:pPr>
        <w:ind w:left="460" w:hanging="110"/>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Issue </w:t>
      </w:r>
      <w:r>
        <w:rPr>
          <w:rFonts w:ascii="Arial" w:cs="Arial" w:eastAsia="Arial" w:hAnsi="Arial"/>
          <w:sz w:val="17"/>
          <w:szCs w:val="17"/>
          <w:color w:val="auto"/>
        </w:rPr>
        <w:t>— the preferred shares may be issued from time to time in one or more series of any number of shares up to the amount authorized.</w:t>
      </w:r>
    </w:p>
    <w:p>
      <w:pPr>
        <w:spacing w:after="0" w:line="280" w:lineRule="exact"/>
        <w:rPr>
          <w:rFonts w:ascii="Arial" w:cs="Arial" w:eastAsia="Arial" w:hAnsi="Arial"/>
          <w:sz w:val="17"/>
          <w:szCs w:val="17"/>
          <w:color w:val="auto"/>
        </w:rPr>
      </w:pPr>
    </w:p>
    <w:p>
      <w:pPr>
        <w:jc w:val="both"/>
        <w:ind w:left="460" w:right="60" w:hanging="110"/>
        <w:spacing w:after="0" w:line="273"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Authorization to Issue Preferred Shares </w:t>
      </w:r>
      <w:r>
        <w:rPr>
          <w:rFonts w:ascii="Arial" w:cs="Arial" w:eastAsia="Arial" w:hAnsi="Arial"/>
          <w:sz w:val="17"/>
          <w:szCs w:val="17"/>
          <w:color w:val="auto"/>
        </w:rPr>
        <w:t>— authority is vested in the directors from time to time to authorize the issue of one or more series of preferred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and to provide for the designations, powers, preferences and relative participating, optional or other special rights and qualifications, limitations or restrictions thereon.</w:t>
      </w:r>
    </w:p>
    <w:p>
      <w:pPr>
        <w:spacing w:after="0" w:line="206" w:lineRule="exact"/>
        <w:rPr>
          <w:rFonts w:ascii="Arial" w:cs="Arial" w:eastAsia="Arial" w:hAnsi="Arial"/>
          <w:sz w:val="17"/>
          <w:szCs w:val="17"/>
          <w:color w:val="auto"/>
        </w:rPr>
      </w:pPr>
    </w:p>
    <w:p>
      <w:pPr>
        <w:ind w:left="460" w:hanging="110"/>
        <w:spacing w:after="0" w:line="286"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Relative Rights </w:t>
      </w:r>
      <w:r>
        <w:rPr>
          <w:rFonts w:ascii="Arial" w:cs="Arial" w:eastAsia="Arial" w:hAnsi="Arial"/>
          <w:sz w:val="17"/>
          <w:szCs w:val="17"/>
          <w:color w:val="auto"/>
        </w:rPr>
        <w:t>— all shares of any one series of preferred shares must be identical with each other in all respects, except that shares of any one series issued at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times may differ as to the dates from which dividends shall be cumulative.</w:t>
      </w:r>
    </w:p>
    <w:p>
      <w:pPr>
        <w:spacing w:after="0" w:line="195" w:lineRule="exact"/>
        <w:rPr>
          <w:rFonts w:ascii="Arial" w:cs="Arial" w:eastAsia="Arial" w:hAnsi="Arial"/>
          <w:sz w:val="17"/>
          <w:szCs w:val="17"/>
          <w:color w:val="auto"/>
        </w:rPr>
      </w:pPr>
    </w:p>
    <w:p>
      <w:pPr>
        <w:ind w:left="460" w:right="60" w:hanging="110"/>
        <w:spacing w:after="0" w:line="266"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or winding-up, the holders of our preferred shares are entitled to preference with respect to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3" w:lineRule="exact"/>
        <w:rPr>
          <w:rFonts w:ascii="Arial" w:cs="Arial" w:eastAsia="Arial" w:hAnsi="Arial"/>
          <w:sz w:val="17"/>
          <w:szCs w:val="17"/>
          <w:color w:val="auto"/>
        </w:rPr>
      </w:pPr>
    </w:p>
    <w:p>
      <w:pPr>
        <w:ind w:left="460" w:right="440" w:hanging="110"/>
        <w:spacing w:after="0" w:line="356"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 except as otherwise provided for by the directors upon the issue of any new series of preferred shares, the holders of shares of preferred</w:t>
      </w:r>
      <w:r>
        <w:rPr>
          <w:rFonts w:ascii="Arial" w:cs="Arial" w:eastAsia="Arial" w:hAnsi="Arial"/>
          <w:sz w:val="15"/>
          <w:szCs w:val="15"/>
          <w:i w:val="1"/>
          <w:iCs w:val="1"/>
          <w:color w:val="auto"/>
        </w:rPr>
        <w:t xml:space="preserve"> </w:t>
      </w:r>
      <w:r>
        <w:rPr>
          <w:rFonts w:ascii="Arial" w:cs="Arial" w:eastAsia="Arial" w:hAnsi="Arial"/>
          <w:sz w:val="15"/>
          <w:szCs w:val="15"/>
          <w:color w:val="auto"/>
        </w:rPr>
        <w:t>shares have no right or power to vote on any question or in any proceeding or to be represented at, or to receive notice of, any meeting of members.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 and Non-Voting Ordinary Shares</w:t>
      </w:r>
    </w:p>
    <w:p>
      <w:pPr>
        <w:spacing w:after="0" w:line="260" w:lineRule="exact"/>
        <w:rPr>
          <w:sz w:val="20"/>
          <w:szCs w:val="20"/>
          <w:color w:val="auto"/>
        </w:rPr>
      </w:pPr>
    </w:p>
    <w:p>
      <w:pPr>
        <w:ind w:right="160" w:firstLine="318"/>
        <w:spacing w:after="0" w:line="286" w:lineRule="auto"/>
        <w:rPr>
          <w:sz w:val="20"/>
          <w:szCs w:val="20"/>
          <w:color w:val="auto"/>
        </w:rPr>
      </w:pPr>
      <w:r>
        <w:rPr>
          <w:rFonts w:ascii="Arial" w:cs="Arial" w:eastAsia="Arial" w:hAnsi="Arial"/>
          <w:sz w:val="17"/>
          <w:szCs w:val="17"/>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9" w:lineRule="exact"/>
        <w:rPr>
          <w:sz w:val="20"/>
          <w:szCs w:val="20"/>
          <w:color w:val="auto"/>
        </w:rPr>
      </w:pPr>
    </w:p>
    <w:p>
      <w:pPr>
        <w:jc w:val="both"/>
        <w:ind w:left="460" w:right="360" w:hanging="110"/>
        <w:spacing w:after="0" w:line="273"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when and as dividends are declared on our shares, the holders of voting ordinary shares and non-voting ordinary shares are entitled to share</w:t>
      </w:r>
      <w:r>
        <w:rPr>
          <w:rFonts w:ascii="Arial" w:cs="Arial" w:eastAsia="Arial" w:hAnsi="Arial"/>
          <w:sz w:val="17"/>
          <w:szCs w:val="17"/>
          <w:i w:val="1"/>
          <w:iCs w:val="1"/>
          <w:color w:val="auto"/>
        </w:rPr>
        <w:t xml:space="preserve"> </w:t>
      </w:r>
      <w:r>
        <w:rPr>
          <w:rFonts w:ascii="Arial" w:cs="Arial" w:eastAsia="Arial" w:hAnsi="Arial"/>
          <w:sz w:val="17"/>
          <w:szCs w:val="17"/>
          <w:color w:val="auto"/>
        </w:rPr>
        <w:t>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6" w:lineRule="exact"/>
        <w:rPr>
          <w:rFonts w:ascii="Arial" w:cs="Arial" w:eastAsia="Arial" w:hAnsi="Arial"/>
          <w:sz w:val="17"/>
          <w:szCs w:val="17"/>
          <w:color w:val="auto"/>
        </w:rPr>
      </w:pPr>
    </w:p>
    <w:p>
      <w:pPr>
        <w:ind w:left="460" w:right="100" w:hanging="110"/>
        <w:spacing w:after="0" w:line="273"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Conversion of Non-Voting Ordinary Shares into Voting Ordinary Shares </w:t>
      </w:r>
      <w:r>
        <w:rPr>
          <w:rFonts w:ascii="Arial" w:cs="Arial" w:eastAsia="Arial" w:hAnsi="Arial"/>
          <w:sz w:val="17"/>
          <w:szCs w:val="17"/>
          <w:color w:val="auto"/>
        </w:rPr>
        <w:t>— upon the transfer of non-voting ordinary shares from the original holder thereof to</w:t>
      </w:r>
      <w:r>
        <w:rPr>
          <w:rFonts w:ascii="Arial" w:cs="Arial" w:eastAsia="Arial" w:hAnsi="Arial"/>
          <w:sz w:val="17"/>
          <w:szCs w:val="17"/>
          <w:i w:val="1"/>
          <w:iCs w:val="1"/>
          <w:color w:val="auto"/>
        </w:rPr>
        <w:t xml:space="preserve"> </w:t>
      </w:r>
      <w:r>
        <w:rPr>
          <w:rFonts w:ascii="Arial" w:cs="Arial" w:eastAsia="Arial" w:hAnsi="Arial"/>
          <w:sz w:val="17"/>
          <w:szCs w:val="17"/>
          <w:color w:val="auto"/>
        </w:rPr>
        <w:t>any third party not affiliated with such original holder, non-voting ordinary shares are redesignated in our books as voting ordinary shares and automatically convert into the same number of voting ordinary shares.</w:t>
      </w:r>
    </w:p>
    <w:p>
      <w:pPr>
        <w:spacing w:after="0" w:line="206" w:lineRule="exact"/>
        <w:rPr>
          <w:rFonts w:ascii="Arial" w:cs="Arial" w:eastAsia="Arial" w:hAnsi="Arial"/>
          <w:sz w:val="17"/>
          <w:szCs w:val="17"/>
          <w:color w:val="auto"/>
        </w:rPr>
      </w:pPr>
    </w:p>
    <w:p>
      <w:pPr>
        <w:ind w:left="460" w:right="180" w:hanging="110"/>
        <w:spacing w:after="0" w:line="319"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of our assets remaining after creditors and the holders of any preferred shares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full shall be distributed to the holders of voting ordinary shares and non-voting ordinary shares equally share for share.</w:t>
      </w:r>
    </w:p>
    <w:p>
      <w:pPr>
        <w:spacing w:after="0" w:line="172" w:lineRule="exact"/>
        <w:rPr>
          <w:rFonts w:ascii="Arial" w:cs="Arial" w:eastAsia="Arial" w:hAnsi="Arial"/>
          <w:sz w:val="16"/>
          <w:szCs w:val="16"/>
          <w:color w:val="auto"/>
        </w:rPr>
      </w:pPr>
    </w:p>
    <w:p>
      <w:pPr>
        <w:ind w:left="460" w:right="20" w:hanging="110"/>
        <w:spacing w:after="0" w:line="286"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the holders of voting ordinary shares are entitled to vote on all matters to be voted on by the members, and the holders of non-voting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are not entitled to any voting rights.</w:t>
      </w:r>
    </w:p>
    <w:p>
      <w:pPr>
        <w:spacing w:after="0" w:line="195" w:lineRule="exact"/>
        <w:rPr>
          <w:rFonts w:ascii="Arial" w:cs="Arial" w:eastAsia="Arial" w:hAnsi="Arial"/>
          <w:sz w:val="17"/>
          <w:szCs w:val="17"/>
          <w:color w:val="auto"/>
        </w:rPr>
      </w:pPr>
    </w:p>
    <w:p>
      <w:pPr>
        <w:ind w:left="460" w:right="420" w:hanging="110"/>
        <w:spacing w:after="0" w:line="286"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Preferences </w:t>
      </w:r>
      <w:r>
        <w:rPr>
          <w:rFonts w:ascii="Arial" w:cs="Arial" w:eastAsia="Arial" w:hAnsi="Arial"/>
          <w:sz w:val="17"/>
          <w:szCs w:val="17"/>
          <w:color w:val="auto"/>
        </w:rPr>
        <w:t>— the voting ordinary shares and non-voting ordinary shares are subject to all the powers, rights, privileges, preferences and priorities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shares as are set out in the Articles of Association.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7"/>
          <w:szCs w:val="17"/>
          <w:b w:val="1"/>
          <w:bCs w:val="1"/>
          <w:color w:val="auto"/>
        </w:rPr>
        <w:t>COMPARISON OF UNITED STATES AND GUERNSEY CORPORATE LAW</w:t>
      </w:r>
    </w:p>
    <w:p>
      <w:pPr>
        <w:spacing w:after="0" w:line="260"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6"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2"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91" w:lineRule="exact"/>
        <w:rPr>
          <w:sz w:val="20"/>
          <w:szCs w:val="20"/>
          <w:color w:val="auto"/>
        </w:rPr>
      </w:pPr>
    </w:p>
    <w:p>
      <w:pPr>
        <w:ind w:right="40" w:firstLine="318"/>
        <w:spacing w:after="0" w:line="286" w:lineRule="auto"/>
        <w:rPr>
          <w:sz w:val="20"/>
          <w:szCs w:val="20"/>
          <w:color w:val="auto"/>
        </w:rPr>
      </w:pPr>
      <w:r>
        <w:rPr>
          <w:rFonts w:ascii="Arial" w:cs="Arial" w:eastAsia="Arial" w:hAnsi="Arial"/>
          <w:sz w:val="16"/>
          <w:szCs w:val="16"/>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0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CERTAIN UNITED STATES FEDERAL INCOME TAX CONSIDERATIONS</w:t>
      </w:r>
    </w:p>
    <w:p>
      <w:pPr>
        <w:spacing w:after="0" w:line="260" w:lineRule="exact"/>
        <w:rPr>
          <w:sz w:val="20"/>
          <w:szCs w:val="20"/>
          <w:color w:val="auto"/>
        </w:rPr>
      </w:pPr>
    </w:p>
    <w:p>
      <w:pPr>
        <w:ind w:firstLine="318"/>
        <w:spacing w:after="0" w:line="283" w:lineRule="auto"/>
        <w:rPr>
          <w:sz w:val="20"/>
          <w:szCs w:val="20"/>
          <w:color w:val="auto"/>
        </w:rPr>
      </w:pPr>
      <w:r>
        <w:rPr>
          <w:rFonts w:ascii="Arial" w:cs="Arial" w:eastAsia="Arial" w:hAnsi="Arial"/>
          <w:sz w:val="16"/>
          <w:szCs w:val="16"/>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75" w:lineRule="exact"/>
        <w:rPr>
          <w:sz w:val="20"/>
          <w:szCs w:val="20"/>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banks or other financial institutions;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entities treated as partnerships or other flow-through entities for United States federal income tax purposes;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U.S. Holders (as defined below) whose functional currency is other than the United States dollar;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tax-exempt entities;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regulated investment companies;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dealers in securities or currencies; or</w:t>
      </w:r>
    </w:p>
    <w:p>
      <w:pPr>
        <w:spacing w:after="0" w:line="280" w:lineRule="exact"/>
        <w:rPr>
          <w:rFonts w:ascii="Arial" w:cs="Arial" w:eastAsia="Arial" w:hAnsi="Arial"/>
          <w:sz w:val="17"/>
          <w:szCs w:val="17"/>
          <w:color w:val="auto"/>
        </w:rPr>
      </w:pPr>
    </w:p>
    <w:p>
      <w:pPr>
        <w:jc w:val="both"/>
        <w:ind w:left="460" w:right="300" w:hanging="110"/>
        <w:spacing w:after="0" w:line="273"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06"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Consequences to U.S. Holders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Interest</w:t>
      </w:r>
    </w:p>
    <w:p>
      <w:pPr>
        <w:spacing w:after="0" w:line="254" w:lineRule="exact"/>
        <w:rPr>
          <w:sz w:val="20"/>
          <w:szCs w:val="20"/>
          <w:color w:val="auto"/>
        </w:rPr>
      </w:pPr>
    </w:p>
    <w:p>
      <w:pPr>
        <w:ind w:right="20" w:firstLine="318"/>
        <w:spacing w:after="0" w:line="315" w:lineRule="auto"/>
        <w:rPr>
          <w:sz w:val="20"/>
          <w:szCs w:val="20"/>
          <w:color w:val="auto"/>
        </w:rPr>
      </w:pPr>
      <w:r>
        <w:rPr>
          <w:rFonts w:ascii="Arial" w:cs="Arial" w:eastAsia="Arial" w:hAnsi="Arial"/>
          <w:sz w:val="15"/>
          <w:szCs w:val="15"/>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47" w:name="page48"/>
    <w:bookmarkEnd w:id="47"/>
    <w:p>
      <w:pPr>
        <w:ind w:left="320"/>
        <w:spacing w:after="0"/>
        <w:rPr>
          <w:sz w:val="20"/>
          <w:szCs w:val="20"/>
          <w:color w:val="auto"/>
        </w:rPr>
      </w:pPr>
      <w:r>
        <w:rPr>
          <w:rFonts w:ascii="Arial" w:cs="Arial" w:eastAsia="Arial" w:hAnsi="Arial"/>
          <w:sz w:val="17"/>
          <w:szCs w:val="17"/>
          <w:color w:val="auto"/>
        </w:rPr>
        <w:t>We may make payments of liquidated damages or certain other contingent payments to holders of the notes:</w:t>
      </w:r>
    </w:p>
    <w:p>
      <w:pPr>
        <w:spacing w:after="0" w:line="228" w:lineRule="exact"/>
        <w:rPr>
          <w:sz w:val="20"/>
          <w:szCs w:val="20"/>
          <w:color w:val="auto"/>
        </w:rPr>
      </w:pPr>
    </w:p>
    <w:p>
      <w:pPr>
        <w:ind w:left="460" w:right="320" w:hanging="110"/>
        <w:spacing w:after="0" w:line="286"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95" w:lineRule="exact"/>
        <w:rPr>
          <w:rFonts w:ascii="Arial" w:cs="Arial" w:eastAsia="Arial" w:hAnsi="Arial"/>
          <w:sz w:val="17"/>
          <w:szCs w:val="17"/>
          <w:color w:val="auto"/>
        </w:rPr>
      </w:pPr>
    </w:p>
    <w:p>
      <w:pPr>
        <w:ind w:left="460" w:right="540" w:hanging="110"/>
        <w:spacing w:after="0" w:line="286"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Guernsey imposes an obligation to withhold or deduct certain amounts from the payments in respect of the notes, as described under “Description of Notes — Additional Tax Amounts”; and</w:t>
      </w:r>
    </w:p>
    <w:p>
      <w:pPr>
        <w:spacing w:after="0" w:line="195" w:lineRule="exact"/>
        <w:rPr>
          <w:rFonts w:ascii="Arial" w:cs="Arial" w:eastAsia="Arial" w:hAnsi="Arial"/>
          <w:sz w:val="17"/>
          <w:szCs w:val="17"/>
          <w:color w:val="auto"/>
        </w:rPr>
      </w:pPr>
    </w:p>
    <w:p>
      <w:pPr>
        <w:ind w:left="460" w:right="420" w:hanging="110"/>
        <w:spacing w:after="0" w:line="286"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we choose to pay the repurchase price of the notes in ordinary shares or a combination of cash and ordinary shares, as described under “Description of Notes — Repurchase at Option of the Holder”.</w:t>
      </w:r>
    </w:p>
    <w:p>
      <w:pPr>
        <w:spacing w:after="0" w:line="196"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Conversion of Notes into Ordinary Shares</w:t>
      </w:r>
    </w:p>
    <w:p>
      <w:pPr>
        <w:spacing w:after="0" w:line="25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jc w:val="both"/>
        <w:ind w:right="40" w:firstLine="318"/>
        <w:spacing w:after="0" w:line="273" w:lineRule="auto"/>
        <w:rPr>
          <w:sz w:val="20"/>
          <w:szCs w:val="20"/>
          <w:color w:val="auto"/>
        </w:rPr>
      </w:pPr>
      <w:r>
        <w:rPr>
          <w:rFonts w:ascii="Arial" w:cs="Arial" w:eastAsia="Arial" w:hAnsi="Arial"/>
          <w:sz w:val="17"/>
          <w:szCs w:val="17"/>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Adjustment to Conversion Rate</w:t>
      </w:r>
    </w:p>
    <w:p>
      <w:pPr>
        <w:spacing w:after="0" w:line="254"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Sale, Exchange, Redemption or other Taxable Disposition of Notes</w:t>
      </w:r>
    </w:p>
    <w:p>
      <w:pPr>
        <w:spacing w:after="0" w:line="254"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w:t>
      </w:r>
    </w:p>
    <w:p>
      <w:pPr>
        <w:ind w:right="20"/>
        <w:spacing w:after="0" w:line="279" w:lineRule="auto"/>
        <w:rPr>
          <w:sz w:val="20"/>
          <w:szCs w:val="20"/>
          <w:color w:val="auto"/>
        </w:rPr>
      </w:pPr>
      <w:r>
        <w:rPr>
          <w:rFonts w:ascii="Arial" w:cs="Arial" w:eastAsia="Arial" w:hAnsi="Arial"/>
          <w:sz w:val="17"/>
          <w:szCs w:val="17"/>
          <w:color w:val="auto"/>
        </w:rPr>
        <w:t>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48" w:name="page49"/>
    <w:bookmarkEnd w:id="48"/>
    <w:p>
      <w:pPr>
        <w:ind w:right="140"/>
        <w:spacing w:after="0" w:line="319" w:lineRule="auto"/>
        <w:rPr>
          <w:sz w:val="20"/>
          <w:szCs w:val="20"/>
          <w:color w:val="auto"/>
        </w:rPr>
      </w:pPr>
      <w:r>
        <w:rPr>
          <w:rFonts w:ascii="Arial" w:cs="Arial" w:eastAsia="Arial" w:hAnsi="Arial"/>
          <w:sz w:val="16"/>
          <w:szCs w:val="16"/>
          <w:color w:val="auto"/>
        </w:rPr>
        <w:t>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Dividends</w:t>
      </w:r>
    </w:p>
    <w:p>
      <w:pPr>
        <w:spacing w:after="0" w:line="254"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Sale, Exchange or Other Taxable Disposition of Ordinary Shares</w:t>
      </w:r>
    </w:p>
    <w:p>
      <w:pPr>
        <w:spacing w:after="0" w:line="254" w:lineRule="exact"/>
        <w:rPr>
          <w:sz w:val="20"/>
          <w:szCs w:val="20"/>
          <w:color w:val="auto"/>
        </w:rPr>
      </w:pPr>
    </w:p>
    <w:p>
      <w:pPr>
        <w:jc w:val="both"/>
        <w:ind w:right="140" w:firstLine="318"/>
        <w:spacing w:after="0" w:line="268" w:lineRule="auto"/>
        <w:rPr>
          <w:sz w:val="20"/>
          <w:szCs w:val="20"/>
          <w:color w:val="auto"/>
        </w:rPr>
      </w:pPr>
      <w:r>
        <w:rPr>
          <w:rFonts w:ascii="Arial" w:cs="Arial" w:eastAsia="Arial" w:hAnsi="Arial"/>
          <w:sz w:val="17"/>
          <w:szCs w:val="17"/>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Passive Foreign Investment Company Considerations</w:t>
      </w:r>
    </w:p>
    <w:p>
      <w:pPr>
        <w:spacing w:after="0" w:line="254" w:lineRule="exact"/>
        <w:rPr>
          <w:sz w:val="20"/>
          <w:szCs w:val="20"/>
          <w:color w:val="auto"/>
        </w:rPr>
      </w:pPr>
    </w:p>
    <w:p>
      <w:pPr>
        <w:ind w:right="160" w:firstLine="318"/>
        <w:spacing w:after="0" w:line="266" w:lineRule="auto"/>
        <w:rPr>
          <w:sz w:val="20"/>
          <w:szCs w:val="20"/>
          <w:color w:val="auto"/>
        </w:rPr>
      </w:pPr>
      <w:r>
        <w:rPr>
          <w:rFonts w:ascii="Arial" w:cs="Arial" w:eastAsia="Arial" w:hAnsi="Arial"/>
          <w:sz w:val="17"/>
          <w:szCs w:val="17"/>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213"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202" w:lineRule="exact"/>
        <w:rPr>
          <w:sz w:val="20"/>
          <w:szCs w:val="20"/>
          <w:color w:val="auto"/>
        </w:rPr>
      </w:pPr>
    </w:p>
    <w:p>
      <w:pPr>
        <w:ind w:right="60" w:firstLine="318"/>
        <w:spacing w:after="0" w:line="319" w:lineRule="auto"/>
        <w:rPr>
          <w:sz w:val="20"/>
          <w:szCs w:val="20"/>
          <w:color w:val="auto"/>
        </w:rPr>
      </w:pPr>
      <w:r>
        <w:rPr>
          <w:rFonts w:ascii="Arial" w:cs="Arial" w:eastAsia="Arial" w:hAnsi="Arial"/>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Tax Rules Applicable to Non-U.S. Holders</w:t>
      </w:r>
    </w:p>
    <w:p>
      <w:pPr>
        <w:spacing w:after="0" w:line="260" w:lineRule="exact"/>
        <w:rPr>
          <w:sz w:val="20"/>
          <w:szCs w:val="20"/>
          <w:color w:val="auto"/>
        </w:rPr>
      </w:pPr>
    </w:p>
    <w:p>
      <w:pPr>
        <w:ind w:right="120" w:firstLine="318"/>
        <w:spacing w:after="0" w:line="286" w:lineRule="auto"/>
        <w:rPr>
          <w:sz w:val="20"/>
          <w:szCs w:val="20"/>
          <w:color w:val="auto"/>
        </w:rPr>
      </w:pPr>
      <w:r>
        <w:rPr>
          <w:rFonts w:ascii="Arial" w:cs="Arial" w:eastAsia="Arial" w:hAnsi="Arial"/>
          <w:sz w:val="16"/>
          <w:szCs w:val="16"/>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00" w:lineRule="exact"/>
        <w:rPr>
          <w:sz w:val="20"/>
          <w:szCs w:val="20"/>
          <w:color w:val="auto"/>
        </w:rPr>
      </w:pPr>
    </w:p>
    <w:p>
      <w:pPr>
        <w:ind w:right="540" w:firstLine="318"/>
        <w:spacing w:after="0" w:line="286" w:lineRule="auto"/>
        <w:rPr>
          <w:sz w:val="20"/>
          <w:szCs w:val="20"/>
          <w:color w:val="auto"/>
        </w:rPr>
      </w:pPr>
      <w:r>
        <w:rPr>
          <w:rFonts w:ascii="Arial" w:cs="Arial" w:eastAsia="Arial" w:hAnsi="Arial"/>
          <w:sz w:val="17"/>
          <w:szCs w:val="17"/>
          <w:color w:val="auto"/>
        </w:rPr>
        <w:t>U.S. trade or business income of a Non-U.S. Holder will generally be subject to regular United States federal income tax in the same manner as if it were realized by a U.S. Holder. Non-U.S. Holders that realize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U.S. trade or business income with respect to the notes or ordinary shares should consult their tax advisors as to the treatment of such income or gain.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U.S. Holders</w:t>
      </w:r>
    </w:p>
    <w:p>
      <w:pPr>
        <w:spacing w:after="0" w:line="254"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Non-U.S. Holders</w:t>
      </w:r>
    </w:p>
    <w:p>
      <w:pPr>
        <w:spacing w:after="0" w:line="254" w:lineRule="exact"/>
        <w:rPr>
          <w:sz w:val="20"/>
          <w:szCs w:val="20"/>
          <w:color w:val="auto"/>
        </w:rPr>
      </w:pPr>
    </w:p>
    <w:p>
      <w:pPr>
        <w:ind w:right="840" w:firstLine="318"/>
        <w:spacing w:after="0" w:line="286" w:lineRule="auto"/>
        <w:rPr>
          <w:sz w:val="20"/>
          <w:szCs w:val="20"/>
          <w:color w:val="auto"/>
        </w:rPr>
      </w:pPr>
      <w:r>
        <w:rPr>
          <w:rFonts w:ascii="Arial" w:cs="Arial" w:eastAsia="Arial" w:hAnsi="Arial"/>
          <w:sz w:val="17"/>
          <w:szCs w:val="17"/>
          <w:color w:val="auto"/>
        </w:rPr>
        <w:t>A Non-U.S. Holder may be required to comply with certification procedures to establish that the holder is not a U.S. person in order to avoid backup withholding tax and information reporting requirements.</w:t>
      </w:r>
    </w:p>
    <w:p>
      <w:pPr>
        <w:spacing w:after="0" w:line="196" w:lineRule="exact"/>
        <w:rPr>
          <w:sz w:val="20"/>
          <w:szCs w:val="20"/>
          <w:color w:val="auto"/>
        </w:rPr>
      </w:pPr>
    </w:p>
    <w:p>
      <w:pPr>
        <w:ind w:right="120" w:firstLine="318"/>
        <w:spacing w:after="0" w:line="279" w:lineRule="auto"/>
        <w:rPr>
          <w:sz w:val="20"/>
          <w:szCs w:val="20"/>
          <w:color w:val="auto"/>
        </w:rPr>
      </w:pPr>
      <w:r>
        <w:rPr>
          <w:rFonts w:ascii="Arial" w:cs="Arial" w:eastAsia="Arial" w:hAnsi="Arial"/>
          <w:sz w:val="16"/>
          <w:szCs w:val="16"/>
          <w:color w:val="auto"/>
        </w:rPr>
        <w:t>THE PRECEDING DISCUSSION OF CERTAIN U.S. FEDERAL INCOME TAX CONSIDERATIONS IS FOR GENERAL INFORMATION ONLY AND IS NOT TAX ADVICE. ACCORDINGLY, EACH PROSPECTIVE INVESTOR SHOULD CONSULT ITS TAX ADVISOR AS TO THE PARTICULAR</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7"/>
          <w:szCs w:val="17"/>
          <w:b w:val="1"/>
          <w:bCs w:val="1"/>
          <w:color w:val="auto"/>
        </w:rPr>
        <w:t>CERTAIN GUERNSEY TAX CONSIDERATIONS</w:t>
      </w:r>
    </w:p>
    <w:p>
      <w:pPr>
        <w:spacing w:after="0" w:line="260"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213" w:lineRule="exact"/>
        <w:rPr>
          <w:sz w:val="20"/>
          <w:szCs w:val="20"/>
          <w:color w:val="auto"/>
        </w:rPr>
      </w:pPr>
    </w:p>
    <w:p>
      <w:pPr>
        <w:ind w:right="160" w:firstLine="318"/>
        <w:spacing w:after="0" w:line="286" w:lineRule="auto"/>
        <w:rPr>
          <w:sz w:val="20"/>
          <w:szCs w:val="20"/>
          <w:color w:val="auto"/>
        </w:rPr>
      </w:pPr>
      <w:r>
        <w:rPr>
          <w:rFonts w:ascii="Arial" w:cs="Arial" w:eastAsia="Arial" w:hAnsi="Arial"/>
          <w:sz w:val="17"/>
          <w:szCs w:val="17"/>
          <w:color w:val="auto"/>
        </w:rPr>
        <w:t>There are no capital gains, gift or inheritance taxes levied by Guernsey, and the notes and ordinary shares generally would not be subject to any transfer taxes, stamp duties or similar charges on issuance or transfer.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Union Savings Tax Directive</w:t>
      </w:r>
    </w:p>
    <w:p>
      <w:pPr>
        <w:spacing w:after="0" w:line="260"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95"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215"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As indicated above under “Description of Notes — Additional Tax Amounts,” we will not make any additional payments to holders to compensate them for any tax that is required to be withheld as a result of these proposals.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19" w:right="29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SELLING SECURITYHOLDERS</w:t>
      </w:r>
    </w:p>
    <w:p>
      <w:pPr>
        <w:spacing w:after="0" w:line="260" w:lineRule="exact"/>
        <w:rPr>
          <w:sz w:val="20"/>
          <w:szCs w:val="20"/>
          <w:color w:val="auto"/>
        </w:rPr>
      </w:pPr>
    </w:p>
    <w:p>
      <w:pPr>
        <w:ind w:right="20" w:firstLine="318"/>
        <w:spacing w:after="0" w:line="278" w:lineRule="auto"/>
        <w:rPr>
          <w:sz w:val="20"/>
          <w:szCs w:val="20"/>
          <w:color w:val="auto"/>
        </w:rPr>
      </w:pPr>
      <w:r>
        <w:rPr>
          <w:rFonts w:ascii="Arial" w:cs="Arial" w:eastAsia="Arial" w:hAnsi="Arial"/>
          <w:sz w:val="16"/>
          <w:szCs w:val="16"/>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w:t>
      </w:r>
    </w:p>
    <w:p>
      <w:pPr>
        <w:spacing w:after="0" w:line="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178" w:lineRule="exact"/>
        <w:rPr>
          <w:sz w:val="20"/>
          <w:szCs w:val="20"/>
          <w:color w:val="auto"/>
        </w:rPr>
      </w:pPr>
    </w:p>
    <w:p>
      <w:pPr>
        <w:ind w:right="180" w:firstLine="318"/>
        <w:spacing w:after="0" w:line="310" w:lineRule="auto"/>
        <w:rPr>
          <w:sz w:val="20"/>
          <w:szCs w:val="20"/>
          <w:color w:val="auto"/>
        </w:rPr>
      </w:pPr>
      <w:r>
        <w:rPr>
          <w:rFonts w:ascii="Arial" w:cs="Arial" w:eastAsia="Arial" w:hAnsi="Arial"/>
          <w:sz w:val="15"/>
          <w:szCs w:val="15"/>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82" w:lineRule="exact"/>
        <w:rPr>
          <w:sz w:val="20"/>
          <w:szCs w:val="20"/>
          <w:color w:val="auto"/>
        </w:rPr>
      </w:pPr>
    </w:p>
    <w:p>
      <w:pPr>
        <w:jc w:val="both"/>
        <w:ind w:right="120" w:firstLine="318"/>
        <w:spacing w:after="0" w:line="273" w:lineRule="auto"/>
        <w:rPr>
          <w:sz w:val="20"/>
          <w:szCs w:val="20"/>
          <w:color w:val="auto"/>
        </w:rPr>
      </w:pPr>
      <w:r>
        <w:rPr>
          <w:rFonts w:ascii="Arial" w:cs="Arial" w:eastAsia="Arial" w:hAnsi="Arial"/>
          <w:sz w:val="17"/>
          <w:szCs w:val="17"/>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200,052,688 of our ordinary shares outstanding as of October 27, 2005.</w:t>
      </w:r>
    </w:p>
    <w:p>
      <w:pPr>
        <w:spacing w:after="0" w:line="206" w:lineRule="exact"/>
        <w:rPr>
          <w:sz w:val="20"/>
          <w:szCs w:val="20"/>
          <w:color w:val="auto"/>
        </w:rPr>
      </w:pPr>
    </w:p>
    <w:p>
      <w:pPr>
        <w:ind w:right="180" w:firstLine="318"/>
        <w:spacing w:after="0" w:line="286" w:lineRule="auto"/>
        <w:rPr>
          <w:sz w:val="20"/>
          <w:szCs w:val="20"/>
          <w:color w:val="auto"/>
        </w:rPr>
      </w:pPr>
      <w:r>
        <w:rPr>
          <w:rFonts w:ascii="Arial" w:cs="Arial" w:eastAsia="Arial" w:hAnsi="Arial"/>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200" w:lineRule="exact"/>
        <w:rPr>
          <w:sz w:val="20"/>
          <w:szCs w:val="20"/>
          <w:color w:val="auto"/>
        </w:rPr>
      </w:pPr>
    </w:p>
    <w:p>
      <w:pPr>
        <w:ind w:right="160" w:firstLine="318"/>
        <w:spacing w:after="0" w:line="315" w:lineRule="auto"/>
        <w:rPr>
          <w:sz w:val="20"/>
          <w:szCs w:val="20"/>
          <w:color w:val="auto"/>
        </w:rPr>
      </w:pPr>
      <w:r>
        <w:rPr>
          <w:rFonts w:ascii="Arial" w:cs="Arial" w:eastAsia="Arial" w:hAnsi="Arial"/>
          <w:sz w:val="15"/>
          <w:szCs w:val="15"/>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179" w:lineRule="exact"/>
        <w:rPr>
          <w:sz w:val="20"/>
          <w:szCs w:val="20"/>
          <w:color w:val="auto"/>
        </w:rPr>
      </w:pPr>
    </w:p>
    <w:p>
      <w:pPr>
        <w:jc w:val="both"/>
        <w:ind w:right="280" w:firstLine="318"/>
        <w:spacing w:after="0" w:line="273" w:lineRule="auto"/>
        <w:rPr>
          <w:sz w:val="20"/>
          <w:szCs w:val="20"/>
          <w:color w:val="auto"/>
        </w:rPr>
      </w:pPr>
      <w:r>
        <w:rPr>
          <w:rFonts w:ascii="Arial" w:cs="Arial" w:eastAsia="Arial" w:hAnsi="Arial"/>
          <w:sz w:val="17"/>
          <w:szCs w:val="17"/>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60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21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920"/>
              <w:spacing w:after="0"/>
              <w:rPr>
                <w:sz w:val="20"/>
                <w:szCs w:val="20"/>
                <w:color w:val="auto"/>
              </w:rPr>
            </w:pPr>
            <w:r>
              <w:rPr>
                <w:rFonts w:ascii="Arial" w:cs="Arial" w:eastAsia="Arial" w:hAnsi="Arial"/>
                <w:sz w:val="13"/>
                <w:szCs w:val="13"/>
                <w:b w:val="1"/>
                <w:bCs w:val="1"/>
                <w:color w:val="auto"/>
              </w:rPr>
              <w:t>Name of Selling Securityholder</w:t>
            </w:r>
          </w:p>
        </w:tc>
        <w:tc>
          <w:tcPr>
            <w:tcW w:w="300" w:type="dxa"/>
            <w:vAlign w:val="bottom"/>
          </w:tcPr>
          <w:p>
            <w:pPr>
              <w:spacing w:after="0"/>
              <w:rPr>
                <w:sz w:val="16"/>
                <w:szCs w:val="16"/>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r>
              <w:rPr>
                <w:rFonts w:ascii="Arial" w:cs="Arial" w:eastAsia="Arial" w:hAnsi="Arial"/>
                <w:sz w:val="13"/>
                <w:szCs w:val="13"/>
                <w:color w:val="auto"/>
              </w:rPr>
              <w:t>Acuity Master Fund, Ltd.</w:t>
            </w:r>
          </w:p>
        </w:tc>
        <w:tc>
          <w:tcPr>
            <w:tcW w:w="2120" w:type="dxa"/>
            <w:vAlign w:val="bottom"/>
            <w:gridSpan w:val="2"/>
          </w:tcPr>
          <w:p>
            <w:pPr>
              <w:jc w:val="center"/>
              <w:ind w:left="234"/>
              <w:spacing w:after="0"/>
              <w:rPr>
                <w:sz w:val="20"/>
                <w:szCs w:val="20"/>
                <w:color w:val="auto"/>
              </w:rPr>
            </w:pPr>
            <w:r>
              <w:rPr>
                <w:rFonts w:ascii="Arial" w:cs="Arial" w:eastAsia="Arial" w:hAnsi="Arial"/>
                <w:sz w:val="13"/>
                <w:szCs w:val="13"/>
                <w:color w:val="auto"/>
                <w:w w:val="93"/>
              </w:rPr>
              <w:t>1,640,000</w:t>
            </w:r>
          </w:p>
        </w:tc>
        <w:tc>
          <w:tcPr>
            <w:tcW w:w="300" w:type="dxa"/>
            <w:vAlign w:val="bottom"/>
          </w:tcPr>
          <w:p>
            <w:pPr>
              <w:spacing w:after="0"/>
              <w:rPr>
                <w:sz w:val="20"/>
                <w:szCs w:val="20"/>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38,033</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ACUITY Capital Management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4 Greenwich Office Park, 3rd Floor</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Greenwich, CT 06831 USA</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Allstate Insurance Company(1)</w:t>
            </w:r>
          </w:p>
        </w:tc>
        <w:tc>
          <w:tcPr>
            <w:tcW w:w="2120" w:type="dxa"/>
            <w:vAlign w:val="bottom"/>
            <w:gridSpan w:val="2"/>
          </w:tcPr>
          <w:p>
            <w:pPr>
              <w:jc w:val="center"/>
              <w:ind w:left="234"/>
              <w:spacing w:after="0" w:line="146" w:lineRule="exact"/>
              <w:rPr>
                <w:sz w:val="20"/>
                <w:szCs w:val="20"/>
                <w:color w:val="auto"/>
              </w:rPr>
            </w:pPr>
            <w:r>
              <w:rPr>
                <w:rFonts w:ascii="Arial" w:cs="Arial" w:eastAsia="Arial" w:hAnsi="Arial"/>
                <w:sz w:val="13"/>
                <w:szCs w:val="13"/>
                <w:color w:val="auto"/>
                <w:w w:val="93"/>
              </w:rPr>
              <w:t>3,250,000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75,371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320"/>
              <w:spacing w:after="0"/>
              <w:rPr>
                <w:sz w:val="20"/>
                <w:szCs w:val="20"/>
                <w:color w:val="auto"/>
              </w:rPr>
            </w:pPr>
            <w:r>
              <w:rPr>
                <w:rFonts w:ascii="Arial" w:cs="Arial" w:eastAsia="Arial" w:hAnsi="Arial"/>
                <w:sz w:val="13"/>
                <w:szCs w:val="13"/>
                <w:color w:val="auto"/>
              </w:rPr>
              <w:t>Allstate Investments, LLC</w:t>
            </w:r>
          </w:p>
        </w:tc>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spacing w:after="0" w:line="233" w:lineRule="auto"/>
        <w:rPr>
          <w:sz w:val="20"/>
          <w:szCs w:val="20"/>
          <w:color w:val="auto"/>
        </w:rPr>
      </w:pPr>
      <w:r>
        <w:rPr>
          <w:rFonts w:ascii="Arial" w:cs="Arial" w:eastAsia="Arial" w:hAnsi="Arial"/>
          <w:sz w:val="13"/>
          <w:szCs w:val="13"/>
          <w:color w:val="auto"/>
        </w:rPr>
        <w:t>3075 Sanders Road</w:t>
      </w:r>
    </w:p>
    <w:p>
      <w:pPr>
        <w:ind w:left="320"/>
        <w:spacing w:after="0" w:line="234" w:lineRule="auto"/>
        <w:rPr>
          <w:sz w:val="20"/>
          <w:szCs w:val="20"/>
          <w:color w:val="auto"/>
        </w:rPr>
      </w:pPr>
      <w:r>
        <w:rPr>
          <w:rFonts w:ascii="Arial" w:cs="Arial" w:eastAsia="Arial" w:hAnsi="Arial"/>
          <w:sz w:val="13"/>
          <w:szCs w:val="13"/>
          <w:color w:val="auto"/>
        </w:rPr>
        <w:t>Suite G6B</w:t>
      </w:r>
    </w:p>
    <w:p>
      <w:pPr>
        <w:ind w:left="320"/>
        <w:spacing w:after="0"/>
        <w:rPr>
          <w:sz w:val="20"/>
          <w:szCs w:val="20"/>
          <w:color w:val="auto"/>
        </w:rPr>
      </w:pPr>
      <w:r>
        <w:rPr>
          <w:rFonts w:ascii="Arial" w:cs="Arial" w:eastAsia="Arial" w:hAnsi="Arial"/>
          <w:sz w:val="13"/>
          <w:szCs w:val="13"/>
          <w:color w:val="auto"/>
        </w:rPr>
        <w:t>Northbrook, IL 60062-7127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Allstate Life Insurance Company</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3,000,000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69,573</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Allstate Investments,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3075 Sanders Road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G6B</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Northbrook, IL 60062-7127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AM International E MAC 63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630,000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14,610</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350 Park Avenue, 4th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10022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AM Master Fund I, LP</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8,470,000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196,428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350 Park Avenue, 4th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10022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American Investors Life Insurance Co.</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16,233</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AmerUs Life Insurance Company</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97,402</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The Animi Master Fund,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14,000,000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324,675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Archeus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360 Madison Avenue, 10th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Arbitex Master Fund L.P.(1)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9,000,000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208,719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Arbitex Asset Management L.P.</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1601 Elm Street, Suite 4000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Dallas, TX 75201</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Argent Classic Convertible Arbitrage Fund (Bermuda)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6,955,000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161,294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 Financial Group (Bermuda)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73 Front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Hamilton HM12 Bermuda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Argent Classic Convertible Arbitrage Fund II, L.P.</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255,000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5,913</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Argent Classic Convertible Arbitrage Fund L.P.</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1,150,000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26,669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Argent LowLev Convertible Arbitrage Fund LLC</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1,770,000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41,048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300"/>
              <w:spacing w:after="0"/>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Arial" w:cs="Arial" w:eastAsia="Arial" w:hAnsi="Arial"/>
          <w:sz w:val="13"/>
          <w:szCs w:val="13"/>
          <w:color w:val="auto"/>
        </w:rPr>
        <w:t>Suite 200</w:t>
      </w:r>
    </w:p>
    <w:p>
      <w:pPr>
        <w:ind w:left="300"/>
        <w:spacing w:after="0"/>
        <w:rPr>
          <w:sz w:val="20"/>
          <w:szCs w:val="20"/>
          <w:color w:val="auto"/>
        </w:rPr>
      </w:pPr>
      <w:r>
        <w:rPr>
          <w:rFonts w:ascii="Arial" w:cs="Arial" w:eastAsia="Arial" w:hAnsi="Arial"/>
          <w:sz w:val="13"/>
          <w:szCs w:val="13"/>
          <w:color w:val="auto"/>
        </w:rPr>
        <w:t>Chapel Hill, NC 27514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Argent LowLev Convertible Arbitrage Fund II, LLC</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280,000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6,493</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Argent LowLev Convertible Arbitrage Fund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10,280,000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238,404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 Financial Group (Bermuda)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PO Box 3013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Hamilton, HMMX Bermuda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Aristeia International Limited(2)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9,350,000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216,836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381 Fifth Ave., 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Aristeia Trading LLC(2)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1,650,000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38,265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381 Fifth Ave., 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Aviva Life Insurance Co.</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5,797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Aviva Life Insurance Co</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Morley Fund Management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No. 1 Poultry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London EC2R 8EJ</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Aviva Life Insurance Co.</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2,750,000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63,775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Aviva Life Insurance Co</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Morley Fund Management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No. 1 Poultry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London EC2R 8EJ</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Bankers Life Insurance Company of New York</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1,739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Bear, Stearns &amp; Co. Inc.(1)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6,250,000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144,944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Bear, Stearns &amp; Co.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383 Madison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23rd Floor, Global Fund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10179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Black Diamond Convertible Offshore LDC</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2,300,000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53,339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UBS Fund Services [Cayman] Limited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P.O. Box 852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UBS House, 75 Fort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George Town, Grand Cayman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Cayman Islands BWI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Black Diamond Offshore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1,360,000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31,539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UBS Fund Services [Cayman] Limited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300"/>
              <w:spacing w:after="0"/>
              <w:rPr>
                <w:sz w:val="20"/>
                <w:szCs w:val="20"/>
                <w:color w:val="auto"/>
              </w:rPr>
            </w:pPr>
            <w:r>
              <w:rPr>
                <w:rFonts w:ascii="Arial" w:cs="Arial" w:eastAsia="Arial" w:hAnsi="Arial"/>
                <w:sz w:val="13"/>
                <w:szCs w:val="13"/>
                <w:color w:val="auto"/>
              </w:rPr>
              <w:t>P.O. Box 852</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Arial" w:cs="Arial" w:eastAsia="Arial" w:hAnsi="Arial"/>
          <w:sz w:val="13"/>
          <w:szCs w:val="13"/>
          <w:color w:val="auto"/>
        </w:rPr>
        <w:t>UBS House, 75 Fort Street</w:t>
      </w:r>
    </w:p>
    <w:p>
      <w:pPr>
        <w:ind w:left="300"/>
        <w:spacing w:after="0" w:line="234" w:lineRule="auto"/>
        <w:rPr>
          <w:sz w:val="20"/>
          <w:szCs w:val="20"/>
          <w:color w:val="auto"/>
        </w:rPr>
      </w:pPr>
      <w:r>
        <w:rPr>
          <w:rFonts w:ascii="Arial" w:cs="Arial" w:eastAsia="Arial" w:hAnsi="Arial"/>
          <w:sz w:val="13"/>
          <w:szCs w:val="13"/>
          <w:color w:val="auto"/>
        </w:rPr>
        <w:t>George Town, Grand Cayman</w:t>
      </w:r>
    </w:p>
    <w:p>
      <w:pPr>
        <w:ind w:left="300"/>
        <w:spacing w:after="0"/>
        <w:rPr>
          <w:sz w:val="20"/>
          <w:szCs w:val="20"/>
          <w:color w:val="auto"/>
        </w:rPr>
      </w:pPr>
      <w:r>
        <w:rPr>
          <w:rFonts w:ascii="Arial" w:cs="Arial" w:eastAsia="Arial" w:hAnsi="Arial"/>
          <w:sz w:val="13"/>
          <w:szCs w:val="13"/>
          <w:color w:val="auto"/>
        </w:rPr>
        <w:t>Cayman Islands BWI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1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280" w:type="dxa"/>
            <w:vAlign w:val="bottom"/>
          </w:tcPr>
          <w:p>
            <w:pPr>
              <w:spacing w:after="0"/>
              <w:rPr>
                <w:sz w:val="12"/>
                <w:szCs w:val="12"/>
                <w:color w:val="auto"/>
              </w:rPr>
            </w:pPr>
          </w:p>
        </w:tc>
        <w:tc>
          <w:tcPr>
            <w:tcW w:w="140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4"/>
              </w:rPr>
              <w:t>Ordinary Shares</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10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280" w:type="dxa"/>
            <w:vAlign w:val="bottom"/>
          </w:tcPr>
          <w:p>
            <w:pPr>
              <w:spacing w:after="0"/>
              <w:rPr>
                <w:sz w:val="12"/>
                <w:szCs w:val="12"/>
                <w:color w:val="auto"/>
              </w:rPr>
            </w:pPr>
          </w:p>
        </w:tc>
        <w:tc>
          <w:tcPr>
            <w:tcW w:w="140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1380" w:type="dxa"/>
            <w:vAlign w:val="bottom"/>
            <w:gridSpan w:val="3"/>
          </w:tcPr>
          <w:p>
            <w:pPr>
              <w:jc w:val="center"/>
              <w:ind w:left="654"/>
              <w:spacing w:after="0"/>
              <w:rPr>
                <w:sz w:val="20"/>
                <w:szCs w:val="20"/>
                <w:color w:val="auto"/>
              </w:rPr>
            </w:pPr>
            <w:r>
              <w:rPr>
                <w:rFonts w:ascii="Arial" w:cs="Arial" w:eastAsia="Arial" w:hAnsi="Arial"/>
                <w:sz w:val="13"/>
                <w:szCs w:val="13"/>
                <w:b w:val="1"/>
                <w:bCs w:val="1"/>
                <w:color w:val="auto"/>
                <w:w w:val="87"/>
              </w:rPr>
              <w:t>of the Notes</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10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Owned After</w:t>
            </w: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88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1380" w:type="dxa"/>
            <w:vAlign w:val="bottom"/>
            <w:gridSpan w:val="3"/>
          </w:tcPr>
          <w:p>
            <w:pPr>
              <w:ind w:left="280"/>
              <w:spacing w:after="0"/>
              <w:rPr>
                <w:sz w:val="20"/>
                <w:szCs w:val="20"/>
                <w:color w:val="auto"/>
              </w:rPr>
            </w:pPr>
            <w:r>
              <w:rPr>
                <w:rFonts w:ascii="Arial" w:cs="Arial" w:eastAsia="Arial" w:hAnsi="Arial"/>
                <w:sz w:val="13"/>
                <w:szCs w:val="13"/>
                <w:b w:val="1"/>
                <w:bCs w:val="1"/>
                <w:color w:val="auto"/>
              </w:rPr>
              <w:t>Number</w:t>
            </w:r>
          </w:p>
        </w:tc>
        <w:tc>
          <w:tcPr>
            <w:tcW w:w="720" w:type="dxa"/>
            <w:vAlign w:val="bottom"/>
          </w:tcPr>
          <w:p>
            <w:pPr>
              <w:jc w:val="right"/>
              <w:ind w:right="14"/>
              <w:spacing w:after="0"/>
              <w:rPr>
                <w:sz w:val="20"/>
                <w:szCs w:val="20"/>
                <w:color w:val="auto"/>
              </w:rPr>
            </w:pPr>
            <w:r>
              <w:rPr>
                <w:rFonts w:ascii="Arial" w:cs="Arial" w:eastAsia="Arial" w:hAnsi="Arial"/>
                <w:sz w:val="13"/>
                <w:szCs w:val="13"/>
                <w:b w:val="1"/>
                <w:bCs w:val="1"/>
                <w:color w:val="auto"/>
                <w:w w:val="88"/>
              </w:rPr>
              <w:t>Percentage</w:t>
            </w:r>
          </w:p>
        </w:tc>
        <w:tc>
          <w:tcPr>
            <w:tcW w:w="2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Offering</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28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20" w:type="dxa"/>
            <w:vAlign w:val="bottom"/>
          </w:tcPr>
          <w:p>
            <w:pPr>
              <w:spacing w:after="0"/>
              <w:rPr>
                <w:sz w:val="20"/>
                <w:szCs w:val="20"/>
                <w:color w:val="auto"/>
              </w:rPr>
            </w:pPr>
            <w:r>
              <w:rPr>
                <w:rFonts w:ascii="Arial" w:cs="Arial" w:eastAsia="Arial" w:hAnsi="Arial"/>
                <w:sz w:val="13"/>
                <w:szCs w:val="13"/>
                <w:color w:val="auto"/>
              </w:rPr>
              <w:t>BTOP Multi Strategy Master Portfolio Ltd.</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3,430,000</w:t>
            </w:r>
          </w:p>
        </w:tc>
        <w:tc>
          <w:tcPr>
            <w:tcW w:w="28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Arial" w:cs="Arial" w:eastAsia="Arial" w:hAnsi="Arial"/>
                <w:sz w:val="13"/>
                <w:szCs w:val="13"/>
                <w:color w:val="auto"/>
              </w:rPr>
              <w:t>79,545</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280" w:type="dxa"/>
            <w:vAlign w:val="bottom"/>
          </w:tcPr>
          <w:p>
            <w:pPr>
              <w:spacing w:after="0"/>
              <w:rPr>
                <w:sz w:val="20"/>
                <w:szCs w:val="20"/>
                <w:color w:val="auto"/>
              </w:rPr>
            </w:pPr>
          </w:p>
        </w:tc>
        <w:tc>
          <w:tcPr>
            <w:tcW w:w="560" w:type="dxa"/>
            <w:vAlign w:val="bottom"/>
          </w:tcPr>
          <w:p>
            <w:pPr>
              <w:jc w:val="right"/>
              <w:ind w:right="54"/>
              <w:spacing w:after="0"/>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25 Deforest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Summit, NJ 07901</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Citadel Equity Fund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78,000,000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1,808,905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Citadel Investment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131 South Dearborn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Chicago, IL 60603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Citigroup Global Markets Inc.(2)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4,400,000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102,040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Citigroup Global Markets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390 Greenwich Street, 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Convertible Trading</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Class C Trading Company,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16,233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Commissioners of the Land Office</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23,191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Context Convertible Arbitrage Fund, LP</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1,350,000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31,307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Context Convertible Arbitrage Offshore Fund,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3,800,000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88,126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Continental Assurance Company(1)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500,000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11,595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CNA Plaza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333 South Wabash 23S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Chicago, IL 60685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Continental Casualty Company(1)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4,500,000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104,359</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CNA Plaza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333 South Wabash 23S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Chicago, IL 60685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Credit Suisse First Boston Europe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160,000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3,710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Credit Suisse First Boston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Reorg. Department — 2nd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One Madison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Custom Investments PCC,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220,000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5,102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Arial" w:cs="Arial" w:eastAsia="Arial" w:hAnsi="Arial"/>
                <w:sz w:val="13"/>
                <w:szCs w:val="13"/>
                <w:color w:val="auto"/>
              </w:rPr>
              <w:t>DBAG London(1)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388,000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8,998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520" w:type="dxa"/>
            <w:vAlign w:val="bottom"/>
          </w:tcPr>
          <w:p>
            <w:pPr>
              <w:ind w:left="300"/>
              <w:spacing w:after="0"/>
              <w:rPr>
                <w:sz w:val="20"/>
                <w:szCs w:val="20"/>
                <w:color w:val="auto"/>
              </w:rPr>
            </w:pPr>
            <w:r>
              <w:rPr>
                <w:rFonts w:ascii="Arial" w:cs="Arial" w:eastAsia="Arial" w:hAnsi="Arial"/>
                <w:sz w:val="13"/>
                <w:szCs w:val="13"/>
                <w:color w:val="auto"/>
              </w:rPr>
              <w:t>1251 Avenue of the Americas</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Arial" w:cs="Arial" w:eastAsia="Arial" w:hAnsi="Arial"/>
          <w:sz w:val="13"/>
          <w:szCs w:val="13"/>
          <w:color w:val="auto"/>
        </w:rPr>
        <w:t>26th Floor, Mail Stop NYC07-2638</w:t>
      </w:r>
    </w:p>
    <w:p>
      <w:pPr>
        <w:ind w:left="300"/>
        <w:spacing w:after="0"/>
        <w:rPr>
          <w:sz w:val="20"/>
          <w:szCs w:val="20"/>
          <w:color w:val="auto"/>
        </w:rPr>
      </w:pPr>
      <w:r>
        <w:rPr>
          <w:rFonts w:ascii="Arial" w:cs="Arial" w:eastAsia="Arial" w:hAnsi="Arial"/>
          <w:sz w:val="13"/>
          <w:szCs w:val="13"/>
          <w:color w:val="auto"/>
        </w:rPr>
        <w:t>New York, NY 10020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Deephaven Domestic Convertible Trading Ltd(1)</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22,662,000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525,556</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Deephaven Domestic Convertible Trading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130 Chesire Lane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102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Minnetonka, MN 55305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Deutsche Bank Securities Inc.(2)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4,638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1251 Avenue of the Americas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Mail Stop NYCO7-2638</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10020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Diaco Investments LP</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360,000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8,348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Diaco Investments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1271 Avenue of the Americas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10020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Double Black Diamond Offshore LDC</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7,319,000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169,735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UBS Fund Services [Cayman] Limited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P.O. Box 852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UBS House, 75 Fort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George Town, Grand Cayman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Cayman Islands BWI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Georgia Firefighters Pension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10,435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GLG Market Neutral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GLG Partners LP</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One Curzon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London W1J5HB United Kingdom</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Goldman, Sachs &amp; Co.(2)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1,219,000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28,269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30 Hudson Street, 16th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Guggenheim Portfolio Co. XV, LLC</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1,360,000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31,539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HFR CA Global Select Master Trust Account</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440,000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10,204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w w:val="98"/>
              </w:rPr>
              <w:t>HSBC Asset Management (Americas) Inc. for the HSBC Multi-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140"/>
              <w:spacing w:after="0" w:line="146" w:lineRule="exact"/>
              <w:rPr>
                <w:sz w:val="20"/>
                <w:szCs w:val="20"/>
                <w:color w:val="auto"/>
              </w:rPr>
            </w:pPr>
            <w:r>
              <w:rPr>
                <w:rFonts w:ascii="Arial" w:cs="Arial" w:eastAsia="Arial" w:hAnsi="Arial"/>
                <w:sz w:val="13"/>
                <w:szCs w:val="13"/>
                <w:color w:val="auto"/>
              </w:rPr>
              <w:t>Strategy Arbitrage Fund(1)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560" w:type="dxa"/>
            <w:vAlign w:val="bottom"/>
          </w:tcPr>
          <w:p>
            <w:pPr>
              <w:ind w:left="300"/>
              <w:spacing w:after="0"/>
              <w:rPr>
                <w:sz w:val="20"/>
                <w:szCs w:val="20"/>
                <w:color w:val="auto"/>
              </w:rPr>
            </w:pPr>
            <w:r>
              <w:rPr>
                <w:rFonts w:ascii="Arial" w:cs="Arial" w:eastAsia="Arial" w:hAnsi="Arial"/>
                <w:sz w:val="13"/>
                <w:szCs w:val="13"/>
                <w:color w:val="auto"/>
              </w:rPr>
              <w:t>HSBC Asset Management (Americas) Inc.</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Arial" w:cs="Arial" w:eastAsia="Arial" w:hAnsi="Arial"/>
          <w:sz w:val="13"/>
          <w:szCs w:val="13"/>
          <w:color w:val="auto"/>
        </w:rPr>
        <w:t>452 5th Avenue, 18th Floor</w:t>
      </w:r>
    </w:p>
    <w:p>
      <w:pPr>
        <w:ind w:left="300"/>
        <w:spacing w:after="0"/>
        <w:rPr>
          <w:sz w:val="20"/>
          <w:szCs w:val="20"/>
          <w:color w:val="auto"/>
        </w:rPr>
      </w:pPr>
      <w:r>
        <w:rPr>
          <w:rFonts w:ascii="Arial" w:cs="Arial" w:eastAsia="Arial" w:hAnsi="Arial"/>
          <w:sz w:val="13"/>
          <w:szCs w:val="13"/>
          <w:color w:val="auto"/>
        </w:rPr>
        <w:t>New York, NY 10018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Huntrise Capital Leveraged Partners, LLC</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31,000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718</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Indianapolis Life Insurance Co.</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21,100,000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489,332</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Inflective Convertible Opportunity Fund I, L.P.</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16,813</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Inflective Convertible Opportunity Fund I,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35,000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811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Injured Workers Insurance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1,450,000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33,627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Intl. Truck &amp; Engine Corp. Non Contributory Retirement Plan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140"/>
              <w:spacing w:after="0" w:line="146" w:lineRule="exact"/>
              <w:rPr>
                <w:sz w:val="20"/>
                <w:szCs w:val="20"/>
                <w:color w:val="auto"/>
              </w:rPr>
            </w:pPr>
            <w:r>
              <w:rPr>
                <w:rFonts w:ascii="Arial" w:cs="Arial" w:eastAsia="Arial" w:hAnsi="Arial"/>
                <w:sz w:val="13"/>
                <w:szCs w:val="13"/>
                <w:color w:val="auto"/>
              </w:rPr>
              <w:t>Trust</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Intl. Truck &amp; Engine Corp. Retirement Plan for Salaried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140"/>
              <w:spacing w:after="0" w:line="146" w:lineRule="exact"/>
              <w:rPr>
                <w:sz w:val="20"/>
                <w:szCs w:val="20"/>
                <w:color w:val="auto"/>
              </w:rPr>
            </w:pPr>
            <w:r>
              <w:rPr>
                <w:rFonts w:ascii="Arial" w:cs="Arial" w:eastAsia="Arial" w:hAnsi="Arial"/>
                <w:sz w:val="13"/>
                <w:szCs w:val="13"/>
                <w:color w:val="auto"/>
              </w:rPr>
              <w:t>Employee’s Trust</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1,700,000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39,424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Jefferies Umbrella Fund US Convertible Bonds</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3,478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Jefferies Asset Management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Uraniastrasse 12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CH-8023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Zurich, Switzerland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JP Morgan Securities Inc.(2)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3,000,000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69,573</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500 Stanton Christiana Road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Newark, DE 19713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KBC Convertible Arbitrage Fund(1)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26,590,000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616,651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300"/>
              <w:spacing w:after="0"/>
              <w:rPr>
                <w:sz w:val="20"/>
                <w:szCs w:val="20"/>
                <w:color w:val="auto"/>
              </w:rPr>
            </w:pPr>
            <w:r>
              <w:rPr>
                <w:rFonts w:ascii="Arial" w:cs="Arial" w:eastAsia="Arial" w:hAnsi="Arial"/>
                <w:sz w:val="13"/>
                <w:szCs w:val="13"/>
                <w:color w:val="auto"/>
              </w:rPr>
              <w:t>New York, NY 10017-3144</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KBC Convertible Mac 28 Ltd.(1)</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2,127,000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49,327</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KBC Financial Products USA Inc.(2)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97,402</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 Grand Central Tower, 42nd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KBC Multi Strategy Arbitrage Fund(1)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22,852,000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529,963</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KeySpan Foundation</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1,739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KeySpan Insurance Company</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2,319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Lehman Brothers(2)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24,350</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745 Seventh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Lord Abbett Investment Trust — LA Convertible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1,750,000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40,584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Lydian Global Opportunities Master Fund Limited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7,500,000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173,933</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495 Post Road East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Westport, CT 06880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Lydian Overseas Partners Master Fund LP</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231,911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495 Post Road East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Westport, CT 06880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Lyxor/ AM Investment Fund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1,870,000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43,367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350 Park Avenue, 4th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10022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Lyxor/ Context Fund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15,074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Lyxor/ Inflective Convertible Opportunity Fund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325,000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7,537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560" w:type="dxa"/>
            <w:vAlign w:val="bottom"/>
          </w:tcPr>
          <w:p>
            <w:pPr>
              <w:ind w:left="300"/>
              <w:spacing w:after="0"/>
              <w:rPr>
                <w:sz w:val="20"/>
                <w:szCs w:val="20"/>
                <w:color w:val="auto"/>
              </w:rPr>
            </w:pPr>
            <w:r>
              <w:rPr>
                <w:rFonts w:ascii="Arial" w:cs="Arial" w:eastAsia="Arial" w:hAnsi="Arial"/>
                <w:sz w:val="13"/>
                <w:szCs w:val="13"/>
                <w:color w:val="auto"/>
              </w:rPr>
              <w:t>Inflective Asset Management, LLC</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Arial" w:cs="Arial" w:eastAsia="Arial" w:hAnsi="Arial"/>
          <w:sz w:val="13"/>
          <w:szCs w:val="13"/>
          <w:color w:val="auto"/>
        </w:rPr>
        <w:t>1334 Parkview Avenue</w:t>
      </w:r>
    </w:p>
    <w:p>
      <w:pPr>
        <w:ind w:left="300"/>
        <w:spacing w:after="0" w:line="234" w:lineRule="auto"/>
        <w:rPr>
          <w:sz w:val="20"/>
          <w:szCs w:val="20"/>
          <w:color w:val="auto"/>
        </w:rPr>
      </w:pPr>
      <w:r>
        <w:rPr>
          <w:rFonts w:ascii="Arial" w:cs="Arial" w:eastAsia="Arial" w:hAnsi="Arial"/>
          <w:sz w:val="13"/>
          <w:szCs w:val="13"/>
          <w:color w:val="auto"/>
        </w:rPr>
        <w:t>Suite 310</w:t>
      </w:r>
    </w:p>
    <w:p>
      <w:pPr>
        <w:ind w:left="300"/>
        <w:spacing w:after="0"/>
        <w:rPr>
          <w:sz w:val="20"/>
          <w:szCs w:val="20"/>
          <w:color w:val="auto"/>
        </w:rPr>
      </w:pPr>
      <w:r>
        <w:rPr>
          <w:rFonts w:ascii="Arial" w:cs="Arial" w:eastAsia="Arial" w:hAnsi="Arial"/>
          <w:sz w:val="13"/>
          <w:szCs w:val="13"/>
          <w:color w:val="auto"/>
        </w:rPr>
        <w:t>Manhattan Beach, CA 90266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Lyxor Master Fund Ref: Argent/ LowLev CB c/o Argent</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1,750,000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40,584</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Melody 1AM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1,610,000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37,337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National Bank of Canada(1)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550,000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12,755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National Benefit Life Insurance Company(1)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112,000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2,597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Citigroup Insurance Company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242 Trumbull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PO Box 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Hartford, CT 06115-0449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Nomura Securities Int’l Inc(2)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15,000,000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347,866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Nomura Securities International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 World Financial Center, 18th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10281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Partners Group Alternative Strategies PCC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800,000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18,552</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PIMCO Convertible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4,638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46 Discovery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Irvine, CA 92618</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Primerica Life Insurance Company(1)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1,031,000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23,910</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Citigroup Insurance Company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242 Trumbull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PO Box 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Hartford, CT 06115-0449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Pyramid Equity Strategies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570,000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13,218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25 Deforest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Summit, NJ 07901</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R2 Investments, LDC(1)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15,306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c/o Amalgamated Gadget, L.P. as Investment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Manager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301 Commerce, Suite 2975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Ft. Worth, TX 76102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Radian Asset Assurance, Inc.</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2,625,000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60,876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300"/>
              <w:spacing w:after="0"/>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Radian Group Convertible Securities</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1,300,000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30,148</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Radian Guaranty</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5,950,000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137,987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Ramius Capital Group(1)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9,856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Ramius Master Fund,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6,715,000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155,728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RCG Halifax Master Fund,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9,856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RCG Latitude Master Fund,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6,885,000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159,670</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RCG Multi Strategy Master Fund, LTD(1)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850,000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19,712</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Royal Bank of Canada (Norshield)(1)</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11,015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Silver Convertible Arbitrage Fund, LDC</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700,000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16,233</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Sphinx Convertible Arbitrage Fund SPC</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588,000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13,636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Deephaven Domestic Convertible Trading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130 Chesire Lane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102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Minnetonka, MN 55305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State of Florida Division of Treasury</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1,300,000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30,148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Froley Revy Investment Co.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10900 Wilshire Blvd. Ste. 900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Los Angeles, CA 90024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Teachers Insurance and Annuity Association of America</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23,300,000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540,352</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TIAA-CREF</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730 Third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300"/>
              <w:spacing w:after="0"/>
              <w:rPr>
                <w:sz w:val="20"/>
                <w:szCs w:val="20"/>
                <w:color w:val="auto"/>
              </w:rPr>
            </w:pPr>
            <w:r>
              <w:rPr>
                <w:rFonts w:ascii="Arial" w:cs="Arial" w:eastAsia="Arial" w:hAnsi="Arial"/>
                <w:sz w:val="13"/>
                <w:szCs w:val="13"/>
                <w:color w:val="auto"/>
              </w:rPr>
              <w:t>New York, NY 10017 USA</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60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21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6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920"/>
              <w:spacing w:after="0"/>
              <w:rPr>
                <w:sz w:val="20"/>
                <w:szCs w:val="20"/>
                <w:color w:val="auto"/>
              </w:rPr>
            </w:pPr>
            <w:r>
              <w:rPr>
                <w:rFonts w:ascii="Arial" w:cs="Arial" w:eastAsia="Arial" w:hAnsi="Arial"/>
                <w:sz w:val="13"/>
                <w:szCs w:val="13"/>
                <w:b w:val="1"/>
                <w:bCs w:val="1"/>
                <w:color w:val="auto"/>
              </w:rPr>
              <w:t>Name of Selling Securityholder</w:t>
            </w:r>
          </w:p>
        </w:tc>
        <w:tc>
          <w:tcPr>
            <w:tcW w:w="300" w:type="dxa"/>
            <w:vAlign w:val="bottom"/>
          </w:tcPr>
          <w:p>
            <w:pPr>
              <w:spacing w:after="0"/>
              <w:rPr>
                <w:sz w:val="16"/>
                <w:szCs w:val="16"/>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r>
              <w:rPr>
                <w:rFonts w:ascii="Arial" w:cs="Arial" w:eastAsia="Arial" w:hAnsi="Arial"/>
                <w:sz w:val="13"/>
                <w:szCs w:val="13"/>
                <w:color w:val="auto"/>
              </w:rPr>
              <w:t>Thomas Weisel Partners(2)</w:t>
            </w:r>
          </w:p>
        </w:tc>
        <w:tc>
          <w:tcPr>
            <w:tcW w:w="2120" w:type="dxa"/>
            <w:vAlign w:val="bottom"/>
            <w:gridSpan w:val="2"/>
          </w:tcPr>
          <w:p>
            <w:pPr>
              <w:jc w:val="right"/>
              <w:ind w:right="574"/>
              <w:spacing w:after="0"/>
              <w:rPr>
                <w:sz w:val="20"/>
                <w:szCs w:val="20"/>
                <w:color w:val="auto"/>
              </w:rPr>
            </w:pPr>
            <w:r>
              <w:rPr>
                <w:rFonts w:ascii="Arial" w:cs="Arial" w:eastAsia="Arial" w:hAnsi="Arial"/>
                <w:sz w:val="13"/>
                <w:szCs w:val="13"/>
                <w:color w:val="auto"/>
              </w:rPr>
              <w:t>3,500,000</w:t>
            </w:r>
          </w:p>
        </w:tc>
        <w:tc>
          <w:tcPr>
            <w:tcW w:w="300" w:type="dxa"/>
            <w:vAlign w:val="bottom"/>
          </w:tcPr>
          <w:p>
            <w:pPr>
              <w:spacing w:after="0"/>
              <w:rPr>
                <w:sz w:val="20"/>
                <w:szCs w:val="20"/>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81,168</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Thomas Weisel Partners</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1 Montgomery Street, 37th Floor</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San Francisco, CA 94104</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Thrivent Financial For Lutherans(1)</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1,000,000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Thrivent Financial for Lutherans</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625 Fourth Avenue South</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Minneapolis, MN 55415 USA</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Total Fina Elf Finance USA, Inc.</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300,000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6,957</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Lord, Abbett &amp; Co.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90 Hudson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Jersey City, NJ 07302</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Travelers Insurance Company — Life(1)</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2,604,000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60,389</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Travelers Insurance Company Separate Account TLAC(1)</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88,000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2,040</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Travelers Life and Annuity Company(1)</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154,000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3,571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Travelers Series Trust Convertible Bond Portfolio</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1,500,000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34,786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UBS AG f/b/o IPB Client</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1,000,000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Ferox Capital Management Ltd.</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66 St. James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London, SW1A 1NE</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United Kingdom</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UBS Securities LLC(2)</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1,050,000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24,350</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677 Washington Boulevard</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9th Floor</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Stamford, CT 06901</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University of Arkansas</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450,000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10,435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Lord, Abbett &amp; Co.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90 Hudson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Arial" w:cs="Arial" w:eastAsia="Arial" w:hAnsi="Arial"/>
                <w:sz w:val="13"/>
                <w:szCs w:val="13"/>
                <w:color w:val="auto"/>
              </w:rPr>
              <w:t>Jersey City, NJ 07302</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Arial" w:cs="Arial" w:eastAsia="Arial" w:hAnsi="Arial"/>
                <w:sz w:val="13"/>
                <w:szCs w:val="13"/>
                <w:color w:val="auto"/>
              </w:rPr>
              <w:t>University of Arkansas Foundation</w:t>
            </w:r>
          </w:p>
        </w:tc>
        <w:tc>
          <w:tcPr>
            <w:tcW w:w="2120" w:type="dxa"/>
            <w:vAlign w:val="bottom"/>
            <w:gridSpan w:val="2"/>
          </w:tcPr>
          <w:p>
            <w:pPr>
              <w:jc w:val="right"/>
              <w:ind w:right="574"/>
              <w:spacing w:after="0" w:line="146" w:lineRule="exact"/>
              <w:rPr>
                <w:sz w:val="20"/>
                <w:szCs w:val="20"/>
                <w:color w:val="auto"/>
              </w:rPr>
            </w:pPr>
            <w:r>
              <w:rPr>
                <w:rFonts w:ascii="Arial" w:cs="Arial" w:eastAsia="Arial" w:hAnsi="Arial"/>
                <w:sz w:val="13"/>
                <w:szCs w:val="13"/>
                <w:color w:val="auto"/>
              </w:rPr>
              <w:t>450,000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10,435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600" w:type="dxa"/>
            <w:vAlign w:val="bottom"/>
          </w:tcPr>
          <w:p>
            <w:pPr>
              <w:ind w:left="320"/>
              <w:spacing w:after="0"/>
              <w:rPr>
                <w:sz w:val="20"/>
                <w:szCs w:val="20"/>
                <w:color w:val="auto"/>
              </w:rPr>
            </w:pPr>
            <w:r>
              <w:rPr>
                <w:rFonts w:ascii="Arial" w:cs="Arial" w:eastAsia="Arial" w:hAnsi="Arial"/>
                <w:sz w:val="13"/>
                <w:szCs w:val="13"/>
                <w:color w:val="auto"/>
              </w:rPr>
              <w:t>Lord, Abbett &amp; Co. LLC</w:t>
            </w:r>
          </w:p>
        </w:tc>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spacing w:after="0" w:line="233" w:lineRule="auto"/>
        <w:rPr>
          <w:sz w:val="20"/>
          <w:szCs w:val="20"/>
          <w:color w:val="auto"/>
        </w:rPr>
      </w:pPr>
      <w:r>
        <w:rPr>
          <w:rFonts w:ascii="Arial" w:cs="Arial" w:eastAsia="Arial" w:hAnsi="Arial"/>
          <w:sz w:val="13"/>
          <w:szCs w:val="13"/>
          <w:color w:val="auto"/>
        </w:rPr>
        <w:t>90 Hudson Street</w:t>
      </w:r>
    </w:p>
    <w:p>
      <w:pPr>
        <w:ind w:left="320"/>
        <w:spacing w:after="0"/>
        <w:rPr>
          <w:sz w:val="20"/>
          <w:szCs w:val="20"/>
          <w:color w:val="auto"/>
        </w:rPr>
      </w:pPr>
      <w:r>
        <w:rPr>
          <w:rFonts w:ascii="Arial" w:cs="Arial" w:eastAsia="Arial" w:hAnsi="Arial"/>
          <w:sz w:val="13"/>
          <w:szCs w:val="13"/>
          <w:color w:val="auto"/>
        </w:rPr>
        <w:t>Jersey City, NJ 07302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Ordinary Shares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4"/>
              </w:rPr>
              <w:t>Principal</w:t>
            </w:r>
          </w:p>
        </w:tc>
        <w:tc>
          <w:tcPr>
            <w:tcW w:w="1660" w:type="dxa"/>
            <w:vAlign w:val="bottom"/>
            <w:gridSpan w:val="3"/>
          </w:tcPr>
          <w:p>
            <w:pPr>
              <w:ind w:left="360"/>
              <w:spacing w:after="0" w:line="146" w:lineRule="exact"/>
              <w:rPr>
                <w:sz w:val="20"/>
                <w:szCs w:val="20"/>
                <w:color w:val="auto"/>
              </w:rPr>
            </w:pPr>
            <w:r>
              <w:rPr>
                <w:rFonts w:ascii="Arial" w:cs="Arial" w:eastAsia="Arial" w:hAnsi="Arial"/>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5"/>
              </w:rPr>
              <w:t>Amount of</w:t>
            </w:r>
          </w:p>
        </w:tc>
        <w:tc>
          <w:tcPr>
            <w:tcW w:w="20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Amount of Notes</w:t>
            </w:r>
          </w:p>
        </w:tc>
        <w:tc>
          <w:tcPr>
            <w:tcW w:w="16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Beneficially Owned</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Notes Beneficially</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the Notes</w:t>
            </w:r>
          </w:p>
        </w:tc>
        <w:tc>
          <w:tcPr>
            <w:tcW w:w="3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Beneficially</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After Offering</w:t>
            </w: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Arial" w:cs="Arial" w:eastAsia="Arial" w:hAnsi="Arial"/>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Be Sold($)</w:t>
            </w:r>
          </w:p>
        </w:tc>
        <w:tc>
          <w:tcPr>
            <w:tcW w:w="940" w:type="dxa"/>
            <w:vAlign w:val="bottom"/>
          </w:tcPr>
          <w:p>
            <w:pPr>
              <w:jc w:val="right"/>
              <w:ind w:right="174"/>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94"/>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r>
              <w:rPr>
                <w:rFonts w:ascii="Arial" w:cs="Arial" w:eastAsia="Arial" w:hAnsi="Arial"/>
                <w:sz w:val="13"/>
                <w:szCs w:val="13"/>
                <w:color w:val="auto"/>
              </w:rPr>
              <w:t>Univest Convertible Arbitrage Fund II LTD (Norshield)</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175,000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4,058</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Vermont Mutual Insurance Company</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175,000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4,058</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Wachovia Securities International Ltd.(1)(2)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5,000,000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115,955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201 S. College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Charlotte, NC 28214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White River Securities L.L.C.(2)</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6,250,000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144,944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Bear, Stearns &amp; Co.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383 Madison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23rd Floor, Global Fund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10179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Worldwide Transactions Ltd.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221,000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5,125</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Worldwide Transactions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Washington Mall-Phase 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Church Street, 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Hamilton HM 11 Bermuda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Xavex Convertible Arbitrage 5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340,000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7,884</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Xavex Convertible Arbitrage 10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640,000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14,842</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 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rPr>
              <w:t>Xavex Convertible Arbitrage 2 Fund</w:t>
            </w:r>
          </w:p>
        </w:tc>
        <w:tc>
          <w:tcPr>
            <w:tcW w:w="2180" w:type="dxa"/>
            <w:vAlign w:val="bottom"/>
            <w:gridSpan w:val="2"/>
          </w:tcPr>
          <w:p>
            <w:pPr>
              <w:jc w:val="right"/>
              <w:ind w:right="594"/>
              <w:spacing w:after="0" w:line="146" w:lineRule="exact"/>
              <w:rPr>
                <w:sz w:val="20"/>
                <w:szCs w:val="20"/>
                <w:color w:val="auto"/>
              </w:rPr>
            </w:pPr>
            <w:r>
              <w:rPr>
                <w:rFonts w:ascii="Arial" w:cs="Arial" w:eastAsia="Arial" w:hAnsi="Arial"/>
                <w:sz w:val="13"/>
                <w:szCs w:val="13"/>
                <w:color w:val="auto"/>
              </w:rPr>
              <w:t>400,000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9,276</w:t>
            </w:r>
          </w:p>
        </w:tc>
        <w:tc>
          <w:tcPr>
            <w:tcW w:w="108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Arial" w:cs="Arial" w:eastAsia="Arial" w:hAnsi="Arial"/>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Arial" w:cs="Arial" w:eastAsia="Arial" w:hAnsi="Arial"/>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Arial" w:cs="Arial" w:eastAsia="Arial" w:hAnsi="Arial"/>
                <w:sz w:val="13"/>
                <w:szCs w:val="13"/>
                <w:color w:val="auto"/>
                <w:w w:val="95"/>
              </w:rPr>
              <w:t>Any other holder of notes or future transferee, pledgee, donee 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140"/>
              <w:spacing w:after="0"/>
              <w:rPr>
                <w:sz w:val="20"/>
                <w:szCs w:val="20"/>
                <w:color w:val="auto"/>
              </w:rPr>
            </w:pPr>
            <w:r>
              <w:rPr>
                <w:rFonts w:ascii="Arial" w:cs="Arial" w:eastAsia="Arial" w:hAnsi="Arial"/>
                <w:sz w:val="13"/>
                <w:szCs w:val="13"/>
                <w:color w:val="auto"/>
              </w:rPr>
              <w:t>successor of any holder(3)</w:t>
            </w:r>
          </w:p>
        </w:tc>
        <w:tc>
          <w:tcPr>
            <w:tcW w:w="2180" w:type="dxa"/>
            <w:vAlign w:val="bottom"/>
            <w:gridSpan w:val="2"/>
          </w:tcPr>
          <w:p>
            <w:pPr>
              <w:jc w:val="right"/>
              <w:ind w:right="594"/>
              <w:spacing w:after="0"/>
              <w:rPr>
                <w:sz w:val="20"/>
                <w:szCs w:val="20"/>
                <w:color w:val="auto"/>
              </w:rPr>
            </w:pPr>
            <w:r>
              <w:rPr>
                <w:rFonts w:ascii="Arial" w:cs="Arial" w:eastAsia="Arial" w:hAnsi="Arial"/>
                <w:sz w:val="13"/>
                <w:szCs w:val="13"/>
                <w:color w:val="auto"/>
              </w:rPr>
              <w:t>18,579,000</w:t>
            </w:r>
          </w:p>
        </w:tc>
        <w:tc>
          <w:tcPr>
            <w:tcW w:w="280" w:type="dxa"/>
            <w:vAlign w:val="bottom"/>
          </w:tcPr>
          <w:p>
            <w:pPr>
              <w:spacing w:after="0"/>
              <w:rPr>
                <w:sz w:val="14"/>
                <w:szCs w:val="14"/>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color w:val="auto"/>
              </w:rPr>
              <w:t>430,920</w:t>
            </w:r>
          </w:p>
        </w:tc>
        <w:tc>
          <w:tcPr>
            <w:tcW w:w="10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74"/>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0</w:t>
            </w:r>
          </w:p>
        </w:tc>
        <w:tc>
          <w:tcPr>
            <w:tcW w:w="112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1318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397" w:lineRule="exact"/>
        <w:rPr>
          <w:sz w:val="20"/>
          <w:szCs w:val="20"/>
          <w:color w:val="auto"/>
        </w:rPr>
      </w:pPr>
    </w:p>
    <w:p>
      <w:pPr>
        <w:ind w:left="580" w:hanging="488"/>
        <w:spacing w:after="0"/>
        <w:tabs>
          <w:tab w:leader="none" w:pos="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228" w:lineRule="exact"/>
        <w:rPr>
          <w:sz w:val="20"/>
          <w:szCs w:val="20"/>
          <w:color w:val="auto"/>
        </w:rPr>
      </w:pPr>
    </w:p>
    <w:p>
      <w:pPr>
        <w:ind w:left="460" w:hanging="454"/>
        <w:spacing w:after="0" w:line="273"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6" w:lineRule="exact"/>
        <w:rPr>
          <w:rFonts w:ascii="Arial" w:cs="Arial" w:eastAsia="Arial" w:hAnsi="Arial"/>
          <w:sz w:val="17"/>
          <w:szCs w:val="17"/>
          <w:color w:val="auto"/>
        </w:rPr>
      </w:pPr>
    </w:p>
    <w:p>
      <w:pPr>
        <w:ind w:left="460" w:hanging="454"/>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selling securityholder is a registered broker-dealer and an “underwriter” within the meaning of the Securities Act.</w:t>
      </w:r>
    </w:p>
    <w:p>
      <w:pPr>
        <w:spacing w:after="0" w:line="254" w:lineRule="exact"/>
        <w:rPr>
          <w:rFonts w:ascii="Arial" w:cs="Arial" w:eastAsia="Arial" w:hAnsi="Arial"/>
          <w:sz w:val="17"/>
          <w:szCs w:val="17"/>
          <w:color w:val="auto"/>
        </w:rPr>
      </w:pPr>
    </w:p>
    <w:p>
      <w:pPr>
        <w:ind w:left="460" w:right="420" w:hanging="454"/>
        <w:spacing w:after="0" w:line="273"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7"/>
        </w:trPr>
        <w:tc>
          <w:tcPr>
            <w:tcW w:w="4260" w:type="dxa"/>
            <w:vAlign w:val="bottom"/>
          </w:tcPr>
          <w:p>
            <w:pPr>
              <w:spacing w:after="0"/>
              <w:rPr>
                <w:sz w:val="18"/>
                <w:szCs w:val="18"/>
                <w:color w:val="auto"/>
              </w:rPr>
            </w:pPr>
          </w:p>
        </w:tc>
        <w:tc>
          <w:tcPr>
            <w:tcW w:w="7160" w:type="dxa"/>
            <w:vAlign w:val="bottom"/>
            <w:gridSpan w:val="3"/>
          </w:tcPr>
          <w:p>
            <w:pPr>
              <w:jc w:val="right"/>
              <w:ind w:right="3594"/>
              <w:spacing w:after="0"/>
              <w:rPr>
                <w:sz w:val="20"/>
                <w:szCs w:val="20"/>
                <w:color w:val="auto"/>
              </w:rPr>
            </w:pPr>
            <w:r>
              <w:rPr>
                <w:rFonts w:ascii="Arial" w:cs="Arial" w:eastAsia="Arial" w:hAnsi="Arial"/>
                <w:sz w:val="17"/>
                <w:szCs w:val="17"/>
                <w:b w:val="1"/>
                <w:bCs w:val="1"/>
                <w:i w:val="1"/>
                <w:iCs w:val="1"/>
                <w:color w:val="auto"/>
              </w:rPr>
              <w:t>VOTING/ INVESTMENT CONTROL TABLE</w:t>
            </w:r>
          </w:p>
        </w:tc>
      </w:tr>
      <w:tr>
        <w:trPr>
          <w:trHeight w:val="583"/>
        </w:trPr>
        <w:tc>
          <w:tcPr>
            <w:tcW w:w="4260" w:type="dxa"/>
            <w:vAlign w:val="bottom"/>
          </w:tcPr>
          <w:p>
            <w:pPr>
              <w:ind w:left="1640"/>
              <w:spacing w:after="0"/>
              <w:rPr>
                <w:sz w:val="20"/>
                <w:szCs w:val="20"/>
                <w:color w:val="auto"/>
              </w:rPr>
            </w:pPr>
            <w:r>
              <w:rPr>
                <w:rFonts w:ascii="Arial" w:cs="Arial" w:eastAsia="Arial" w:hAnsi="Arial"/>
                <w:sz w:val="13"/>
                <w:szCs w:val="13"/>
                <w:b w:val="1"/>
                <w:bCs w:val="1"/>
                <w:color w:val="auto"/>
              </w:rPr>
              <w:t>Name of Selling Securityholder</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40" w:type="dxa"/>
            <w:vAlign w:val="bottom"/>
          </w:tcPr>
          <w:p>
            <w:pPr>
              <w:jc w:val="right"/>
              <w:ind w:right="1294"/>
              <w:spacing w:after="0"/>
              <w:rPr>
                <w:sz w:val="20"/>
                <w:szCs w:val="20"/>
                <w:color w:val="auto"/>
              </w:rPr>
            </w:pPr>
            <w:r>
              <w:rPr>
                <w:rFonts w:ascii="Arial" w:cs="Arial" w:eastAsia="Arial" w:hAnsi="Arial"/>
                <w:sz w:val="13"/>
                <w:szCs w:val="13"/>
                <w:b w:val="1"/>
                <w:bCs w:val="1"/>
                <w:color w:val="auto"/>
              </w:rPr>
              <w:t>Natural Person or Persons with Voting/Investment Control</w:t>
            </w:r>
          </w:p>
        </w:tc>
      </w:tr>
      <w:tr>
        <w:trPr>
          <w:trHeight w:val="94"/>
        </w:trPr>
        <w:tc>
          <w:tcPr>
            <w:tcW w:w="4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r>
      <w:tr>
        <w:trPr>
          <w:trHeight w:val="302"/>
        </w:trPr>
        <w:tc>
          <w:tcPr>
            <w:tcW w:w="4260" w:type="dxa"/>
            <w:vAlign w:val="bottom"/>
          </w:tcPr>
          <w:p>
            <w:pPr>
              <w:spacing w:after="0"/>
              <w:rPr>
                <w:sz w:val="20"/>
                <w:szCs w:val="20"/>
                <w:color w:val="auto"/>
              </w:rPr>
            </w:pPr>
            <w:r>
              <w:rPr>
                <w:rFonts w:ascii="Arial" w:cs="Arial" w:eastAsia="Arial" w:hAnsi="Arial"/>
                <w:sz w:val="17"/>
                <w:szCs w:val="17"/>
                <w:color w:val="auto"/>
              </w:rPr>
              <w:t>Acuity Master Fund, Ltd.</w:t>
            </w:r>
          </w:p>
        </w:tc>
        <w:tc>
          <w:tcPr>
            <w:tcW w:w="780" w:type="dxa"/>
            <w:vAlign w:val="bottom"/>
          </w:tcPr>
          <w:p>
            <w:pPr>
              <w:spacing w:after="0"/>
              <w:rPr>
                <w:sz w:val="24"/>
                <w:szCs w:val="24"/>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Howard Needle and David J. Harris</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Allstate Insurance Company</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(1)</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Allstate Life Insurance Company</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(1)</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AM International E MAC 63 Ltd.</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(2)</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AM Master Fund I, LP</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(2)</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American Investors Life Insurance Co.</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AmerUs Life Insurance Company</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The Animi Master Fund, Ltd.</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(3)</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Arbitex Master Fund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Clark Hunt, Jonathan Bren and Ken Tananbaum</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w w:val="97"/>
              </w:rPr>
              <w:t>Argent Classic Convertible Arbitrage Fund (Bermuda)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Argent Classic Convertible Arbitrage Fund II,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Argent Classic Convertible Arbitrage Fund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Argent LowLev Convertible Arbitrage Fund LLC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Argent LowLev Convertible Arbitrage Fund II, LLC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Argent LowLev Convertible Arbitrage Fund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Aristeia International Limited</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(4)</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Aristeia Trading LLC</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(4)</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Aviva Life Insurance Co.</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Clott</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Aviva Life Insurance Co.</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Clott</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Bankers Life Insurance Company of New York</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Bear, Stearns &amp; Co. Inc.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Yan Erlikh &amp; David Liebowitz</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Black Diamond Convertible Offshore LDC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Clint D. Carlson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Black Diamond Offshore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Clint D. Carlson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BTOP Multi Strategy Master Portfolio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Eric Lobben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Citadel Equity Fund Ltd.</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(5)</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Citigroup Global Markets Inc.</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(6)</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Class C Trading Company,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Commissioners of the Land Office</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Context Convertible Arbitrage Fund,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Michael Rosen and William Fertig</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Context Convertible Arbitrage Offshore Fund,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Michael Rosen and William Fertig</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Continental Assurance Company</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Donna Hemme</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Continental Casualty Company</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Donna Hemme</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Credit Suisse First Boston Europe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Gerry Murtagh</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Custom Investments PCC,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DBAG London</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Patrick Corrigan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Deephaven Domestic Convertible Trading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Colin Smith</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Deutsche Bank Securities Inc.</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(7)</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Diaco Investments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Simon Glick</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Double Black Diamond Offshore LDC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Clint D. Carlson</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Georgia Firefighters Pension Fund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GLG Market Neutral Fund</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(8)</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Goldman, Sachs &amp; Co.</w:t>
            </w:r>
          </w:p>
        </w:tc>
        <w:tc>
          <w:tcPr>
            <w:tcW w:w="7160" w:type="dxa"/>
            <w:vAlign w:val="bottom"/>
            <w:gridSpan w:val="3"/>
          </w:tcPr>
          <w:p>
            <w:pPr>
              <w:ind w:left="1120"/>
              <w:spacing w:after="0"/>
              <w:rPr>
                <w:sz w:val="20"/>
                <w:szCs w:val="20"/>
                <w:color w:val="auto"/>
              </w:rPr>
            </w:pPr>
            <w:r>
              <w:rPr>
                <w:rFonts w:ascii="Arial" w:cs="Arial" w:eastAsia="Arial" w:hAnsi="Arial"/>
                <w:sz w:val="17"/>
                <w:szCs w:val="17"/>
                <w:color w:val="auto"/>
              </w:rPr>
              <w:t>(7)</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Guggenheim Portfolio Co. XV, LLC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 Adair</w:t>
            </w:r>
          </w:p>
        </w:tc>
      </w:tr>
      <w:tr>
        <w:trPr>
          <w:trHeight w:val="217"/>
        </w:trPr>
        <w:tc>
          <w:tcPr>
            <w:tcW w:w="4260" w:type="dxa"/>
            <w:vAlign w:val="bottom"/>
          </w:tcPr>
          <w:p>
            <w:pPr>
              <w:spacing w:after="0"/>
              <w:rPr>
                <w:sz w:val="20"/>
                <w:szCs w:val="20"/>
                <w:color w:val="auto"/>
              </w:rPr>
            </w:pPr>
            <w:r>
              <w:rPr>
                <w:rFonts w:ascii="Arial" w:cs="Arial" w:eastAsia="Arial" w:hAnsi="Arial"/>
                <w:sz w:val="17"/>
                <w:szCs w:val="17"/>
                <w:color w:val="auto"/>
              </w:rPr>
              <w:t>HFR CA Global Select Master Trust Account</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423"/>
        </w:trPr>
        <w:tc>
          <w:tcPr>
            <w:tcW w:w="4260" w:type="dxa"/>
            <w:vAlign w:val="bottom"/>
          </w:tcPr>
          <w:p>
            <w:pPr>
              <w:spacing w:after="0"/>
              <w:rPr>
                <w:sz w:val="24"/>
                <w:szCs w:val="24"/>
                <w:color w:val="auto"/>
              </w:rPr>
            </w:pPr>
          </w:p>
        </w:tc>
        <w:tc>
          <w:tcPr>
            <w:tcW w:w="7160" w:type="dxa"/>
            <w:vAlign w:val="bottom"/>
            <w:gridSpan w:val="3"/>
          </w:tcPr>
          <w:p>
            <w:pPr>
              <w:jc w:val="right"/>
              <w:ind w:right="5554"/>
              <w:spacing w:after="0"/>
              <w:rPr>
                <w:sz w:val="20"/>
                <w:szCs w:val="20"/>
                <w:color w:val="auto"/>
              </w:rPr>
            </w:pPr>
            <w:r>
              <w:rPr>
                <w:rFonts w:ascii="Arial" w:cs="Arial" w:eastAsia="Arial" w:hAnsi="Arial"/>
                <w:sz w:val="17"/>
                <w:szCs w:val="17"/>
                <w:color w:val="auto"/>
              </w:rPr>
              <w:t>60</w:t>
            </w:r>
          </w:p>
        </w:tc>
      </w:tr>
      <w:tr>
        <w:trPr>
          <w:trHeight w:val="224"/>
        </w:trPr>
        <w:tc>
          <w:tcPr>
            <w:tcW w:w="4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5040" w:type="dxa"/>
            <w:vAlign w:val="bottom"/>
          </w:tcPr>
          <w:p>
            <w:pPr>
              <w:ind w:left="1640"/>
              <w:spacing w:after="0"/>
              <w:rPr>
                <w:sz w:val="20"/>
                <w:szCs w:val="20"/>
                <w:color w:val="auto"/>
              </w:rPr>
            </w:pPr>
            <w:r>
              <w:rPr>
                <w:rFonts w:ascii="Arial" w:cs="Arial" w:eastAsia="Arial" w:hAnsi="Arial"/>
                <w:sz w:val="13"/>
                <w:szCs w:val="13"/>
                <w:b w:val="1"/>
                <w:bCs w:val="1"/>
                <w:color w:val="auto"/>
              </w:rPr>
              <w:t>Name of Selling Securityholder</w:t>
            </w:r>
          </w:p>
        </w:tc>
        <w:tc>
          <w:tcPr>
            <w:tcW w:w="340" w:type="dxa"/>
            <w:vAlign w:val="bottom"/>
          </w:tcPr>
          <w:p>
            <w:pPr>
              <w:spacing w:after="0"/>
              <w:rPr>
                <w:sz w:val="14"/>
                <w:szCs w:val="14"/>
                <w:color w:val="auto"/>
              </w:rPr>
            </w:pPr>
          </w:p>
        </w:tc>
        <w:tc>
          <w:tcPr>
            <w:tcW w:w="6040" w:type="dxa"/>
            <w:vAlign w:val="bottom"/>
          </w:tcPr>
          <w:p>
            <w:pPr>
              <w:ind w:left="1360"/>
              <w:spacing w:after="0"/>
              <w:rPr>
                <w:sz w:val="20"/>
                <w:szCs w:val="20"/>
                <w:color w:val="auto"/>
              </w:rPr>
            </w:pPr>
            <w:r>
              <w:rPr>
                <w:rFonts w:ascii="Arial" w:cs="Arial" w:eastAsia="Arial" w:hAnsi="Arial"/>
                <w:sz w:val="13"/>
                <w:szCs w:val="13"/>
                <w:b w:val="1"/>
                <w:bCs w:val="1"/>
                <w:color w:val="auto"/>
              </w:rPr>
              <w:t>Natural Person or Persons with Voting/Investment Control</w:t>
            </w:r>
          </w:p>
        </w:tc>
      </w:tr>
      <w:tr>
        <w:trPr>
          <w:trHeight w:val="94"/>
        </w:trPr>
        <w:tc>
          <w:tcPr>
            <w:tcW w:w="50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r>
      <w:tr>
        <w:trPr>
          <w:trHeight w:val="302"/>
        </w:trPr>
        <w:tc>
          <w:tcPr>
            <w:tcW w:w="5040" w:type="dxa"/>
            <w:vAlign w:val="bottom"/>
          </w:tcPr>
          <w:p>
            <w:pPr>
              <w:spacing w:after="0"/>
              <w:rPr>
                <w:sz w:val="20"/>
                <w:szCs w:val="20"/>
                <w:color w:val="auto"/>
              </w:rPr>
            </w:pPr>
            <w:r>
              <w:rPr>
                <w:rFonts w:ascii="Arial" w:cs="Arial" w:eastAsia="Arial" w:hAnsi="Arial"/>
                <w:sz w:val="17"/>
                <w:szCs w:val="17"/>
                <w:color w:val="auto"/>
                <w:w w:val="94"/>
              </w:rPr>
              <w:t>HSBC Asset Management (Americas) Inc. for the HSBC Multi-Strategy</w:t>
            </w:r>
          </w:p>
        </w:tc>
        <w:tc>
          <w:tcPr>
            <w:tcW w:w="34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212"/>
        </w:trPr>
        <w:tc>
          <w:tcPr>
            <w:tcW w:w="5040" w:type="dxa"/>
            <w:vAlign w:val="bottom"/>
          </w:tcPr>
          <w:p>
            <w:pPr>
              <w:ind w:left="140"/>
              <w:spacing w:after="0"/>
              <w:rPr>
                <w:sz w:val="20"/>
                <w:szCs w:val="20"/>
                <w:color w:val="auto"/>
              </w:rPr>
            </w:pPr>
            <w:r>
              <w:rPr>
                <w:rFonts w:ascii="Arial" w:cs="Arial" w:eastAsia="Arial" w:hAnsi="Arial"/>
                <w:sz w:val="17"/>
                <w:szCs w:val="17"/>
                <w:color w:val="auto"/>
              </w:rPr>
              <w:t>Arbitrage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Warren Stein and John Moore Stanley</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Huntrise Capital Leveraged Partners, LLC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Indianapolis Life Insurance Co.</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Inflective Convertible Opportunity Fund I, L.P.</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Inflective Convertible Opportunity Fund I,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Injured Workers Insurance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Intl. Truck &amp; Engine Corp. Non Contributory Retirement Plan Trust</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w w:val="99"/>
              </w:rPr>
              <w:t>Intl. Truck &amp; Engine Corp. Retirement Plan for Salaried Employee’s</w:t>
            </w:r>
          </w:p>
        </w:tc>
        <w:tc>
          <w:tcPr>
            <w:tcW w:w="34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2"/>
        </w:trPr>
        <w:tc>
          <w:tcPr>
            <w:tcW w:w="5040" w:type="dxa"/>
            <w:vAlign w:val="bottom"/>
          </w:tcPr>
          <w:p>
            <w:pPr>
              <w:ind w:left="140"/>
              <w:spacing w:after="0"/>
              <w:rPr>
                <w:sz w:val="20"/>
                <w:szCs w:val="20"/>
                <w:color w:val="auto"/>
              </w:rPr>
            </w:pPr>
            <w:r>
              <w:rPr>
                <w:rFonts w:ascii="Arial" w:cs="Arial" w:eastAsia="Arial" w:hAnsi="Arial"/>
                <w:sz w:val="17"/>
                <w:szCs w:val="17"/>
                <w:color w:val="auto"/>
              </w:rPr>
              <w:t>Trust</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Jefferies Umbrella Fund US Convertible Bonds</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Andre Sager and Evelyne Kaser</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JP Morgan Securities Inc.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Craig Petherick</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KBC Convertible Arbitrage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Andrew Preston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KBC Convertible Mac 28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Andrew Preston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KBC Financial Products USA Inc.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(9)</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KBC Multi Strategy Arbitrage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Andrew Preston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KeySpan Foundation</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KeySpan Insurance Company</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Lehman Brothers</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Kevin Lowe</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Lord Abbett Investment Trust — LA Convertible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Lydian Overseas Partners Master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(10)</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Lydian Global Opportunities Master Fund Limited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(10)</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Lyxor/AM Investment Fund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(3)</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Lyxor/Context Fund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Michael Rosen and William Fertig</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Lyxor/Inflective Convertible Opportunity Fund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Thomas J. Ray</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Lyxor Master Fund Ref: Argent/LowLev CB c/o Argent</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Melody 1AM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Andrew Preston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National Bank of Canada</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Michael Rosen and William Fertig</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National Benefit Life Insurance Company</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Nomura Securities Int’l Inc.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Simon Pharr</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Partners Group Alternative Strategies PCC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PIMCO Convertible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Mark Hudoff</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Primerica Life Insurance Company</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Pyramid Equity Strategies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Eric Lobben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R2 Investments, LDC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(11)</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Radian Asset Assurance, Inc.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Radian Group Convertible Securities</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Radian Guaranty</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Ramius Capital Group</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 Adair</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Ramius Master Fund,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 Adair</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RCG Halifax Master Fund,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 Adair</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RCG Latitude Master Fund,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 Adair</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RCG Multi Strategy Master Fund,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 Adair</w:t>
            </w:r>
          </w:p>
        </w:tc>
      </w:tr>
      <w:tr>
        <w:trPr>
          <w:trHeight w:val="217"/>
        </w:trPr>
        <w:tc>
          <w:tcPr>
            <w:tcW w:w="5040" w:type="dxa"/>
            <w:vAlign w:val="bottom"/>
          </w:tcPr>
          <w:p>
            <w:pPr>
              <w:spacing w:after="0"/>
              <w:rPr>
                <w:sz w:val="20"/>
                <w:szCs w:val="20"/>
                <w:color w:val="auto"/>
              </w:rPr>
            </w:pPr>
            <w:r>
              <w:rPr>
                <w:rFonts w:ascii="Arial" w:cs="Arial" w:eastAsia="Arial" w:hAnsi="Arial"/>
                <w:sz w:val="17"/>
                <w:szCs w:val="17"/>
                <w:color w:val="auto"/>
              </w:rPr>
              <w:t>Royal Bank of Canada (Norshield)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Michael Rosen and William Fertig</w:t>
            </w:r>
          </w:p>
        </w:tc>
      </w:tr>
      <w:tr>
        <w:trPr>
          <w:trHeight w:val="423"/>
        </w:trPr>
        <w:tc>
          <w:tcPr>
            <w:tcW w:w="5040" w:type="dxa"/>
            <w:vAlign w:val="bottom"/>
          </w:tcPr>
          <w:p>
            <w:pPr>
              <w:spacing w:after="0"/>
              <w:rPr>
                <w:sz w:val="24"/>
                <w:szCs w:val="24"/>
                <w:color w:val="auto"/>
              </w:rPr>
            </w:pPr>
          </w:p>
        </w:tc>
        <w:tc>
          <w:tcPr>
            <w:tcW w:w="6380" w:type="dxa"/>
            <w:vAlign w:val="bottom"/>
            <w:gridSpan w:val="2"/>
          </w:tcPr>
          <w:p>
            <w:pPr>
              <w:ind w:left="580"/>
              <w:spacing w:after="0"/>
              <w:rPr>
                <w:sz w:val="20"/>
                <w:szCs w:val="20"/>
                <w:color w:val="auto"/>
              </w:rPr>
            </w:pPr>
            <w:r>
              <w:rPr>
                <w:rFonts w:ascii="Arial" w:cs="Arial" w:eastAsia="Arial" w:hAnsi="Arial"/>
                <w:sz w:val="17"/>
                <w:szCs w:val="17"/>
                <w:color w:val="auto"/>
              </w:rPr>
              <w:t>61</w:t>
            </w:r>
          </w:p>
        </w:tc>
      </w:tr>
      <w:tr>
        <w:trPr>
          <w:trHeight w:val="224"/>
        </w:trPr>
        <w:tc>
          <w:tcPr>
            <w:tcW w:w="5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5040" w:type="dxa"/>
            <w:vAlign w:val="bottom"/>
          </w:tcPr>
          <w:p>
            <w:pPr>
              <w:ind w:left="1640"/>
              <w:spacing w:after="0"/>
              <w:rPr>
                <w:sz w:val="20"/>
                <w:szCs w:val="20"/>
                <w:color w:val="auto"/>
              </w:rPr>
            </w:pPr>
            <w:r>
              <w:rPr>
                <w:rFonts w:ascii="Arial" w:cs="Arial" w:eastAsia="Arial" w:hAnsi="Arial"/>
                <w:sz w:val="13"/>
                <w:szCs w:val="13"/>
                <w:b w:val="1"/>
                <w:bCs w:val="1"/>
                <w:color w:val="auto"/>
              </w:rPr>
              <w:t>Name of Selling Securityholder</w:t>
            </w:r>
          </w:p>
        </w:tc>
        <w:tc>
          <w:tcPr>
            <w:tcW w:w="340" w:type="dxa"/>
            <w:vAlign w:val="bottom"/>
          </w:tcPr>
          <w:p>
            <w:pPr>
              <w:spacing w:after="0"/>
              <w:rPr>
                <w:sz w:val="14"/>
                <w:szCs w:val="14"/>
                <w:color w:val="auto"/>
              </w:rPr>
            </w:pPr>
          </w:p>
        </w:tc>
        <w:tc>
          <w:tcPr>
            <w:tcW w:w="6040" w:type="dxa"/>
            <w:vAlign w:val="bottom"/>
          </w:tcPr>
          <w:p>
            <w:pPr>
              <w:ind w:left="1360"/>
              <w:spacing w:after="0"/>
              <w:rPr>
                <w:sz w:val="20"/>
                <w:szCs w:val="20"/>
                <w:color w:val="auto"/>
              </w:rPr>
            </w:pPr>
            <w:r>
              <w:rPr>
                <w:rFonts w:ascii="Arial" w:cs="Arial" w:eastAsia="Arial" w:hAnsi="Arial"/>
                <w:sz w:val="13"/>
                <w:szCs w:val="13"/>
                <w:b w:val="1"/>
                <w:bCs w:val="1"/>
                <w:color w:val="auto"/>
              </w:rPr>
              <w:t>Natural Person or Persons with Voting/Investment Control</w:t>
            </w:r>
          </w:p>
        </w:tc>
      </w:tr>
      <w:tr>
        <w:trPr>
          <w:trHeight w:val="94"/>
        </w:trPr>
        <w:tc>
          <w:tcPr>
            <w:tcW w:w="50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r>
      <w:tr>
        <w:trPr>
          <w:trHeight w:val="302"/>
        </w:trPr>
        <w:tc>
          <w:tcPr>
            <w:tcW w:w="5040" w:type="dxa"/>
            <w:vAlign w:val="bottom"/>
          </w:tcPr>
          <w:p>
            <w:pPr>
              <w:spacing w:after="0"/>
              <w:rPr>
                <w:sz w:val="20"/>
                <w:szCs w:val="20"/>
                <w:color w:val="auto"/>
              </w:rPr>
            </w:pPr>
            <w:r>
              <w:rPr>
                <w:rFonts w:ascii="Arial" w:cs="Arial" w:eastAsia="Arial" w:hAnsi="Arial"/>
                <w:sz w:val="17"/>
                <w:szCs w:val="17"/>
                <w:color w:val="auto"/>
              </w:rPr>
              <w:t>Silver Convertible Arbitrage Fund, LDC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Sphinx Convertible Arbitrage Fund SPC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Colin Smith</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State of Florida Division of Treasury</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Ann Houlihan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Teachers Insurance and Annuity Association of America</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Elizabeth Black and Edward L Toy</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Thomas Weisel Partners</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Tim Heekin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Thrivent Financial For Lutherans</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(12)</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Total Fina Elf Finance USA, Inc.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Travelers Insurance Company — Life</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Travelers Insurance Company Separate Account TLAC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Travelers Life and Annuity Company</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Travelers Series Trust Convertible Bond Portfolio</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UBS AG f/b/o IPB Client</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Alexander Warren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UBS Securities LLC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(13)</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University of Arkansas</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University of Arkansas Foundation</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Univest Convertible Arbitrage Fund II LTD (Norshield)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Michael Rosen and William Fertig</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Vermont Mutual Insurance Company</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Maren Lindstrom</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Wachovia Securities International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Eric Peyton</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White River Securities L.L.C.</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Yan Erlikh &amp; David Liebowitz</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Worldwide Transactions Ltd.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(14)</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Xavex Convertible Arbitrage 5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Alex Adair</w:t>
            </w:r>
          </w:p>
        </w:tc>
      </w:tr>
      <w:tr>
        <w:trPr>
          <w:trHeight w:val="212"/>
        </w:trPr>
        <w:tc>
          <w:tcPr>
            <w:tcW w:w="5040" w:type="dxa"/>
            <w:vAlign w:val="bottom"/>
          </w:tcPr>
          <w:p>
            <w:pPr>
              <w:spacing w:after="0"/>
              <w:rPr>
                <w:sz w:val="20"/>
                <w:szCs w:val="20"/>
                <w:color w:val="auto"/>
              </w:rPr>
            </w:pPr>
            <w:r>
              <w:rPr>
                <w:rFonts w:ascii="Arial" w:cs="Arial" w:eastAsia="Arial" w:hAnsi="Arial"/>
                <w:sz w:val="17"/>
                <w:szCs w:val="17"/>
                <w:color w:val="auto"/>
              </w:rPr>
              <w:t>Xavex Convertible Arbitrage 10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r>
        <w:trPr>
          <w:trHeight w:val="217"/>
        </w:trPr>
        <w:tc>
          <w:tcPr>
            <w:tcW w:w="5040" w:type="dxa"/>
            <w:vAlign w:val="bottom"/>
          </w:tcPr>
          <w:p>
            <w:pPr>
              <w:spacing w:after="0"/>
              <w:rPr>
                <w:sz w:val="20"/>
                <w:szCs w:val="20"/>
                <w:color w:val="auto"/>
              </w:rPr>
            </w:pPr>
            <w:r>
              <w:rPr>
                <w:rFonts w:ascii="Arial" w:cs="Arial" w:eastAsia="Arial" w:hAnsi="Arial"/>
                <w:sz w:val="17"/>
                <w:szCs w:val="17"/>
                <w:color w:val="auto"/>
              </w:rPr>
              <w:t>Xavex Convertible Arbitrage 2 Fund</w:t>
            </w:r>
          </w:p>
        </w:tc>
        <w:tc>
          <w:tcPr>
            <w:tcW w:w="6380" w:type="dxa"/>
            <w:vAlign w:val="bottom"/>
            <w:gridSpan w:val="2"/>
          </w:tcPr>
          <w:p>
            <w:pPr>
              <w:ind w:left="340"/>
              <w:spacing w:after="0"/>
              <w:rPr>
                <w:sz w:val="20"/>
                <w:szCs w:val="20"/>
                <w:color w:val="auto"/>
              </w:rPr>
            </w:pPr>
            <w:r>
              <w:rPr>
                <w:rFonts w:ascii="Arial" w:cs="Arial" w:eastAsia="Arial" w:hAnsi="Arial"/>
                <w:sz w:val="17"/>
                <w:szCs w:val="17"/>
                <w:color w:val="auto"/>
              </w:rPr>
              <w:t>Nathanial Brown and Robert Richardson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1318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100" w:hanging="455"/>
        <w:spacing w:after="0" w:line="286"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95" w:lineRule="exact"/>
        <w:rPr>
          <w:rFonts w:ascii="Arial" w:cs="Arial" w:eastAsia="Arial" w:hAnsi="Arial"/>
          <w:sz w:val="17"/>
          <w:szCs w:val="17"/>
          <w:color w:val="auto"/>
        </w:rPr>
      </w:pPr>
    </w:p>
    <w:p>
      <w:pPr>
        <w:jc w:val="both"/>
        <w:ind w:left="580" w:right="240" w:hanging="455"/>
        <w:spacing w:after="0" w:line="356" w:lineRule="auto"/>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149" w:lineRule="exact"/>
        <w:rPr>
          <w:rFonts w:ascii="Arial" w:cs="Arial" w:eastAsia="Arial" w:hAnsi="Arial"/>
          <w:sz w:val="15"/>
          <w:szCs w:val="15"/>
          <w:color w:val="auto"/>
        </w:rPr>
      </w:pPr>
    </w:p>
    <w:p>
      <w:pPr>
        <w:ind w:left="580" w:right="80" w:hanging="455"/>
        <w:spacing w:after="0" w:line="268"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11" w:lineRule="exact"/>
        <w:rPr>
          <w:rFonts w:ascii="Arial" w:cs="Arial" w:eastAsia="Arial" w:hAnsi="Arial"/>
          <w:sz w:val="17"/>
          <w:szCs w:val="17"/>
          <w:color w:val="auto"/>
        </w:rPr>
      </w:pPr>
    </w:p>
    <w:p>
      <w:pPr>
        <w:ind w:left="580" w:right="160" w:hanging="455"/>
        <w:spacing w:after="0" w:line="286"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195" w:lineRule="exact"/>
        <w:rPr>
          <w:rFonts w:ascii="Arial" w:cs="Arial" w:eastAsia="Arial" w:hAnsi="Arial"/>
          <w:sz w:val="17"/>
          <w:szCs w:val="17"/>
          <w:color w:val="auto"/>
        </w:rPr>
      </w:pPr>
    </w:p>
    <w:p>
      <w:pPr>
        <w:ind w:left="580" w:right="100" w:hanging="455"/>
        <w:spacing w:after="0" w:line="266"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 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sectPr>
      </w:pPr>
    </w:p>
    <w:bookmarkStart w:id="65" w:name="page66"/>
    <w:bookmarkEnd w:id="65"/>
    <w:p>
      <w:pPr>
        <w:ind w:left="574" w:hanging="455"/>
        <w:spacing w:after="0"/>
        <w:tabs>
          <w:tab w:leader="none" w:pos="574" w:val="left"/>
        </w:tabs>
        <w:numPr>
          <w:ilvl w:val="1"/>
          <w:numId w:val="56"/>
        </w:numPr>
        <w:rPr>
          <w:rFonts w:ascii="Arial" w:cs="Arial" w:eastAsia="Arial" w:hAnsi="Arial"/>
          <w:sz w:val="17"/>
          <w:szCs w:val="17"/>
          <w:color w:val="auto"/>
        </w:rPr>
      </w:pPr>
      <w:r>
        <w:rPr>
          <w:rFonts w:ascii="Arial" w:cs="Arial" w:eastAsia="Arial" w:hAnsi="Arial"/>
          <w:sz w:val="17"/>
          <w:szCs w:val="17"/>
          <w:color w:val="auto"/>
        </w:rPr>
        <w:t>Citigroup Global Markets Inc. is an indirect wholly owned subsidiary of Citigroup Inc., which is a reporting company under the Exchange Act.</w:t>
      </w:r>
    </w:p>
    <w:p>
      <w:pPr>
        <w:spacing w:after="0" w:line="280" w:lineRule="exact"/>
        <w:rPr>
          <w:rFonts w:ascii="Arial" w:cs="Arial" w:eastAsia="Arial" w:hAnsi="Arial"/>
          <w:sz w:val="17"/>
          <w:szCs w:val="17"/>
          <w:color w:val="auto"/>
        </w:rPr>
      </w:pPr>
    </w:p>
    <w:p>
      <w:pPr>
        <w:ind w:left="574" w:hanging="455"/>
        <w:spacing w:after="0"/>
        <w:tabs>
          <w:tab w:leader="none" w:pos="574"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securityholder is a reporting entity with the Securities and Exchange Commission.</w:t>
      </w:r>
    </w:p>
    <w:p>
      <w:pPr>
        <w:spacing w:after="0" w:line="280" w:lineRule="exact"/>
        <w:rPr>
          <w:rFonts w:ascii="Arial" w:cs="Arial" w:eastAsia="Arial" w:hAnsi="Arial"/>
          <w:sz w:val="17"/>
          <w:szCs w:val="17"/>
          <w:color w:val="auto"/>
        </w:rPr>
      </w:pPr>
    </w:p>
    <w:p>
      <w:pPr>
        <w:ind w:left="574" w:hanging="455"/>
        <w:spacing w:after="0" w:line="306" w:lineRule="auto"/>
        <w:tabs>
          <w:tab w:leader="none" w:pos="574" w:val="left"/>
        </w:tabs>
        <w:numPr>
          <w:ilvl w:val="1"/>
          <w:numId w:val="56"/>
        </w:numPr>
        <w:rPr>
          <w:rFonts w:ascii="Arial" w:cs="Arial" w:eastAsia="Arial" w:hAnsi="Arial"/>
          <w:sz w:val="15"/>
          <w:szCs w:val="15"/>
          <w:color w:val="auto"/>
        </w:rPr>
      </w:pPr>
      <w:r>
        <w:rPr>
          <w:rFonts w:ascii="Arial" w:cs="Arial" w:eastAsia="Arial" w:hAnsi="Arial"/>
          <w:sz w:val="15"/>
          <w:szCs w:val="15"/>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188" w:lineRule="exact"/>
        <w:rPr>
          <w:rFonts w:ascii="Arial" w:cs="Arial" w:eastAsia="Arial" w:hAnsi="Arial"/>
          <w:sz w:val="15"/>
          <w:szCs w:val="15"/>
          <w:color w:val="auto"/>
        </w:rPr>
      </w:pPr>
    </w:p>
    <w:p>
      <w:pPr>
        <w:ind w:left="574" w:right="200" w:hanging="455"/>
        <w:spacing w:after="0" w:line="319" w:lineRule="auto"/>
        <w:tabs>
          <w:tab w:leader="none" w:pos="574" w:val="left"/>
        </w:tabs>
        <w:numPr>
          <w:ilvl w:val="1"/>
          <w:numId w:val="56"/>
        </w:numPr>
        <w:rPr>
          <w:rFonts w:ascii="Arial" w:cs="Arial" w:eastAsia="Arial" w:hAnsi="Arial"/>
          <w:sz w:val="16"/>
          <w:szCs w:val="16"/>
          <w:color w:val="auto"/>
        </w:rPr>
      </w:pPr>
      <w:r>
        <w:rPr>
          <w:rFonts w:ascii="Arial" w:cs="Arial" w:eastAsia="Arial" w:hAnsi="Arial"/>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45" w:lineRule="exact"/>
        <w:rPr>
          <w:rFonts w:ascii="Arial" w:cs="Arial" w:eastAsia="Arial" w:hAnsi="Arial"/>
          <w:sz w:val="16"/>
          <w:szCs w:val="16"/>
          <w:color w:val="auto"/>
        </w:rPr>
      </w:pPr>
    </w:p>
    <w:p>
      <w:pPr>
        <w:ind w:left="574" w:hanging="574"/>
        <w:spacing w:after="0" w:line="286" w:lineRule="auto"/>
        <w:tabs>
          <w:tab w:leader="none" w:pos="574" w:val="left"/>
        </w:tabs>
        <w:numPr>
          <w:ilvl w:val="0"/>
          <w:numId w:val="57"/>
        </w:numPr>
        <w:rPr>
          <w:rFonts w:ascii="Arial" w:cs="Arial" w:eastAsia="Arial" w:hAnsi="Arial"/>
          <w:sz w:val="17"/>
          <w:szCs w:val="17"/>
          <w:color w:val="auto"/>
        </w:rPr>
      </w:pPr>
      <w:r>
        <w:rPr>
          <w:rFonts w:ascii="Arial" w:cs="Arial" w:eastAsia="Arial" w:hAnsi="Arial"/>
          <w:sz w:val="17"/>
          <w:szCs w:val="17"/>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195" w:lineRule="exact"/>
        <w:rPr>
          <w:rFonts w:ascii="Arial" w:cs="Arial" w:eastAsia="Arial" w:hAnsi="Arial"/>
          <w:sz w:val="17"/>
          <w:szCs w:val="17"/>
          <w:color w:val="auto"/>
        </w:rPr>
      </w:pPr>
    </w:p>
    <w:p>
      <w:pPr>
        <w:ind w:left="574" w:hanging="574"/>
        <w:spacing w:after="0" w:line="273" w:lineRule="auto"/>
        <w:tabs>
          <w:tab w:leader="none" w:pos="574"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6" w:lineRule="exact"/>
        <w:rPr>
          <w:rFonts w:ascii="Arial" w:cs="Arial" w:eastAsia="Arial" w:hAnsi="Arial"/>
          <w:sz w:val="17"/>
          <w:szCs w:val="17"/>
          <w:color w:val="auto"/>
        </w:rPr>
      </w:pPr>
    </w:p>
    <w:p>
      <w:pPr>
        <w:ind w:left="574" w:hanging="574"/>
        <w:spacing w:after="0"/>
        <w:tabs>
          <w:tab w:leader="none" w:pos="574" w:val="left"/>
        </w:tabs>
        <w:numPr>
          <w:ilvl w:val="0"/>
          <w:numId w:val="57"/>
        </w:numPr>
        <w:rPr>
          <w:rFonts w:ascii="Arial" w:cs="Arial" w:eastAsia="Arial" w:hAnsi="Arial"/>
          <w:sz w:val="17"/>
          <w:szCs w:val="17"/>
          <w:color w:val="auto"/>
        </w:rPr>
      </w:pPr>
      <w:r>
        <w:rPr>
          <w:rFonts w:ascii="Arial" w:cs="Arial" w:eastAsia="Arial" w:hAnsi="Arial"/>
          <w:sz w:val="17"/>
          <w:szCs w:val="17"/>
          <w:color w:val="auto"/>
        </w:rPr>
        <w:t>John Pickering, Michael Swendsen, Mark Swanson and Rand Mattsson.</w:t>
      </w:r>
    </w:p>
    <w:p>
      <w:pPr>
        <w:spacing w:after="0" w:line="254" w:lineRule="exact"/>
        <w:rPr>
          <w:rFonts w:ascii="Arial" w:cs="Arial" w:eastAsia="Arial" w:hAnsi="Arial"/>
          <w:sz w:val="17"/>
          <w:szCs w:val="17"/>
          <w:color w:val="auto"/>
        </w:rPr>
      </w:pPr>
    </w:p>
    <w:p>
      <w:pPr>
        <w:ind w:left="574" w:hanging="574"/>
        <w:spacing w:after="0"/>
        <w:tabs>
          <w:tab w:leader="none" w:pos="574" w:val="left"/>
        </w:tabs>
        <w:numPr>
          <w:ilvl w:val="0"/>
          <w:numId w:val="57"/>
        </w:numPr>
        <w:rPr>
          <w:rFonts w:ascii="Arial" w:cs="Arial" w:eastAsia="Arial" w:hAnsi="Arial"/>
          <w:sz w:val="17"/>
          <w:szCs w:val="17"/>
          <w:color w:val="auto"/>
        </w:rPr>
      </w:pPr>
      <w:r>
        <w:rPr>
          <w:rFonts w:ascii="Arial" w:cs="Arial" w:eastAsia="Arial" w:hAnsi="Arial"/>
          <w:sz w:val="17"/>
          <w:szCs w:val="17"/>
          <w:color w:val="auto"/>
        </w:rPr>
        <w:t>UBS AG is the parent company of the selling securityholder.</w:t>
      </w:r>
    </w:p>
    <w:p>
      <w:pPr>
        <w:spacing w:after="0" w:line="254" w:lineRule="exact"/>
        <w:rPr>
          <w:rFonts w:ascii="Arial" w:cs="Arial" w:eastAsia="Arial" w:hAnsi="Arial"/>
          <w:sz w:val="17"/>
          <w:szCs w:val="17"/>
          <w:color w:val="auto"/>
        </w:rPr>
      </w:pPr>
    </w:p>
    <w:p>
      <w:pPr>
        <w:ind w:left="574" w:right="20" w:hanging="574"/>
        <w:spacing w:after="0" w:line="268" w:lineRule="auto"/>
        <w:tabs>
          <w:tab w:leader="none" w:pos="574" w:val="left"/>
        </w:tabs>
        <w:numPr>
          <w:ilvl w:val="0"/>
          <w:numId w:val="57"/>
        </w:numPr>
        <w:rPr>
          <w:rFonts w:ascii="Arial" w:cs="Arial" w:eastAsia="Arial" w:hAnsi="Arial"/>
          <w:sz w:val="17"/>
          <w:szCs w:val="17"/>
          <w:color w:val="auto"/>
        </w:rPr>
      </w:pPr>
      <w:r>
        <w:rPr>
          <w:rFonts w:ascii="Arial" w:cs="Arial" w:eastAsia="Arial" w:hAnsi="Arial"/>
          <w:sz w:val="17"/>
          <w:szCs w:val="17"/>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185" w:lineRule="exact"/>
        <w:rPr>
          <w:sz w:val="20"/>
          <w:szCs w:val="20"/>
          <w:color w:val="auto"/>
        </w:rPr>
      </w:pPr>
    </w:p>
    <w:p>
      <w:pPr>
        <w:jc w:val="center"/>
        <w:ind w:right="-113"/>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94"/>
          </w:cols>
          <w:pgMar w:left="246" w:top="925" w:right="3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7"/>
          <w:szCs w:val="17"/>
          <w:b w:val="1"/>
          <w:bCs w:val="1"/>
          <w:color w:val="auto"/>
        </w:rPr>
        <w:t>PLAN OF DISTRIBUTION</w:t>
      </w:r>
    </w:p>
    <w:p>
      <w:pPr>
        <w:spacing w:after="0" w:line="260" w:lineRule="exact"/>
        <w:rPr>
          <w:sz w:val="20"/>
          <w:szCs w:val="20"/>
          <w:color w:val="auto"/>
        </w:rPr>
      </w:pPr>
    </w:p>
    <w:p>
      <w:pPr>
        <w:ind w:right="40" w:firstLine="318"/>
        <w:spacing w:after="0" w:line="284" w:lineRule="auto"/>
        <w:rPr>
          <w:sz w:val="20"/>
          <w:szCs w:val="20"/>
          <w:color w:val="auto"/>
        </w:rPr>
      </w:pPr>
      <w:r>
        <w:rPr>
          <w:rFonts w:ascii="Arial" w:cs="Arial" w:eastAsia="Arial" w:hAnsi="Arial"/>
          <w:sz w:val="16"/>
          <w:szCs w:val="16"/>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175" w:lineRule="exact"/>
        <w:rPr>
          <w:sz w:val="20"/>
          <w:szCs w:val="20"/>
          <w:color w:val="auto"/>
        </w:rPr>
      </w:pPr>
    </w:p>
    <w:p>
      <w:pPr>
        <w:ind w:left="460" w:hanging="110"/>
        <w:spacing w:after="0"/>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any national securities exchange or quotation service on which the notes and shares may be listed or quoted at the time of sale;</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over-the-counter market; or</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transactions otherwise than on such exchanges or services or in the over-the-counter market.</w:t>
      </w:r>
    </w:p>
    <w:p>
      <w:pPr>
        <w:spacing w:after="0" w:line="281"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In addition, the selling securityholders may sell ordinary shares issuable upon conversion of the notes by one or more of, or a combination of, the following methods:</w:t>
      </w:r>
    </w:p>
    <w:p>
      <w:pPr>
        <w:spacing w:after="0" w:line="169" w:lineRule="exact"/>
        <w:rPr>
          <w:sz w:val="20"/>
          <w:szCs w:val="20"/>
          <w:color w:val="auto"/>
        </w:rPr>
      </w:pPr>
    </w:p>
    <w:p>
      <w:pPr>
        <w:ind w:left="460" w:hanging="110"/>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purchases by a broker-dealer as principal and resale by such broker-dealer for its own account pursuant to this prospectus;</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 solicits purchasers;</w:t>
      </w:r>
    </w:p>
    <w:p>
      <w:pPr>
        <w:spacing w:after="0" w:line="280" w:lineRule="exact"/>
        <w:rPr>
          <w:rFonts w:ascii="Arial" w:cs="Arial" w:eastAsia="Arial" w:hAnsi="Arial"/>
          <w:sz w:val="17"/>
          <w:szCs w:val="17"/>
          <w:color w:val="auto"/>
        </w:rPr>
      </w:pPr>
    </w:p>
    <w:p>
      <w:pPr>
        <w:ind w:left="460" w:right="320" w:hanging="110"/>
        <w:spacing w:after="0" w:line="286"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shares as agent but may position and resell a portion of the block as principal to facilitate the transaction;</w:t>
      </w:r>
    </w:p>
    <w:p>
      <w:pPr>
        <w:spacing w:after="0" w:line="195" w:lineRule="exact"/>
        <w:rPr>
          <w:rFonts w:ascii="Arial" w:cs="Arial" w:eastAsia="Arial" w:hAnsi="Arial"/>
          <w:sz w:val="17"/>
          <w:szCs w:val="17"/>
          <w:color w:val="auto"/>
        </w:rPr>
      </w:pPr>
    </w:p>
    <w:p>
      <w:pPr>
        <w:ind w:left="460" w:hanging="110"/>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privately negotiated transactions; and</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options transactions.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the selling securityholders may sell any shares that qualify for sale under Rule 144 rather than pursuant to this prospectus.</w:t>
      </w:r>
    </w:p>
    <w:p>
      <w:pPr>
        <w:spacing w:after="0" w:line="25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213" w:lineRule="exact"/>
        <w:rPr>
          <w:sz w:val="20"/>
          <w:szCs w:val="20"/>
          <w:color w:val="auto"/>
        </w:rPr>
      </w:pPr>
    </w:p>
    <w:p>
      <w:pPr>
        <w:ind w:right="200" w:firstLine="318"/>
        <w:spacing w:after="0" w:line="319"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72" w:lineRule="exact"/>
        <w:rPr>
          <w:sz w:val="20"/>
          <w:szCs w:val="20"/>
          <w:color w:val="auto"/>
        </w:rPr>
      </w:pPr>
    </w:p>
    <w:p>
      <w:pPr>
        <w:ind w:firstLine="318"/>
        <w:spacing w:after="0" w:line="297" w:lineRule="auto"/>
        <w:rPr>
          <w:sz w:val="20"/>
          <w:szCs w:val="20"/>
          <w:color w:val="auto"/>
        </w:rPr>
      </w:pPr>
      <w:r>
        <w:rPr>
          <w:rFonts w:ascii="Arial" w:cs="Arial" w:eastAsia="Arial" w:hAnsi="Arial"/>
          <w:sz w:val="16"/>
          <w:szCs w:val="16"/>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ordinary shares are listed on the New York Stock Exchange.</w:t>
      </w:r>
    </w:p>
    <w:p>
      <w:pPr>
        <w:spacing w:after="0" w:line="254" w:lineRule="exact"/>
        <w:rPr>
          <w:sz w:val="20"/>
          <w:szCs w:val="20"/>
          <w:color w:val="auto"/>
        </w:rPr>
      </w:pPr>
    </w:p>
    <w:p>
      <w:pPr>
        <w:ind w:right="340" w:firstLine="318"/>
        <w:spacing w:after="0" w:line="273" w:lineRule="auto"/>
        <w:rPr>
          <w:sz w:val="20"/>
          <w:szCs w:val="20"/>
          <w:color w:val="auto"/>
        </w:rPr>
      </w:pPr>
      <w:r>
        <w:rPr>
          <w:rFonts w:ascii="Arial" w:cs="Arial" w:eastAsia="Arial" w:hAnsi="Arial"/>
          <w:sz w:val="17"/>
          <w:szCs w:val="17"/>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67" w:name="page68"/>
    <w:bookmarkEnd w:id="67"/>
    <w:p>
      <w:pPr>
        <w:spacing w:after="0"/>
        <w:rPr>
          <w:sz w:val="20"/>
          <w:szCs w:val="20"/>
          <w:color w:val="auto"/>
        </w:rPr>
      </w:pPr>
      <w:r>
        <w:rPr>
          <w:rFonts w:ascii="Arial" w:cs="Arial" w:eastAsia="Arial" w:hAnsi="Arial"/>
          <w:sz w:val="15"/>
          <w:szCs w:val="15"/>
          <w:color w:val="auto"/>
        </w:rPr>
        <w:t>have been registered or qualified for sale in the applicable state or an exemption from the registration or qualification requirement is available and is complied with.</w:t>
      </w:r>
    </w:p>
    <w:p>
      <w:pPr>
        <w:spacing w:after="0" w:line="277"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89" w:lineRule="exact"/>
        <w:rPr>
          <w:sz w:val="20"/>
          <w:szCs w:val="20"/>
          <w:color w:val="auto"/>
        </w:rPr>
      </w:pPr>
    </w:p>
    <w:p>
      <w:pPr>
        <w:ind w:right="60" w:firstLine="318"/>
        <w:spacing w:after="0" w:line="286" w:lineRule="auto"/>
        <w:rPr>
          <w:sz w:val="20"/>
          <w:szCs w:val="20"/>
          <w:color w:val="auto"/>
        </w:rPr>
      </w:pPr>
      <w:r>
        <w:rPr>
          <w:rFonts w:ascii="Arial" w:cs="Arial" w:eastAsia="Arial" w:hAnsi="Arial"/>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200" w:lineRule="exact"/>
        <w:rPr>
          <w:sz w:val="20"/>
          <w:szCs w:val="20"/>
          <w:color w:val="auto"/>
        </w:rPr>
      </w:pPr>
    </w:p>
    <w:p>
      <w:pPr>
        <w:jc w:val="both"/>
        <w:ind w:right="80" w:firstLine="318"/>
        <w:spacing w:after="0" w:line="356" w:lineRule="auto"/>
        <w:rPr>
          <w:sz w:val="20"/>
          <w:szCs w:val="20"/>
          <w:color w:val="auto"/>
        </w:rPr>
      </w:pPr>
      <w:r>
        <w:rPr>
          <w:rFonts w:ascii="Arial" w:cs="Arial" w:eastAsia="Arial" w:hAnsi="Arial"/>
          <w:sz w:val="15"/>
          <w:szCs w:val="15"/>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agreed to indemnify the selling securityholders against certain liabilities, including certain liabilities under the Securities Act.</w:t>
      </w:r>
    </w:p>
    <w:p>
      <w:pPr>
        <w:spacing w:after="0" w:line="254" w:lineRule="exact"/>
        <w:rPr>
          <w:sz w:val="20"/>
          <w:szCs w:val="20"/>
          <w:color w:val="auto"/>
        </w:rPr>
      </w:pPr>
    </w:p>
    <w:p>
      <w:pPr>
        <w:jc w:val="both"/>
        <w:ind w:right="60" w:firstLine="318"/>
        <w:spacing w:after="0" w:line="273" w:lineRule="auto"/>
        <w:rPr>
          <w:sz w:val="20"/>
          <w:szCs w:val="20"/>
          <w:color w:val="auto"/>
        </w:rPr>
      </w:pPr>
      <w:r>
        <w:rPr>
          <w:rFonts w:ascii="Arial" w:cs="Arial" w:eastAsia="Arial" w:hAnsi="Arial"/>
          <w:sz w:val="17"/>
          <w:szCs w:val="17"/>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validity of the ordinary shares and the notes offered hereby will be passed upon for us by Carey Olsen, Island of Guernsey.</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Certain legal matters in connection with the offering will be passed upon for us by Wilmer Cutler Pickering Hale and Dorr LLP, New York, New York.</w:t>
      </w:r>
    </w:p>
    <w:p>
      <w:pPr>
        <w:spacing w:after="0" w:line="254"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6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ENFORCEABILITY OF CIVIL LIABILITIES</w:t>
      </w:r>
    </w:p>
    <w:p>
      <w:pPr>
        <w:spacing w:after="0" w:line="260" w:lineRule="exact"/>
        <w:rPr>
          <w:sz w:val="20"/>
          <w:szCs w:val="20"/>
          <w:color w:val="auto"/>
        </w:rPr>
      </w:pPr>
    </w:p>
    <w:p>
      <w:pPr>
        <w:ind w:right="100" w:firstLine="318"/>
        <w:spacing w:after="0" w:line="290" w:lineRule="auto"/>
        <w:rPr>
          <w:sz w:val="20"/>
          <w:szCs w:val="20"/>
          <w:color w:val="auto"/>
        </w:rPr>
      </w:pPr>
      <w:r>
        <w:rPr>
          <w:rFonts w:ascii="Arial" w:cs="Arial" w:eastAsia="Arial" w:hAnsi="Arial"/>
          <w:sz w:val="16"/>
          <w:szCs w:val="16"/>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95"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3" w:lineRule="exact"/>
        <w:rPr>
          <w:sz w:val="20"/>
          <w:szCs w:val="20"/>
          <w:color w:val="auto"/>
        </w:rPr>
      </w:pPr>
    </w:p>
    <w:p>
      <w:pPr>
        <w:ind w:right="20" w:firstLine="318"/>
        <w:spacing w:after="0" w:line="297" w:lineRule="auto"/>
        <w:rPr>
          <w:sz w:val="20"/>
          <w:szCs w:val="20"/>
          <w:color w:val="auto"/>
        </w:rPr>
      </w:pPr>
      <w:r>
        <w:rPr>
          <w:rFonts w:ascii="Arial" w:cs="Arial" w:eastAsia="Arial" w:hAnsi="Arial"/>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90"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06" w:lineRule="exact"/>
        <w:rPr>
          <w:sz w:val="20"/>
          <w:szCs w:val="20"/>
          <w:color w:val="auto"/>
        </w:rPr>
      </w:pPr>
    </w:p>
    <w:p>
      <w:pPr>
        <w:ind w:right="300" w:firstLine="318"/>
        <w:spacing w:after="0" w:line="268" w:lineRule="auto"/>
        <w:rPr>
          <w:sz w:val="20"/>
          <w:szCs w:val="20"/>
          <w:color w:val="auto"/>
        </w:rPr>
      </w:pPr>
      <w:r>
        <w:rPr>
          <w:rFonts w:ascii="Arial" w:cs="Arial" w:eastAsia="Arial" w:hAnsi="Arial"/>
          <w:sz w:val="17"/>
          <w:szCs w:val="17"/>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69" w:name="page70"/>
    <w:bookmarkEnd w:id="69"/>
    <w:p>
      <w:pPr>
        <w:ind w:firstLine="318"/>
        <w:spacing w:after="0" w:line="319" w:lineRule="auto"/>
        <w:rPr>
          <w:sz w:val="20"/>
          <w:szCs w:val="20"/>
          <w:color w:val="auto"/>
        </w:rPr>
      </w:pPr>
      <w:r>
        <w:rPr>
          <w:rFonts w:ascii="Arial" w:cs="Arial" w:eastAsia="Arial" w:hAnsi="Arial"/>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order for the Royal Court of Guernsey to entertain an action to sue on a foreign judgment, it is expected that the following criteria would have to be met:</w:t>
      </w:r>
    </w:p>
    <w:p>
      <w:pPr>
        <w:spacing w:after="0" w:line="266" w:lineRule="exact"/>
        <w:rPr>
          <w:sz w:val="20"/>
          <w:szCs w:val="20"/>
          <w:color w:val="auto"/>
        </w:rPr>
      </w:pPr>
    </w:p>
    <w:p>
      <w:pPr>
        <w:ind w:left="340" w:right="160" w:firstLine="327"/>
        <w:spacing w:after="0" w:line="286" w:lineRule="auto"/>
        <w:tabs>
          <w:tab w:leader="none" w:pos="82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foreign court is recognized by the Royal Court of Guernsey as having jurisdiction to determine the dispute. It is likely that such jurisdiction will be recognized in the following circumstances:</w:t>
      </w:r>
    </w:p>
    <w:p>
      <w:pPr>
        <w:spacing w:after="0" w:line="169" w:lineRule="exact"/>
        <w:rPr>
          <w:sz w:val="20"/>
          <w:szCs w:val="20"/>
          <w:color w:val="auto"/>
        </w:rPr>
      </w:pPr>
    </w:p>
    <w:p>
      <w:pPr>
        <w:ind w:left="820" w:hanging="126"/>
        <w:spacing w:after="0"/>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judgment debtor was present in the foreign country at the time the foreign proceedings were instituted;</w:t>
      </w:r>
    </w:p>
    <w:p>
      <w:pPr>
        <w:spacing w:after="0" w:line="280" w:lineRule="exact"/>
        <w:rPr>
          <w:rFonts w:ascii="Arial" w:cs="Arial" w:eastAsia="Arial" w:hAnsi="Arial"/>
          <w:sz w:val="17"/>
          <w:szCs w:val="17"/>
          <w:color w:val="auto"/>
        </w:rPr>
      </w:pPr>
    </w:p>
    <w:p>
      <w:pPr>
        <w:ind w:left="820" w:hanging="126"/>
        <w:spacing w:after="0"/>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judgment debtor was claimant or counterclaimant in the proceedings in the foreign court;</w:t>
      </w:r>
    </w:p>
    <w:p>
      <w:pPr>
        <w:spacing w:after="0" w:line="280" w:lineRule="exact"/>
        <w:rPr>
          <w:rFonts w:ascii="Arial" w:cs="Arial" w:eastAsia="Arial" w:hAnsi="Arial"/>
          <w:sz w:val="17"/>
          <w:szCs w:val="17"/>
          <w:color w:val="auto"/>
        </w:rPr>
      </w:pPr>
    </w:p>
    <w:p>
      <w:pPr>
        <w:ind w:left="820" w:hanging="126"/>
        <w:spacing w:after="0"/>
        <w:tabs>
          <w:tab w:leader="none" w:pos="8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judgment debtor, being a defendant in the foreign court, submitted to the jurisdiction of that court by voluntarily appearing in the proceedings; or</w:t>
      </w:r>
    </w:p>
    <w:p>
      <w:pPr>
        <w:spacing w:after="0" w:line="292" w:lineRule="exact"/>
        <w:rPr>
          <w:rFonts w:ascii="Arial" w:cs="Arial" w:eastAsia="Arial" w:hAnsi="Arial"/>
          <w:sz w:val="16"/>
          <w:szCs w:val="16"/>
          <w:color w:val="auto"/>
        </w:rPr>
      </w:pPr>
    </w:p>
    <w:p>
      <w:pPr>
        <w:ind w:left="820" w:right="120" w:hanging="126"/>
        <w:spacing w:after="0" w:line="286" w:lineRule="auto"/>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96" w:lineRule="exact"/>
        <w:rPr>
          <w:sz w:val="20"/>
          <w:szCs w:val="20"/>
          <w:color w:val="auto"/>
        </w:rPr>
      </w:pPr>
    </w:p>
    <w:p>
      <w:pPr>
        <w:ind w:left="340" w:right="140" w:firstLine="327"/>
        <w:spacing w:after="0" w:line="286" w:lineRule="auto"/>
        <w:tabs>
          <w:tab w:leader="none" w:pos="82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222" w:lineRule="exact"/>
        <w:rPr>
          <w:sz w:val="20"/>
          <w:szCs w:val="20"/>
          <w:color w:val="auto"/>
        </w:rPr>
      </w:pPr>
    </w:p>
    <w:p>
      <w:pPr>
        <w:ind w:left="340" w:right="360" w:firstLine="317"/>
        <w:spacing w:after="0" w:line="286" w:lineRule="auto"/>
        <w:rPr>
          <w:sz w:val="20"/>
          <w:szCs w:val="20"/>
          <w:color w:val="auto"/>
        </w:rPr>
      </w:pPr>
      <w:r>
        <w:rPr>
          <w:rFonts w:ascii="Arial" w:cs="Arial" w:eastAsia="Arial" w:hAnsi="Arial"/>
          <w:sz w:val="17"/>
          <w:szCs w:val="17"/>
          <w:color w:val="auto"/>
        </w:rPr>
        <w:t>The foreign judgment must be final and conclusive on the merits and is for a definite sum of money, other than a sum in respect of taxes, fines or other penalties.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51"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7"/>
          <w:szCs w:val="17"/>
          <w:b w:val="1"/>
          <w:bCs w:val="1"/>
          <w:color w:val="auto"/>
        </w:rPr>
        <w:t>INCORPORATION OF DOCUMENTS BY REFERENCE</w:t>
      </w:r>
    </w:p>
    <w:p>
      <w:pPr>
        <w:spacing w:after="0" w:line="260" w:lineRule="exact"/>
        <w:rPr>
          <w:sz w:val="20"/>
          <w:szCs w:val="20"/>
          <w:color w:val="auto"/>
        </w:rPr>
      </w:pPr>
    </w:p>
    <w:p>
      <w:pPr>
        <w:ind w:right="140" w:firstLine="318"/>
        <w:spacing w:after="0" w:line="273" w:lineRule="auto"/>
        <w:rPr>
          <w:sz w:val="20"/>
          <w:szCs w:val="20"/>
          <w:color w:val="auto"/>
        </w:rPr>
      </w:pPr>
      <w:r>
        <w:rPr>
          <w:rFonts w:ascii="Arial" w:cs="Arial" w:eastAsia="Arial" w:hAnsi="Arial"/>
          <w:sz w:val="17"/>
          <w:szCs w:val="17"/>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80" w:lineRule="exact"/>
        <w:rPr>
          <w:sz w:val="20"/>
          <w:szCs w:val="20"/>
          <w:color w:val="auto"/>
        </w:rPr>
      </w:pPr>
    </w:p>
    <w:p>
      <w:pPr>
        <w:ind w:left="460" w:hanging="110"/>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annual report on Form 20-F for the fiscal year ended September 30, 2004, filed on December 30, 2004;</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reports on Form 6-K with respect to our offering of 0.50% Convertible Senior Notes due 2024, filed on March 1, March 2 and March 5, 2004;</w:t>
      </w:r>
    </w:p>
    <w:p>
      <w:pPr>
        <w:spacing w:after="0" w:line="280" w:lineRule="exact"/>
        <w:rPr>
          <w:rFonts w:ascii="Arial" w:cs="Arial" w:eastAsia="Arial" w:hAnsi="Arial"/>
          <w:sz w:val="17"/>
          <w:szCs w:val="17"/>
          <w:color w:val="auto"/>
        </w:rPr>
      </w:pPr>
    </w:p>
    <w:p>
      <w:pPr>
        <w:ind w:left="460" w:hanging="110"/>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reports on Form 6-K filed on February 14, 2005, May 16, 2005 and August 15, 2005; and</w:t>
      </w:r>
    </w:p>
    <w:p>
      <w:pPr>
        <w:spacing w:after="0" w:line="280" w:lineRule="exact"/>
        <w:rPr>
          <w:rFonts w:ascii="Arial" w:cs="Arial" w:eastAsia="Arial" w:hAnsi="Arial"/>
          <w:sz w:val="17"/>
          <w:szCs w:val="17"/>
          <w:color w:val="auto"/>
        </w:rPr>
      </w:pPr>
    </w:p>
    <w:p>
      <w:pPr>
        <w:ind w:left="460" w:right="320" w:hanging="110"/>
        <w:spacing w:after="0" w:line="286"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description of our ordinary shares contained in our Registration Statement on Form 8-A filed on June 17, 1998 under Section 12 of the Exchange Act, including any amendment or report updating this description.</w:t>
      </w:r>
    </w:p>
    <w:p>
      <w:pPr>
        <w:spacing w:after="0" w:line="196" w:lineRule="exact"/>
        <w:rPr>
          <w:sz w:val="20"/>
          <w:szCs w:val="20"/>
          <w:color w:val="auto"/>
        </w:rPr>
      </w:pPr>
    </w:p>
    <w:p>
      <w:pPr>
        <w:ind w:right="240" w:firstLine="318"/>
        <w:spacing w:after="0" w:line="297" w:lineRule="auto"/>
        <w:rPr>
          <w:sz w:val="20"/>
          <w:szCs w:val="20"/>
          <w:color w:val="auto"/>
        </w:rPr>
      </w:pPr>
      <w:r>
        <w:rPr>
          <w:rFonts w:ascii="Arial" w:cs="Arial" w:eastAsia="Arial" w:hAnsi="Arial"/>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 (2) any other subsequently filed document that is incorporated by reference into this prospectus modifies or supersedes such statement.</w:t>
      </w:r>
    </w:p>
    <w:p>
      <w:pPr>
        <w:spacing w:after="0" w:line="19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60" w:lineRule="exact"/>
        <w:rPr>
          <w:sz w:val="20"/>
          <w:szCs w:val="20"/>
          <w:color w:val="auto"/>
        </w:rPr>
      </w:pPr>
    </w:p>
    <w:p>
      <w:pPr>
        <w:jc w:val="both"/>
        <w:ind w:right="340" w:firstLine="318"/>
        <w:spacing w:after="0" w:line="297" w:lineRule="auto"/>
        <w:rPr>
          <w:sz w:val="20"/>
          <w:szCs w:val="20"/>
          <w:color w:val="auto"/>
        </w:rPr>
      </w:pPr>
      <w:r>
        <w:rPr>
          <w:rFonts w:ascii="Arial" w:cs="Arial" w:eastAsia="Arial" w:hAnsi="Arial"/>
          <w:sz w:val="15"/>
          <w:szCs w:val="15"/>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w:t>
      </w:r>
    </w:p>
    <w:p>
      <w:pPr>
        <w:ind w:right="60"/>
        <w:spacing w:after="0" w:line="269" w:lineRule="auto"/>
        <w:rPr>
          <w:sz w:val="20"/>
          <w:szCs w:val="20"/>
          <w:color w:val="auto"/>
        </w:rPr>
      </w:pPr>
      <w:r>
        <w:rPr>
          <w:rFonts w:ascii="Arial" w:cs="Arial" w:eastAsia="Arial" w:hAnsi="Arial"/>
          <w:sz w:val="17"/>
          <w:szCs w:val="17"/>
          <w:color w:val="auto"/>
        </w:rPr>
        <w:t xml:space="preserve">Information on the operation of the Public Reference Room may be obtained by calling the SEC at 1-800-SEC-0330. Reports and information statements and other information filed electronically with the SEC are available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Some of this information may also be found on our website at www.amdocs.com.</w:t>
      </w:r>
    </w:p>
    <w:p>
      <w:pPr>
        <w:spacing w:after="0" w:line="210"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sectPr>
      <w:pgSz w:w="11900" w:h="16838" w:orient="portrait"/>
      <w:cols w:equalWidth="0" w:num="1">
        <w:col w:w="11420"/>
      </w:cols>
      <w:pgMar w:left="240" w:top="9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5"/>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lvl w:ilvl="1">
      <w:lvlJc w:val="left"/>
      <w:lvlText w:val="(%2)"/>
      <w:numFmt w:val="decimal"/>
      <w:start w:val="5"/>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lvl w:ilvl="1">
      <w:lvlJc w:val="left"/>
      <w:lvlText w:val="(%2)"/>
      <w:numFmt w:val="decimal"/>
      <w:start w:val="6"/>
    </w:lvl>
  </w:abstractNum>
  <w:abstractNum w:abstractNumId="56">
    <w:nsid w:val="741226BB"/>
    <w:multiLevelType w:val="hybridMultilevel"/>
    <w:lvl w:ilvl="0">
      <w:lvlJc w:val="left"/>
      <w:lvlText w:val="(%1)"/>
      <w:numFmt w:val="decimal"/>
      <w:start w:val="10"/>
    </w:lvl>
    <w:lvl w:ilvl="1">
      <w:lvlJc w:val="left"/>
      <w:lvlText w:val="%2"/>
      <w:numFmt w:val="decimal"/>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2"/>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2019-12-12T02:17:22Z</dcterms:created>
  <dcterms:modified xsi:type="dcterms:W3CDTF">2019-12-12T02:17:22Z</dcterms:modified>
</cp:coreProperties>
</file>