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c>
          <w:tcPr>
            <w:tcW w:w="5280" w:type="dxa"/>
            <w:vAlign w:val="bottom"/>
          </w:tcPr>
          <w:p>
            <w:pPr>
              <w:spacing w:after="0"/>
              <w:rPr>
                <w:sz w:val="17"/>
                <w:szCs w:val="17"/>
                <w:color w:val="auto"/>
              </w:rPr>
            </w:pP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w w:val="96"/>
              </w:rPr>
              <w:t>Amendment No. 0</w:t>
            </w:r>
          </w:p>
        </w:tc>
        <w:tc>
          <w:tcPr>
            <w:tcW w:w="5280" w:type="dxa"/>
            <w:vAlign w:val="bottom"/>
          </w:tcPr>
          <w:p>
            <w:pPr>
              <w:spacing w:after="0"/>
              <w:rPr>
                <w:sz w:val="24"/>
                <w:szCs w:val="24"/>
                <w:color w:val="auto"/>
              </w:rPr>
            </w:pP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Amdocs Limited</w:t>
            </w:r>
          </w:p>
        </w:tc>
        <w:tc>
          <w:tcPr>
            <w:tcW w:w="5280" w:type="dxa"/>
            <w:vAlign w:val="bottom"/>
          </w:tcPr>
          <w:p>
            <w:pPr>
              <w:spacing w:after="0"/>
              <w:rPr>
                <w:sz w:val="17"/>
                <w:szCs w:val="17"/>
                <w:color w:val="auto"/>
              </w:rPr>
            </w:pP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G02602103</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6000" w:type="dxa"/>
            <w:vAlign w:val="bottom"/>
            <w:gridSpan w:val="2"/>
          </w:tcPr>
          <w:p>
            <w:pPr>
              <w:spacing w:after="0"/>
              <w:rPr>
                <w:sz w:val="20"/>
                <w:szCs w:val="20"/>
                <w:color w:val="auto"/>
              </w:rPr>
            </w:pPr>
            <w:r>
              <w:rPr>
                <w:rFonts w:ascii="Courier New" w:cs="Courier New" w:eastAsia="Courier New" w:hAnsi="Courier New"/>
                <w:sz w:val="18"/>
                <w:szCs w:val="18"/>
                <w:color w:val="auto"/>
              </w:rPr>
              <w:t>G02602103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1,711,600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14,326,190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14,326,190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6.631%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20" w:type="dxa"/>
            <w:vAlign w:val="bottom"/>
          </w:tcPr>
          <w:p>
            <w:pPr>
              <w:spacing w:after="0"/>
              <w:rPr>
                <w:sz w:val="17"/>
                <w:szCs w:val="17"/>
                <w:color w:val="auto"/>
              </w:rPr>
            </w:pPr>
          </w:p>
        </w:tc>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HC</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6000" w:type="dxa"/>
            <w:vAlign w:val="bottom"/>
            <w:gridSpan w:val="2"/>
          </w:tcPr>
          <w:p>
            <w:pPr>
              <w:spacing w:after="0"/>
              <w:rPr>
                <w:sz w:val="20"/>
                <w:szCs w:val="20"/>
                <w:color w:val="auto"/>
              </w:rPr>
            </w:pPr>
            <w:r>
              <w:rPr>
                <w:rFonts w:ascii="Courier New" w:cs="Courier New" w:eastAsia="Courier New" w:hAnsi="Courier New"/>
                <w:sz w:val="18"/>
                <w:szCs w:val="18"/>
                <w:color w:val="auto"/>
              </w:rPr>
              <w:t>G02602103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14,326,190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14,326,190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6.631%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6000" w:type="dxa"/>
            <w:vAlign w:val="bottom"/>
            <w:gridSpan w:val="2"/>
          </w:tcPr>
          <w:p>
            <w:pPr>
              <w:spacing w:after="0"/>
              <w:rPr>
                <w:sz w:val="20"/>
                <w:szCs w:val="20"/>
                <w:color w:val="auto"/>
              </w:rPr>
            </w:pPr>
            <w:r>
              <w:rPr>
                <w:rFonts w:ascii="Courier New" w:cs="Courier New" w:eastAsia="Courier New" w:hAnsi="Courier New"/>
                <w:sz w:val="18"/>
                <w:szCs w:val="18"/>
                <w:color w:val="auto"/>
              </w:rPr>
              <w:t>G02602103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14,326,190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14,326,190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6.631%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20" w:type="dxa"/>
            <w:vAlign w:val="bottom"/>
          </w:tcPr>
          <w:p>
            <w:pPr>
              <w:spacing w:after="0"/>
              <w:rPr>
                <w:sz w:val="17"/>
                <w:szCs w:val="17"/>
                <w:color w:val="auto"/>
              </w:rPr>
            </w:pPr>
          </w:p>
        </w:tc>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w:t>
            </w:r>
          </w:p>
        </w:tc>
      </w:tr>
      <w:tr>
        <w:trPr>
          <w:trHeight w:val="810"/>
        </w:trPr>
        <w:tc>
          <w:tcPr>
            <w:tcW w:w="860" w:type="dxa"/>
            <w:vAlign w:val="bottom"/>
          </w:tcPr>
          <w:p>
            <w:pPr>
              <w:spacing w:after="0"/>
              <w:rPr>
                <w:sz w:val="24"/>
                <w:szCs w:val="24"/>
                <w:color w:val="auto"/>
              </w:rPr>
            </w:pPr>
          </w:p>
        </w:tc>
        <w:tc>
          <w:tcPr>
            <w:tcW w:w="6000" w:type="dxa"/>
            <w:vAlign w:val="bottom"/>
            <w:gridSpan w:val="2"/>
          </w:tcPr>
          <w:p>
            <w:pPr>
              <w:spacing w:after="0"/>
              <w:rPr>
                <w:sz w:val="20"/>
                <w:szCs w:val="20"/>
                <w:color w:val="auto"/>
              </w:rPr>
            </w:pPr>
            <w:r>
              <w:rPr>
                <w:rFonts w:ascii="Courier New" w:cs="Courier New" w:eastAsia="Courier New" w:hAnsi="Courier New"/>
                <w:sz w:val="18"/>
                <w:szCs w:val="18"/>
                <w:color w:val="auto"/>
              </w:rPr>
              <w:t>SCHEDULE 13G - TO BE INCLUDED IN</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STATEMENTS</w:t>
            </w:r>
          </w:p>
        </w:tc>
        <w:tc>
          <w:tcPr>
            <w:tcW w:w="528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FILED PURSUANT TO RULE 13d-1(b) or 13d-2(b)</w:t>
            </w:r>
          </w:p>
        </w:tc>
      </w:tr>
      <w:tr>
        <w:trPr>
          <w:trHeight w:val="1013"/>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1(a).</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Amdocs Limited</w:t>
            </w: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1(b).</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Name of Issuer's Principal Executive Offices:</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Tower Hill House Le Bordage</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Suite 5 St. Peter Port</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Island of Guernsey, United Kingdom</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GY1 3QT</w:t>
            </w:r>
          </w:p>
        </w:tc>
        <w:tc>
          <w:tcPr>
            <w:tcW w:w="72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608"/>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2(a).</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FMR Corp.</w:t>
            </w: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2(b).</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w w:val="97"/>
              </w:rPr>
              <w:t>Address or Principal Business Office or, if None,</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528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82 Devonshire Street, Boston,</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Massachusetts</w:t>
            </w:r>
          </w:p>
        </w:tc>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02109</w:t>
            </w: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Common Stock</w:t>
            </w:r>
          </w:p>
        </w:tc>
      </w:tr>
    </w:tbl>
    <w:p>
      <w:pPr>
        <w:sectPr>
          <w:pgSz w:w="11900" w:h="16855" w:orient="portrait"/>
          <w:cols w:equalWidth="0" w:num="1">
            <w:col w:w="10219"/>
          </w:cols>
          <w:pgMar w:left="240" w:top="244" w:right="1440" w:bottom="0" w:gutter="0" w:footer="0" w:header="0"/>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G02602103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14,326,190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6.631%</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1,711,600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14,326,190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Amdocs Limited. No one</w:t>
      </w:r>
    </w:p>
    <w:p>
      <w:pPr>
        <w:spacing w:after="0" w:line="6"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person's interest in the Common Stock of Amdocs Limited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the Common Stock of Amdocs Limited at December 31, 2003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16, 2004</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12,614,590 shares or 5.839% of the Common Stock</w:t>
      </w:r>
    </w:p>
    <w:p>
      <w:pPr>
        <w:spacing w:after="0"/>
        <w:tabs>
          <w:tab w:leader="none" w:pos="3260" w:val="left"/>
        </w:tabs>
        <w:rPr>
          <w:sz w:val="20"/>
          <w:szCs w:val="20"/>
          <w:color w:val="auto"/>
        </w:rPr>
      </w:pPr>
      <w:r>
        <w:rPr>
          <w:rFonts w:ascii="Courier New" w:cs="Courier New" w:eastAsia="Courier New" w:hAnsi="Courier New"/>
          <w:sz w:val="18"/>
          <w:szCs w:val="18"/>
          <w:color w:val="auto"/>
        </w:rPr>
        <w:t>outstanding of Amdocs Limited</w:t>
      </w:r>
      <w:r>
        <w:rPr>
          <w:sz w:val="20"/>
          <w:szCs w:val="20"/>
          <w:color w:val="auto"/>
        </w:rPr>
        <w:tab/>
      </w:r>
      <w:r>
        <w:rPr>
          <w:rFonts w:ascii="Courier New" w:cs="Courier New" w:eastAsia="Courier New" w:hAnsi="Courier New"/>
          <w:sz w:val="16"/>
          <w:szCs w:val="16"/>
          <w:color w:val="auto"/>
        </w:rPr>
        <w:t>("the Company") as a result</w:t>
      </w:r>
    </w:p>
    <w:p>
      <w:pPr>
        <w:spacing w:after="0" w:line="237" w:lineRule="auto"/>
        <w:rPr>
          <w:sz w:val="20"/>
          <w:szCs w:val="20"/>
          <w:color w:val="auto"/>
        </w:rPr>
      </w:pPr>
      <w:r>
        <w:rPr>
          <w:rFonts w:ascii="Courier New" w:cs="Courier New" w:eastAsia="Courier New" w:hAnsi="Courier New"/>
          <w:sz w:val="18"/>
          <w:szCs w:val="18"/>
          <w:color w:val="auto"/>
        </w:rPr>
        <w:t>of acting as investment adviser to various investment</w:t>
      </w:r>
    </w:p>
    <w:p>
      <w:pPr>
        <w:spacing w:after="0"/>
        <w:rPr>
          <w:sz w:val="20"/>
          <w:szCs w:val="20"/>
          <w:color w:val="auto"/>
        </w:rPr>
      </w:pPr>
      <w:r>
        <w:rPr>
          <w:rFonts w:ascii="Courier New" w:cs="Courier New" w:eastAsia="Courier New" w:hAnsi="Courier New"/>
          <w:sz w:val="18"/>
          <w:szCs w:val="18"/>
          <w:color w:val="auto"/>
        </w:rPr>
        <w:t>companies registered under Section 8 of the Investment</w:t>
      </w:r>
    </w:p>
    <w:p>
      <w:pPr>
        <w:spacing w:after="0" w:line="237" w:lineRule="auto"/>
        <w:rPr>
          <w:sz w:val="20"/>
          <w:szCs w:val="20"/>
          <w:color w:val="auto"/>
        </w:rPr>
      </w:pPr>
      <w:r>
        <w:rPr>
          <w:rFonts w:ascii="Courier New" w:cs="Courier New" w:eastAsia="Courier New" w:hAnsi="Courier New"/>
          <w:sz w:val="18"/>
          <w:szCs w:val="18"/>
          <w:color w:val="auto"/>
        </w:rPr>
        <w:t>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12,614,590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202,400 shares or 0.094%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202,400 shares and sole power to</w:t>
      </w:r>
    </w:p>
    <w:p>
      <w:pPr>
        <w:spacing w:after="0" w:line="237" w:lineRule="auto"/>
        <w:rPr>
          <w:sz w:val="20"/>
          <w:szCs w:val="20"/>
          <w:color w:val="auto"/>
        </w:rPr>
      </w:pPr>
      <w:r>
        <w:rPr>
          <w:rFonts w:ascii="Courier New" w:cs="Courier New" w:eastAsia="Courier New" w:hAnsi="Courier New"/>
          <w:sz w:val="18"/>
          <w:szCs w:val="18"/>
          <w:color w:val="auto"/>
        </w:rPr>
        <w:t>vote or to direct the voting of 202,400 shares of Common</w:t>
      </w:r>
    </w:p>
    <w:p>
      <w:pPr>
        <w:spacing w:after="0" w:line="238" w:lineRule="auto"/>
        <w:rPr>
          <w:sz w:val="20"/>
          <w:szCs w:val="20"/>
          <w:color w:val="auto"/>
        </w:rPr>
      </w:pPr>
      <w:r>
        <w:rPr>
          <w:rFonts w:ascii="Courier New" w:cs="Courier New" w:eastAsia="Courier New" w:hAnsi="Courier New"/>
          <w:sz w:val="18"/>
          <w:szCs w:val="18"/>
          <w:color w:val="auto"/>
        </w:rPr>
        <w:t>Stock owned by the institutional account(s) as reported</w:t>
      </w:r>
    </w:p>
    <w:p>
      <w:pPr>
        <w:spacing w:after="0"/>
        <w:rPr>
          <w:sz w:val="20"/>
          <w:szCs w:val="20"/>
          <w:color w:val="auto"/>
        </w:rPr>
      </w:pPr>
      <w:r>
        <w:rPr>
          <w:rFonts w:ascii="Courier New" w:cs="Courier New" w:eastAsia="Courier New" w:hAnsi="Courier New"/>
          <w:sz w:val="18"/>
          <w:szCs w:val="18"/>
          <w:color w:val="auto"/>
        </w:rPr>
        <w:t>above.</w:t>
      </w:r>
    </w:p>
    <w:p>
      <w:pPr>
        <w:spacing w:after="0" w:line="206"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8" w:lineRule="exact"/>
        <w:rPr>
          <w:sz w:val="20"/>
          <w:szCs w:val="20"/>
          <w:color w:val="auto"/>
        </w:rPr>
      </w:pPr>
    </w:p>
    <w:p>
      <w:pPr>
        <w:ind w:right="3999" w:firstLine="843"/>
        <w:spacing w:after="0" w:line="271" w:lineRule="auto"/>
        <w:rPr>
          <w:sz w:val="20"/>
          <w:szCs w:val="20"/>
          <w:color w:val="auto"/>
        </w:rPr>
      </w:pPr>
      <w:r>
        <w:rPr>
          <w:rFonts w:ascii="Courier New" w:cs="Courier New" w:eastAsia="Courier New" w:hAnsi="Courier New"/>
          <w:sz w:val="16"/>
          <w:szCs w:val="16"/>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1,509,200 shares or 0.699% of the Common Stock outstanding of the Company. Additional information with</w:t>
      </w:r>
    </w:p>
    <w:p>
      <w:pPr>
        <w:sectPr>
          <w:pgSz w:w="11900" w:h="16838" w:orient="portrait"/>
          <w:cols w:equalWidth="0" w:num="1">
            <w:col w:w="10219"/>
          </w:cols>
          <w:pgMar w:left="240" w:top="136" w:right="1440" w:bottom="0" w:gutter="0" w:footer="0" w:header="0"/>
        </w:sectPr>
      </w:pPr>
    </w:p>
    <w:bookmarkStart w:id="3" w:name="page4"/>
    <w:bookmarkEnd w:id="3"/>
    <w:p>
      <w:pPr>
        <w:ind w:right="3779"/>
        <w:spacing w:after="0" w:line="235" w:lineRule="auto"/>
        <w:rPr>
          <w:sz w:val="20"/>
          <w:szCs w:val="20"/>
          <w:color w:val="auto"/>
        </w:rPr>
      </w:pPr>
      <w:r>
        <w:rPr>
          <w:rFonts w:ascii="Courier New" w:cs="Courier New" w:eastAsia="Courier New" w:hAnsi="Courier New"/>
          <w:sz w:val="18"/>
          <w:szCs w:val="18"/>
          <w:color w:val="auto"/>
        </w:rPr>
        <w:t>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1,509,200 shares or 0.699% of the Common Stock outstanding of Amdocs Limited.</w:t>
      </w:r>
    </w:p>
    <w:p>
      <w:pPr>
        <w:spacing w:after="0" w:line="39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FIL may determine to cease making additional purchases of shares or to increase or decrease the equity interest in the Company by acquiring additional shares, or by disposing of all or a portion of the shares.</w:t>
      </w:r>
    </w:p>
    <w:p>
      <w:pPr>
        <w:spacing w:after="0" w:line="207"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w:t>
      </w:r>
    </w:p>
    <w:p>
      <w:pPr>
        <w:sectPr>
          <w:pgSz w:w="11900" w:h="16838" w:orient="portrait"/>
          <w:cols w:equalWidth="0" w:num="1">
            <w:col w:w="10219"/>
          </w:cols>
          <w:pgMar w:left="240" w:top="142" w:right="1440" w:bottom="0" w:gutter="0" w:footer="0" w:header="0"/>
        </w:sectPr>
      </w:pPr>
    </w:p>
    <w:bookmarkStart w:id="4" w:name="page5"/>
    <w:bookmarkEnd w:id="4"/>
    <w:p>
      <w:pPr>
        <w:ind w:right="3779"/>
        <w:spacing w:after="0" w:line="237" w:lineRule="auto"/>
        <w:rPr>
          <w:sz w:val="20"/>
          <w:szCs w:val="20"/>
          <w:color w:val="auto"/>
        </w:rPr>
      </w:pPr>
      <w:r>
        <w:rPr>
          <w:rFonts w:ascii="Courier New" w:cs="Courier New" w:eastAsia="Courier New" w:hAnsi="Courier New"/>
          <w:sz w:val="18"/>
          <w:szCs w:val="18"/>
          <w:color w:val="auto"/>
        </w:rPr>
        <w:t>Company's business or corporate structure, (iv) any change in the Company's charter or by-laws, or (v) the Company's common stock becoming eligible for termination of its registration pursuant to Section 12(g)(4) of the 1934 Act.</w:t>
      </w:r>
    </w:p>
    <w:p>
      <w:pPr>
        <w:spacing w:after="0" w:line="207"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1,509,200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16, 2004, agree and consent to the joint filing on their behalf of this Schedule 13G in connection with their beneficial ownership of the Common Stock of Amdocs Limited at December 31, 2003.</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2019-12-14T21:17:19Z</dcterms:created>
  <dcterms:modified xsi:type="dcterms:W3CDTF">2019-12-14T21:17:19Z</dcterms:modified>
</cp:coreProperties>
</file>