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39"/>
        <w:spacing w:after="0"/>
        <w:rPr>
          <w:sz w:val="20"/>
          <w:szCs w:val="20"/>
          <w:color w:val="auto"/>
        </w:rPr>
      </w:pPr>
      <w:r>
        <w:rPr>
          <w:rFonts w:ascii="Courier New" w:cs="Courier New" w:eastAsia="Courier New" w:hAnsi="Courier New"/>
          <w:sz w:val="17"/>
          <w:szCs w:val="17"/>
          <w:color w:val="auto"/>
        </w:rPr>
        <w:t>WilmerHale</w:t>
      </w:r>
    </w:p>
    <w:p>
      <w:pPr>
        <w:spacing w:after="0" w:line="210" w:lineRule="exact"/>
        <w:rPr>
          <w:sz w:val="24"/>
          <w:szCs w:val="24"/>
          <w:color w:val="auto"/>
        </w:rPr>
      </w:pPr>
    </w:p>
    <w:p>
      <w:pPr>
        <w:ind w:left="6720"/>
        <w:spacing w:after="0"/>
        <w:rPr>
          <w:sz w:val="20"/>
          <w:szCs w:val="20"/>
          <w:color w:val="auto"/>
        </w:rPr>
      </w:pPr>
      <w:r>
        <w:rPr>
          <w:rFonts w:ascii="Courier New" w:cs="Courier New" w:eastAsia="Courier New" w:hAnsi="Courier New"/>
          <w:sz w:val="17"/>
          <w:szCs w:val="17"/>
          <w:color w:val="auto"/>
        </w:rPr>
        <w:t>Robert A. Schwed</w:t>
      </w:r>
    </w:p>
    <w:p>
      <w:pPr>
        <w:spacing w:after="0" w:line="9" w:lineRule="exact"/>
        <w:rPr>
          <w:sz w:val="24"/>
          <w:szCs w:val="24"/>
          <w:color w:val="auto"/>
        </w:rPr>
      </w:pPr>
    </w:p>
    <w:p>
      <w:pPr>
        <w:ind w:left="6500"/>
        <w:spacing w:after="0"/>
        <w:rPr>
          <w:sz w:val="20"/>
          <w:szCs w:val="20"/>
          <w:color w:val="auto"/>
        </w:rPr>
      </w:pPr>
      <w:r>
        <w:rPr>
          <w:rFonts w:ascii="Courier New" w:cs="Courier New" w:eastAsia="Courier New" w:hAnsi="Courier New"/>
          <w:sz w:val="17"/>
          <w:szCs w:val="17"/>
          <w:color w:val="auto"/>
        </w:rPr>
        <w:t>+1 212 937 7276(t)</w:t>
      </w:r>
    </w:p>
    <w:p>
      <w:pPr>
        <w:spacing w:after="0" w:line="9" w:lineRule="exact"/>
        <w:rPr>
          <w:sz w:val="24"/>
          <w:szCs w:val="24"/>
          <w:color w:val="auto"/>
        </w:rPr>
      </w:pPr>
    </w:p>
    <w:p>
      <w:pPr>
        <w:ind w:left="6500"/>
        <w:spacing w:after="0"/>
        <w:rPr>
          <w:sz w:val="20"/>
          <w:szCs w:val="20"/>
          <w:color w:val="auto"/>
        </w:rPr>
      </w:pPr>
      <w:r>
        <w:rPr>
          <w:rFonts w:ascii="Courier New" w:cs="Courier New" w:eastAsia="Courier New" w:hAnsi="Courier New"/>
          <w:sz w:val="17"/>
          <w:szCs w:val="17"/>
          <w:color w:val="auto"/>
        </w:rPr>
        <w:t>+1 212 230 8888(f)</w:t>
      </w:r>
    </w:p>
    <w:p>
      <w:pPr>
        <w:spacing w:after="0" w:line="9" w:lineRule="exact"/>
        <w:rPr>
          <w:sz w:val="24"/>
          <w:szCs w:val="24"/>
          <w:color w:val="auto"/>
        </w:rPr>
      </w:pPr>
    </w:p>
    <w:p>
      <w:pPr>
        <w:jc w:val="right"/>
        <w:ind w:right="1839"/>
        <w:spacing w:after="0"/>
        <w:rPr>
          <w:sz w:val="20"/>
          <w:szCs w:val="20"/>
          <w:color w:val="auto"/>
        </w:rPr>
      </w:pPr>
      <w:r>
        <w:rPr>
          <w:rFonts w:ascii="Courier New" w:cs="Courier New" w:eastAsia="Courier New" w:hAnsi="Courier New"/>
          <w:sz w:val="17"/>
          <w:szCs w:val="17"/>
          <w:color w:val="auto"/>
        </w:rPr>
        <w:t>robert.schwed@wilmerhale.com</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July 26, 2006</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Via EDGAR</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Division of Corporation Finance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line="9" w:lineRule="exact"/>
        <w:rPr>
          <w:sz w:val="24"/>
          <w:szCs w:val="24"/>
          <w:color w:val="auto"/>
        </w:rPr>
      </w:pPr>
    </w:p>
    <w:p>
      <w:pPr>
        <w:spacing w:after="0"/>
        <w:tabs>
          <w:tab w:leader="none" w:pos="1660" w:val="left"/>
        </w:tabs>
        <w:rPr>
          <w:sz w:val="20"/>
          <w:szCs w:val="20"/>
          <w:color w:val="auto"/>
        </w:rPr>
      </w:pPr>
      <w:r>
        <w:rPr>
          <w:rFonts w:ascii="Courier New" w:cs="Courier New" w:eastAsia="Courier New" w:hAnsi="Courier New"/>
          <w:sz w:val="17"/>
          <w:szCs w:val="17"/>
          <w:color w:val="auto"/>
        </w:rPr>
        <w:t>Washington, DC</w:t>
        <w:tab/>
        <w:t>20549</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Attention: Marc Thomas</w:t>
      </w:r>
    </w:p>
    <w:p>
      <w:pPr>
        <w:spacing w:after="0" w:line="21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AMDOCS LIMITED</w:t>
      </w:r>
    </w:p>
    <w:p>
      <w:pPr>
        <w:spacing w:after="0" w:line="9" w:lineRule="exact"/>
        <w:rPr>
          <w:sz w:val="24"/>
          <w:szCs w:val="24"/>
          <w:color w:val="auto"/>
        </w:rPr>
      </w:pPr>
    </w:p>
    <w:p>
      <w:pPr>
        <w:ind w:left="960" w:right="4039"/>
        <w:spacing w:after="0" w:line="251" w:lineRule="auto"/>
        <w:rPr>
          <w:sz w:val="20"/>
          <w:szCs w:val="20"/>
          <w:color w:val="auto"/>
        </w:rPr>
      </w:pPr>
      <w:r>
        <w:rPr>
          <w:rFonts w:ascii="Courier New" w:cs="Courier New" w:eastAsia="Courier New" w:hAnsi="Courier New"/>
          <w:sz w:val="17"/>
          <w:szCs w:val="17"/>
          <w:color w:val="auto"/>
        </w:rPr>
        <w:t>Form 20-F for Fiscal Year Ended September 30, 2005 Filed December 28, 2005</w:t>
      </w:r>
    </w:p>
    <w:p>
      <w:pPr>
        <w:ind w:left="960"/>
        <w:spacing w:after="0"/>
        <w:rPr>
          <w:sz w:val="20"/>
          <w:szCs w:val="20"/>
          <w:color w:val="auto"/>
        </w:rPr>
      </w:pPr>
      <w:r>
        <w:rPr>
          <w:rFonts w:ascii="Courier New" w:cs="Courier New" w:eastAsia="Courier New" w:hAnsi="Courier New"/>
          <w:sz w:val="17"/>
          <w:szCs w:val="17"/>
          <w:color w:val="auto"/>
        </w:rPr>
        <w:t>Form 6-K filed April 27, 2006</w:t>
      </w:r>
    </w:p>
    <w:p>
      <w:pPr>
        <w:spacing w:after="0" w:line="9" w:lineRule="exact"/>
        <w:rPr>
          <w:sz w:val="24"/>
          <w:szCs w:val="24"/>
          <w:color w:val="auto"/>
        </w:rPr>
      </w:pPr>
    </w:p>
    <w:p>
      <w:pPr>
        <w:ind w:left="960"/>
        <w:spacing w:after="0"/>
        <w:rPr>
          <w:sz w:val="20"/>
          <w:szCs w:val="20"/>
          <w:color w:val="auto"/>
        </w:rPr>
      </w:pPr>
      <w:r>
        <w:rPr>
          <w:rFonts w:ascii="Courier New" w:cs="Courier New" w:eastAsia="Courier New" w:hAnsi="Courier New"/>
          <w:sz w:val="17"/>
          <w:szCs w:val="17"/>
          <w:color w:val="auto"/>
        </w:rPr>
        <w:t>Form 6-K filed May 17, 2006</w:t>
      </w:r>
    </w:p>
    <w:p>
      <w:pPr>
        <w:spacing w:after="0" w:line="9" w:lineRule="exact"/>
        <w:rPr>
          <w:sz w:val="24"/>
          <w:szCs w:val="24"/>
          <w:color w:val="auto"/>
        </w:rPr>
      </w:pPr>
    </w:p>
    <w:p>
      <w:pPr>
        <w:ind w:left="960"/>
        <w:spacing w:after="0"/>
        <w:rPr>
          <w:sz w:val="20"/>
          <w:szCs w:val="20"/>
          <w:color w:val="auto"/>
        </w:rPr>
      </w:pPr>
      <w:r>
        <w:rPr>
          <w:rFonts w:ascii="Courier New" w:cs="Courier New" w:eastAsia="Courier New" w:hAnsi="Courier New"/>
          <w:sz w:val="17"/>
          <w:szCs w:val="17"/>
          <w:color w:val="auto"/>
        </w:rPr>
        <w:t>File No. 001-14840</w:t>
      </w:r>
    </w:p>
    <w:p>
      <w:pPr>
        <w:spacing w:after="0" w:line="9" w:lineRule="exact"/>
        <w:rPr>
          <w:sz w:val="24"/>
          <w:szCs w:val="24"/>
          <w:color w:val="auto"/>
        </w:rPr>
      </w:pPr>
    </w:p>
    <w:p>
      <w:pPr>
        <w:ind w:left="9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10" w:lineRule="exact"/>
        <w:rPr>
          <w:sz w:val="24"/>
          <w:szCs w:val="24"/>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On behalf of our client Amdocs Limited (the "Company"), we are submitting the following responses of the Company to a comment of the staff (the "Staff") of the Securities and Exchange Commission (the "Commission") set forth in a letter dated July 18, 2006, from Mr. Brad Skinner, Accounting Branch Chief of the Commission. The comment letter relates to the Company's Annual Report on Form</w:t>
      </w:r>
    </w:p>
    <w:p>
      <w:pPr>
        <w:ind w:right="1939"/>
        <w:spacing w:after="0" w:line="251" w:lineRule="auto"/>
        <w:rPr>
          <w:sz w:val="20"/>
          <w:szCs w:val="20"/>
          <w:color w:val="auto"/>
        </w:rPr>
      </w:pPr>
      <w:r>
        <w:rPr>
          <w:rFonts w:ascii="Courier New" w:cs="Courier New" w:eastAsia="Courier New" w:hAnsi="Courier New"/>
          <w:sz w:val="17"/>
          <w:szCs w:val="17"/>
          <w:color w:val="auto"/>
        </w:rPr>
        <w:t>20-F for the fiscal year ended September 30, 2005 filed December 28, 2005 (the "Form 20-F"), the Company's Report of Foreign Private Issuer on Form 6-K furnished April 27, 2006 (the "April Form 6-K") and the Company's Report of Foreign Private Issuer on Form 6-K furnished May 17, 2006 (the "May Form 6-K"). As Jason Kropp of this firm discussed with Mr. Thomas, we believe that the references in the Staff's letter to the Form 20-F and the May Form 6-K were in error and that the Staff intended to refer to the Company's Report of Foreign Private Issuer on Form 6-K furnished January 19, 2006 (the "January Form 6-K").</w:t>
      </w:r>
    </w:p>
    <w:p>
      <w:pPr>
        <w:spacing w:after="0" w:line="201" w:lineRule="exact"/>
        <w:rPr>
          <w:sz w:val="24"/>
          <w:szCs w:val="24"/>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For convenient reference, we have included below the Staff's comment set forth in the comment letter. The response is based on information provided to us by representatives of the Company.</w:t>
      </w:r>
    </w:p>
    <w:p>
      <w:pPr>
        <w:spacing w:after="0" w:line="194" w:lineRule="exact"/>
        <w:rPr>
          <w:sz w:val="24"/>
          <w:szCs w:val="24"/>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Please note that, on July 20, 2006, after receiving the Staff's letter, the Company furnished a Report of Foreign Private Issuer on Form 6-K (the "July Form 6-K"), to which it attached as Exhibit 99.1 a press release (the "Earnings Release") announcing the Company's financial results for the fiscal quarter ended June 30, 2006. As described below, the Company took into consideration the Staff's most recent comments in finalizing the Earnings Release and the July Form 6-K, and the Company believes that it has addressed the Staff's comments in the Earnings Release and the July Form 6-K. For convenient reference, we have attached the Earnings Release as Exhibit A.</w:t>
      </w:r>
    </w:p>
    <w:p>
      <w:pPr>
        <w:sectPr>
          <w:pgSz w:w="11900" w:h="16838" w:orient="portrait"/>
          <w:cols w:equalWidth="0" w:num="1">
            <w:col w:w="10219"/>
          </w:cols>
          <w:pgMar w:left="240" w:top="451" w:right="1440" w:bottom="1440" w:gutter="0" w:footer="0" w:header="0"/>
        </w:sectPr>
      </w:pPr>
    </w:p>
    <w:bookmarkStart w:id="1" w:name="page2"/>
    <w:bookmarkEnd w:id="1"/>
    <w:p>
      <w:pPr>
        <w:jc w:val="right"/>
        <w:ind w:right="1839"/>
        <w:spacing w:after="0"/>
        <w:rPr>
          <w:sz w:val="20"/>
          <w:szCs w:val="20"/>
          <w:color w:val="auto"/>
        </w:rPr>
      </w:pPr>
      <w:r>
        <w:rPr>
          <w:rFonts w:ascii="Courier New" w:cs="Courier New" w:eastAsia="Courier New" w:hAnsi="Courier New"/>
          <w:sz w:val="17"/>
          <w:szCs w:val="17"/>
          <w:color w:val="auto"/>
        </w:rPr>
        <w:t>WilmerHale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26, 2006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carefully considered the desirability and appropriateness of amending one or more of its past Reports of Foreign Private Issuer on Form 6-K in order to reflect the "revised practices" described herein with respect to the presentation of a non-GAAP operating statement. The Company continues to believe that any such amendments would, on the whole, be more confusing than useful to investors and others. It has been several months since the January Form 6-K and April Form 6-K were furnished, and only days since the July Form 6-K, and management believes it is highly unlikely that analysts, individual investors and others would alter or reconsider their evaluation of the Company or an investment in the Company's ordinary shares as a result of an amendment of past filings to the effect described herein.</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Management agrees that the Company's revised non-GAAP practices will improve disclosures for investors in the future, but believes retrospective application of those practices would not disclose any meaningful differences and may confuse many investors who would assume that the amendments were made to disclose significant adverse changes. The Company therefore respectfully submits that the goal of improved disclosure regarding non-GAAP data will be served best by continuing to implement the revised practices in all future filings, as it has done in the July Form 6-K. In light of this, and because the Company continues to believe that the amendments to past filings that would be required to address the Staff's comment relate to matters that are not individually or in the aggregate material to investors, the Company has not amended the January Form 6-K or the April Form 6-K.</w:t>
      </w:r>
    </w:p>
    <w:p>
      <w:pPr>
        <w:spacing w:after="0" w:line="200" w:lineRule="exact"/>
        <w:rPr>
          <w:sz w:val="20"/>
          <w:szCs w:val="20"/>
          <w:color w:val="auto"/>
        </w:rPr>
      </w:pPr>
    </w:p>
    <w:p>
      <w:pPr>
        <w:spacing w:after="0" w:line="203"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Accordingly, and as it believes it has done with the July Form 6-K, the Company requests that the Staff permit the Company to address the Staff's comment in future filings under the Securities Exchange Act of 1934, as amended.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 6-K filed April 27, 2006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740" w:right="1839" w:hanging="733"/>
        <w:spacing w:after="0" w:line="251" w:lineRule="auto"/>
        <w:tabs>
          <w:tab w:leader="none" w:pos="7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have reviewed your response to your comment number 9 from our letter dated April 20, 2006 concerning the non-GAAP operating statement columnar format. We continue to have the concerns previously expressed over how investors might view that information due to the format in which it has been presented. As noted in our prior comment, we believe the non-GAAP operating statement columnar format may create the unwarranted impression to investors that the non-GAAP operating statement has been prepared under a comprehensive set of accounting rules or principles while also conveying undue prominence to a statement based on non-GAAP measures. Consequently, we believe is should be removed. As a substitute for this presentation format, you may consider presenting only individual non-GAAP measures (i.e., line items, subtotals, etc.) provided each one complies with Item 10 of Reg. S-K and the Division of Corporation Finance's Frequently Asked Questions Regarding Use of Non-GAAP Financial Measures, Question 8.</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20" w:type="dxa"/>
            <w:vAlign w:val="bottom"/>
          </w:tcPr>
          <w:p>
            <w:pPr>
              <w:spacing w:after="0"/>
              <w:rPr>
                <w:sz w:val="20"/>
                <w:szCs w:val="20"/>
                <w:color w:val="auto"/>
              </w:rPr>
            </w:pPr>
            <w:r>
              <w:rPr>
                <w:rFonts w:ascii="Courier New" w:cs="Courier New" w:eastAsia="Courier New" w:hAnsi="Courier New"/>
                <w:sz w:val="17"/>
                <w:szCs w:val="17"/>
                <w:color w:val="auto"/>
              </w:rPr>
              <w:t>Response:</w:t>
            </w:r>
          </w:p>
        </w:tc>
        <w:tc>
          <w:tcPr>
            <w:tcW w:w="3040" w:type="dxa"/>
            <w:vAlign w:val="bottom"/>
          </w:tcPr>
          <w:p>
            <w:pPr>
              <w:ind w:left="480"/>
              <w:spacing w:after="0"/>
              <w:rPr>
                <w:sz w:val="20"/>
                <w:szCs w:val="20"/>
                <w:color w:val="auto"/>
              </w:rPr>
            </w:pPr>
            <w:r>
              <w:rPr>
                <w:rFonts w:ascii="Courier New" w:cs="Courier New" w:eastAsia="Courier New" w:hAnsi="Courier New"/>
                <w:sz w:val="17"/>
                <w:szCs w:val="17"/>
                <w:color w:val="auto"/>
              </w:rPr>
              <w:t>The Company acknowledges</w:t>
            </w:r>
          </w:p>
        </w:tc>
        <w:tc>
          <w:tcPr>
            <w:tcW w:w="2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Staff's comment with</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respect to</w:t>
            </w:r>
          </w:p>
        </w:tc>
      </w:tr>
      <w:tr>
        <w:trPr>
          <w:trHeight w:val="201"/>
        </w:trPr>
        <w:tc>
          <w:tcPr>
            <w:tcW w:w="1420" w:type="dxa"/>
            <w:vAlign w:val="bottom"/>
          </w:tcPr>
          <w:p>
            <w:pPr>
              <w:spacing w:after="0"/>
              <w:rPr>
                <w:sz w:val="17"/>
                <w:szCs w:val="17"/>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the Company's use of non-GAAP</w:t>
            </w:r>
          </w:p>
        </w:tc>
        <w:tc>
          <w:tcPr>
            <w:tcW w:w="2100" w:type="dxa"/>
            <w:vAlign w:val="bottom"/>
          </w:tcPr>
          <w:p>
            <w:pPr>
              <w:ind w:left="60"/>
              <w:spacing w:after="0"/>
              <w:rPr>
                <w:sz w:val="20"/>
                <w:szCs w:val="20"/>
                <w:color w:val="auto"/>
              </w:rPr>
            </w:pPr>
            <w:r>
              <w:rPr>
                <w:rFonts w:ascii="Courier New" w:cs="Courier New" w:eastAsia="Courier New" w:hAnsi="Courier New"/>
                <w:sz w:val="17"/>
                <w:szCs w:val="17"/>
                <w:color w:val="auto"/>
              </w:rPr>
              <w:t>operating statement</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columnar</w:t>
            </w:r>
          </w:p>
        </w:tc>
      </w:tr>
      <w:tr>
        <w:trPr>
          <w:trHeight w:val="201"/>
        </w:trPr>
        <w:tc>
          <w:tcPr>
            <w:tcW w:w="1420" w:type="dxa"/>
            <w:vAlign w:val="bottom"/>
          </w:tcPr>
          <w:p>
            <w:pPr>
              <w:spacing w:after="0"/>
              <w:rPr>
                <w:sz w:val="17"/>
                <w:szCs w:val="17"/>
                <w:color w:val="auto"/>
              </w:rPr>
            </w:pPr>
          </w:p>
        </w:tc>
        <w:tc>
          <w:tcPr>
            <w:tcW w:w="3040" w:type="dxa"/>
            <w:vAlign w:val="bottom"/>
          </w:tcPr>
          <w:p>
            <w:pPr>
              <w:ind w:left="480"/>
              <w:spacing w:after="0"/>
              <w:rPr>
                <w:sz w:val="20"/>
                <w:szCs w:val="20"/>
                <w:color w:val="auto"/>
              </w:rPr>
            </w:pPr>
            <w:r>
              <w:rPr>
                <w:rFonts w:ascii="Courier New" w:cs="Courier New" w:eastAsia="Courier New" w:hAnsi="Courier New"/>
                <w:sz w:val="17"/>
                <w:szCs w:val="17"/>
                <w:color w:val="auto"/>
              </w:rPr>
              <w:t>format. In light of this</w:t>
            </w:r>
          </w:p>
        </w:tc>
        <w:tc>
          <w:tcPr>
            <w:tcW w:w="2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comment, the Company has</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considered</w:t>
            </w:r>
          </w:p>
        </w:tc>
      </w:tr>
      <w:tr>
        <w:trPr>
          <w:trHeight w:val="201"/>
        </w:trPr>
        <w:tc>
          <w:tcPr>
            <w:tcW w:w="1420" w:type="dxa"/>
            <w:vAlign w:val="bottom"/>
          </w:tcPr>
          <w:p>
            <w:pPr>
              <w:spacing w:after="0"/>
              <w:rPr>
                <w:sz w:val="17"/>
                <w:szCs w:val="17"/>
                <w:color w:val="auto"/>
              </w:rPr>
            </w:pPr>
          </w:p>
        </w:tc>
        <w:tc>
          <w:tcPr>
            <w:tcW w:w="356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and revised this presentation</w:t>
            </w:r>
          </w:p>
        </w:tc>
        <w:tc>
          <w:tcPr>
            <w:tcW w:w="3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format in a manner that the</w:t>
            </w:r>
          </w:p>
        </w:tc>
      </w:tr>
      <w:tr>
        <w:trPr>
          <w:trHeight w:val="201"/>
        </w:trPr>
        <w:tc>
          <w:tcPr>
            <w:tcW w:w="1420" w:type="dxa"/>
            <w:vAlign w:val="bottom"/>
          </w:tcPr>
          <w:p>
            <w:pPr>
              <w:spacing w:after="0"/>
              <w:rPr>
                <w:sz w:val="17"/>
                <w:szCs w:val="17"/>
                <w:color w:val="auto"/>
              </w:rPr>
            </w:pPr>
          </w:p>
        </w:tc>
        <w:tc>
          <w:tcPr>
            <w:tcW w:w="6760" w:type="dxa"/>
            <w:vAlign w:val="bottom"/>
            <w:gridSpan w:val="4"/>
          </w:tcPr>
          <w:p>
            <w:pPr>
              <w:ind w:left="480"/>
              <w:spacing w:after="0"/>
              <w:rPr>
                <w:sz w:val="20"/>
                <w:szCs w:val="20"/>
                <w:color w:val="auto"/>
              </w:rPr>
            </w:pPr>
            <w:r>
              <w:rPr>
                <w:rFonts w:ascii="Courier New" w:cs="Courier New" w:eastAsia="Courier New" w:hAnsi="Courier New"/>
                <w:sz w:val="17"/>
                <w:szCs w:val="17"/>
                <w:color w:val="auto"/>
              </w:rPr>
              <w:t>Company believes addresses the Staff's concern. As described</w:t>
            </w:r>
          </w:p>
        </w:tc>
      </w:tr>
      <w:tr>
        <w:trPr>
          <w:trHeight w:val="201"/>
        </w:trPr>
        <w:tc>
          <w:tcPr>
            <w:tcW w:w="1420" w:type="dxa"/>
            <w:vAlign w:val="bottom"/>
          </w:tcPr>
          <w:p>
            <w:pPr>
              <w:spacing w:after="0"/>
              <w:rPr>
                <w:sz w:val="17"/>
                <w:szCs w:val="17"/>
                <w:color w:val="auto"/>
              </w:rPr>
            </w:pPr>
          </w:p>
        </w:tc>
        <w:tc>
          <w:tcPr>
            <w:tcW w:w="6760" w:type="dxa"/>
            <w:vAlign w:val="bottom"/>
            <w:gridSpan w:val="4"/>
          </w:tcPr>
          <w:p>
            <w:pPr>
              <w:ind w:left="480"/>
              <w:spacing w:after="0"/>
              <w:rPr>
                <w:sz w:val="20"/>
                <w:szCs w:val="20"/>
                <w:color w:val="auto"/>
              </w:rPr>
            </w:pPr>
            <w:r>
              <w:rPr>
                <w:rFonts w:ascii="Courier New" w:cs="Courier New" w:eastAsia="Courier New" w:hAnsi="Courier New"/>
                <w:sz w:val="17"/>
                <w:szCs w:val="17"/>
                <w:color w:val="auto"/>
              </w:rPr>
              <w:t>above, the Company implemented this revised practice in</w:t>
            </w:r>
          </w:p>
        </w:tc>
      </w:tr>
      <w:tr>
        <w:trPr>
          <w:trHeight w:val="201"/>
        </w:trPr>
        <w:tc>
          <w:tcPr>
            <w:tcW w:w="1420" w:type="dxa"/>
            <w:vAlign w:val="bottom"/>
          </w:tcPr>
          <w:p>
            <w:pPr>
              <w:spacing w:after="0"/>
              <w:rPr>
                <w:sz w:val="17"/>
                <w:szCs w:val="17"/>
                <w:color w:val="auto"/>
              </w:rPr>
            </w:pPr>
          </w:p>
        </w:tc>
        <w:tc>
          <w:tcPr>
            <w:tcW w:w="3040" w:type="dxa"/>
            <w:vAlign w:val="bottom"/>
          </w:tcPr>
          <w:p>
            <w:pPr>
              <w:ind w:left="480"/>
              <w:spacing w:after="0"/>
              <w:rPr>
                <w:sz w:val="20"/>
                <w:szCs w:val="20"/>
                <w:color w:val="auto"/>
              </w:rPr>
            </w:pPr>
            <w:r>
              <w:rPr>
                <w:rFonts w:ascii="Courier New" w:cs="Courier New" w:eastAsia="Courier New" w:hAnsi="Courier New"/>
                <w:sz w:val="17"/>
                <w:szCs w:val="17"/>
                <w:color w:val="auto"/>
              </w:rPr>
              <w:t>connection with the July</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Form</w:t>
            </w:r>
          </w:p>
        </w:tc>
        <w:tc>
          <w:tcPr>
            <w:tcW w:w="2100" w:type="dxa"/>
            <w:vAlign w:val="bottom"/>
          </w:tcPr>
          <w:p>
            <w:pPr>
              <w:ind w:left="60"/>
              <w:spacing w:after="0"/>
              <w:rPr>
                <w:sz w:val="20"/>
                <w:szCs w:val="20"/>
                <w:color w:val="auto"/>
              </w:rPr>
            </w:pPr>
            <w:r>
              <w:rPr>
                <w:rFonts w:ascii="Courier New" w:cs="Courier New" w:eastAsia="Courier New" w:hAnsi="Courier New"/>
                <w:sz w:val="17"/>
                <w:szCs w:val="17"/>
                <w:color w:val="auto"/>
              </w:rPr>
              <w:t>6-K.</w:t>
            </w:r>
          </w:p>
        </w:tc>
        <w:tc>
          <w:tcPr>
            <w:tcW w:w="1100" w:type="dxa"/>
            <w:vAlign w:val="bottom"/>
          </w:tcPr>
          <w:p>
            <w:pPr>
              <w:spacing w:after="0"/>
              <w:rPr>
                <w:sz w:val="17"/>
                <w:szCs w:val="17"/>
                <w:color w:val="auto"/>
              </w:rPr>
            </w:pPr>
          </w:p>
        </w:tc>
      </w:tr>
    </w:tbl>
    <w:p>
      <w:pPr>
        <w:spacing w:after="0" w:line="20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 * *</w:t>
      </w:r>
    </w:p>
    <w:p>
      <w:pPr>
        <w:sectPr>
          <w:pgSz w:w="11900" w:h="16838" w:orient="portrait"/>
          <w:cols w:equalWidth="0" w:num="1">
            <w:col w:w="10219"/>
          </w:cols>
          <w:pgMar w:left="240" w:top="1122" w:right="1440" w:bottom="1440" w:gutter="0" w:footer="0" w:header="0"/>
        </w:sectPr>
      </w:pPr>
    </w:p>
    <w:bookmarkStart w:id="2" w:name="page3"/>
    <w:bookmarkEnd w:id="2"/>
    <w:p>
      <w:pPr>
        <w:jc w:val="right"/>
        <w:ind w:right="1839"/>
        <w:spacing w:after="0"/>
        <w:rPr>
          <w:sz w:val="20"/>
          <w:szCs w:val="20"/>
          <w:color w:val="auto"/>
        </w:rPr>
      </w:pPr>
      <w:r>
        <w:rPr>
          <w:rFonts w:ascii="Courier New" w:cs="Courier New" w:eastAsia="Courier New" w:hAnsi="Courier New"/>
          <w:sz w:val="17"/>
          <w:szCs w:val="17"/>
          <w:color w:val="auto"/>
        </w:rPr>
        <w:t>WilmerHale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26, 2006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200" w:lineRule="exact"/>
        <w:rPr>
          <w:sz w:val="20"/>
          <w:szCs w:val="20"/>
          <w:color w:val="auto"/>
        </w:rPr>
      </w:pPr>
    </w:p>
    <w:p>
      <w:pPr>
        <w:spacing w:after="0" w:line="212"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Please do not hesitate to contact the undersigned (212-937-7276) or Mr. Kropp (617-526-6421) with any questions regarding this response letter.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Sincerely,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A. Schwed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A. Schwed</w:t>
      </w:r>
    </w:p>
    <w:p>
      <w:pPr>
        <w:sectPr>
          <w:pgSz w:w="11900" w:h="16838" w:orient="portrait"/>
          <w:cols w:equalWidth="0" w:num="1">
            <w:col w:w="10219"/>
          </w:cols>
          <w:pgMar w:left="240" w:top="921" w:right="1440" w:bottom="1440" w:gutter="0" w:footer="0" w:header="0"/>
        </w:sectPr>
      </w:pPr>
    </w:p>
    <w:bookmarkStart w:id="3" w:name="page4"/>
    <w:bookmarkEnd w:id="3"/>
    <w:p>
      <w:pPr>
        <w:ind w:left="3560"/>
        <w:spacing w:after="0"/>
        <w:rPr>
          <w:sz w:val="20"/>
          <w:szCs w:val="20"/>
          <w:color w:val="auto"/>
        </w:rPr>
      </w:pPr>
      <w:r>
        <w:rPr>
          <w:rFonts w:ascii="Courier New" w:cs="Courier New" w:eastAsia="Courier New" w:hAnsi="Courier New"/>
          <w:sz w:val="17"/>
          <w:szCs w:val="17"/>
          <w:color w:val="auto"/>
        </w:rPr>
        <w:t>Exhibit A</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AMDOCS LIMITED REPORTS 23% GROWTH IN REVENUE TO A RECORD $626</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MILLION FOR THE THIRD QUARTER OF FISCAL 2006</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32% GROWTH IN DILUTED NON-GAAP EARNINGS PER SHARE TO $0.49;</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DILUTED GAAP EARNINGS PER SHARE OF $0.39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highlights:</w:t>
      </w:r>
    </w:p>
    <w:p>
      <w:pPr>
        <w:spacing w:after="0" w:line="210" w:lineRule="exact"/>
        <w:rPr>
          <w:sz w:val="20"/>
          <w:szCs w:val="20"/>
          <w:color w:val="auto"/>
        </w:rPr>
      </w:pPr>
    </w:p>
    <w:p>
      <w:pPr>
        <w:ind w:left="1060" w:hanging="529"/>
        <w:spacing w:after="0"/>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quarter revenue grew 23% to $626 million</w:t>
      </w:r>
    </w:p>
    <w:p>
      <w:pPr>
        <w:spacing w:after="0" w:line="210" w:lineRule="exact"/>
        <w:rPr>
          <w:rFonts w:ascii="Courier New" w:cs="Courier New" w:eastAsia="Courier New" w:hAnsi="Courier New"/>
          <w:sz w:val="17"/>
          <w:szCs w:val="17"/>
          <w:color w:val="auto"/>
        </w:rPr>
      </w:pPr>
    </w:p>
    <w:p>
      <w:pPr>
        <w:ind w:left="1060" w:right="2039" w:hanging="529"/>
        <w:spacing w:after="0" w:line="254" w:lineRule="auto"/>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32% increase in third quarter diluted non-GAAP EPS, excluding acquisition-related costs and equity-based compensation expense, net of related tax effects, to $0.49; Exceeds guidance of $0.46</w:t>
      </w:r>
    </w:p>
    <w:p>
      <w:pPr>
        <w:spacing w:after="0" w:line="194"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Diluted GAAP EPS of $0.39</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Free cash flow of $94 million for the quarter</w:t>
      </w:r>
    </w:p>
    <w:p>
      <w:pPr>
        <w:spacing w:after="0" w:line="210" w:lineRule="exact"/>
        <w:rPr>
          <w:rFonts w:ascii="Courier New" w:cs="Courier New" w:eastAsia="Courier New" w:hAnsi="Courier New"/>
          <w:sz w:val="17"/>
          <w:szCs w:val="17"/>
          <w:color w:val="auto"/>
        </w:rPr>
      </w:pPr>
    </w:p>
    <w:p>
      <w:pPr>
        <w:ind w:left="1060" w:right="2459" w:hanging="529"/>
        <w:spacing w:after="0" w:line="257" w:lineRule="auto"/>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Qpass acquisition positions Amdocs as the leader in the emerging digital content market</w:t>
      </w:r>
    </w:p>
    <w:p>
      <w:pPr>
        <w:spacing w:after="0" w:line="191" w:lineRule="exact"/>
        <w:rPr>
          <w:rFonts w:ascii="Courier New" w:cs="Courier New" w:eastAsia="Courier New" w:hAnsi="Courier New"/>
          <w:sz w:val="17"/>
          <w:szCs w:val="17"/>
          <w:color w:val="auto"/>
        </w:rPr>
      </w:pPr>
    </w:p>
    <w:p>
      <w:pPr>
        <w:ind w:left="1060" w:right="2039" w:hanging="529"/>
        <w:spacing w:after="0" w:line="253" w:lineRule="auto"/>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quarter, Amdocs announced that it signed an agreement to acquire Cramer Systems Group Ltd., a leading provider of operations support systems (OSS) software and solutions, for approximately $375 million in cash, net of cash on hand</w:t>
      </w:r>
    </w:p>
    <w:p>
      <w:pPr>
        <w:spacing w:after="0" w:line="195" w:lineRule="exact"/>
        <w:rPr>
          <w:rFonts w:ascii="Courier New" w:cs="Courier New" w:eastAsia="Courier New" w:hAnsi="Courier New"/>
          <w:sz w:val="17"/>
          <w:szCs w:val="17"/>
          <w:color w:val="auto"/>
        </w:rPr>
      </w:pPr>
    </w:p>
    <w:p>
      <w:pPr>
        <w:ind w:left="1060" w:right="1839" w:hanging="529"/>
        <w:spacing w:after="0" w:line="252" w:lineRule="auto"/>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Fourth quarter fiscal 2006 guidance: Expected revenue of approximately $657 million and diluted non-GAAP EPS of $0.49, excluding acquisition-related costs and approximately $0.04-$0.05 per share of equity-based compensation expense, net of related tax effects. Diluted GAAP EPS is expected to be approximately $0.41-$0.42. This guidance excludes any potential impact of the pending acquisition of Cramer</w:t>
      </w:r>
    </w:p>
    <w:p>
      <w:pPr>
        <w:spacing w:after="0" w:line="196" w:lineRule="exact"/>
        <w:rPr>
          <w:rFonts w:ascii="Courier New" w:cs="Courier New" w:eastAsia="Courier New" w:hAnsi="Courier New"/>
          <w:sz w:val="17"/>
          <w:szCs w:val="17"/>
          <w:color w:val="auto"/>
        </w:rPr>
      </w:pPr>
    </w:p>
    <w:p>
      <w:pPr>
        <w:ind w:left="1060" w:right="1939" w:hanging="529"/>
        <w:spacing w:after="0" w:line="251" w:lineRule="auto"/>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fiscal 2007 guidance: Expected revenue of approximately $2.880 - $2.980 billion and diluted non-GAAP EPS of $2.06 - $2.16, which exclude acquisition-related costs and approximately $0.19-$0.22 per share of equity-based compensation expense, net of related tax effects. This guidance includes the expected impact of the pending acquisition of Cramer. Amdocs expects to provide guidance for 2007 diluted GAAP EPS after the purchase price accounting for the acquisition is completed</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ST. LOUIS, MO - JULY 19, 2006 - Amdocs Limited (NYSE: DOX) today reported that for the quarter ended June 30, 2006, revenue was $626.4 million, an increase of 23.5% from last year's third quarter. Excluding acquisition-related costs, which include amortization of purchased intangible assets and the write-off of in-process research and development and</w:t>
      </w:r>
    </w:p>
    <w:p>
      <w:pPr>
        <w:sectPr>
          <w:pgSz w:w="11900" w:h="16838" w:orient="portrait"/>
          <w:cols w:equalWidth="0" w:num="1">
            <w:col w:w="10219"/>
          </w:cols>
          <w:pgMar w:left="240" w:top="51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excluding equity-based compensation expense, net of related tax effects, of</w:t>
      </w:r>
    </w:p>
    <w:p>
      <w:pPr>
        <w:spacing w:after="0" w:line="9"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$20.6 million, net income on a non-GAAP basis was $106.2 million, or $0.49 per diluted share, compared to non-GAAP net income, excluding $1.7 million of acquisition-related costs net of related tax effects, of $78.8 million, or $0.37 per diluted share, in the third quarter of fiscal 2005. The Company's net income was $85.6 million, or $0.39 per diluted share, compared to net income of $77.1 million, or $0.36 per diluted share, in the third quarter of fiscal 2005. Free cash flow, defined as cash flow from operations less net capital expenditures and principal payments on capital leases, was $94 million in the quarter.</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are pleased to again report record revenues and increasing profitability," said Dov Baharav, chief executive officer of Amdocs Management Limited. "We see demand in the market, which continues to be driven by service providers' need to address competition, consolidation and convergence. We have strengthened our presence in the digital content area with our acquisition of Qpass and we are expanding our OSS activities with our pending acquisition of Cramer. Amdocs is positioned as the only vendor that can provide an end-to-end solution, from business support systems -- or BSS -- to OSS, for the leading services providers. This will put us in the leading position to benefit from the growth opportunities as service providers transform their organizations in order to offer new products and services. We are confident that our success in 2006 will continue as we look towards fiscal 2007."</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During the third quarter, Amdocs new business included 11 key wins, across geographies and lines of business. Amdocs expanded its relationship with Rogers Communications, which will install Amdocs CRM across its cable, wireless and telecom lines of business as part of a rollout of an integrated customer management strategy. In Australia, Telstra has selected Amdocs as one of the key vendors for an OSS transformational program. In the United States, Amdocs was awarded several projects related to assisting customers in their consolidation and integration of acquisitions. In broadband cable and satellite, a customer has signed a contract extension. Several other customers, including some new logos, have chosen Amdocs for CRM, Amdocs Partner Management and mediation projects.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OUTLOOK</w:t>
      </w:r>
    </w:p>
    <w:p>
      <w:pPr>
        <w:spacing w:after="0" w:line="210"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Amdocs expects that revenue for the fourth quarter of fiscal 2006 will be approximately $657 million. Diluted earnings per share on a non-GAAP basis for the fourth quarter are</w:t>
      </w:r>
    </w:p>
    <w:p>
      <w:pPr>
        <w:sectPr>
          <w:pgSz w:w="11900" w:h="16838" w:orient="portrait"/>
          <w:cols w:equalWidth="0" w:num="1">
            <w:col w:w="10219"/>
          </w:cols>
          <w:pgMar w:left="240" w:top="719" w:right="1440" w:bottom="1440" w:gutter="0" w:footer="0" w:header="0"/>
        </w:sectPr>
      </w:pPr>
    </w:p>
    <w:bookmarkStart w:id="5" w:name="page6"/>
    <w:bookmarkEnd w:id="5"/>
    <w:p>
      <w:pPr>
        <w:ind w:right="1839"/>
        <w:spacing w:after="0" w:line="252" w:lineRule="auto"/>
        <w:rPr>
          <w:sz w:val="20"/>
          <w:szCs w:val="20"/>
          <w:color w:val="auto"/>
        </w:rPr>
      </w:pPr>
      <w:r>
        <w:rPr>
          <w:rFonts w:ascii="Courier New" w:cs="Courier New" w:eastAsia="Courier New" w:hAnsi="Courier New"/>
          <w:sz w:val="17"/>
          <w:szCs w:val="17"/>
          <w:color w:val="auto"/>
        </w:rPr>
        <w:t>expected to be $0.49, excluding acquisition-related costs and the impact of approximately $0.04-$0.05 per share of equity-based compensation expense, net of related tax effects. Diluted GAAP EPS is expected to be approximately $0.41-$0.42. This guidance excludes any potential impact of the pending acquisition of Cramer. Amdocs expects that it may incur a one-time charge in its fourth fiscal quarter to account for certain costs related to the Cramer acquisition.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Preliminary fiscal 2007 guidance: Expected revenue of approximately</w:t>
      </w:r>
    </w:p>
    <w:p>
      <w:pPr>
        <w:spacing w:after="0" w:line="9"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$2.880-$2.980 billion and diluted non-GAAP EPS of $2.06-$2.16, which excludes acquisition-related costs and approximately $0.19-$0.22 per share of equity-based compensation expense, net of related tax effects. This guidance includes the expected impact of the pending acquisition of Cramer. Amdocs expects to provide guidance for diluted GAAP EPS after the purchase price accounting for the acquisition is completed.</w:t>
      </w:r>
    </w:p>
    <w:p>
      <w:pPr>
        <w:spacing w:after="0" w:line="197"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Amdocs will host a conference call on July 19, 2006 at 5 p.m. Eastern Time to discuss the Company's third quarter results. The call will be carried live on the Internet via www.InvestorCalendar.com and the Amdocs website, www.amdocs.com.</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NON-GAAP FINANCIAL MEASURES</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This release includes non-GAAP diluted earnings per share and other non-GAAP line items from the Non-GAAP Consolidated Statements of Income, including non-GAAP cost of service, non-GAAP research and development, non-GAAP selling, general and administrative, non-GAAP operating income, non-GAAP income before income taxes, non-GAAP income taxes and non-GAAP net income. These non-GAAP measures exclude the following items:</w:t>
      </w:r>
    </w:p>
    <w:p>
      <w:pPr>
        <w:spacing w:after="0" w:line="197" w:lineRule="exact"/>
        <w:rPr>
          <w:sz w:val="20"/>
          <w:szCs w:val="20"/>
          <w:color w:val="auto"/>
        </w:rPr>
      </w:pPr>
    </w:p>
    <w:p>
      <w:pPr>
        <w:ind w:left="1060" w:hanging="529"/>
        <w:spacing w:after="0"/>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amortization of purchased intangible assets;</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In-process research and development write-off;</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equity-based compensation expense; and</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effects related to the above.</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These non-GAAP financial measures are not in accordance with, or an alternative for, generally accepted accounting principles and may be different from non-GAAP financial measures used by other companies. In addition, these non-GAAP financial measures and the Non-GAAP Consolidated Statements of Income are not based on any comprehensive</w:t>
      </w:r>
    </w:p>
    <w:p>
      <w:pPr>
        <w:sectPr>
          <w:pgSz w:w="11900" w:h="16838" w:orient="portrait"/>
          <w:cols w:equalWidth="0" w:num="1">
            <w:col w:w="10219"/>
          </w:cols>
          <w:pgMar w:left="240" w:top="719" w:right="1440" w:bottom="1440" w:gutter="0" w:footer="0" w:header="0"/>
        </w:sectPr>
      </w:pPr>
    </w:p>
    <w:bookmarkStart w:id="6" w:name="page7"/>
    <w:bookmarkEnd w:id="6"/>
    <w:p>
      <w:pPr>
        <w:ind w:right="1939"/>
        <w:spacing w:after="0" w:line="252" w:lineRule="auto"/>
        <w:rPr>
          <w:sz w:val="20"/>
          <w:szCs w:val="20"/>
          <w:color w:val="auto"/>
        </w:rPr>
      </w:pPr>
      <w:r>
        <w:rPr>
          <w:rFonts w:ascii="Courier New" w:cs="Courier New" w:eastAsia="Courier New" w:hAnsi="Courier New"/>
          <w:sz w:val="17"/>
          <w:szCs w:val="17"/>
          <w:color w:val="auto"/>
        </w:rPr>
        <w:t>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Amdocs believes that the presentation of non-GAAP diluted earnings per share and other non-GAAP line items from the Non-GAAP Consolidated Statements of Income, including non-GAAP cost of service, non-GAAP research and development, non-GAAP selling, general and administrative, non-GAAP operating income, non-GAAP income before income taxes, non-GAAP income taxes and non-GAAP net income, when shown in conjunction with the corresponding GAAP measures, provides useful information to investors and management regarding financial and business trends relating to its financial condition and results of operations.</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For its internal budgeting process and in monitoring the results of the business, Amdocs' management uses financial statements that do not include amortization of purchased intangible assets, in-process research and development write-off,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before income taxes, income taxes and net income), it is useful to investors to understand how these specific line items in the Consolidated Statements of Income are affected by these adjustments.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AMDOCS</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Amdocs combines innovative software and services with deep business knowledge to accelerate implementation of integrated customer management by the world's leading service providers. By delivering a comprehensive portfolio of software and services that</w:t>
      </w:r>
    </w:p>
    <w:p>
      <w:pPr>
        <w:sectPr>
          <w:pgSz w:w="11900" w:h="16838" w:orient="portrait"/>
          <w:cols w:equalWidth="0" w:num="1">
            <w:col w:w="10219"/>
          </w:cols>
          <w:pgMar w:left="240" w:top="719" w:right="1440" w:bottom="1440" w:gutter="0" w:footer="0" w:header="0"/>
        </w:sectPr>
      </w:pPr>
    </w:p>
    <w:bookmarkStart w:id="7" w:name="page8"/>
    <w:bookmarkEnd w:id="7"/>
    <w:p>
      <w:pPr>
        <w:ind w:right="1839"/>
        <w:spacing w:after="0" w:line="252" w:lineRule="auto"/>
        <w:rPr>
          <w:sz w:val="20"/>
          <w:szCs w:val="20"/>
          <w:color w:val="auto"/>
        </w:rPr>
      </w:pPr>
      <w:r>
        <w:rPr>
          <w:rFonts w:ascii="Courier New" w:cs="Courier New" w:eastAsia="Courier New" w:hAnsi="Courier New"/>
          <w:sz w:val="17"/>
          <w:szCs w:val="17"/>
          <w:color w:val="auto"/>
        </w:rPr>
        <w:t>spans the customer lifecycle, Amdocs enables service companies to deliver an intentional customer experience(TM), which results in stronger, more profitable customer relationships. Service providers also benefit from a rapid return on investment, lower total cost of ownership and improved operational efficiencies. A global company with revenue of more than $2 billion in fiscal 2005, Amdocs has over 14,000 employees and serves customers in more than 50 countries around the world. For more information, visit Amdocs at www.amdocs.com.</w:t>
      </w:r>
    </w:p>
    <w:p>
      <w:pPr>
        <w:spacing w:after="0" w:line="196"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filed on December 28, 2005 and our quarterly 6-K furnished on February 15 and May 15, 2006.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G. O'Brien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Treasurer and Vice President of Investor Relations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314-212-8328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E-mail: dox_info@amdocs.com</w:t>
      </w:r>
    </w:p>
    <w:p>
      <w:pPr>
        <w:sectPr>
          <w:pgSz w:w="11900" w:h="16838" w:orient="portrait"/>
          <w:cols w:equalWidth="0" w:num="1">
            <w:col w:w="10219"/>
          </w:cols>
          <w:pgMar w:left="240" w:top="719" w:right="1440" w:bottom="1440" w:gutter="0" w:footer="0" w:header="0"/>
        </w:sectPr>
      </w:pPr>
    </w:p>
    <w:bookmarkStart w:id="8" w:name="page9"/>
    <w:bookmarkEnd w:id="8"/>
    <w:p>
      <w:pPr>
        <w:jc w:val="center"/>
        <w:ind w:right="183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CONSOLIDATED STATEMENTS OF INCOME (UNAUDITED)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THREE MONTHS ENDED</w:t>
            </w:r>
          </w:p>
        </w:tc>
        <w:tc>
          <w:tcPr>
            <w:tcW w:w="260" w:type="dxa"/>
            <w:vAlign w:val="bottom"/>
          </w:tcPr>
          <w:p>
            <w:pPr>
              <w:spacing w:after="0"/>
              <w:rPr>
                <w:sz w:val="17"/>
                <w:szCs w:val="17"/>
                <w:color w:val="auto"/>
              </w:rPr>
            </w:pPr>
          </w:p>
        </w:tc>
        <w:tc>
          <w:tcPr>
            <w:tcW w:w="2300" w:type="dxa"/>
            <w:vAlign w:val="bottom"/>
            <w:gridSpan w:val="3"/>
          </w:tcPr>
          <w:p>
            <w:pPr>
              <w:jc w:val="right"/>
              <w:ind w:right="213"/>
              <w:spacing w:after="0"/>
              <w:rPr>
                <w:sz w:val="20"/>
                <w:szCs w:val="20"/>
                <w:color w:val="auto"/>
              </w:rPr>
            </w:pPr>
            <w:r>
              <w:rPr>
                <w:rFonts w:ascii="Courier New" w:cs="Courier New" w:eastAsia="Courier New" w:hAnsi="Courier New"/>
                <w:sz w:val="17"/>
                <w:szCs w:val="17"/>
                <w:color w:val="auto"/>
              </w:rPr>
              <w:t>NINE MONTHS ENDED</w:t>
            </w:r>
          </w:p>
        </w:tc>
      </w:tr>
      <w:tr>
        <w:trPr>
          <w:trHeight w:val="201"/>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JUNE</w:t>
            </w:r>
          </w:p>
        </w:tc>
        <w:tc>
          <w:tcPr>
            <w:tcW w:w="10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30,</w:t>
            </w:r>
          </w:p>
        </w:tc>
        <w:tc>
          <w:tcPr>
            <w:tcW w:w="260" w:type="dxa"/>
            <w:vAlign w:val="bottom"/>
          </w:tcPr>
          <w:p>
            <w:pPr>
              <w:spacing w:after="0"/>
              <w:rPr>
                <w:sz w:val="17"/>
                <w:szCs w:val="17"/>
                <w:color w:val="auto"/>
              </w:rPr>
            </w:pPr>
          </w:p>
        </w:tc>
        <w:tc>
          <w:tcPr>
            <w:tcW w:w="2300" w:type="dxa"/>
            <w:vAlign w:val="bottom"/>
            <w:gridSpan w:val="3"/>
          </w:tcPr>
          <w:p>
            <w:pPr>
              <w:jc w:val="right"/>
              <w:ind w:right="633"/>
              <w:spacing w:after="0"/>
              <w:rPr>
                <w:sz w:val="20"/>
                <w:szCs w:val="20"/>
                <w:color w:val="auto"/>
              </w:rPr>
            </w:pPr>
            <w:r>
              <w:rPr>
                <w:rFonts w:ascii="Courier New" w:cs="Courier New" w:eastAsia="Courier New" w:hAnsi="Courier New"/>
                <w:sz w:val="17"/>
                <w:szCs w:val="17"/>
                <w:color w:val="auto"/>
              </w:rPr>
              <w:t>JUNE 30,</w:t>
            </w:r>
          </w:p>
        </w:tc>
      </w:tr>
      <w:tr>
        <w:trPr>
          <w:trHeight w:val="201"/>
        </w:trPr>
        <w:tc>
          <w:tcPr>
            <w:tcW w:w="3520" w:type="dxa"/>
            <w:vAlign w:val="bottom"/>
          </w:tcPr>
          <w:p>
            <w:pPr>
              <w:spacing w:after="0"/>
              <w:rPr>
                <w:sz w:val="17"/>
                <w:szCs w:val="17"/>
                <w:color w:val="auto"/>
              </w:rPr>
            </w:pPr>
          </w:p>
        </w:tc>
        <w:tc>
          <w:tcPr>
            <w:tcW w:w="2300" w:type="dxa"/>
            <w:vAlign w:val="bottom"/>
            <w:gridSpan w:val="4"/>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2006(1)</w:t>
            </w:r>
          </w:p>
        </w:tc>
        <w:tc>
          <w:tcPr>
            <w:tcW w:w="14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2005</w:t>
            </w:r>
          </w:p>
        </w:tc>
        <w:tc>
          <w:tcPr>
            <w:tcW w:w="2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2006(2)</w:t>
            </w:r>
          </w:p>
        </w:tc>
        <w:tc>
          <w:tcPr>
            <w:tcW w:w="260" w:type="dxa"/>
            <w:vAlign w:val="bottom"/>
          </w:tcPr>
          <w:p>
            <w:pPr>
              <w:spacing w:after="0"/>
              <w:rPr>
                <w:sz w:val="17"/>
                <w:szCs w:val="17"/>
                <w:color w:val="auto"/>
              </w:rPr>
            </w:pPr>
          </w:p>
        </w:tc>
        <w:tc>
          <w:tcPr>
            <w:tcW w:w="9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5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License</w:t>
            </w: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$ 23,220</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$ 27,199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85,172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74,909</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Service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603,228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480,156</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1,729,433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1,390,394</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626,448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507,355</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1,814,605</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1,465,303</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995</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1,125</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2,973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3,278</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402,626</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324,249</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1,165,010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929,487</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46,455</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31,393</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131,392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97,567</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74,940</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56,448</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227,289</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166,000</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640"/>
              <w:spacing w:after="0"/>
              <w:rPr>
                <w:sz w:val="20"/>
                <w:szCs w:val="20"/>
                <w:color w:val="auto"/>
              </w:rPr>
            </w:pPr>
            <w:r>
              <w:rPr>
                <w:rFonts w:ascii="Courier New" w:cs="Courier New" w:eastAsia="Courier New" w:hAnsi="Courier New"/>
                <w:sz w:val="17"/>
                <w:szCs w:val="17"/>
                <w:color w:val="auto"/>
              </w:rPr>
              <w:t>intangible assets</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8,547</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2,078</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23,588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7,875</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8,415</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8,415</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541,978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415,293</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1,558,667</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1,204,207</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84,470</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92,062</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255,938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261,096</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Interest income and other, net</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14,938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4,305</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33,659</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14,944</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99,408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96,367</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289,597</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276,040</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13,823</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19,270</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46,916</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55,203</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$ 85,585</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$ 77,097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242,681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220,837</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0.42</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Diluted earnings per share(3)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0.39</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1.03</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Basic weighted average number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shares outstanding</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204,404</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200,494</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202,474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201,453</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of shares outstanding</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220,109</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216,570</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217,633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217,608</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right="1839" w:hanging="533"/>
        <w:spacing w:after="0" w:line="253" w:lineRule="auto"/>
        <w:tabs>
          <w:tab w:leader="none" w:pos="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three months ended June 30, 2006 include equity-based compensation pre-tax expense of $10,948, which was classified as follows: $4,165 to Cost of service, $1,232 to Research and development and $5,551 to Selling, general and administrative.</w:t>
      </w:r>
    </w:p>
    <w:p>
      <w:pPr>
        <w:spacing w:after="0" w:line="195" w:lineRule="exact"/>
        <w:rPr>
          <w:rFonts w:ascii="Courier New" w:cs="Courier New" w:eastAsia="Courier New" w:hAnsi="Courier New"/>
          <w:sz w:val="17"/>
          <w:szCs w:val="17"/>
          <w:color w:val="auto"/>
        </w:rPr>
      </w:pPr>
    </w:p>
    <w:p>
      <w:pPr>
        <w:ind w:left="540" w:right="1839" w:hanging="533"/>
        <w:spacing w:after="0" w:line="253" w:lineRule="auto"/>
        <w:tabs>
          <w:tab w:leader="none" w:pos="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nine months ended June 30, 2006 include equity-based compensation pre-tax expense of $31,948, which was classified as follows: $12,237 to Cost of service, $3,041 to Research and development and $16,670 to Selling, general and administrative.</w:t>
      </w:r>
    </w:p>
    <w:p>
      <w:pPr>
        <w:spacing w:after="0" w:line="195"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impact of assumed conversion of the convertible notes, $985 and $2,964, representing interest expense and amortization of issuance costs, were added back to net income for the three and nine months ended June 30, 2006, respectively, and $988 and $2,955 were added back to net income for the three and nine months ended June 30, 2005, respectively, for the purpose of computing diluted earnings per share.</w:t>
      </w:r>
    </w:p>
    <w:p>
      <w:pPr>
        <w:sectPr>
          <w:pgSz w:w="11900" w:h="16838" w:orient="portrait"/>
          <w:cols w:equalWidth="0" w:num="1">
            <w:col w:w="10219"/>
          </w:cols>
          <w:pgMar w:left="240" w:top="719" w:right="1440" w:bottom="1440" w:gutter="0" w:footer="0" w:header="0"/>
        </w:sectPr>
      </w:pPr>
    </w:p>
    <w:bookmarkStart w:id="9" w:name="page10"/>
    <w:bookmarkEnd w:id="9"/>
    <w:p>
      <w:pPr>
        <w:jc w:val="center"/>
        <w:ind w:right="181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SELECTED FINANCIAL METRICS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80" w:type="dxa"/>
            <w:vAlign w:val="bottom"/>
            <w:gridSpan w:val="7"/>
          </w:tcPr>
          <w:p>
            <w:pPr>
              <w:ind w:left="2320"/>
              <w:spacing w:after="0"/>
              <w:rPr>
                <w:sz w:val="20"/>
                <w:szCs w:val="20"/>
                <w:color w:val="auto"/>
              </w:rPr>
            </w:pPr>
            <w:r>
              <w:rPr>
                <w:rFonts w:ascii="Courier New" w:cs="Courier New" w:eastAsia="Courier New" w:hAnsi="Courier New"/>
                <w:sz w:val="17"/>
                <w:szCs w:val="17"/>
                <w:color w:val="auto"/>
              </w:rPr>
              <w:t>(IN THOUSANDS, EXCEPT PER SHARE DATA)</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06"/>
        </w:trPr>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THREE MONTHS ENDED</w:t>
            </w:r>
          </w:p>
        </w:tc>
        <w:tc>
          <w:tcPr>
            <w:tcW w:w="260" w:type="dxa"/>
            <w:vAlign w:val="bottom"/>
          </w:tcPr>
          <w:p>
            <w:pPr>
              <w:spacing w:after="0"/>
              <w:rPr>
                <w:sz w:val="24"/>
                <w:szCs w:val="24"/>
                <w:color w:val="auto"/>
              </w:rPr>
            </w:pPr>
          </w:p>
        </w:tc>
        <w:tc>
          <w:tcPr>
            <w:tcW w:w="230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NINE MONTHS ENDED</w:t>
            </w:r>
          </w:p>
        </w:tc>
      </w:tr>
      <w:tr>
        <w:trPr>
          <w:trHeight w:val="201"/>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3"/>
          </w:tcPr>
          <w:p>
            <w:pPr>
              <w:jc w:val="right"/>
              <w:ind w:right="593"/>
              <w:spacing w:after="0"/>
              <w:rPr>
                <w:sz w:val="20"/>
                <w:szCs w:val="20"/>
                <w:color w:val="auto"/>
              </w:rPr>
            </w:pPr>
            <w:r>
              <w:rPr>
                <w:rFonts w:ascii="Courier New" w:cs="Courier New" w:eastAsia="Courier New" w:hAnsi="Courier New"/>
                <w:sz w:val="17"/>
                <w:szCs w:val="17"/>
                <w:color w:val="auto"/>
              </w:rPr>
              <w:t>JUNE 30,</w:t>
            </w:r>
          </w:p>
        </w:tc>
        <w:tc>
          <w:tcPr>
            <w:tcW w:w="260" w:type="dxa"/>
            <w:vAlign w:val="bottom"/>
          </w:tcPr>
          <w:p>
            <w:pPr>
              <w:spacing w:after="0"/>
              <w:rPr>
                <w:sz w:val="17"/>
                <w:szCs w:val="17"/>
                <w:color w:val="auto"/>
              </w:rPr>
            </w:pPr>
          </w:p>
        </w:tc>
        <w:tc>
          <w:tcPr>
            <w:tcW w:w="2300" w:type="dxa"/>
            <w:vAlign w:val="bottom"/>
            <w:gridSpan w:val="3"/>
          </w:tcPr>
          <w:p>
            <w:pPr>
              <w:jc w:val="right"/>
              <w:ind w:right="653"/>
              <w:spacing w:after="0"/>
              <w:rPr>
                <w:sz w:val="20"/>
                <w:szCs w:val="20"/>
                <w:color w:val="auto"/>
              </w:rPr>
            </w:pPr>
            <w:r>
              <w:rPr>
                <w:rFonts w:ascii="Courier New" w:cs="Courier New" w:eastAsia="Courier New" w:hAnsi="Courier New"/>
                <w:sz w:val="17"/>
                <w:szCs w:val="17"/>
                <w:color w:val="auto"/>
              </w:rPr>
              <w:t>JUNE 30,</w:t>
            </w:r>
          </w:p>
        </w:tc>
      </w:tr>
      <w:tr>
        <w:trPr>
          <w:trHeight w:val="201"/>
        </w:trPr>
        <w:tc>
          <w:tcPr>
            <w:tcW w:w="3420" w:type="dxa"/>
            <w:vAlign w:val="bottom"/>
          </w:tcPr>
          <w:p>
            <w:pPr>
              <w:spacing w:after="0"/>
              <w:rPr>
                <w:sz w:val="17"/>
                <w:szCs w:val="17"/>
                <w:color w:val="auto"/>
              </w:rPr>
            </w:pPr>
          </w:p>
        </w:tc>
        <w:tc>
          <w:tcPr>
            <w:tcW w:w="2300" w:type="dxa"/>
            <w:vAlign w:val="bottom"/>
            <w:gridSpan w:val="4"/>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2005</w:t>
            </w:r>
          </w:p>
        </w:tc>
        <w:tc>
          <w:tcPr>
            <w:tcW w:w="26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3420" w:type="dxa"/>
            <w:vAlign w:val="bottom"/>
          </w:tcPr>
          <w:p>
            <w:pPr>
              <w:spacing w:after="0"/>
              <w:rPr>
                <w:sz w:val="17"/>
                <w:szCs w:val="17"/>
                <w:color w:val="auto"/>
              </w:rPr>
            </w:pP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4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626,448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507,355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1,814,605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1,465,303</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Non-GAAP operating income</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112,380</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94,140</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319,889</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268,971</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Non-GAAP net income</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106,169</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78,756</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291,678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227,132</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Non-GAAP diluted earnings per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0.49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of shares outstanding</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220,109</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216,570</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217,633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217,608</w:t>
            </w:r>
          </w:p>
        </w:tc>
      </w:tr>
    </w:tbl>
    <w:p>
      <w:pPr>
        <w:sectPr>
          <w:pgSz w:w="11900" w:h="16838" w:orient="portrait"/>
          <w:cols w:equalWidth="0" w:num="1">
            <w:col w:w="10219"/>
          </w:cols>
          <w:pgMar w:left="240" w:top="719" w:right="1440" w:bottom="1440" w:gutter="0" w:footer="0" w:header="0"/>
        </w:sectPr>
      </w:pPr>
    </w:p>
    <w:bookmarkStart w:id="10" w:name="page11"/>
    <w:bookmarkEnd w:id="10"/>
    <w:p>
      <w:pPr>
        <w:jc w:val="center"/>
        <w:ind w:right="2700"/>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RECONCILIATION OF SELECTED FINANCIAL METRICS FROM GAAP TO NON-GAAP</w:t>
      </w:r>
    </w:p>
    <w:p>
      <w:pPr>
        <w:spacing w:after="0" w:line="9"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80" w:type="dxa"/>
            <w:vAlign w:val="bottom"/>
            <w:gridSpan w:val="3"/>
          </w:tcPr>
          <w:p>
            <w:pPr>
              <w:jc w:val="right"/>
              <w:ind w:right="593"/>
              <w:spacing w:after="0"/>
              <w:rPr>
                <w:sz w:val="20"/>
                <w:szCs w:val="20"/>
                <w:color w:val="auto"/>
              </w:rPr>
            </w:pPr>
            <w:r>
              <w:rPr>
                <w:rFonts w:ascii="Courier New" w:cs="Courier New" w:eastAsia="Courier New" w:hAnsi="Courier New"/>
                <w:sz w:val="17"/>
                <w:szCs w:val="17"/>
                <w:color w:val="auto"/>
              </w:rPr>
              <w:t>THREE MONTHS ENDED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80" w:type="dxa"/>
            <w:vAlign w:val="bottom"/>
            <w:gridSpan w:val="3"/>
          </w:tcPr>
          <w:p>
            <w:pPr>
              <w:jc w:val="right"/>
              <w:ind w:right="913"/>
              <w:spacing w:after="0"/>
              <w:rPr>
                <w:sz w:val="20"/>
                <w:szCs w:val="20"/>
                <w:color w:val="auto"/>
              </w:rPr>
            </w:pPr>
            <w:r>
              <w:rPr>
                <w:rFonts w:ascii="Courier New" w:cs="Courier New" w:eastAsia="Courier New" w:hAnsi="Courier New"/>
                <w:sz w:val="17"/>
                <w:szCs w:val="17"/>
                <w:color w:val="auto"/>
              </w:rPr>
              <w:t>JUNE 30, 2006</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8220" w:type="dxa"/>
            <w:vAlign w:val="bottom"/>
            <w:gridSpan w:val="1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80" w:type="dxa"/>
            <w:vAlign w:val="bottom"/>
            <w:gridSpan w:val="3"/>
          </w:tcPr>
          <w:p>
            <w:pPr>
              <w:jc w:val="right"/>
              <w:ind w:right="493"/>
              <w:spacing w:after="0"/>
              <w:rPr>
                <w:sz w:val="20"/>
                <w:szCs w:val="20"/>
                <w:color w:val="auto"/>
              </w:rPr>
            </w:pPr>
            <w:r>
              <w:rPr>
                <w:rFonts w:ascii="Courier New" w:cs="Courier New" w:eastAsia="Courier New" w:hAnsi="Courier New"/>
                <w:sz w:val="17"/>
                <w:szCs w:val="17"/>
                <w:color w:val="auto"/>
              </w:rPr>
              <w:t>RECONCILIATION ITEMS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80" w:type="dxa"/>
            <w:vAlign w:val="bottom"/>
            <w:gridSpan w:val="8"/>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PURCHASED</w:t>
            </w:r>
          </w:p>
        </w:tc>
        <w:tc>
          <w:tcPr>
            <w:tcW w:w="15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IN-PROCESS</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EQUITY BASED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INTANGIBLE</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RESEARCH AND</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COMPENSATION</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GAAP</w:t>
            </w:r>
          </w:p>
        </w:tc>
        <w:tc>
          <w:tcPr>
            <w:tcW w:w="480" w:type="dxa"/>
            <w:vAlign w:val="bottom"/>
          </w:tcPr>
          <w:p>
            <w:pPr>
              <w:spacing w:after="0"/>
              <w:rPr>
                <w:sz w:val="17"/>
                <w:szCs w:val="17"/>
                <w:color w:val="auto"/>
              </w:rPr>
            </w:pPr>
          </w:p>
        </w:tc>
        <w:tc>
          <w:tcPr>
            <w:tcW w:w="1100" w:type="dxa"/>
            <w:vAlign w:val="bottom"/>
          </w:tcPr>
          <w:p>
            <w:pPr>
              <w:jc w:val="center"/>
              <w:ind w:right="393"/>
              <w:spacing w:after="0"/>
              <w:rPr>
                <w:sz w:val="20"/>
                <w:szCs w:val="20"/>
                <w:color w:val="auto"/>
              </w:rPr>
            </w:pPr>
            <w:r>
              <w:rPr>
                <w:rFonts w:ascii="Courier New" w:cs="Courier New" w:eastAsia="Courier New" w:hAnsi="Courier New"/>
                <w:sz w:val="17"/>
                <w:szCs w:val="17"/>
                <w:color w:val="auto"/>
              </w:rPr>
              <w:t>ASSETS</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DEVELOPMENT</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EXPENSE</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TAX EFFECT</w:t>
            </w:r>
          </w:p>
        </w:tc>
        <w:tc>
          <w:tcPr>
            <w:tcW w:w="9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7"/>
              </w:rPr>
              <w:t>NON-GAAP</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4720" w:type="dxa"/>
            <w:vAlign w:val="bottom"/>
            <w:gridSpan w:val="6"/>
          </w:tcPr>
          <w:p>
            <w:pPr>
              <w:jc w:val="right"/>
              <w:ind w:right="73"/>
              <w:spacing w:after="0"/>
              <w:rPr>
                <w:sz w:val="20"/>
                <w:szCs w:val="20"/>
                <w:color w:val="auto"/>
              </w:rPr>
            </w:pPr>
            <w:r>
              <w:rPr>
                <w:rFonts w:ascii="Courier New" w:cs="Courier New" w:eastAsia="Courier New" w:hAnsi="Courier New"/>
                <w:sz w:val="17"/>
                <w:szCs w:val="17"/>
                <w:color w:val="auto"/>
              </w:rPr>
              <w:t>------------   ------------   ------------</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995</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995</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402,626</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(4,165)</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398,461</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Research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46,455</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(1,232)</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45,223</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74,940</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(5,551)</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69,389</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purchased intangible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8,547</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(8,547)</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541,978</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(8,547)</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(10,948)</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514,068</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84,470</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8,547</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10,948</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112,380</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13,823</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7,326</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21,149</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85,585</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$ 8,547</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$ 8,415</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$ 10,948</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$(7,326)</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$106,169</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100"/>
          </w:cols>
          <w:pgMar w:left="240" w:top="719" w:right="559" w:bottom="1440" w:gutter="0" w:footer="0" w:header="0"/>
        </w:sectPr>
      </w:pPr>
    </w:p>
    <w:bookmarkStart w:id="11" w:name="page12"/>
    <w:bookmarkEnd w:id="11"/>
    <w:p>
      <w:pPr>
        <w:jc w:val="center"/>
        <w:ind w:right="181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RECONCILIATION OF SELECTED FINANCIAL METRICS FROM GAAP TO NON-GAAP (CONT'D)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3"/>
          </w:tcPr>
          <w:p>
            <w:pPr>
              <w:jc w:val="right"/>
              <w:ind w:right="613"/>
              <w:spacing w:after="0"/>
              <w:rPr>
                <w:sz w:val="20"/>
                <w:szCs w:val="20"/>
                <w:color w:val="auto"/>
              </w:rPr>
            </w:pPr>
            <w:r>
              <w:rPr>
                <w:rFonts w:ascii="Courier New" w:cs="Courier New" w:eastAsia="Courier New" w:hAnsi="Courier New"/>
                <w:sz w:val="17"/>
                <w:szCs w:val="17"/>
                <w:color w:val="auto"/>
              </w:rPr>
              <w:t>(IN THOUSANDS)</w:t>
            </w: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806"/>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THREE MONTHS ENDED</w:t>
            </w:r>
          </w:p>
        </w:tc>
        <w:tc>
          <w:tcPr>
            <w:tcW w:w="980" w:type="dxa"/>
            <w:vAlign w:val="bottom"/>
          </w:tcPr>
          <w:p>
            <w:pPr>
              <w:spacing w:after="0"/>
              <w:rPr>
                <w:sz w:val="24"/>
                <w:szCs w:val="24"/>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60" w:type="dxa"/>
            <w:vAlign w:val="bottom"/>
            <w:gridSpan w:val="2"/>
          </w:tcPr>
          <w:p>
            <w:pPr>
              <w:jc w:val="right"/>
              <w:ind w:right="713"/>
              <w:spacing w:after="0"/>
              <w:rPr>
                <w:sz w:val="20"/>
                <w:szCs w:val="20"/>
                <w:color w:val="auto"/>
              </w:rPr>
            </w:pPr>
            <w:r>
              <w:rPr>
                <w:rFonts w:ascii="Courier New" w:cs="Courier New" w:eastAsia="Courier New" w:hAnsi="Courier New"/>
                <w:sz w:val="17"/>
                <w:szCs w:val="17"/>
                <w:color w:val="auto"/>
              </w:rPr>
              <w:t>JUNE 30, 2005</w:t>
            </w: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50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4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RECONCILIATION ITEMS</w:t>
            </w: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4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PURCHASED</w:t>
            </w: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INTANGIBLE</w:t>
            </w: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GAAP</w:t>
            </w: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ASSETS</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TAX EFFECT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NON-GAAP</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1,125</w:t>
            </w:r>
          </w:p>
        </w:tc>
        <w:tc>
          <w:tcPr>
            <w:tcW w:w="580" w:type="dxa"/>
            <w:vAlign w:val="bottom"/>
          </w:tcPr>
          <w:p>
            <w:pPr>
              <w:ind w:left="48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1,125</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324,249</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324,249</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Research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31,393</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31,393</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56,448</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56,448</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purchased intangible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2,078</w:t>
            </w:r>
          </w:p>
        </w:tc>
        <w:tc>
          <w:tcPr>
            <w:tcW w:w="580" w:type="dxa"/>
            <w:vAlign w:val="bottom"/>
          </w:tcPr>
          <w:p>
            <w:pPr>
              <w:spacing w:after="0"/>
              <w:rPr>
                <w:sz w:val="17"/>
                <w:szCs w:val="17"/>
                <w:color w:val="auto"/>
              </w:rPr>
            </w:pPr>
          </w:p>
        </w:tc>
        <w:tc>
          <w:tcPr>
            <w:tcW w:w="10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(2,078)</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415,293</w:t>
            </w:r>
          </w:p>
        </w:tc>
        <w:tc>
          <w:tcPr>
            <w:tcW w:w="580" w:type="dxa"/>
            <w:vAlign w:val="bottom"/>
          </w:tcPr>
          <w:p>
            <w:pPr>
              <w:spacing w:after="0"/>
              <w:rPr>
                <w:sz w:val="17"/>
                <w:szCs w:val="17"/>
                <w:color w:val="auto"/>
              </w:rPr>
            </w:pPr>
          </w:p>
        </w:tc>
        <w:tc>
          <w:tcPr>
            <w:tcW w:w="10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(2,078)</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413,215</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92,062</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2,078</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94,140</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19,270</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419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19,689</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77,097</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$ 2,078</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$(419)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$ 78,756</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19" w:right="1440" w:bottom="1440" w:gutter="0" w:footer="0" w:header="0"/>
        </w:sectPr>
      </w:pPr>
    </w:p>
    <w:bookmarkStart w:id="12" w:name="page13"/>
    <w:bookmarkEnd w:id="12"/>
    <w:p>
      <w:pPr>
        <w:jc w:val="center"/>
        <w:ind w:right="3120"/>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RECONCILIATION OF SELECTED FINANCIAL METRICS FROM GAAP TO NON-GAAP</w:t>
      </w:r>
    </w:p>
    <w:p>
      <w:pPr>
        <w:spacing w:after="0" w:line="9"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60" w:type="dxa"/>
            <w:vAlign w:val="bottom"/>
            <w:gridSpan w:val="3"/>
          </w:tcPr>
          <w:p>
            <w:pPr>
              <w:jc w:val="right"/>
              <w:ind w:right="693"/>
              <w:spacing w:after="0"/>
              <w:rPr>
                <w:sz w:val="20"/>
                <w:szCs w:val="20"/>
                <w:color w:val="auto"/>
              </w:rPr>
            </w:pPr>
            <w:r>
              <w:rPr>
                <w:rFonts w:ascii="Courier New" w:cs="Courier New" w:eastAsia="Courier New" w:hAnsi="Courier New"/>
                <w:sz w:val="17"/>
                <w:szCs w:val="17"/>
                <w:color w:val="auto"/>
              </w:rPr>
              <w:t>NINE MONTHS ENDED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60" w:type="dxa"/>
            <w:vAlign w:val="bottom"/>
            <w:gridSpan w:val="3"/>
          </w:tcPr>
          <w:p>
            <w:pPr>
              <w:jc w:val="right"/>
              <w:ind w:right="913"/>
              <w:spacing w:after="0"/>
              <w:rPr>
                <w:sz w:val="20"/>
                <w:szCs w:val="20"/>
                <w:color w:val="auto"/>
              </w:rPr>
            </w:pPr>
            <w:r>
              <w:rPr>
                <w:rFonts w:ascii="Courier New" w:cs="Courier New" w:eastAsia="Courier New" w:hAnsi="Courier New"/>
                <w:sz w:val="17"/>
                <w:szCs w:val="17"/>
                <w:color w:val="auto"/>
              </w:rPr>
              <w:t>JUNE 30, 2006</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8640" w:type="dxa"/>
            <w:vAlign w:val="bottom"/>
            <w:gridSpan w:val="1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40" w:type="dxa"/>
            <w:vAlign w:val="bottom"/>
            <w:gridSpan w:val="4"/>
          </w:tcPr>
          <w:p>
            <w:pPr>
              <w:ind w:left="480"/>
              <w:spacing w:after="0"/>
              <w:rPr>
                <w:sz w:val="20"/>
                <w:szCs w:val="20"/>
                <w:color w:val="auto"/>
              </w:rPr>
            </w:pPr>
            <w:r>
              <w:rPr>
                <w:rFonts w:ascii="Courier New" w:cs="Courier New" w:eastAsia="Courier New" w:hAnsi="Courier New"/>
                <w:sz w:val="17"/>
                <w:szCs w:val="17"/>
                <w:color w:val="auto"/>
              </w:rPr>
              <w:t>RECONCILIATION ITEMS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80" w:type="dxa"/>
            <w:vAlign w:val="bottom"/>
            <w:gridSpan w:val="8"/>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PURCHASED</w:t>
            </w:r>
          </w:p>
        </w:tc>
        <w:tc>
          <w:tcPr>
            <w:tcW w:w="1580" w:type="dxa"/>
            <w:vAlign w:val="bottom"/>
            <w:gridSpan w:val="2"/>
          </w:tcPr>
          <w:p>
            <w:pPr>
              <w:jc w:val="right"/>
              <w:ind w:right="193"/>
              <w:spacing w:after="0"/>
              <w:rPr>
                <w:sz w:val="20"/>
                <w:szCs w:val="20"/>
                <w:color w:val="auto"/>
              </w:rPr>
            </w:pPr>
            <w:r>
              <w:rPr>
                <w:rFonts w:ascii="Courier New" w:cs="Courier New" w:eastAsia="Courier New" w:hAnsi="Courier New"/>
                <w:sz w:val="17"/>
                <w:szCs w:val="17"/>
                <w:color w:val="auto"/>
              </w:rPr>
              <w:t>IN-PROCESS</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EQUITY BASED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INTANGIBLE</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RESEARCH AND</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COMPENSATION</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GAAP</w:t>
            </w:r>
          </w:p>
        </w:tc>
        <w:tc>
          <w:tcPr>
            <w:tcW w:w="480" w:type="dxa"/>
            <w:vAlign w:val="bottom"/>
          </w:tcPr>
          <w:p>
            <w:pPr>
              <w:spacing w:after="0"/>
              <w:rPr>
                <w:sz w:val="17"/>
                <w:szCs w:val="17"/>
                <w:color w:val="auto"/>
              </w:rPr>
            </w:pPr>
          </w:p>
        </w:tc>
        <w:tc>
          <w:tcPr>
            <w:tcW w:w="1100" w:type="dxa"/>
            <w:vAlign w:val="bottom"/>
          </w:tcPr>
          <w:p>
            <w:pPr>
              <w:jc w:val="center"/>
              <w:ind w:right="393"/>
              <w:spacing w:after="0"/>
              <w:rPr>
                <w:sz w:val="20"/>
                <w:szCs w:val="20"/>
                <w:color w:val="auto"/>
              </w:rPr>
            </w:pPr>
            <w:r>
              <w:rPr>
                <w:rFonts w:ascii="Courier New" w:cs="Courier New" w:eastAsia="Courier New" w:hAnsi="Courier New"/>
                <w:sz w:val="17"/>
                <w:szCs w:val="17"/>
                <w:color w:val="auto"/>
              </w:rPr>
              <w:t>ASSETS</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DEVELOPMENT</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EXPENSE</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TAX EFFECT</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NON-GAAP</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4720" w:type="dxa"/>
            <w:vAlign w:val="bottom"/>
            <w:gridSpan w:val="6"/>
          </w:tcPr>
          <w:p>
            <w:pPr>
              <w:jc w:val="right"/>
              <w:ind w:right="73"/>
              <w:spacing w:after="0"/>
              <w:rPr>
                <w:sz w:val="20"/>
                <w:szCs w:val="20"/>
                <w:color w:val="auto"/>
              </w:rPr>
            </w:pPr>
            <w:r>
              <w:rPr>
                <w:rFonts w:ascii="Courier New" w:cs="Courier New" w:eastAsia="Courier New" w:hAnsi="Courier New"/>
                <w:sz w:val="17"/>
                <w:szCs w:val="17"/>
                <w:color w:val="auto"/>
              </w:rPr>
              <w:t>------------   ------------   ------------</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2,973</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ind w:left="48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2,973</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1,165,010</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(12,237)</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1,152,773</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Research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131,392</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(3,041)</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128,351</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227,289</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(16,670)</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210,619</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purchased intangible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23,588</w:t>
            </w:r>
          </w:p>
        </w:tc>
        <w:tc>
          <w:tcPr>
            <w:tcW w:w="48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(23,588)</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(8,415)</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1,558,667</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(23,588)</w:t>
            </w:r>
          </w:p>
        </w:tc>
        <w:tc>
          <w:tcPr>
            <w:tcW w:w="580" w:type="dxa"/>
            <w:vAlign w:val="bottom"/>
          </w:tcPr>
          <w:p>
            <w:pPr>
              <w:spacing w:after="0"/>
              <w:rPr>
                <w:sz w:val="17"/>
                <w:szCs w:val="17"/>
                <w:color w:val="auto"/>
              </w:rPr>
            </w:pPr>
          </w:p>
        </w:tc>
        <w:tc>
          <w:tcPr>
            <w:tcW w:w="10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(8,415)</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(31,948)</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1,494,716</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255,938</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23,588</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8,415</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31,948</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319,889</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46,916</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14,954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61,870</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242,681</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23,588</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$ 8,415</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$ 31,948</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$(14,954)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291,678</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520"/>
          </w:cols>
          <w:pgMar w:left="240" w:top="719" w:right="139" w:bottom="1440" w:gutter="0" w:footer="0" w:header="0"/>
        </w:sectPr>
      </w:pPr>
    </w:p>
    <w:bookmarkStart w:id="13" w:name="page14"/>
    <w:bookmarkEnd w:id="13"/>
    <w:p>
      <w:pPr>
        <w:jc w:val="center"/>
        <w:ind w:right="181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RECONCILIATION OF SELECTED FINANCIAL METRICS FROM GAAP TO NON-GAAP (CONT'D)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3"/>
          </w:tcPr>
          <w:p>
            <w:pPr>
              <w:jc w:val="right"/>
              <w:ind w:right="813"/>
              <w:spacing w:after="0"/>
              <w:rPr>
                <w:sz w:val="20"/>
                <w:szCs w:val="20"/>
                <w:color w:val="auto"/>
              </w:rPr>
            </w:pPr>
            <w:r>
              <w:rPr>
                <w:rFonts w:ascii="Courier New" w:cs="Courier New" w:eastAsia="Courier New" w:hAnsi="Courier New"/>
                <w:sz w:val="17"/>
                <w:szCs w:val="17"/>
                <w:color w:val="auto"/>
              </w:rPr>
              <w:t>(IN THOUSANDS)</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06"/>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gridSpan w:val="3"/>
          </w:tcPr>
          <w:p>
            <w:pPr>
              <w:jc w:val="center"/>
              <w:ind w:right="493"/>
              <w:spacing w:after="0"/>
              <w:rPr>
                <w:sz w:val="20"/>
                <w:szCs w:val="20"/>
                <w:color w:val="auto"/>
              </w:rPr>
            </w:pPr>
            <w:r>
              <w:rPr>
                <w:rFonts w:ascii="Courier New" w:cs="Courier New" w:eastAsia="Courier New" w:hAnsi="Courier New"/>
                <w:sz w:val="17"/>
                <w:szCs w:val="17"/>
                <w:color w:val="auto"/>
              </w:rPr>
              <w:t>NINE MONTHS ENDED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gridSpan w:val="2"/>
          </w:tcPr>
          <w:p>
            <w:pPr>
              <w:jc w:val="center"/>
              <w:ind w:left="133"/>
              <w:spacing w:after="0"/>
              <w:rPr>
                <w:sz w:val="20"/>
                <w:szCs w:val="20"/>
                <w:color w:val="auto"/>
              </w:rPr>
            </w:pPr>
            <w:r>
              <w:rPr>
                <w:rFonts w:ascii="Courier New" w:cs="Courier New" w:eastAsia="Courier New" w:hAnsi="Courier New"/>
                <w:sz w:val="17"/>
                <w:szCs w:val="17"/>
                <w:color w:val="auto"/>
              </w:rPr>
              <w:t>JUNE 30, 2005</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550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40" w:type="dxa"/>
            <w:vAlign w:val="bottom"/>
            <w:gridSpan w:val="4"/>
          </w:tcPr>
          <w:p>
            <w:pPr>
              <w:ind w:left="480"/>
              <w:spacing w:after="0"/>
              <w:rPr>
                <w:sz w:val="20"/>
                <w:szCs w:val="20"/>
                <w:color w:val="auto"/>
              </w:rPr>
            </w:pPr>
            <w:r>
              <w:rPr>
                <w:rFonts w:ascii="Courier New" w:cs="Courier New" w:eastAsia="Courier New" w:hAnsi="Courier New"/>
                <w:sz w:val="17"/>
                <w:szCs w:val="17"/>
                <w:color w:val="auto"/>
              </w:rPr>
              <w:t>RECONCILIATION ITEMS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40" w:type="dxa"/>
            <w:vAlign w:val="bottom"/>
            <w:gridSpan w:val="4"/>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PURCHASED</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INTANGIBLE</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GAAP</w:t>
            </w: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ASSETS</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TAX EFFECT</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NON-GAAP</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3,278</w:t>
            </w:r>
          </w:p>
        </w:tc>
        <w:tc>
          <w:tcPr>
            <w:tcW w:w="580" w:type="dxa"/>
            <w:vAlign w:val="bottom"/>
          </w:tcPr>
          <w:p>
            <w:pPr>
              <w:ind w:left="48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3,278</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929,487</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929,487</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Research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97,567</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97,567</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166,000</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166,000</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purchased intangible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7,875</w:t>
            </w:r>
          </w:p>
        </w:tc>
        <w:tc>
          <w:tcPr>
            <w:tcW w:w="58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(7,875)</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and development</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1,204,207</w:t>
            </w:r>
          </w:p>
        </w:tc>
        <w:tc>
          <w:tcPr>
            <w:tcW w:w="58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(7,875)</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1,196,332</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261,096</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7,875</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268,971</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55,203</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1,580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56,783</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220,837</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$ 7,875</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$(1,580)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227,132</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19" w:right="1440" w:bottom="1440" w:gutter="0" w:footer="0" w:header="0"/>
        </w:sectPr>
      </w:pPr>
    </w:p>
    <w:bookmarkStart w:id="14" w:name="page15"/>
    <w:bookmarkEnd w:id="14"/>
    <w:p>
      <w:pPr>
        <w:jc w:val="center"/>
        <w:ind w:right="181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80" w:type="dxa"/>
            <w:vAlign w:val="bottom"/>
          </w:tcPr>
          <w:p>
            <w:pPr>
              <w:ind w:left="3460"/>
              <w:spacing w:after="0"/>
              <w:rPr>
                <w:sz w:val="20"/>
                <w:szCs w:val="20"/>
                <w:color w:val="auto"/>
              </w:rPr>
            </w:pPr>
            <w:r>
              <w:rPr>
                <w:rFonts w:ascii="Courier New" w:cs="Courier New" w:eastAsia="Courier New" w:hAnsi="Courier New"/>
                <w:sz w:val="17"/>
                <w:szCs w:val="17"/>
                <w:color w:val="auto"/>
              </w:rPr>
              <w:t>(IN THOUSANDS)</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06"/>
        </w:trPr>
        <w:tc>
          <w:tcPr>
            <w:tcW w:w="7180" w:type="dxa"/>
            <w:vAlign w:val="bottom"/>
          </w:tcPr>
          <w:p>
            <w:pPr>
              <w:spacing w:after="0"/>
              <w:rPr>
                <w:sz w:val="24"/>
                <w:szCs w:val="24"/>
                <w:color w:val="auto"/>
              </w:rPr>
            </w:pPr>
          </w:p>
        </w:tc>
        <w:tc>
          <w:tcPr>
            <w:tcW w:w="2040" w:type="dxa"/>
            <w:vAlign w:val="bottom"/>
            <w:gridSpan w:val="2"/>
          </w:tcPr>
          <w:p>
            <w:pPr>
              <w:ind w:left="1200"/>
              <w:spacing w:after="0"/>
              <w:rPr>
                <w:sz w:val="20"/>
                <w:szCs w:val="20"/>
                <w:color w:val="auto"/>
              </w:rPr>
            </w:pPr>
            <w:r>
              <w:rPr>
                <w:rFonts w:ascii="Courier New" w:cs="Courier New" w:eastAsia="Courier New" w:hAnsi="Courier New"/>
                <w:sz w:val="17"/>
                <w:szCs w:val="17"/>
                <w:color w:val="auto"/>
              </w:rPr>
              <w:t>AS OF</w:t>
            </w:r>
          </w:p>
        </w:tc>
        <w:tc>
          <w:tcPr>
            <w:tcW w:w="640" w:type="dxa"/>
            <w:vAlign w:val="bottom"/>
          </w:tcPr>
          <w:p>
            <w:pPr>
              <w:spacing w:after="0"/>
              <w:rPr>
                <w:sz w:val="24"/>
                <w:szCs w:val="24"/>
                <w:color w:val="auto"/>
              </w:rPr>
            </w:pPr>
          </w:p>
        </w:tc>
      </w:tr>
      <w:tr>
        <w:trPr>
          <w:trHeight w:val="201"/>
        </w:trPr>
        <w:tc>
          <w:tcPr>
            <w:tcW w:w="7180" w:type="dxa"/>
            <w:vAlign w:val="bottom"/>
          </w:tcPr>
          <w:p>
            <w:pPr>
              <w:spacing w:after="0"/>
              <w:rPr>
                <w:sz w:val="17"/>
                <w:szCs w:val="17"/>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JUNE 30,</w:t>
            </w:r>
          </w:p>
        </w:tc>
        <w:tc>
          <w:tcPr>
            <w:tcW w:w="12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SEPTEMBER</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2006</w:t>
            </w:r>
          </w:p>
        </w:tc>
        <w:tc>
          <w:tcPr>
            <w:tcW w:w="580" w:type="dxa"/>
            <w:vAlign w:val="bottom"/>
          </w:tcPr>
          <w:p>
            <w:pPr>
              <w:ind w:left="260"/>
              <w:spacing w:after="0"/>
              <w:rPr>
                <w:sz w:val="20"/>
                <w:szCs w:val="20"/>
                <w:color w:val="auto"/>
              </w:rPr>
            </w:pPr>
            <w:r>
              <w:rPr>
                <w:rFonts w:ascii="Courier New" w:cs="Courier New" w:eastAsia="Courier New" w:hAnsi="Courier New"/>
                <w:sz w:val="17"/>
                <w:szCs w:val="17"/>
                <w:color w:val="auto"/>
                <w:w w:val="97"/>
              </w:rPr>
              <w:t>30,</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(Unaudited)</w:t>
            </w:r>
          </w:p>
        </w:tc>
        <w:tc>
          <w:tcPr>
            <w:tcW w:w="12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(Audited)</w:t>
            </w:r>
          </w:p>
        </w:tc>
      </w:tr>
      <w:tr>
        <w:trPr>
          <w:trHeight w:val="403"/>
        </w:trPr>
        <w:tc>
          <w:tcPr>
            <w:tcW w:w="71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Cash, cash equivalents and short-term interest-bearing investments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$1,207,552</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$1,145,563</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Accounts receivable, net, including unbilled of $43,925 and</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$28,994, respectively</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414,154</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304,237</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receivable</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77,653</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101,162</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81,793</w:t>
            </w: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76,780</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Total current assets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1,781,152</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1,627,742</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Equipment, vehicles and leasehold improvements, net</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184,878</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181,812</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 assets, net</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1,411,561</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1,129,258</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Other noncurrent assets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318,740</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263,656</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$3,696,331</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$3,202,468</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Accounts payable and accruals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512,636</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462,276</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Short-term portion of capital lease obligations and other financing</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arrangements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1,938</w:t>
            </w: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8,480</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Deferred revenue</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243,381</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216,770</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payable</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175,210</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171,377</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933,165</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858,903</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0.50% Convertible notes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450,000</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450,000</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Noncurrent liabilities and other</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282,279</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237,113</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2,030,887</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1,656,452</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$3,696,331</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$3,202,468</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 w:lineRule="exact"/>
        <w:rPr>
          <w:sz w:val="20"/>
          <w:szCs w:val="20"/>
          <w:color w:val="auto"/>
        </w:rPr>
      </w:pPr>
    </w:p>
    <w:sectPr>
      <w:pgSz w:w="11900" w:h="16838" w:orient="portrait"/>
      <w:cols w:equalWidth="0" w:num="1">
        <w:col w:w="10219"/>
      </w:cols>
      <w:pgMar w:left="240" w:top="7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2019-12-14T21:18:54Z</dcterms:created>
  <dcterms:modified xsi:type="dcterms:W3CDTF">2019-12-14T21:18:54Z</dcterms:modified>
</cp:coreProperties>
</file>