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8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month of August, 2017</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-10160</wp:posOffset>
            </wp:positionV>
            <wp:extent cx="457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August 2, 2017, Amdocs Limited (“Amdocs”) issued a press release announcing financial results for the quarter ended June 30, 2017. A copy of the press release is furnished as Exhibit 99.1 to this Report of Foreign Private Issuer on Form 6-K.</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2017</w:t>
      </w:r>
    </w:p>
    <w:p>
      <w:pPr>
        <w:sectPr>
          <w:pgSz w:w="11900" w:h="16838" w:orient="portrait"/>
          <w:cols w:equalWidth="0" w:num="1">
            <w:col w:w="11260"/>
          </w:cols>
          <w:pgMar w:left="240" w:top="270" w:right="39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80"/>
        <w:spacing w:after="0" w:line="190" w:lineRule="auto"/>
        <w:tabs>
          <w:tab w:leader="none" w:pos="1240" w:val="left"/>
        </w:tabs>
        <w:rPr>
          <w:sz w:val="20"/>
          <w:szCs w:val="20"/>
          <w:color w:val="auto"/>
        </w:rPr>
      </w:pPr>
      <w:r>
        <w:rPr>
          <w:rFonts w:ascii="Arial" w:cs="Arial" w:eastAsia="Arial" w:hAnsi="Arial"/>
          <w:sz w:val="20"/>
          <w:szCs w:val="20"/>
          <w:color w:val="auto"/>
          <w:vertAlign w:val="superscript"/>
        </w:rPr>
        <w:t>NO.</w:t>
      </w:r>
      <w:r>
        <w:rPr>
          <w:sz w:val="20"/>
          <w:szCs w:val="20"/>
          <w:color w:val="auto"/>
        </w:rPr>
        <w:tab/>
      </w:r>
      <w:r>
        <w:rPr>
          <w:rFonts w:ascii="Arial" w:cs="Arial" w:eastAsia="Arial" w:hAnsi="Arial"/>
          <w:sz w:val="12"/>
          <w:szCs w:val="12"/>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368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3" w:lineRule="exact"/>
        <w:rPr>
          <w:sz w:val="20"/>
          <w:szCs w:val="20"/>
          <w:color w:val="auto"/>
        </w:rPr>
      </w:pPr>
    </w:p>
    <w:p>
      <w:pPr>
        <w:ind w:left="14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August 2, 2017.</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238375" cy="1655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38375" cy="165544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1423670</wp:posOffset>
            </wp:positionV>
            <wp:extent cx="1741170" cy="403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4117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Amdocs Limited Reports Third Quarter Fiscal 2017 Results</w:t>
      </w:r>
    </w:p>
    <w:p>
      <w:pPr>
        <w:jc w:val="center"/>
        <w:spacing w:after="0" w:line="238" w:lineRule="auto"/>
        <w:rPr>
          <w:sz w:val="20"/>
          <w:szCs w:val="20"/>
          <w:color w:val="auto"/>
        </w:rPr>
      </w:pPr>
      <w:r>
        <w:rPr>
          <w:rFonts w:ascii="Arial" w:cs="Arial" w:eastAsia="Arial" w:hAnsi="Arial"/>
          <w:sz w:val="22"/>
          <w:szCs w:val="22"/>
          <w:b w:val="1"/>
          <w:bCs w:val="1"/>
          <w:i w:val="1"/>
          <w:iCs w:val="1"/>
          <w:color w:val="auto"/>
        </w:rPr>
        <w:t>Record Quarterly Revenue of $967M</w:t>
      </w:r>
    </w:p>
    <w:p>
      <w:pPr>
        <w:jc w:val="center"/>
        <w:spacing w:after="0" w:line="230" w:lineRule="auto"/>
        <w:rPr>
          <w:sz w:val="20"/>
          <w:szCs w:val="20"/>
          <w:color w:val="auto"/>
        </w:rPr>
      </w:pPr>
      <w:r>
        <w:rPr>
          <w:rFonts w:ascii="Arial" w:cs="Arial" w:eastAsia="Arial" w:hAnsi="Arial"/>
          <w:sz w:val="22"/>
          <w:szCs w:val="22"/>
          <w:b w:val="1"/>
          <w:bCs w:val="1"/>
          <w:i w:val="1"/>
          <w:iCs w:val="1"/>
          <w:color w:val="auto"/>
        </w:rPr>
        <w:t>Expects Fiscal 2017 Revenue Growth of 3.5-4.5% YoY in Constant Currency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Expects Fiscal 2017 Non-GAAP Diluted EPS Growth Outlook of 5.5-7.5% YoY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2017 Highlights</w:t>
      </w:r>
    </w:p>
    <w:p>
      <w:pPr>
        <w:spacing w:after="0" w:line="135"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of $967 million, slightly above the midpoint of the $945-$985 million guidance range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$0.81, above the $0.69-$0.77 guidance range, including the benefit of a lower GAAP effective tax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Diluted non-GAAP EPS of $1.02, above the $0.93-$0.99 guidance range, including the benefit of a lower non-GAAP effective tax rate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operating income of $130 million; GAAP operating margin of 13.4%</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income of $167 million; non-GAAP operating margin of 17.3%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Free cash flow of $134 million, comprised of cash flow from operations of $162 million, less $28 million in net capital expenditures and other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Twelve-month backlog of $3.22 billion, up $10 million sequentially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cash dividend of $0.22 per share to be paid on October 20,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 LOUIS – August 2, 2017 </w:t>
      </w:r>
      <w:r>
        <w:rPr>
          <w:rFonts w:ascii="Arial" w:cs="Arial" w:eastAsia="Arial" w:hAnsi="Arial"/>
          <w:sz w:val="18"/>
          <w:szCs w:val="18"/>
          <w:color w:val="auto"/>
        </w:rPr>
        <w:t>– Amdocs Limited (NASDAQ: DOX) today reported operating results for the three months ended June 30, 2017.</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delivered a solid performance in Q3 which included another quarter of record revenue and our highest level of profitability in recent years. North America was strong as we supported the strategic initiatives of our customers in areas such as digital transformation,</w:t>
      </w:r>
    </w:p>
    <w:p>
      <w:pPr>
        <w:sectPr>
          <w:pgSz w:w="11900" w:h="16838" w:orient="portrait"/>
          <w:cols w:equalWidth="0" w:num="1">
            <w:col w:w="11420"/>
          </w:cols>
          <w:pgMar w:left="240" w:top="121" w:right="239" w:bottom="1440" w:gutter="0" w:footer="0" w:header="0"/>
        </w:sectPr>
      </w:pPr>
    </w:p>
    <w:bookmarkStart w:id="5" w:name="page6"/>
    <w:bookmarkEnd w:id="5"/>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 TV, network virtualization, and the enterprise segment. In Europe and Rest of World, we remained focused on our execution as we continued to progress several high-end projects towards production on behalf of some of the world’s largest service providers,” said Eli Gelman, president and chief executive officer of Amdocs Management Limited.</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Gelman continued, “Our sales momentum was also strong in Q3 as we sustained a high win rate that included some important contract renewals, as well as several key awards in highly strategic areas. Among the highlights, I am pleased to report that we secured a significant enterprise B2B award with a new customer in the North American Pay TV market, and a definitive agreement with Australia’s Telstra to deploy an order orchestration and fulfillment solution that will help to transform the experience of their consumer and business customers.”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Gelman concluded, “We are encouraged by our strong sales momentum in the last several quarters which we believe indicates our ability to predict and invest in the future requirements of service providers, often many quarters in advance of their needs. Of course, we are closely monitoring the many moving parts affecting our near term outlook but with our year-to-date financial performance and the visibility of our record 12-month backlog we enter Q4 on track to deliver expected total returns to our shareholders in the mid-to-high single digits in fiscal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 for the third fiscal quarter ended June 30, 2017 was $966.7 million, up 0.1% or $0.7 million sequentially from the second fiscal quarter of 2017 and up 3.9% as compared to last year’s third fiscal quarter. Revenue for the third fiscal quarter of 2017 includes a small positive impact from foreign currency movements of approximately $3 million relative to the second quarter of fiscal 2017. Revenue was at the midpoint of Amdocs’ guidance, excluding foreign currency movements.</w:t>
      </w:r>
    </w:p>
    <w:p>
      <w:pPr>
        <w:sectPr>
          <w:pgSz w:w="11900" w:h="16838" w:orient="portrait"/>
          <w:cols w:equalWidth="0" w:num="1">
            <w:col w:w="11380"/>
          </w:cols>
          <w:pgMar w:left="240" w:top="27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Income and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Company’s GAAP net income for the third quarter of fiscal 2017 was $119.3 million, or $0.81 per diluted share, compared to GAAP net income of</w:t>
      </w:r>
    </w:p>
    <w:p>
      <w:pPr>
        <w:spacing w:after="0" w:line="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$105.1 million, or $0.70 per diluted share, in the prior fiscal year’s third quarter. Net income on a non-GAAP basis was $150.4 million, or $1.02 per diluted share, compared to non-GAAP net income of $135.6 million, or $0.90 per diluted share, in the third quarter of fiscal 2016.</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Cash to Shareholders</w:t>
      </w:r>
    </w:p>
    <w:p>
      <w:pPr>
        <w:spacing w:after="0" w:line="135" w:lineRule="exact"/>
        <w:rPr>
          <w:sz w:val="20"/>
          <w:szCs w:val="20"/>
          <w:color w:val="auto"/>
        </w:rPr>
      </w:pPr>
    </w:p>
    <w:p>
      <w:pPr>
        <w:jc w:val="both"/>
        <w:ind w:left="900" w:right="16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Quarterly Cash Dividend Program: </w:t>
      </w:r>
      <w:r>
        <w:rPr>
          <w:rFonts w:ascii="Arial" w:cs="Arial" w:eastAsia="Arial" w:hAnsi="Arial"/>
          <w:sz w:val="18"/>
          <w:szCs w:val="18"/>
          <w:color w:val="auto"/>
        </w:rPr>
        <w:t>On August 2, 2017, the Board approved the Company’s next quarterly cash dividend payment of $0.22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and set September 29, 2017 as the record date for determining the shareholders entitled to receive the dividend, which will be payable on October 20, 2017.</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Repurchase Activity: </w:t>
      </w:r>
      <w:r>
        <w:rPr>
          <w:rFonts w:ascii="Arial" w:cs="Arial" w:eastAsia="Arial" w:hAnsi="Arial"/>
          <w:sz w:val="18"/>
          <w:szCs w:val="18"/>
          <w:color w:val="auto"/>
        </w:rPr>
        <w:t>Repurchased $90 million of ordinary shares during the third quarter of fiscal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Twelve-month Backlog</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$3.22 billion at the end of the third quarter of fiscal 2017, up $10 million from the end of the prior quarter.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fiscal 2017 Outlook</w:t>
      </w:r>
    </w:p>
    <w:p>
      <w:pPr>
        <w:spacing w:after="0" w:line="135" w:lineRule="exact"/>
        <w:rPr>
          <w:sz w:val="20"/>
          <w:szCs w:val="20"/>
          <w:color w:val="auto"/>
        </w:rPr>
      </w:pPr>
    </w:p>
    <w:p>
      <w:pPr>
        <w:ind w:left="900" w:right="18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approximately $955-$995 million, including an immaterial sequential impact from foreign currency fluctuations as compared to the third quarter of fiscal 2017</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GAAP EPS of approximately $0.68-$0.76</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non-GAAP EPS of approximately $0.91-$0.97, excluding amortization of purchased intangible assets and other acquisition-related costs and approximately $0.06-$0.07 per share of equity-based compensation expense, net of related tax effects. This range reflects a non-GAAP effective tax rate in the fourth fiscal quarter above our annual target range of 13% to 17%</w:t>
      </w:r>
    </w:p>
    <w:p>
      <w:pPr>
        <w:sectPr>
          <w:pgSz w:w="11900" w:h="16838" w:orient="portrait"/>
          <w:cols w:equalWidth="0" w:num="1">
            <w:col w:w="11420"/>
          </w:cols>
          <w:pgMar w:left="240" w:top="27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Full Year Fiscal 2017 Outlook</w:t>
      </w:r>
    </w:p>
    <w:p>
      <w:pPr>
        <w:spacing w:after="0" w:line="135"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Expects revenue growth of 3.5-4.5% year-over-year on a constant currency basis compared with previous guidance of 3.5-5.5% year-over-year</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Expects revenue growth of 3.5-4.5% year-over-year as reported compared with previous guidance of 3.0-5.0% year-over-year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diluted earnings per share growth of roughly 7.0-10.0% year-over-year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Non-GAAP diluted earnings per share growth of roughly 5.5-7.5% year-over-year compared with previous guidance of 4.5-8.5% year-over-year</w:t>
      </w:r>
    </w:p>
    <w:p>
      <w:pPr>
        <w:spacing w:after="0" w:line="24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fourth fiscal quarter 2017 and full year fiscal 2017 outlook takes into consideration the company’s expectations regarding macro and industry specific risks and various uncertainties and certain assumptions that we will discuss on our earnings conference call. However, Amdocs notes market dynamics continue to shift rapidly and that it cannot predict all possible outcomes, including those resulting from AT&amp;T’s proposed merger with Time Warner, the reported strategic discussions between Comcast, Charter and Sprint, or from other current and potential customer consolidation activity in North America.</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Amdocs will host a conference call on August 2, 2017 at 5:00 p.m. Eastern Time to discuss the Company’s third quarter of fiscal 2017 results. To participate, please dial +1 (844) 513-7152, or +1 (508) 637-5600 outside the United States, approximately 15 minutes before the call and enter passcode 43007164. The call will also be carried live on the Internet via the Amdocs website, www.amdocs.com.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revenue, non-GAAP research and development, non-GAAP selling, general and administrative, non-GAAP operating income, non-GAAP operating margin, non-GAAP income taxes, non-GAAP effective tax rate, non-GAAP net income and non-GAAP diluted earnings per share growth. These non-GAAP measures exclude the following items:</w:t>
      </w:r>
    </w:p>
    <w:p>
      <w:pPr>
        <w:sectPr>
          <w:pgSz w:w="11900" w:h="16838" w:orient="portrait"/>
          <w:cols w:equalWidth="0" w:num="1">
            <w:col w:w="11320"/>
          </w:cols>
          <w:pgMar w:left="240" w:top="270" w:right="339" w:bottom="1440" w:gutter="0" w:footer="0" w:header="0"/>
        </w:sectPr>
      </w:pPr>
    </w:p>
    <w:bookmarkStart w:id="8" w:name="page9"/>
    <w:bookmarkEnd w:id="8"/>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amortization of purchased intangible assets and other acquisition-related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fair value of certain acquisition-related liabilities;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non-GAAP cost of revenue, non-GAAP research and development, non-GAAP selling, general and administrative, non-GAAP operating income, non-GAAP operating margin,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and other acquisition-related costs, changes in fair value of certain acquisition-related liabilities, equity-based compensation expense and related tax effects. Amdocs’ management also uses the foregoing non-GAAP financial measures, in addition to the corresponding GAAP measures, in reviewing the financial results of Amdocs. In</w:t>
      </w:r>
    </w:p>
    <w:p>
      <w:pPr>
        <w:sectPr>
          <w:pgSz w:w="11900" w:h="16838" w:orient="portrait"/>
          <w:cols w:equalWidth="0" w:num="1">
            <w:col w:w="11380"/>
          </w:cols>
          <w:pgMar w:left="240" w:top="274" w:right="279" w:bottom="1440" w:gutter="0" w:footer="0" w:header="0"/>
        </w:sectPr>
      </w:pPr>
    </w:p>
    <w:bookmarkStart w:id="9" w:name="page10"/>
    <w:bookmarkEnd w:id="9"/>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Resources</w:t>
      </w:r>
    </w:p>
    <w:p>
      <w:pPr>
        <w:spacing w:after="0" w:line="135" w:lineRule="exact"/>
        <w:rPr>
          <w:sz w:val="20"/>
          <w:szCs w:val="20"/>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Keep up with Amdocs news by visiting the company’s </w:t>
      </w:r>
      <w:r>
        <w:rPr>
          <w:rFonts w:ascii="Arial" w:cs="Arial" w:eastAsia="Arial" w:hAnsi="Arial"/>
          <w:sz w:val="18"/>
          <w:szCs w:val="18"/>
          <w:u w:val="single" w:color="auto"/>
          <w:color w:val="auto"/>
        </w:rPr>
        <w:t>website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Subscribe to Amdocs’ </w:t>
      </w:r>
      <w:r>
        <w:rPr>
          <w:rFonts w:ascii="Arial" w:cs="Arial" w:eastAsia="Arial" w:hAnsi="Arial"/>
          <w:sz w:val="18"/>
          <w:szCs w:val="18"/>
          <w:u w:val="single" w:color="auto"/>
          <w:color w:val="auto"/>
        </w:rPr>
        <w:t>RSS Feed</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Amdocs is a leading software and services provider to the world’s most successful communications and media companies. As our customers reinvent themselves, we enable their digital and network transformation through innovative solutions, delivery expertise and intelligent operations. Amdocs and its 25,000 employees serve customers in over 85 countries. Listed on the NASDAQ Global Select Market, Amdocs had revenue of $3.7 billion in fiscal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w:t>
      </w:r>
    </w:p>
    <w:p>
      <w:pPr>
        <w:sectPr>
          <w:pgSz w:w="11900" w:h="16838" w:orient="portrait"/>
          <w:cols w:equalWidth="0" w:num="1">
            <w:col w:w="11420"/>
          </w:cols>
          <w:pgMar w:left="240" w:top="274" w:right="239" w:bottom="1440" w:gutter="0" w:footer="0" w:header="0"/>
        </w:sectPr>
      </w:pPr>
    </w:p>
    <w:bookmarkStart w:id="10" w:name="page11"/>
    <w:bookmarkEnd w:id="1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2016 filed on December 12, 2016 and our Form 6-K furnished for the first quarter of fiscal 2017 on February 13, 2017 and for the second quarter of fiscal 2017 on May 22,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1400"/>
          </w:cols>
          <w:pgMar w:left="240" w:top="274"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966,695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930,133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2,887,431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2,777,573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628,640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601,249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1,871,211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1,796,933</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67,118</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65,051</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194,411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191,249</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113,997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113,831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352,541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347,853</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27,028</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25,040</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83,982</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76,894</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836,783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805,171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2,502,145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2,412,929</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Operating income</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129,912</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124,962</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385,286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364,644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131,064</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126,075</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383,207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365,552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21,015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53,590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51,930</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Net income</w:t>
            </w:r>
          </w:p>
        </w:tc>
        <w:tc>
          <w:tcPr>
            <w:tcW w:w="1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119,264</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105,060</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329,617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145,904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148,844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146,439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149,802</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147,259</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150,726</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147,865</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0.560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8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78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966,695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930,133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2,887,431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2,777,573</w:t>
            </w:r>
          </w:p>
        </w:tc>
        <w:tc>
          <w:tcPr>
            <w:tcW w:w="6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167,193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159,814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497,275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474,636</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150,440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135,571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407,756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147,259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150,726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151,912</w:t>
            </w: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4"/>
                <w:szCs w:val="14"/>
                <w:b w:val="1"/>
                <w:bCs w:val="1"/>
                <w:color w:val="auto"/>
                <w:w w:val="92"/>
              </w:rPr>
              <w:t>June 30, 2017</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right"/>
              <w:ind w:right="520"/>
              <w:spacing w:after="0" w:line="142" w:lineRule="exact"/>
              <w:rPr>
                <w:sz w:val="20"/>
                <w:szCs w:val="20"/>
                <w:color w:val="auto"/>
              </w:rPr>
            </w:pPr>
            <w:r>
              <w:rPr>
                <w:rFonts w:ascii="Arial" w:cs="Arial" w:eastAsia="Arial" w:hAnsi="Arial"/>
                <w:sz w:val="14"/>
                <w:szCs w:val="14"/>
                <w:b w:val="1"/>
                <w:bCs w:val="1"/>
                <w:color w:val="auto"/>
                <w:w w:val="99"/>
              </w:rPr>
              <w:t>Reconciliation items</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Equity based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GAAP</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intangible assets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88"/>
              </w:rPr>
              <w:t>Tax effect</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3"/>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28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compensation expense</w:t>
            </w:r>
          </w:p>
        </w:tc>
        <w:tc>
          <w:tcPr>
            <w:tcW w:w="2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$628,640</w:t>
            </w:r>
          </w:p>
        </w:tc>
        <w:tc>
          <w:tcPr>
            <w:tcW w:w="4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(4,763)</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$ 623,877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67,118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113,997</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(4,576)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109,421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27,028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836,783</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799,502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129,912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167,193</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4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11,800</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6,105</w:t>
            </w:r>
          </w:p>
        </w:tc>
        <w:tc>
          <w:tcPr>
            <w:tcW w:w="4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119,264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27,028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10,253</w:t>
            </w:r>
          </w:p>
        </w:tc>
        <w:tc>
          <w:tcPr>
            <w:tcW w:w="12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(6,105)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$ 150,440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4"/>
                <w:szCs w:val="14"/>
                <w:b w:val="1"/>
                <w:bCs w:val="1"/>
                <w:color w:val="auto"/>
                <w:w w:val="92"/>
              </w:rPr>
              <w:t>June 30, 2016</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right"/>
              <w:ind w:right="520"/>
              <w:spacing w:after="0" w:line="142" w:lineRule="exact"/>
              <w:rPr>
                <w:sz w:val="20"/>
                <w:szCs w:val="20"/>
                <w:color w:val="auto"/>
              </w:rPr>
            </w:pPr>
            <w:r>
              <w:rPr>
                <w:rFonts w:ascii="Arial" w:cs="Arial" w:eastAsia="Arial" w:hAnsi="Arial"/>
                <w:sz w:val="14"/>
                <w:szCs w:val="14"/>
                <w:b w:val="1"/>
                <w:bCs w:val="1"/>
                <w:color w:val="auto"/>
                <w:w w:val="99"/>
              </w:rPr>
              <w:t>Reconciliation items</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Equity based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GAAP</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intangible assets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88"/>
              </w:rPr>
              <w:t>Tax effect</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3"/>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28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compensation expense</w:t>
            </w:r>
          </w:p>
        </w:tc>
        <w:tc>
          <w:tcPr>
            <w:tcW w:w="2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$601,249</w:t>
            </w:r>
          </w:p>
        </w:tc>
        <w:tc>
          <w:tcPr>
            <w:tcW w:w="4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(4,406)</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$ 596,843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65,051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113,831</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(4,453)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109,378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25,040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805,171</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770,319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124,962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159,814</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4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21,015</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4,341</w:t>
            </w:r>
          </w:p>
        </w:tc>
        <w:tc>
          <w:tcPr>
            <w:tcW w:w="4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105,060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25,040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9,812</w:t>
            </w:r>
          </w:p>
        </w:tc>
        <w:tc>
          <w:tcPr>
            <w:tcW w:w="12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(4,341)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$ 135,571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90"/>
              </w:rPr>
              <w:t>Nine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center"/>
              <w:ind w:right="900"/>
              <w:spacing w:after="0"/>
              <w:rPr>
                <w:sz w:val="20"/>
                <w:szCs w:val="20"/>
                <w:color w:val="auto"/>
              </w:rPr>
            </w:pPr>
            <w:r>
              <w:rPr>
                <w:rFonts w:ascii="Arial" w:cs="Arial" w:eastAsia="Arial" w:hAnsi="Arial"/>
                <w:sz w:val="14"/>
                <w:szCs w:val="14"/>
                <w:b w:val="1"/>
                <w:bCs w:val="1"/>
                <w:color w:val="auto"/>
                <w:w w:val="92"/>
              </w:rPr>
              <w:t>June 30, 2017</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7"/>
          </w:tcPr>
          <w:p>
            <w:pPr>
              <w:jc w:val="center"/>
              <w:ind w:right="58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300" w:type="dxa"/>
            <w:vAlign w:val="bottom"/>
          </w:tcPr>
          <w:p>
            <w:pPr>
              <w:spacing w:after="0"/>
              <w:rPr>
                <w:sz w:val="10"/>
                <w:szCs w:val="10"/>
                <w:color w:val="auto"/>
              </w:rPr>
            </w:pPr>
          </w:p>
        </w:tc>
        <w:tc>
          <w:tcPr>
            <w:tcW w:w="112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1"/>
              </w:rPr>
              <w:t>Equity based</w:t>
            </w:r>
          </w:p>
        </w:tc>
        <w:tc>
          <w:tcPr>
            <w:tcW w:w="1160" w:type="dxa"/>
            <w:vAlign w:val="bottom"/>
            <w:gridSpan w:val="4"/>
          </w:tcPr>
          <w:p>
            <w:pPr>
              <w:jc w:val="center"/>
              <w:ind w:right="140"/>
              <w:spacing w:after="0" w:line="119" w:lineRule="exact"/>
              <w:rPr>
                <w:sz w:val="20"/>
                <w:szCs w:val="20"/>
                <w:color w:val="auto"/>
              </w:rPr>
            </w:pPr>
            <w:r>
              <w:rPr>
                <w:rFonts w:ascii="Arial" w:cs="Arial" w:eastAsia="Arial" w:hAnsi="Arial"/>
                <w:sz w:val="13"/>
                <w:szCs w:val="13"/>
                <w:b w:val="1"/>
                <w:bCs w:val="1"/>
                <w:color w:val="auto"/>
              </w:rPr>
              <w:t>Changes in fair</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purchased</w:t>
            </w:r>
          </w:p>
        </w:tc>
        <w:tc>
          <w:tcPr>
            <w:tcW w:w="30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1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value of certain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GAAP</w:t>
            </w:r>
          </w:p>
        </w:tc>
        <w:tc>
          <w:tcPr>
            <w:tcW w:w="102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intangible</w:t>
            </w:r>
          </w:p>
        </w:tc>
        <w:tc>
          <w:tcPr>
            <w:tcW w:w="300" w:type="dxa"/>
            <w:vAlign w:val="bottom"/>
          </w:tcPr>
          <w:p>
            <w:pPr>
              <w:spacing w:after="0"/>
              <w:rPr>
                <w:sz w:val="12"/>
                <w:szCs w:val="12"/>
                <w:color w:val="auto"/>
              </w:rPr>
            </w:pPr>
          </w:p>
        </w:tc>
        <w:tc>
          <w:tcPr>
            <w:tcW w:w="11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60" w:type="dxa"/>
            <w:vAlign w:val="bottom"/>
          </w:tcPr>
          <w:p>
            <w:pPr>
              <w:spacing w:after="0"/>
              <w:rPr>
                <w:sz w:val="12"/>
                <w:szCs w:val="12"/>
                <w:color w:val="auto"/>
              </w:rPr>
            </w:pPr>
          </w:p>
        </w:tc>
        <w:tc>
          <w:tcPr>
            <w:tcW w:w="9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1"/>
              </w:rPr>
              <w:t>Tax effect</w:t>
            </w: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w w:val="88"/>
              </w:rPr>
              <w:t>assets and other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expense</w:t>
            </w:r>
          </w:p>
        </w:tc>
        <w:tc>
          <w:tcPr>
            <w:tcW w:w="11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related liabilities</w:t>
            </w:r>
          </w:p>
        </w:tc>
        <w:tc>
          <w:tcPr>
            <w:tcW w:w="16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w w:val="86"/>
              </w:rPr>
              <w:t>$ 1,871,211</w:t>
            </w:r>
          </w:p>
        </w:tc>
        <w:tc>
          <w:tcPr>
            <w:tcW w:w="1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center"/>
              <w:ind w:left="93"/>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(14,734)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6,691</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$1,863,168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194,411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99"/>
              </w:rPr>
              <w:t>—</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(2,714)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352,541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center"/>
              <w:ind w:left="93"/>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(17,250)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335,291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w w:val="92"/>
              </w:rPr>
              <w:t>(83,982)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2,502,145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(83,982)</w:t>
            </w:r>
          </w:p>
        </w:tc>
        <w:tc>
          <w:tcPr>
            <w:tcW w:w="32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(34,698)</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6,691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2,390,156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385,286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83,982</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34,698</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497,275</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center"/>
              <w:ind w:left="113"/>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w w:val="83"/>
              </w:rPr>
              <w:t>18,435</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329,617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83,982</w:t>
            </w: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34,698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(6,691)</w:t>
            </w:r>
          </w:p>
        </w:tc>
        <w:tc>
          <w:tcPr>
            <w:tcW w:w="1120" w:type="dxa"/>
            <w:vAlign w:val="bottom"/>
            <w:gridSpan w:val="5"/>
            <w:shd w:val="clear" w:color="auto" w:fill="CCEEFF"/>
          </w:tcPr>
          <w:p>
            <w:pPr>
              <w:ind w:lef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0"/>
              </w:rPr>
              <w:t>Nine months ended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center"/>
              <w:ind w:right="780"/>
              <w:spacing w:after="0"/>
              <w:rPr>
                <w:sz w:val="20"/>
                <w:szCs w:val="20"/>
                <w:color w:val="auto"/>
              </w:rPr>
            </w:pPr>
            <w:r>
              <w:rPr>
                <w:rFonts w:ascii="Arial" w:cs="Arial" w:eastAsia="Arial" w:hAnsi="Arial"/>
                <w:sz w:val="14"/>
                <w:szCs w:val="14"/>
                <w:b w:val="1"/>
                <w:bCs w:val="1"/>
                <w:color w:val="auto"/>
                <w:w w:val="92"/>
              </w:rPr>
              <w:t>June 30, 2016</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7"/>
          </w:tcPr>
          <w:p>
            <w:pPr>
              <w:jc w:val="center"/>
              <w:ind w:right="46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5"/>
          </w:tcPr>
          <w:p>
            <w:pPr>
              <w:jc w:val="center"/>
              <w:ind w:right="28"/>
              <w:spacing w:after="0" w:line="119" w:lineRule="exact"/>
              <w:rPr>
                <w:sz w:val="20"/>
                <w:szCs w:val="20"/>
                <w:color w:val="auto"/>
              </w:rPr>
            </w:pPr>
            <w:r>
              <w:rPr>
                <w:rFonts w:ascii="Arial" w:cs="Arial" w:eastAsia="Arial" w:hAnsi="Arial"/>
                <w:sz w:val="13"/>
                <w:szCs w:val="13"/>
                <w:b w:val="1"/>
                <w:bCs w:val="1"/>
                <w:color w:val="auto"/>
              </w:rPr>
              <w:t>Amortization of</w:t>
            </w: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purchased</w:t>
            </w:r>
          </w:p>
        </w:tc>
        <w:tc>
          <w:tcPr>
            <w:tcW w:w="360" w:type="dxa"/>
            <w:vAlign w:val="bottom"/>
          </w:tcPr>
          <w:p>
            <w:pPr>
              <w:spacing w:after="0"/>
              <w:rPr>
                <w:sz w:val="12"/>
                <w:szCs w:val="12"/>
                <w:color w:val="auto"/>
              </w:rPr>
            </w:pPr>
          </w:p>
        </w:tc>
        <w:tc>
          <w:tcPr>
            <w:tcW w:w="1820" w:type="dxa"/>
            <w:vAlign w:val="bottom"/>
            <w:gridSpan w:val="6"/>
            <w:vMerge w:val="restart"/>
          </w:tcPr>
          <w:p>
            <w:pPr>
              <w:jc w:val="right"/>
              <w:ind w:right="740"/>
              <w:spacing w:after="0"/>
              <w:rPr>
                <w:sz w:val="20"/>
                <w:szCs w:val="20"/>
                <w:color w:val="auto"/>
              </w:rPr>
            </w:pPr>
            <w:r>
              <w:rPr>
                <w:rFonts w:ascii="Arial" w:cs="Arial" w:eastAsia="Arial" w:hAnsi="Arial"/>
                <w:sz w:val="14"/>
                <w:szCs w:val="14"/>
                <w:b w:val="1"/>
                <w:bCs w:val="1"/>
                <w:color w:val="auto"/>
              </w:rPr>
              <w:t>Equity based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GAAP</w:t>
            </w:r>
          </w:p>
        </w:tc>
        <w:tc>
          <w:tcPr>
            <w:tcW w:w="300" w:type="dxa"/>
            <w:vAlign w:val="bottom"/>
          </w:tcPr>
          <w:p>
            <w:pPr>
              <w:spacing w:after="0"/>
              <w:rPr>
                <w:sz w:val="12"/>
                <w:szCs w:val="12"/>
                <w:color w:val="auto"/>
              </w:rPr>
            </w:pPr>
          </w:p>
        </w:tc>
        <w:tc>
          <w:tcPr>
            <w:tcW w:w="1120" w:type="dxa"/>
            <w:vAlign w:val="bottom"/>
            <w:gridSpan w:val="5"/>
          </w:tcPr>
          <w:p>
            <w:pPr>
              <w:jc w:val="center"/>
              <w:ind w:right="8"/>
              <w:spacing w:after="0" w:line="149" w:lineRule="exact"/>
              <w:rPr>
                <w:sz w:val="20"/>
                <w:szCs w:val="20"/>
                <w:color w:val="auto"/>
              </w:rPr>
            </w:pPr>
            <w:r>
              <w:rPr>
                <w:rFonts w:ascii="Arial" w:cs="Arial" w:eastAsia="Arial" w:hAnsi="Arial"/>
                <w:sz w:val="14"/>
                <w:szCs w:val="14"/>
                <w:b w:val="1"/>
                <w:bCs w:val="1"/>
                <w:color w:val="auto"/>
                <w:w w:val="87"/>
              </w:rPr>
              <w:t>intangible assets</w:t>
            </w:r>
          </w:p>
        </w:tc>
        <w:tc>
          <w:tcPr>
            <w:tcW w:w="360" w:type="dxa"/>
            <w:vAlign w:val="bottom"/>
          </w:tcPr>
          <w:p>
            <w:pPr>
              <w:spacing w:after="0"/>
              <w:rPr>
                <w:sz w:val="12"/>
                <w:szCs w:val="12"/>
                <w:color w:val="auto"/>
              </w:rPr>
            </w:pPr>
          </w:p>
        </w:tc>
        <w:tc>
          <w:tcPr>
            <w:tcW w:w="1820" w:type="dxa"/>
            <w:vAlign w:val="bottom"/>
            <w:gridSpan w:val="6"/>
            <w:vMerge w:val="continue"/>
          </w:tcPr>
          <w:p>
            <w:pPr>
              <w:spacing w:after="0"/>
              <w:rPr>
                <w:sz w:val="12"/>
                <w:szCs w:val="12"/>
                <w:color w:val="auto"/>
              </w:rPr>
            </w:pPr>
          </w:p>
        </w:tc>
        <w:tc>
          <w:tcPr>
            <w:tcW w:w="11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Tax effect</w:t>
            </w: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93"/>
              </w:rPr>
              <w:t>and other</w:t>
            </w:r>
          </w:p>
        </w:tc>
        <w:tc>
          <w:tcPr>
            <w:tcW w:w="360" w:type="dxa"/>
            <w:vAlign w:val="bottom"/>
          </w:tcPr>
          <w:p>
            <w:pPr>
              <w:spacing w:after="0"/>
              <w:rPr>
                <w:sz w:val="14"/>
                <w:szCs w:val="14"/>
                <w:color w:val="auto"/>
              </w:rPr>
            </w:pPr>
          </w:p>
        </w:tc>
        <w:tc>
          <w:tcPr>
            <w:tcW w:w="18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86"/>
              </w:rPr>
              <w:t>compensation expense</w:t>
            </w:r>
          </w:p>
        </w:tc>
        <w:tc>
          <w:tcPr>
            <w:tcW w:w="1120" w:type="dxa"/>
            <w:vAlign w:val="bottom"/>
            <w:gridSpan w:val="5"/>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$1,796,933</w:t>
            </w:r>
          </w:p>
        </w:tc>
        <w:tc>
          <w:tcPr>
            <w:tcW w:w="12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w w:val="92"/>
              </w:rPr>
              <w:t>(13,447)</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$1,783,486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191,249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(2,813)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347,853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w w:val="92"/>
              </w:rPr>
              <w:t>(16,838)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76,894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(76,894)</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2,412,929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(76,894)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(33,098)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2,302,937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364,644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76,894</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33,098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474,636</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51,930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spacing w:after="0"/>
              <w:rPr>
                <w:sz w:val="20"/>
                <w:szCs w:val="20"/>
                <w:color w:val="auto"/>
              </w:rPr>
            </w:pPr>
          </w:p>
        </w:tc>
        <w:tc>
          <w:tcPr>
            <w:tcW w:w="660" w:type="dxa"/>
            <w:vAlign w:val="bottom"/>
            <w:tcBorders>
              <w:top w:val="single" w:sz="8" w:color="auto"/>
              <w:bottom w:val="single" w:sz="8" w:color="auto"/>
            </w:tcBorders>
            <w:gridSpan w:val="3"/>
          </w:tcPr>
          <w:p>
            <w:pPr>
              <w:ind w:left="160"/>
              <w:spacing w:after="0"/>
              <w:rPr>
                <w:sz w:val="20"/>
                <w:szCs w:val="20"/>
                <w:color w:val="auto"/>
              </w:rPr>
            </w:pPr>
            <w:r>
              <w:rPr>
                <w:rFonts w:ascii="Arial" w:cs="Arial" w:eastAsia="Arial" w:hAnsi="Arial"/>
                <w:sz w:val="18"/>
                <w:szCs w:val="18"/>
                <w:color w:val="auto"/>
                <w:w w:val="87"/>
              </w:rPr>
              <w:t>15,858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313,622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0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76,894</w:t>
            </w:r>
          </w:p>
        </w:tc>
        <w:tc>
          <w:tcPr>
            <w:tcW w:w="72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33,098</w:t>
            </w: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June 30,</w:t>
            </w:r>
          </w:p>
        </w:tc>
        <w:tc>
          <w:tcPr>
            <w:tcW w:w="36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6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963,039</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1,095,723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Accounts receivable, net, including unbilled of $174,898 and $134,122, respectively</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893,386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818,531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228,611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2,085,036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2,100,391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336,791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2,395,253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2,493,166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476,537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406,070</w:t>
            </w:r>
          </w:p>
        </w:tc>
        <w:tc>
          <w:tcPr>
            <w:tcW w:w="0" w:type="dxa"/>
            <w:vAlign w:val="bottom"/>
          </w:tcPr>
          <w:p>
            <w:pPr>
              <w:spacing w:after="0"/>
              <w:rPr>
                <w:sz w:val="1"/>
                <w:szCs w:val="1"/>
                <w:color w:val="auto"/>
              </w:rPr>
            </w:pPr>
          </w:p>
        </w:tc>
      </w:tr>
      <w:tr>
        <w:trPr>
          <w:trHeight w:val="223"/>
        </w:trPr>
        <w:tc>
          <w:tcPr>
            <w:tcW w:w="76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5,293,617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5,331,355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accruals and other</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1,053,303</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Short-term financing arrangements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123,866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1,177,169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1,366,010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534,759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Shareholders’ equity</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3,581,689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3,453,561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5,293,617</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5,331,355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1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7"/>
              </w:rPr>
              <w:t>Nine months ended June 30,</w:t>
            </w: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income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$ 329,617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313,622</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163,533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159,792</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3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34,698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33,098</w:t>
            </w: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7,201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(14,254)</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3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(5,682)</w:t>
            </w: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(Gain) loss from short-term interest-bearing investments</w:t>
            </w:r>
          </w:p>
        </w:tc>
        <w:tc>
          <w:tcPr>
            <w:tcW w:w="3180" w:type="dxa"/>
            <w:vAlign w:val="bottom"/>
            <w:gridSpan w:val="3"/>
          </w:tcPr>
          <w:p>
            <w:pPr>
              <w:jc w:val="right"/>
              <w:ind w:right="30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180" w:type="dxa"/>
            <w:vAlign w:val="bottom"/>
            <w:gridSpan w:val="3"/>
          </w:tcPr>
          <w:p>
            <w:pPr>
              <w:jc w:val="right"/>
              <w:ind w:right="300"/>
              <w:spacing w:after="0"/>
              <w:rPr>
                <w:sz w:val="20"/>
                <w:szCs w:val="20"/>
                <w:color w:val="auto"/>
              </w:rPr>
            </w:pPr>
            <w:r>
              <w:rPr>
                <w:rFonts w:ascii="Arial" w:cs="Arial" w:eastAsia="Arial" w:hAnsi="Arial"/>
                <w:sz w:val="18"/>
                <w:szCs w:val="18"/>
                <w:color w:val="auto"/>
              </w:rPr>
              <w:t>(73,033)</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(4,163)</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(21,423)</w:t>
            </w: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3180" w:type="dxa"/>
            <w:vAlign w:val="bottom"/>
            <w:gridSpan w:val="3"/>
          </w:tcPr>
          <w:p>
            <w:pPr>
              <w:jc w:val="right"/>
              <w:ind w:right="300"/>
              <w:spacing w:after="0"/>
              <w:rPr>
                <w:sz w:val="20"/>
                <w:szCs w:val="20"/>
                <w:color w:val="auto"/>
              </w:rPr>
            </w:pPr>
            <w:r>
              <w:rPr>
                <w:rFonts w:ascii="Arial" w:cs="Arial" w:eastAsia="Arial" w:hAnsi="Arial"/>
                <w:sz w:val="18"/>
                <w:szCs w:val="18"/>
                <w:color w:val="auto"/>
              </w:rPr>
              <w:t>(60,949)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11,070</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3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75,178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37,261</w:t>
            </w: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3180" w:type="dxa"/>
            <w:vAlign w:val="bottom"/>
            <w:gridSpan w:val="3"/>
          </w:tcPr>
          <w:p>
            <w:pPr>
              <w:jc w:val="right"/>
              <w:ind w:right="300"/>
              <w:spacing w:after="0"/>
              <w:rPr>
                <w:sz w:val="20"/>
                <w:szCs w:val="20"/>
                <w:color w:val="auto"/>
              </w:rPr>
            </w:pPr>
            <w:r>
              <w:rPr>
                <w:rFonts w:ascii="Arial" w:cs="Arial" w:eastAsia="Arial" w:hAnsi="Arial"/>
                <w:sz w:val="18"/>
                <w:szCs w:val="18"/>
                <w:color w:val="auto"/>
              </w:rPr>
              <w:t>(38,817)</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(68,749)</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3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(7,726)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12,263</w:t>
            </w:r>
          </w:p>
        </w:tc>
      </w:tr>
      <w:tr>
        <w:trPr>
          <w:trHeight w:val="223"/>
        </w:trPr>
        <w:tc>
          <w:tcPr>
            <w:tcW w:w="20" w:type="dxa"/>
            <w:vAlign w:val="bottom"/>
          </w:tcPr>
          <w:p>
            <w:pPr>
              <w:spacing w:after="0"/>
              <w:rPr>
                <w:sz w:val="19"/>
                <w:szCs w:val="19"/>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00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12,520</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14,397</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437,104</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467,526</w:t>
            </w:r>
          </w:p>
        </w:tc>
        <w:tc>
          <w:tcPr>
            <w:tcW w:w="100" w:type="dxa"/>
            <w:vAlign w:val="bottom"/>
            <w:shd w:val="clear" w:color="auto" w:fill="CCEEFF"/>
          </w:tcPr>
          <w:p>
            <w:pPr>
              <w:spacing w:after="0"/>
              <w:rPr>
                <w:sz w:val="18"/>
                <w:szCs w:val="18"/>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3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(98,565)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(101,372)</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218,395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264,357</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3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(218,772)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(269,143)</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20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(24,993)</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(20,109)</w:t>
            </w: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(108,964</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(151,260)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3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(220,000)</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Repurchase of shares</w:t>
            </w:r>
          </w:p>
        </w:tc>
        <w:tc>
          <w:tcPr>
            <w:tcW w:w="3180" w:type="dxa"/>
            <w:vAlign w:val="bottom"/>
            <w:gridSpan w:val="3"/>
          </w:tcPr>
          <w:p>
            <w:pPr>
              <w:jc w:val="right"/>
              <w:ind w:right="300"/>
              <w:spacing w:after="0"/>
              <w:rPr>
                <w:sz w:val="20"/>
                <w:szCs w:val="20"/>
                <w:color w:val="auto"/>
              </w:rPr>
            </w:pPr>
            <w:r>
              <w:rPr>
                <w:rFonts w:ascii="Arial" w:cs="Arial" w:eastAsia="Arial" w:hAnsi="Arial"/>
                <w:sz w:val="18"/>
                <w:szCs w:val="18"/>
                <w:color w:val="auto"/>
              </w:rPr>
              <w:t>(250,231)</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(323,751)</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3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75,763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67,890</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Payments of dividends</w:t>
            </w:r>
          </w:p>
        </w:tc>
        <w:tc>
          <w:tcPr>
            <w:tcW w:w="3180" w:type="dxa"/>
            <w:vAlign w:val="bottom"/>
            <w:gridSpan w:val="3"/>
          </w:tcPr>
          <w:p>
            <w:pPr>
              <w:jc w:val="right"/>
              <w:ind w:right="300"/>
              <w:spacing w:after="0"/>
              <w:rPr>
                <w:sz w:val="20"/>
                <w:szCs w:val="20"/>
                <w:color w:val="auto"/>
              </w:rPr>
            </w:pPr>
            <w:r>
              <w:rPr>
                <w:rFonts w:ascii="Arial" w:cs="Arial" w:eastAsia="Arial" w:hAnsi="Arial"/>
                <w:sz w:val="18"/>
                <w:szCs w:val="18"/>
                <w:color w:val="auto"/>
              </w:rPr>
              <w:t>(89,522)</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(80,468)</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equity-based compensation and other</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5,677</w:t>
            </w: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20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(460,274</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(550,652)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3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(132,134)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(234,386)</w:t>
            </w: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768,660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1,035,573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$ 636,526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801,187</w:t>
            </w: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24"/>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7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500" w:type="dxa"/>
            <w:vAlign w:val="bottom"/>
          </w:tcPr>
          <w:p>
            <w:pPr>
              <w:spacing w:after="0" w:line="119" w:lineRule="exact"/>
              <w:rPr>
                <w:sz w:val="20"/>
                <w:szCs w:val="20"/>
                <w:color w:val="auto"/>
              </w:rPr>
            </w:pPr>
            <w:r>
              <w:rPr>
                <w:rFonts w:ascii="Arial" w:cs="Arial" w:eastAsia="Arial" w:hAnsi="Arial"/>
                <w:sz w:val="13"/>
                <w:szCs w:val="13"/>
                <w:b w:val="1"/>
                <w:bCs w:val="1"/>
                <w:color w:val="auto"/>
                <w:w w:val="92"/>
              </w:rPr>
              <w:t>June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700" w:type="dxa"/>
            <w:vAlign w:val="bottom"/>
            <w:gridSpan w:val="2"/>
          </w:tcPr>
          <w:p>
            <w:pPr>
              <w:jc w:val="center"/>
              <w:ind w:left="2102"/>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$637.9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626.2</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$591.8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Europe</w:t>
            </w:r>
          </w:p>
        </w:tc>
        <w:tc>
          <w:tcPr>
            <w:tcW w:w="2880" w:type="dxa"/>
            <w:vAlign w:val="bottom"/>
            <w:gridSpan w:val="3"/>
          </w:tcPr>
          <w:p>
            <w:pPr>
              <w:jc w:val="right"/>
              <w:ind w:right="180"/>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118.5</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118.9</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1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966.7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940.7</w:t>
            </w: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930.1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ind w:left="24"/>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7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500" w:type="dxa"/>
            <w:vAlign w:val="bottom"/>
          </w:tcPr>
          <w:p>
            <w:pPr>
              <w:spacing w:after="0" w:line="119" w:lineRule="exact"/>
              <w:rPr>
                <w:sz w:val="20"/>
                <w:szCs w:val="20"/>
                <w:color w:val="auto"/>
              </w:rPr>
            </w:pPr>
            <w:r>
              <w:rPr>
                <w:rFonts w:ascii="Arial" w:cs="Arial" w:eastAsia="Arial" w:hAnsi="Arial"/>
                <w:sz w:val="13"/>
                <w:szCs w:val="13"/>
                <w:b w:val="1"/>
                <w:bCs w:val="1"/>
                <w:color w:val="auto"/>
                <w:w w:val="92"/>
              </w:rPr>
              <w:t>June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700" w:type="dxa"/>
            <w:vAlign w:val="bottom"/>
            <w:gridSpan w:val="2"/>
          </w:tcPr>
          <w:p>
            <w:pPr>
              <w:jc w:val="center"/>
              <w:ind w:left="2102"/>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2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496.3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479.2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ind w:left="24"/>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7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500" w:type="dxa"/>
            <w:vAlign w:val="bottom"/>
          </w:tcPr>
          <w:p>
            <w:pPr>
              <w:spacing w:after="0" w:line="119" w:lineRule="exact"/>
              <w:rPr>
                <w:sz w:val="20"/>
                <w:szCs w:val="20"/>
                <w:color w:val="auto"/>
              </w:rPr>
            </w:pPr>
            <w:r>
              <w:rPr>
                <w:rFonts w:ascii="Arial" w:cs="Arial" w:eastAsia="Arial" w:hAnsi="Arial"/>
                <w:sz w:val="13"/>
                <w:szCs w:val="13"/>
                <w:b w:val="1"/>
                <w:bCs w:val="1"/>
                <w:color w:val="auto"/>
                <w:w w:val="92"/>
              </w:rPr>
              <w:t>June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700" w:type="dxa"/>
            <w:vAlign w:val="bottom"/>
            <w:gridSpan w:val="2"/>
          </w:tcPr>
          <w:p>
            <w:pPr>
              <w:jc w:val="center"/>
              <w:ind w:left="2102"/>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Experience Systems</w:t>
            </w:r>
          </w:p>
        </w:tc>
        <w:tc>
          <w:tcPr>
            <w:tcW w:w="2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$954.8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$908.1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Directory</w:t>
            </w:r>
          </w:p>
        </w:tc>
        <w:tc>
          <w:tcPr>
            <w:tcW w:w="2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15.8</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18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966.7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966.0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7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500" w:type="dxa"/>
            <w:vAlign w:val="bottom"/>
          </w:tcPr>
          <w:p>
            <w:pPr>
              <w:spacing w:after="0" w:line="119" w:lineRule="exact"/>
              <w:rPr>
                <w:sz w:val="20"/>
                <w:szCs w:val="20"/>
                <w:color w:val="auto"/>
              </w:rPr>
            </w:pPr>
            <w:r>
              <w:rPr>
                <w:rFonts w:ascii="Arial" w:cs="Arial" w:eastAsia="Arial" w:hAnsi="Arial"/>
                <w:sz w:val="13"/>
                <w:szCs w:val="13"/>
                <w:b w:val="1"/>
                <w:bCs w:val="1"/>
                <w:color w:val="auto"/>
                <w:w w:val="92"/>
              </w:rPr>
              <w:t>June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700" w:type="dxa"/>
            <w:vAlign w:val="bottom"/>
            <w:gridSpan w:val="2"/>
          </w:tcPr>
          <w:p>
            <w:pPr>
              <w:jc w:val="center"/>
              <w:ind w:left="2102"/>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2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3,220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$ 3,110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2019-12-06T09:54:02Z</dcterms:created>
  <dcterms:modified xsi:type="dcterms:W3CDTF">2019-12-06T09:54:02Z</dcterms:modified>
</cp:coreProperties>
</file>