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2 )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G02602103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G02602103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Massachusetts Financial Services Company ("MFS")</w:t>
            </w: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04-2747644</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37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691,131</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730,512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730,512 shares of Common Stock consisting of shares beneficially owned by MFS and/or certain other</w:t>
            </w: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non-reporting entities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0.6%</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700" w:hanging="787"/>
        <w:spacing w:after="0"/>
        <w:tabs>
          <w:tab w:leader="none" w:pos="170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AMDOCS LIMITED</w:t>
      </w:r>
    </w:p>
    <w:p>
      <w:pPr>
        <w:spacing w:after="0" w:line="97" w:lineRule="exact"/>
        <w:rPr>
          <w:rFonts w:ascii="Times New Roman" w:cs="Times New Roman" w:eastAsia="Times New Roman" w:hAnsi="Times New Roman"/>
          <w:sz w:val="22"/>
          <w:szCs w:val="22"/>
          <w:b w:val="1"/>
          <w:bCs w:val="1"/>
          <w:color w:val="auto"/>
        </w:rPr>
      </w:pPr>
    </w:p>
    <w:p>
      <w:pPr>
        <w:ind w:left="1700" w:hanging="787"/>
        <w:spacing w:after="0"/>
        <w:tabs>
          <w:tab w:leader="none" w:pos="170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7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Hirzel House, Smith Street, St. Peter Port GY1 2NG, Guernsey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00" w:hanging="787"/>
        <w:spacing w:after="0"/>
        <w:tabs>
          <w:tab w:leader="none" w:pos="170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Massachusetts Financial Services Company</w:t>
      </w:r>
    </w:p>
    <w:p>
      <w:pPr>
        <w:spacing w:after="0" w:line="97" w:lineRule="exact"/>
        <w:rPr>
          <w:rFonts w:ascii="Times New Roman" w:cs="Times New Roman" w:eastAsia="Times New Roman" w:hAnsi="Times New Roman"/>
          <w:sz w:val="22"/>
          <w:szCs w:val="22"/>
          <w:b w:val="1"/>
          <w:bCs w:val="1"/>
          <w:color w:val="auto"/>
        </w:rPr>
      </w:pPr>
    </w:p>
    <w:p>
      <w:pPr>
        <w:ind w:left="1700" w:right="3940" w:hanging="787"/>
        <w:spacing w:after="0" w:line="262" w:lineRule="auto"/>
        <w:tabs>
          <w:tab w:leader="none" w:pos="170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111 Huntington Avenue, Boston, MA 02199</w:t>
      </w:r>
    </w:p>
    <w:p>
      <w:pPr>
        <w:spacing w:after="0" w:line="68" w:lineRule="exact"/>
        <w:rPr>
          <w:rFonts w:ascii="Times New Roman" w:cs="Times New Roman" w:eastAsia="Times New Roman" w:hAnsi="Times New Roman"/>
          <w:sz w:val="22"/>
          <w:szCs w:val="22"/>
          <w:b w:val="1"/>
          <w:bCs w:val="1"/>
          <w:color w:val="auto"/>
        </w:rPr>
      </w:pPr>
    </w:p>
    <w:p>
      <w:pPr>
        <w:ind w:left="1700" w:right="8300" w:hanging="787"/>
        <w:spacing w:after="0" w:line="286" w:lineRule="auto"/>
        <w:tabs>
          <w:tab w:leader="none" w:pos="170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Delaware</w:t>
      </w:r>
    </w:p>
    <w:p>
      <w:pPr>
        <w:spacing w:after="0" w:line="45" w:lineRule="exact"/>
        <w:rPr>
          <w:rFonts w:ascii="Times New Roman" w:cs="Times New Roman" w:eastAsia="Times New Roman" w:hAnsi="Times New Roman"/>
          <w:sz w:val="21"/>
          <w:szCs w:val="21"/>
          <w:b w:val="1"/>
          <w:bCs w:val="1"/>
          <w:color w:val="auto"/>
        </w:rPr>
      </w:pPr>
    </w:p>
    <w:p>
      <w:pPr>
        <w:ind w:left="1700" w:right="6940" w:hanging="787"/>
        <w:spacing w:after="0" w:line="262" w:lineRule="auto"/>
        <w:tabs>
          <w:tab w:leader="none" w:pos="170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00" w:right="7880" w:hanging="787"/>
        <w:spacing w:after="0" w:line="286" w:lineRule="auto"/>
        <w:tabs>
          <w:tab w:leader="none" w:pos="170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G02602103</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40"/>
          </w:cols>
          <w:pgMar w:left="400" w:top="419" w:right="459" w:bottom="0" w:gutter="0" w:footer="0" w:header="0"/>
        </w:sectPr>
      </w:pPr>
    </w:p>
    <w:p>
      <w:pPr>
        <w:spacing w:after="0" w:line="129" w:lineRule="exact"/>
        <w:rPr>
          <w:sz w:val="20"/>
          <w:szCs w:val="20"/>
          <w:color w:val="auto"/>
        </w:rPr>
      </w:pPr>
    </w:p>
    <w:p>
      <w:pPr>
        <w:ind w:left="920"/>
        <w:spacing w:after="0"/>
        <w:tabs>
          <w:tab w:leader="none" w:pos="16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8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8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jc w:val="both"/>
        <w:ind w:left="920"/>
        <w:spacing w:after="0"/>
        <w:tabs>
          <w:tab w:leader="none" w:pos="168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8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8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8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8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8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30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right="2900" w:firstLine="7"/>
        <w:spacing w:after="0" w:line="363" w:lineRule="auto"/>
        <w:tabs>
          <w:tab w:leader="none" w:pos="41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2000" w:space="580"/>
            <w:col w:w="8460"/>
          </w:cols>
          <w:pgMar w:left="400" w:top="419" w:right="459" w:bottom="0" w:gutter="0" w:footer="0" w:header="0"/>
          <w:type w:val="continuous"/>
        </w:sect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00" w:hanging="787"/>
        <w:spacing w:after="0"/>
        <w:tabs>
          <w:tab w:leader="none" w:pos="17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0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730,512 shares of Common Stock consisting of shares beneficially owned by MFS and/or certain other non-reporting entities</w:t>
      </w:r>
    </w:p>
    <w:p>
      <w:pPr>
        <w:spacing w:after="0" w:line="77" w:lineRule="exact"/>
        <w:rPr>
          <w:rFonts w:ascii="Times New Roman" w:cs="Times New Roman" w:eastAsia="Times New Roman" w:hAnsi="Times New Roman"/>
          <w:sz w:val="22"/>
          <w:szCs w:val="22"/>
          <w:color w:val="auto"/>
        </w:rPr>
      </w:pPr>
    </w:p>
    <w:p>
      <w:pPr>
        <w:ind w:left="1700" w:hanging="787"/>
        <w:spacing w:after="0"/>
        <w:tabs>
          <w:tab w:leader="none" w:pos="17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0.6%</w:t>
      </w:r>
    </w:p>
    <w:p>
      <w:pPr>
        <w:spacing w:after="0" w:line="125" w:lineRule="exact"/>
        <w:rPr>
          <w:rFonts w:ascii="Times New Roman" w:cs="Times New Roman" w:eastAsia="Times New Roman" w:hAnsi="Times New Roman"/>
          <w:sz w:val="22"/>
          <w:szCs w:val="22"/>
          <w:color w:val="auto"/>
        </w:rPr>
      </w:pPr>
    </w:p>
    <w:p>
      <w:pPr>
        <w:ind w:left="1700" w:hanging="787"/>
        <w:spacing w:after="0"/>
        <w:tabs>
          <w:tab w:leader="none" w:pos="17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ectPr>
          <w:pgSz w:w="11900" w:h="16838" w:orient="portrait"/>
          <w:cols w:equalWidth="0" w:num="1">
            <w:col w:w="11040"/>
          </w:cols>
          <w:pgMar w:left="400" w:top="419" w:right="459" w:bottom="0" w:gutter="0" w:footer="0" w:header="0"/>
          <w:type w:val="continuous"/>
        </w:sectPr>
      </w:pPr>
    </w:p>
    <w:p>
      <w:pPr>
        <w:spacing w:after="0" w:line="125" w:lineRule="exact"/>
        <w:rPr>
          <w:sz w:val="20"/>
          <w:szCs w:val="20"/>
          <w:color w:val="auto"/>
        </w:rPr>
      </w:pPr>
    </w:p>
    <w:p>
      <w:pPr>
        <w:ind w:left="2580" w:hanging="884"/>
        <w:spacing w:after="0"/>
        <w:tabs>
          <w:tab w:leader="none" w:pos="25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580" w:hanging="884"/>
        <w:spacing w:after="0"/>
        <w:tabs>
          <w:tab w:leader="none" w:pos="25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580" w:hanging="884"/>
        <w:spacing w:after="0"/>
        <w:tabs>
          <w:tab w:leader="none" w:pos="258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580" w:right="800" w:hanging="884"/>
        <w:spacing w:after="0" w:line="185" w:lineRule="auto"/>
        <w:tabs>
          <w:tab w:leader="none" w:pos="258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9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691,131</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730,512</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624" w:lineRule="exact"/>
        <w:rPr>
          <w:sz w:val="20"/>
          <w:szCs w:val="20"/>
          <w:color w:val="auto"/>
        </w:rPr>
      </w:pPr>
    </w:p>
    <w:p>
      <w:pPr>
        <w:sectPr>
          <w:pgSz w:w="11900" w:h="16838" w:orient="portrait"/>
          <w:cols w:equalWidth="0" w:num="2">
            <w:col w:w="6780" w:space="260"/>
            <w:col w:w="4000"/>
          </w:cols>
          <w:pgMar w:left="400" w:top="419" w:right="459" w:bottom="0" w:gutter="0" w:footer="0" w:header="0"/>
          <w:type w:val="continuous"/>
        </w:sect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ectPr>
          <w:pgSz w:w="11900" w:h="16838" w:orient="portrait"/>
          <w:cols w:equalWidth="0" w:num="1">
            <w:col w:w="11040"/>
          </w:cols>
          <w:pgMar w:left="400" w:top="419" w:right="45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08" w:right="4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Lisa Neaves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09,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Lisa Neaves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Title: Compliance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4"/>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2024-02-09T10:53:21Z</dcterms:created>
  <dcterms:modified xsi:type="dcterms:W3CDTF">2024-02-09T10:53:21Z</dcterms:modified>
</cp:coreProperties>
</file>