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AMDOCS LIMITED</w:t>
            </w:r>
          </w:p>
        </w:tc>
        <w:tc>
          <w:tcPr>
            <w:tcW w:w="1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FORM 6-K</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color w:val="auto"/>
                <w:w w:val="99"/>
              </w:rPr>
              <w:t>REPORT OF FOREIGN PRIVATE ISSUER</w:t>
            </w:r>
          </w:p>
        </w:tc>
        <w:tc>
          <w:tcPr>
            <w:tcW w:w="19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0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1900" w:type="dxa"/>
            <w:vAlign w:val="bottom"/>
          </w:tcPr>
          <w:p>
            <w:pPr>
              <w:spacing w:after="0"/>
              <w:rPr>
                <w:sz w:val="24"/>
                <w:szCs w:val="24"/>
                <w:color w:val="auto"/>
              </w:rPr>
            </w:pPr>
          </w:p>
        </w:tc>
      </w:tr>
      <w:tr>
        <w:trPr>
          <w:trHeight w:val="216"/>
        </w:trPr>
        <w:tc>
          <w:tcPr>
            <w:tcW w:w="6580" w:type="dxa"/>
            <w:vAlign w:val="bottom"/>
            <w:gridSpan w:val="15"/>
          </w:tcPr>
          <w:p>
            <w:pPr>
              <w:jc w:val="center"/>
              <w:ind w:left="4450"/>
              <w:spacing w:after="0"/>
              <w:rPr>
                <w:sz w:val="20"/>
                <w:szCs w:val="20"/>
                <w:color w:val="auto"/>
              </w:rPr>
            </w:pPr>
            <w:r>
              <w:rPr>
                <w:rFonts w:ascii="Times New Roman" w:cs="Times New Roman" w:eastAsia="Times New Roman" w:hAnsi="Times New Roman"/>
                <w:sz w:val="18"/>
                <w:szCs w:val="18"/>
                <w:color w:val="auto"/>
                <w:w w:val="99"/>
              </w:rPr>
              <w:t>2025</w:t>
            </w:r>
          </w:p>
        </w:tc>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INDEX</w:t>
            </w:r>
          </w:p>
        </w:tc>
        <w:tc>
          <w:tcPr>
            <w:tcW w:w="1900" w:type="dxa"/>
            <w:vAlign w:val="bottom"/>
          </w:tcPr>
          <w:p>
            <w:pPr>
              <w:spacing w:after="0"/>
              <w:rPr>
                <w:sz w:val="20"/>
                <w:szCs w:val="20"/>
                <w:color w:val="auto"/>
              </w:rPr>
            </w:pPr>
          </w:p>
        </w:tc>
      </w:tr>
      <w:tr>
        <w:trPr>
          <w:trHeight w:val="392"/>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6060" w:type="dxa"/>
            <w:vAlign w:val="bottom"/>
            <w:gridSpan w:val="8"/>
          </w:tcPr>
          <w:p>
            <w:pPr>
              <w:spacing w:after="0"/>
              <w:rPr>
                <w:sz w:val="24"/>
                <w:szCs w:val="24"/>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6700" w:type="dxa"/>
            <w:vAlign w:val="bottom"/>
            <w:gridSpan w:val="12"/>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8"/>
        </w:trPr>
        <w:tc>
          <w:tcPr>
            <w:tcW w:w="180" w:type="dxa"/>
            <w:vAlign w:val="bottom"/>
          </w:tcPr>
          <w:p>
            <w:pPr>
              <w:spacing w:after="0"/>
              <w:rPr>
                <w:sz w:val="18"/>
                <w:szCs w:val="18"/>
                <w:color w:val="auto"/>
              </w:rPr>
            </w:pPr>
          </w:p>
        </w:tc>
        <w:tc>
          <w:tcPr>
            <w:tcW w:w="87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0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580" w:type="dxa"/>
            <w:vAlign w:val="bottom"/>
            <w:gridSpan w:val="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00" w:type="dxa"/>
            <w:vAlign w:val="bottom"/>
            <w:gridSpan w:val="5"/>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21</w:t>
            </w: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20"/>
        </w:trPr>
        <w:tc>
          <w:tcPr>
            <w:tcW w:w="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Changes in Securities, Use of Proceeds and Issuer Purchases of Equity Securities</w:t>
            </w:r>
          </w:p>
        </w:tc>
        <w:tc>
          <w:tcPr>
            <w:tcW w:w="2360" w:type="dxa"/>
            <w:vAlign w:val="bottom"/>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Reports on Form 6-K</w:t>
            </w:r>
          </w:p>
        </w:tc>
        <w:tc>
          <w:tcPr>
            <w:tcW w:w="6660" w:type="dxa"/>
            <w:vAlign w:val="bottom"/>
            <w:gridSpan w:val="11"/>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196"/>
        </w:trPr>
        <w:tc>
          <w:tcPr>
            <w:tcW w:w="11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7820" w:type="dxa"/>
            <w:vAlign w:val="bottom"/>
            <w:gridSpan w:val="1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31</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247,390</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957,865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1,028,357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228,498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1,771,182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755,601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149,254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160,729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704,468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6,204,554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shd w:val="clear" w:color="auto" w:fill="CFF0FC"/>
          </w:tcPr>
          <w:p>
            <w:pPr>
              <w:spacing w:after="0"/>
              <w:rPr>
                <w:sz w:val="18"/>
                <w:szCs w:val="18"/>
                <w:color w:val="auto"/>
              </w:rPr>
            </w:pP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346,171</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778,939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personnel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115,247</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1,340,561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646,291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2,886,965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and outstanding</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290,011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288,485 issued and 111,219 and 112,891 outstanding,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4,495,539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4,413,503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178,792 and 175,594 ordinary shares, respectively</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(8,064,154)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(7,784,434)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6,827,719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3,460,757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3,502,226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6,204,554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-3771265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4"/>
              </w:rPr>
              <w:t>2025</w:t>
            </w:r>
            <w:r>
              <w:rPr>
                <w:rFonts w:ascii="Times New Roman" w:cs="Times New Roman" w:eastAsia="Times New Roman" w:hAnsi="Times New Roman"/>
                <w:sz w:val="21"/>
                <w:szCs w:val="21"/>
                <w:b w:val="1"/>
                <w:bCs w:val="1"/>
                <w:color w:val="auto"/>
                <w:w w:val="94"/>
                <w:vertAlign w:val="superscript"/>
              </w:rPr>
              <w:t>(a)</w:t>
            </w:r>
          </w:p>
        </w:tc>
        <w:tc>
          <w:tcPr>
            <w:tcW w:w="88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2025</w:t>
            </w:r>
            <w:r>
              <w:rPr>
                <w:rFonts w:ascii="Times New Roman" w:cs="Times New Roman" w:eastAsia="Times New Roman" w:hAnsi="Times New Roman"/>
                <w:sz w:val="21"/>
                <w:szCs w:val="21"/>
                <w:b w:val="1"/>
                <w:bCs w:val="1"/>
                <w:color w:val="auto"/>
                <w:w w:val="94"/>
                <w:vertAlign w:val="superscript"/>
              </w:rPr>
              <w:t>(a)</w:t>
            </w:r>
          </w:p>
        </w:tc>
        <w:tc>
          <w:tcPr>
            <w:tcW w:w="102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1,245,849</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2,238,258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2,491,048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801,996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1,380,308</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1,614,740</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166,129</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180,361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147,609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256,712</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290,113</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31,757</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32,608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6,783</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33,160</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930,468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1,841,689</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2,150,982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396,569</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340,066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(14,874)</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(21,428)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381,695</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318,638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65,842</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315,853</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268,147</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420" w:type="dxa"/>
            <w:vAlign w:val="bottom"/>
          </w:tcPr>
          <w:p>
            <w:pPr>
              <w:spacing w:after="0"/>
              <w:rPr>
                <w:sz w:val="17"/>
                <w:szCs w:val="17"/>
                <w:color w:val="auto"/>
              </w:rPr>
            </w:pP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314,376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266,467</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7"/>
                <w:szCs w:val="17"/>
                <w:color w:val="auto"/>
              </w:rPr>
            </w:pPr>
          </w:p>
        </w:tc>
        <w:tc>
          <w:tcPr>
            <w:tcW w:w="6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1.006</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0.914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-2699385</wp:posOffset>
            </wp:positionV>
            <wp:extent cx="3360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-1628140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-1628140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-1628140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-770890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-770890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-770890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-462280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-445135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-462280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-462280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ind w:right="260" w:firstLine="51"/>
        <w:spacing w:after="0" w:line="282" w:lineRule="auto"/>
        <w:tabs>
          <w:tab w:leader="none" w:pos="27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first quarter of fiscal year 2025, we phased out several low-margin, non-core business activities, which were included in the three and six months ended March 31, 2024, for more details see ‘Item 2. Operating and Financial Review and Prospects’</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15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119,425</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315,853</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268,147</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(3,396)</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40,172</w:t>
            </w:r>
          </w:p>
        </w:tc>
      </w:tr>
      <w:tr>
        <w:trPr>
          <w:trHeight w:val="21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5,710</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45,882</w:t>
            </w:r>
          </w:p>
        </w:tc>
      </w:tr>
      <w:tr>
        <w:trPr>
          <w:trHeight w:val="20"/>
        </w:trPr>
        <w:tc>
          <w:tcPr>
            <w:tcW w:w="1500" w:type="dxa"/>
            <w:vAlign w:val="bottom"/>
            <w:shd w:val="clear" w:color="auto" w:fill="CFF0FC"/>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315,267</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314,029</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1,680</w:t>
            </w: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82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159,506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117,564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313,790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312,349</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-591185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-282575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-282575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 w:lineRule="exact"/>
        <w:rPr>
          <w:sz w:val="20"/>
          <w:szCs w:val="20"/>
          <w:color w:val="auto"/>
        </w:rPr>
      </w:pPr>
    </w:p>
    <w:p>
      <w:pPr>
        <w:ind w:left="380" w:hanging="372"/>
        <w:spacing w:after="0" w:line="261"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$710 and $359 for the three months ended March 31, 2025 and 2024, respectively, and of $191 and $2,466 for the six months ended March 31, 2025 and 2024, respectively.</w:t>
      </w: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and six months ended March 31, 2025 and 2024.</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6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6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Interests (2)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112,163</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4,610</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4,464,706</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(7,928,917)</w:t>
            </w:r>
          </w:p>
        </w:tc>
        <w:tc>
          <w:tcPr>
            <w:tcW w:w="16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(1,259)</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6,925,123</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3,464,263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41,597</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3,505,860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163,243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163,243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758</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164,001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0" w:type="dxa"/>
            <w:vAlign w:val="bottom"/>
          </w:tcPr>
          <w:p>
            <w:pPr>
              <w:spacing w:after="0"/>
              <w:rPr>
                <w:sz w:val="1"/>
                <w:szCs w:val="1"/>
                <w:color w:val="auto"/>
              </w:rPr>
            </w:pPr>
          </w:p>
        </w:tc>
      </w:tr>
      <w:tr>
        <w:trPr>
          <w:trHeight w:val="115"/>
        </w:trPr>
        <w:tc>
          <w:tcPr>
            <w:tcW w:w="30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159,506</w:t>
            </w: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758</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160,264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(1,537)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($0.527 per ordinary share)</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(58,615)</w:t>
            </w: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(58,615)</w:t>
            </w:r>
          </w:p>
        </w:tc>
        <w:tc>
          <w:tcPr>
            <w:tcW w:w="0" w:type="dxa"/>
            <w:vAlign w:val="bottom"/>
          </w:tcPr>
          <w:p>
            <w:pPr>
              <w:spacing w:after="0"/>
              <w:rPr>
                <w:sz w:val="1"/>
                <w:szCs w:val="1"/>
                <w:color w:val="auto"/>
              </w:rPr>
            </w:pPr>
          </w:p>
        </w:tc>
      </w:tr>
      <w:tr>
        <w:trPr>
          <w:trHeight w:val="121"/>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25,653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25,653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(886)</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(886)</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12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4,495,539</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(8,064,154 )</w:t>
            </w:r>
          </w:p>
        </w:tc>
        <w:tc>
          <w:tcPr>
            <w:tcW w:w="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(4,996)</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7,029,751</w:t>
            </w:r>
          </w:p>
        </w:tc>
        <w:tc>
          <w:tcPr>
            <w:tcW w:w="120" w:type="dxa"/>
            <w:vAlign w:val="bottom"/>
          </w:tcPr>
          <w:p>
            <w:pPr>
              <w:spacing w:after="0"/>
              <w:rPr>
                <w:sz w:val="10"/>
                <w:szCs w:val="10"/>
                <w:color w:val="auto"/>
              </w:rPr>
            </w:pPr>
          </w:p>
        </w:tc>
        <w:tc>
          <w:tcPr>
            <w:tcW w:w="2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3,460,757</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41,469</w:t>
            </w:r>
          </w:p>
        </w:tc>
        <w:tc>
          <w:tcPr>
            <w:tcW w:w="2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3,502,226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6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6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(Loss) (1)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Interests (2)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116,502</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4,584</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4,294,652</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(7,379,838)</w:t>
            </w:r>
          </w:p>
        </w:tc>
        <w:tc>
          <w:tcPr>
            <w:tcW w:w="16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(6,452)</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6,646,799</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3,559,745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42,608</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3,602,353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118,502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118,502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923</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(938)</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(938)</w:t>
            </w: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(938)</w:t>
            </w:r>
          </w:p>
        </w:tc>
        <w:tc>
          <w:tcPr>
            <w:tcW w:w="0" w:type="dxa"/>
            <w:vAlign w:val="bottom"/>
          </w:tcPr>
          <w:p>
            <w:pPr>
              <w:spacing w:after="0"/>
              <w:rPr>
                <w:sz w:val="1"/>
                <w:szCs w:val="1"/>
                <w:color w:val="auto"/>
              </w:rPr>
            </w:pPr>
          </w:p>
        </w:tc>
      </w:tr>
      <w:tr>
        <w:trPr>
          <w:trHeight w:val="115"/>
        </w:trPr>
        <w:tc>
          <w:tcPr>
            <w:tcW w:w="30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117,564</w:t>
            </w: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923</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118,487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11,693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11,696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(1,264)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(115,416)</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(115,416)</w:t>
            </w: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(115,416)</w:t>
            </w:r>
          </w:p>
        </w:tc>
        <w:tc>
          <w:tcPr>
            <w:tcW w:w="0" w:type="dxa"/>
            <w:vAlign w:val="bottom"/>
          </w:tcPr>
          <w:p>
            <w:pPr>
              <w:spacing w:after="0"/>
              <w:rPr>
                <w:sz w:val="1"/>
                <w:szCs w:val="1"/>
                <w:color w:val="auto"/>
              </w:rPr>
            </w:pPr>
          </w:p>
        </w:tc>
      </w:tr>
      <w:tr>
        <w:trPr>
          <w:trHeight w:val="122"/>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($0.479 per ordinary share)</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(55,528)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(55,528)</w:t>
            </w: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(55,528)</w:t>
            </w:r>
          </w:p>
        </w:tc>
        <w:tc>
          <w:tcPr>
            <w:tcW w:w="0" w:type="dxa"/>
            <w:vAlign w:val="bottom"/>
          </w:tcPr>
          <w:p>
            <w:pPr>
              <w:spacing w:after="0"/>
              <w:rPr>
                <w:sz w:val="1"/>
                <w:szCs w:val="1"/>
                <w:color w:val="auto"/>
              </w:rPr>
            </w:pPr>
          </w:p>
        </w:tc>
      </w:tr>
      <w:tr>
        <w:trPr>
          <w:trHeight w:val="122"/>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26,345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26,345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26,345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2024</w:t>
            </w: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115,917</w:t>
            </w:r>
          </w:p>
        </w:tc>
        <w:tc>
          <w:tcPr>
            <w:tcW w:w="120" w:type="dxa"/>
            <w:vAlign w:val="bottom"/>
          </w:tcPr>
          <w:p>
            <w:pPr>
              <w:spacing w:after="0"/>
              <w:rPr>
                <w:sz w:val="10"/>
                <w:szCs w:val="10"/>
                <w:color w:val="auto"/>
              </w:rPr>
            </w:pPr>
          </w:p>
        </w:tc>
        <w:tc>
          <w:tcPr>
            <w:tcW w:w="2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4,593</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4,332,690</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(7,495,254 )</w:t>
            </w:r>
          </w:p>
        </w:tc>
        <w:tc>
          <w:tcPr>
            <w:tcW w:w="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(7,390)</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6,709,773</w:t>
            </w:r>
          </w:p>
        </w:tc>
        <w:tc>
          <w:tcPr>
            <w:tcW w:w="120" w:type="dxa"/>
            <w:vAlign w:val="bottom"/>
          </w:tcPr>
          <w:p>
            <w:pPr>
              <w:spacing w:after="0"/>
              <w:rPr>
                <w:sz w:val="10"/>
                <w:szCs w:val="10"/>
                <w:color w:val="auto"/>
              </w:rPr>
            </w:pPr>
          </w:p>
        </w:tc>
        <w:tc>
          <w:tcPr>
            <w:tcW w:w="2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3,544,412</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43,109</w:t>
            </w:r>
          </w:p>
        </w:tc>
        <w:tc>
          <w:tcPr>
            <w:tcW w:w="2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3,587,521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-1696720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-1696720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-1696720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-1696720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-1696720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-1696720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-1696720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-1696720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-93980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-93980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-93980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-93980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-93980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-93980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-93980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-93980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-95885</wp:posOffset>
            </wp:positionV>
            <wp:extent cx="51092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13" w:lineRule="exact"/>
        <w:rPr>
          <w:sz w:val="20"/>
          <w:szCs w:val="20"/>
          <w:color w:val="auto"/>
        </w:rPr>
      </w:pPr>
    </w:p>
    <w:p>
      <w:pPr>
        <w:ind w:left="380" w:hanging="372"/>
        <w:spacing w:after="0" w:line="253" w:lineRule="auto"/>
        <w:tabs>
          <w:tab w:leader="none" w:pos="380" w:val="left"/>
        </w:tabs>
        <w:numPr>
          <w:ilvl w:val="0"/>
          <w:numId w:val="3"/>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March 31, 2025 and 2024, accumulated other comprehensive loss </w:t>
      </w:r>
      <w:r>
        <w:rPr>
          <w:rFonts w:ascii="Times New Roman" w:cs="Times New Roman" w:eastAsia="Times New Roman" w:hAnsi="Times New Roman"/>
          <w:sz w:val="15"/>
          <w:szCs w:val="15"/>
          <w:color w:val="000000"/>
        </w:rPr>
        <w:t>is comprised of unrealized (loss) gain on derivatives, net of tax, of $(359) and $5,495 unrealized loss on</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short-term interest-bearing investments, net of tax, of $(2,428) and $(10,493), and unrealized loss on defined benefit plan, net of tax, of $(2,209) and $(2,392), respectively.</w:t>
      </w:r>
    </w:p>
    <w:p>
      <w:pPr>
        <w:ind w:left="380" w:hanging="372"/>
        <w:spacing w:after="0" w:line="261" w:lineRule="auto"/>
        <w:tabs>
          <w:tab w:leader="none" w:pos="3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2"/>
              </w:rPr>
              <w:t>Accumulate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0"/>
              </w:rPr>
              <w:t>Comprehens</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1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88"/>
              </w:rPr>
              <w:t>ive</w:t>
            </w:r>
          </w:p>
        </w:tc>
        <w:tc>
          <w:tcPr>
            <w:tcW w:w="180" w:type="dxa"/>
            <w:vAlign w:val="bottom"/>
          </w:tcPr>
          <w:p>
            <w:pPr>
              <w:spacing w:after="0"/>
              <w:rPr>
                <w:sz w:val="10"/>
                <w:szCs w:val="10"/>
                <w:color w:val="auto"/>
              </w:rPr>
            </w:pPr>
          </w:p>
        </w:tc>
        <w:tc>
          <w:tcPr>
            <w:tcW w:w="6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w:t>
            </w:r>
          </w:p>
        </w:tc>
        <w:tc>
          <w:tcPr>
            <w:tcW w:w="1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Interests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112,891</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4,598</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4,413,503</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(7,784,434)</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(4,410)</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6,827,719</w:t>
            </w:r>
          </w:p>
        </w:tc>
        <w:tc>
          <w:tcPr>
            <w:tcW w:w="10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3,456,976</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42,201</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3,499,177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314,376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314,376</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315,853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0" w:type="dxa"/>
            <w:vAlign w:val="bottom"/>
          </w:tcPr>
          <w:p>
            <w:pPr>
              <w:spacing w:after="0"/>
              <w:rPr>
                <w:sz w:val="1"/>
                <w:szCs w:val="1"/>
                <w:color w:val="auto"/>
              </w:rPr>
            </w:pPr>
          </w:p>
        </w:tc>
      </w:tr>
      <w:tr>
        <w:trPr>
          <w:trHeight w:val="115"/>
        </w:trPr>
        <w:tc>
          <w:tcPr>
            <w:tcW w:w="302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313,790</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1,477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315,267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13,347</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13,350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(3,198)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($1.006 per ordinary share)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(112,344)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(112,344)</w:t>
            </w: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(112,344)</w:t>
            </w: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16,516</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52,173</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52,173</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(2,209)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(2,209)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4,495,539</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(8,064,154 )</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(4,996)</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7,029,751</w:t>
            </w:r>
          </w:p>
        </w:tc>
        <w:tc>
          <w:tcPr>
            <w:tcW w:w="10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3,460,757</w:t>
            </w: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41,469</w:t>
            </w:r>
          </w:p>
        </w:tc>
        <w:tc>
          <w:tcPr>
            <w:tcW w:w="14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3,502,226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2"/>
              </w:rPr>
              <w:t>Accumulate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0"/>
              </w:rPr>
              <w:t>Comprehens</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1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88"/>
              </w:rPr>
              <w:t>ive</w:t>
            </w:r>
          </w:p>
        </w:tc>
        <w:tc>
          <w:tcPr>
            <w:tcW w:w="180" w:type="dxa"/>
            <w:vAlign w:val="bottom"/>
          </w:tcPr>
          <w:p>
            <w:pPr>
              <w:spacing w:after="0"/>
              <w:rPr>
                <w:sz w:val="10"/>
                <w:szCs w:val="10"/>
                <w:color w:val="auto"/>
              </w:rPr>
            </w:pPr>
          </w:p>
        </w:tc>
        <w:tc>
          <w:tcPr>
            <w:tcW w:w="6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w:t>
            </w:r>
          </w:p>
        </w:tc>
        <w:tc>
          <w:tcPr>
            <w:tcW w:w="1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(Loss)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Interests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117,348</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4,571</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4,244,256</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(7,221,313)</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(53,272)</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6,549,517</w:t>
            </w:r>
          </w:p>
        </w:tc>
        <w:tc>
          <w:tcPr>
            <w:tcW w:w="10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3,523,759</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43,173</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3,566,932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266,467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266,467</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1,680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268,147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45,882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45,882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45,882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2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312,349</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1,680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314,029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16,042</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(3,159)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(273,941)</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(273,941)</w:t>
            </w: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(273,941)</w:t>
            </w:r>
          </w:p>
        </w:tc>
        <w:tc>
          <w:tcPr>
            <w:tcW w:w="0" w:type="dxa"/>
            <w:vAlign w:val="bottom"/>
          </w:tcPr>
          <w:p>
            <w:pPr>
              <w:spacing w:after="0"/>
              <w:rPr>
                <w:sz w:val="1"/>
                <w:szCs w:val="1"/>
                <w:color w:val="auto"/>
              </w:rPr>
            </w:pPr>
          </w:p>
        </w:tc>
      </w:tr>
      <w:tr>
        <w:trPr>
          <w:trHeight w:val="121"/>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($0.958 per ordinary share)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(106,211)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(106,211)</w:t>
            </w: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(106,211)</w:t>
            </w:r>
          </w:p>
        </w:tc>
        <w:tc>
          <w:tcPr>
            <w:tcW w:w="0" w:type="dxa"/>
            <w:vAlign w:val="bottom"/>
          </w:tcPr>
          <w:p>
            <w:pPr>
              <w:spacing w:after="0"/>
              <w:rPr>
                <w:sz w:val="1"/>
                <w:szCs w:val="1"/>
                <w:color w:val="auto"/>
              </w:rPr>
            </w:pPr>
          </w:p>
        </w:tc>
      </w:tr>
      <w:tr>
        <w:trPr>
          <w:trHeight w:val="122"/>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19,967</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52,425</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52,425</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52,425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(1,744)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2024</w:t>
            </w:r>
          </w:p>
        </w:tc>
        <w:tc>
          <w:tcPr>
            <w:tcW w:w="6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115,917</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4,593</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4,332,690</w:t>
            </w:r>
          </w:p>
        </w:tc>
        <w:tc>
          <w:tcPr>
            <w:tcW w:w="3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(7,495,254 )</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(7,390)</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6,709,773</w:t>
            </w:r>
          </w:p>
        </w:tc>
        <w:tc>
          <w:tcPr>
            <w:tcW w:w="10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3,544,412</w:t>
            </w: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43,109</w:t>
            </w:r>
          </w:p>
        </w:tc>
        <w:tc>
          <w:tcPr>
            <w:tcW w:w="14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3,587,521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-1704975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-1688465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-1704975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-1688465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-1704975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-1688465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-1704975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-1688465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-1704975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-1688465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-1704975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-1688465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-1704975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-1688465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-1704975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-1688465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268,147</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97,851</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(71,288)</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(32,526)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(14,493)</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(6,130)</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70,073</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(48,528)</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(62,228)</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(81,829)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FF0FC"/>
          </w:tcPr>
          <w:p>
            <w:pPr>
              <w:spacing w:after="0"/>
              <w:rPr>
                <w:sz w:val="18"/>
                <w:szCs w:val="18"/>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315,044</w:t>
            </w:r>
          </w:p>
        </w:tc>
        <w:tc>
          <w:tcPr>
            <w:tcW w:w="100" w:type="dxa"/>
            <w:vAlign w:val="bottom"/>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8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 net (b)</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(63,346)</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(9,061)</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business acquisitions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(57,169)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(87,129)</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from equity investments and other</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(used) in investing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(128,786)</w:t>
            </w:r>
          </w:p>
        </w:tc>
      </w:tr>
      <w:tr>
        <w:trPr>
          <w:trHeight w:val="210"/>
        </w:trPr>
        <w:tc>
          <w:tcPr>
            <w:tcW w:w="68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8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(279,720)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(273,941)</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(107,810)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(101,736)</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consideration and deferred payment of business acquisitions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(385,916)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(363,423)</w:t>
            </w:r>
          </w:p>
        </w:tc>
      </w:tr>
      <w:tr>
        <w:trPr>
          <w:trHeight w:val="20"/>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(98,695)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(177,165)</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tcPr>
          <w:p>
            <w:pPr>
              <w:spacing w:after="0"/>
              <w:rPr>
                <w:sz w:val="18"/>
                <w:szCs w:val="18"/>
                <w:color w:val="auto"/>
              </w:rPr>
            </w:pPr>
          </w:p>
        </w:tc>
      </w:tr>
      <w:tr>
        <w:trPr>
          <w:trHeight w:val="25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247,390</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342,915</w:t>
            </w:r>
          </w:p>
        </w:tc>
        <w:tc>
          <w:tcPr>
            <w:tcW w:w="10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8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net of refunds (c)</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79,009</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114,574</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shd w:val="clear" w:color="auto" w:fill="CFF0FC"/>
          </w:tcPr>
          <w:p>
            <w:pPr>
              <w:spacing w:after="0"/>
              <w:rPr>
                <w:sz w:val="18"/>
                <w:szCs w:val="18"/>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-2065020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firstLine="413"/>
        <w:spacing w:after="0" w:line="269" w:lineRule="auto"/>
        <w:tabs>
          <w:tab w:leader="none" w:pos="639"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six months ended March 31, 2025 and 2024.</w:t>
      </w:r>
    </w:p>
    <w:p>
      <w:pPr>
        <w:ind w:left="560" w:hanging="22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details, see also Note 10.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2024, set forth in the Company’s Annual Report on Form 20-F filed on December 17, 2024 with the U.S. Securities and Exchange Commission, or the SEC. There have been no material changes to the Company’s significant accounting policies from its Annual Report on Form 20-F for the fiscal year ended September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w:t>
      </w:r>
      <w:r>
        <w:rPr>
          <w:rFonts w:ascii="Times New Roman" w:cs="Times New Roman" w:eastAsia="Times New Roman" w:hAnsi="Times New Roman"/>
          <w:sz w:val="18"/>
          <w:szCs w:val="18"/>
          <w:color w:val="auto"/>
        </w:rPr>
        <w:t>to disclose in the notes of the financial statements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specific expense categories. This ASU will be effective for the Company's annual report for fiscal year 2028 and for interim period reporting beginning in fiscal year 2029, with early adoption permitted and should be applied either prospectively or retroactively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currently evaluating the impact of the adoption on its consolidated financial statements.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2025, the Company completed three business acquisitions for an aggregate net consideration of approximately $59,000 in cash, and a potential for additional consideration which may be paid later based on achievement of certain performance metrics. The majority of this amount was paid for the acquisition of Profinit, a data science and engineering company. These acquisitions, individually and in the aggregate, were not material in the period presented. In allocating the total consideration based on the preliminary estimated fair values for Profinit, the Company recorded $29,418 of goodwill, and $18,439 of customer relationships to be amortized over approximately five years.</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2024, the Company completed two business acquisitions for an aggregate net consideration of approximately $84,500 in cash, and a potential for additional consideration which may be paid later based on achievement of certain performance metrics. The vast majority of this amount was paid for the acquisition of Astadia, which specializes in mainframe-to-cloud migration and modernization. These acquisitions, individually and in the aggregate, were not material in period presented. In allocating the total consideration based on the preliminary estimated fair values for Astadia, the Company recorded $86,894 of goodwill, $27,677 of customer relationships to be amortized over approximately six years, $8,001 of core technology to be amortized over approximately four years, and $1,784 of trademark to be amortized over approximately three years.</w:t>
      </w:r>
    </w:p>
    <w:p>
      <w:pPr>
        <w:spacing w:after="0" w:line="14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22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1"/>
        </w:trPr>
        <w:tc>
          <w:tcPr>
            <w:tcW w:w="69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 billed (net of allowance for credit losses of $43,838 and $32,638 as of</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 and September 30, 2024, respectively)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600,255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665,740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357,610</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362,617</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120,047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477,657</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437,667</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(139,640)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(115,247)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(8,052)</w:t>
            </w: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6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(147,692)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-565150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-565150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and six months ended March 31, 2025, which was included in deferred revenue (current) as of September 30, 2024 was $15,709 and $84,753. Revenue recognized during the three and six months ended March 31, 2024, which was included in deferred revenue (current) as of September 30, 2023 was $26,310 and $142,423, respectively.</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allocated to remaining performance obligations that are unsatisfied or partially unsatisfied was approximately $5.6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747,108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720,285</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1,475,963</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1,442,744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381,095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525,564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762,295</w:t>
            </w:r>
          </w:p>
        </w:tc>
        <w:tc>
          <w:tcPr>
            <w:tcW w:w="4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1,048,304</w:t>
            </w:r>
          </w:p>
        </w:tc>
      </w:tr>
      <w:tr>
        <w:trPr>
          <w:trHeight w:val="20"/>
        </w:trPr>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1,128,203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1,245,849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2,238,258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2,491,048</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738,335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823,206</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1,475,731</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1,661,341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335,908</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366,268</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209,192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426,619</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463,439</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2,238,258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2,491,048</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 the Company's assets and liabilities measured at fair value on a recurring basis as of March 31, 2025 and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(49,077)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(49,077)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43,945</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(15,679)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-1782445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-1782445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-1782445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-1782445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-1216660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8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142,920</w:t>
            </w: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108,420</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108,420</w:t>
            </w: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35,533</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16,660</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16,660</w:t>
            </w: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4,191</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3,438</w:t>
            </w: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132,709</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311,162</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42,190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42,190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(6,380)</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(52,139)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(52,139)</w:t>
            </w: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294,833</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-736600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-736600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-736600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2025.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March 31, 2025 and September 30, 2024. The decrease in Level 3 liabilities was primarily attributable to changes in the fair value recorded in the consolidated statement of income during the three and six months ended March 31, 2025, payments of certain acquisition-related liabilities, which were partially offset by new acquisition-related liabilities recorded against goodwill in connection with recent acquisitions. The decrease in Level 3 assets is primarily due to the sale of an equity investment and, to a lesser extent, changes in fair value recorded in the consolidated statement of income for the three and six months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p>
    <w:p>
      <w:pPr>
        <w:spacing w:after="0" w:line="117"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20" w:type="dxa"/>
            <w:vAlign w:val="bottom"/>
          </w:tcPr>
          <w:p>
            <w:pPr>
              <w:jc w:val="center"/>
              <w:ind w:left="12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tcPr>
          <w:p>
            <w:pPr>
              <w:jc w:val="center"/>
              <w:ind w:left="12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33,849</w:t>
            </w:r>
          </w:p>
        </w:tc>
        <w:tc>
          <w:tcPr>
            <w:tcW w:w="920" w:type="dxa"/>
            <w:vAlign w:val="bottom"/>
            <w:shd w:val="clear" w:color="auto" w:fill="CFF0FC"/>
          </w:tcPr>
          <w:p>
            <w:pPr>
              <w:jc w:val="right"/>
              <w:ind w:right="76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9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28,960</w:t>
            </w:r>
          </w:p>
        </w:tc>
        <w:tc>
          <w:tcPr>
            <w:tcW w:w="9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28,135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14,311</w:t>
            </w:r>
          </w:p>
        </w:tc>
        <w:tc>
          <w:tcPr>
            <w:tcW w:w="9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9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9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112,634</w:t>
            </w:r>
          </w:p>
        </w:tc>
        <w:tc>
          <w:tcPr>
            <w:tcW w:w="920" w:type="dxa"/>
            <w:vAlign w:val="bottom"/>
            <w:shd w:val="clear" w:color="auto" w:fill="CFF0FC"/>
          </w:tcPr>
          <w:p>
            <w:pPr>
              <w:jc w:val="right"/>
              <w:ind w:right="76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110,206</w:t>
            </w: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920" w:type="dxa"/>
            <w:vAlign w:val="bottom"/>
            <w:tcBorders>
              <w:top w:val="single" w:sz="8" w:color="CFF0FC"/>
              <w:bottom w:val="single" w:sz="8" w:color="auto"/>
            </w:tcBorders>
          </w:tcPr>
          <w:p>
            <w:pPr>
              <w:spacing w:after="0"/>
              <w:rPr>
                <w:sz w:val="8"/>
                <w:szCs w:val="8"/>
                <w:color w:val="auto"/>
              </w:rPr>
            </w:pPr>
          </w:p>
        </w:tc>
        <w:tc>
          <w:tcPr>
            <w:tcW w:w="39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-110490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-93980</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-110490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-93980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-110490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-93980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-110490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-93980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2025, $76,358 of securities were classified as short-term interest-bearing investments and $33,849 of securities were classified as cash and cash equivalents.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0" w:type="dxa"/>
            <w:vAlign w:val="bottom"/>
          </w:tcPr>
          <w:p>
            <w:pPr>
              <w:jc w:val="center"/>
              <w:ind w:left="1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tcPr>
          <w:p>
            <w:pPr>
              <w:jc w:val="center"/>
              <w:ind w:left="1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142,920</w:t>
            </w:r>
          </w:p>
        </w:tc>
        <w:tc>
          <w:tcPr>
            <w:tcW w:w="1000" w:type="dxa"/>
            <w:vAlign w:val="bottom"/>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142,920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111,351</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108,420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36,904</w:t>
            </w:r>
          </w:p>
        </w:tc>
        <w:tc>
          <w:tcPr>
            <w:tcW w:w="10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35,533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17,438</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4,317</w:t>
            </w:r>
          </w:p>
        </w:tc>
        <w:tc>
          <w:tcPr>
            <w:tcW w:w="10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3,470</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316,400</w:t>
            </w:r>
          </w:p>
        </w:tc>
        <w:tc>
          <w:tcPr>
            <w:tcW w:w="1000" w:type="dxa"/>
            <w:vAlign w:val="bottom"/>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5,238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311,162</w:t>
            </w:r>
          </w:p>
        </w:tc>
        <w:tc>
          <w:tcPr>
            <w:tcW w:w="0" w:type="dxa"/>
            <w:vAlign w:val="bottom"/>
          </w:tcPr>
          <w:p>
            <w:pPr>
              <w:spacing w:after="0"/>
              <w:rPr>
                <w:sz w:val="1"/>
                <w:szCs w:val="1"/>
                <w:color w:val="auto"/>
              </w:rPr>
            </w:pPr>
          </w:p>
        </w:tc>
      </w:tr>
      <w:tr>
        <w:trPr>
          <w:trHeight w:val="102"/>
        </w:trPr>
        <w:tc>
          <w:tcPr>
            <w:tcW w:w="1500" w:type="dxa"/>
            <w:vAlign w:val="bottom"/>
            <w:tcBorders>
              <w:top w:val="single" w:sz="8" w:color="CFF0FC"/>
              <w:bottom w:val="single" w:sz="8" w:color="auto"/>
            </w:tcBorders>
          </w:tcPr>
          <w:p>
            <w:pPr>
              <w:spacing w:after="0"/>
              <w:rPr>
                <w:sz w:val="8"/>
                <w:szCs w:val="8"/>
                <w:color w:val="auto"/>
              </w:rPr>
            </w:pPr>
          </w:p>
        </w:tc>
        <w:tc>
          <w:tcPr>
            <w:tcW w:w="2420" w:type="dxa"/>
            <w:vAlign w:val="bottom"/>
            <w:tcBorders>
              <w:top w:val="single" w:sz="8" w:color="CFF0FC"/>
            </w:tcBorders>
          </w:tcPr>
          <w:p>
            <w:pPr>
              <w:spacing w:after="0"/>
              <w:rPr>
                <w:sz w:val="8"/>
                <w:szCs w:val="8"/>
                <w:color w:val="auto"/>
              </w:rPr>
            </w:pPr>
          </w:p>
        </w:tc>
        <w:tc>
          <w:tcPr>
            <w:tcW w:w="150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-110490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-110490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-110490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-93345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2024, $168,242 of securities were classified as short-term interest-bearing investments and $142,920 of securities were classified as cash and cash equivalents.</w:t>
      </w:r>
    </w:p>
    <w:p>
      <w:pPr>
        <w:spacing w:after="0" w:line="11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losses. Based on this assessment, the Company did not recognize any credit losses in the three and six months ended March 31, 2025 and 2024.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Company’s available-for-sale securities had the following maturity dates:</w:t>
      </w:r>
    </w:p>
    <w:p>
      <w:pPr>
        <w:spacing w:after="0" w:line="15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60" w:type="dxa"/>
            <w:vAlign w:val="bottom"/>
          </w:tcPr>
          <w:p>
            <w:pPr>
              <w:spacing w:after="0"/>
              <w:rPr>
                <w:sz w:val="15"/>
                <w:szCs w:val="15"/>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77,358</w:t>
            </w:r>
          </w:p>
        </w:tc>
        <w:tc>
          <w:tcPr>
            <w:tcW w:w="60" w:type="dxa"/>
            <w:vAlign w:val="bottom"/>
            <w:shd w:val="clear" w:color="auto" w:fill="CFF0FC"/>
          </w:tcPr>
          <w:p>
            <w:pPr>
              <w:spacing w:after="0"/>
              <w:rPr>
                <w:sz w:val="18"/>
                <w:szCs w:val="18"/>
                <w:color w:val="auto"/>
              </w:rPr>
            </w:pPr>
          </w:p>
        </w:tc>
      </w:tr>
      <w:tr>
        <w:trPr>
          <w:trHeight w:val="216"/>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1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60" w:type="dxa"/>
            <w:vAlign w:val="bottom"/>
            <w:tcBorders>
              <w:bottom w:val="single" w:sz="8" w:color="CFF0FC"/>
            </w:tcBorders>
          </w:tcPr>
          <w:p>
            <w:pPr>
              <w:spacing w:after="0"/>
              <w:rPr>
                <w:sz w:val="18"/>
                <w:szCs w:val="18"/>
                <w:color w:val="auto"/>
              </w:rPr>
            </w:pPr>
          </w:p>
        </w:tc>
      </w:tr>
      <w:tr>
        <w:trPr>
          <w:trHeight w:val="249"/>
        </w:trPr>
        <w:tc>
          <w:tcPr>
            <w:tcW w:w="340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4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immaterial as of March 31, 2025. The Company has limited its credit risk by entering into derivative transactions exclusively with investment-grade rated financial institutions and monitors the creditworthiness of these financial institutions on an ongoing basis.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12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March 31, 2025. Notional values are in U.S. dollars and are translated and calculated based on forward rates as of March 31, 2025 for forward contracts.</w:t>
      </w:r>
    </w:p>
    <w:p>
      <w:pPr>
        <w:spacing w:after="0" w:line="8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7620</wp:posOffset>
            </wp:positionV>
            <wp:extent cx="11912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 w:lineRule="exact"/>
        <w:rPr>
          <w:sz w:val="20"/>
          <w:szCs w:val="20"/>
          <w:color w:val="auto"/>
        </w:rPr>
      </w:pPr>
    </w:p>
    <w:p>
      <w:pPr>
        <w:spacing w:after="0"/>
        <w:tabs>
          <w:tab w:leader="none" w:pos="922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1,578,764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9512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2" w:lineRule="exact"/>
        <w:rPr>
          <w:sz w:val="20"/>
          <w:szCs w:val="20"/>
          <w:color w:val="auto"/>
        </w:rPr>
      </w:pPr>
    </w:p>
    <w:p>
      <w:pPr>
        <w:ind w:left="340" w:right="20" w:hanging="332"/>
        <w:spacing w:after="0" w:line="282" w:lineRule="auto"/>
        <w:tabs>
          <w:tab w:leader="none" w:pos="1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ectPr>
          <w:pgSz w:w="11900" w:h="16838" w:orient="portrait"/>
          <w:cols w:equalWidth="0" w:num="1">
            <w:col w:w="11240"/>
          </w:cols>
          <w:pgMar w:left="320" w:top="765"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March 31, 2025 and September 30, 2024, is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6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(12,212)</w:t>
            </w:r>
          </w:p>
        </w:tc>
      </w:tr>
      <w:tr>
        <w:trPr>
          <w:trHeight w:val="20"/>
        </w:trPr>
        <w:tc>
          <w:tcPr>
            <w:tcW w:w="6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(8,302)</w:t>
            </w:r>
          </w:p>
        </w:tc>
      </w:tr>
      <w:tr>
        <w:trPr>
          <w:trHeight w:val="20"/>
        </w:trPr>
        <w:tc>
          <w:tcPr>
            <w:tcW w:w="6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(6,380)</w:t>
            </w: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-1010920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March 31, 2025 is scheduled to mature within the next 12 months.</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(loss) income,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4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six months ended March 31, 2025 and 2024, respectively, which partially offsets the foreign currency impact from the underlying exposures, is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5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8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Loss (Effective Portion)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80" w:type="dxa"/>
            <w:vAlign w:val="bottom"/>
            <w:gridSpan w:val="6"/>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8"/>
                <w:szCs w:val="18"/>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(losses) gains on cash flow hedges recorded in accumulated other comprehensive loss, net of tax,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1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beginning of period</w:t>
            </w:r>
          </w:p>
        </w:tc>
        <w:tc>
          <w:tcPr>
            <w:tcW w:w="10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3,037</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(34,677)</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26,199</w:t>
            </w:r>
          </w:p>
        </w:tc>
      </w:tr>
      <w:tr>
        <w:trPr>
          <w:trHeight w:val="216"/>
        </w:trPr>
        <w:tc>
          <w:tcPr>
            <w:tcW w:w="2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net losses</w:t>
            </w:r>
          </w:p>
        </w:tc>
        <w:tc>
          <w:tcPr>
            <w:tcW w:w="56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into earnings, net of tax</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(losses) gains</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cash flow hedges, net of tax, end of period</w:t>
            </w:r>
          </w:p>
        </w:tc>
        <w:tc>
          <w:tcPr>
            <w:tcW w:w="10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5,495</w:t>
            </w:r>
          </w:p>
        </w:tc>
      </w:tr>
      <w:tr>
        <w:trPr>
          <w:trHeight w:val="20"/>
        </w:trPr>
        <w:tc>
          <w:tcPr>
            <w:tcW w:w="2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(losses) gains from cash flow hedges recognized in other comprehensive (loss) income were $(4,490) and $27,747, or $(4,383) and $26,199 net of taxes, during the six months ended March 31, 2025 and 2024, respectively.</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net unrealized (losses) gains related to derivatives designated as cash flow hedges and recorded in accumulated other comprehensive loss as of March 31, 2025, a net loss of $500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six months ended March 31, 2025 and 2024, was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six months ended March 31, 2025 and 2024, respectively, which partially offsets the foreign currency impact from the underlying exposure,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 Gains Recognized in Income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r>
      <w:tr>
        <w:trPr>
          <w:trHeight w:val="216"/>
        </w:trPr>
        <w:tc>
          <w:tcPr>
            <w:tcW w:w="5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r>
      <w:tr>
        <w:trPr>
          <w:trHeight w:val="216"/>
        </w:trPr>
        <w:tc>
          <w:tcPr>
            <w:tcW w:w="5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(8,043)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3"/>
              </w:rPr>
              <w:t>7,258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21"/>
                <w:szCs w:val="21"/>
                <w:color w:val="auto"/>
              </w:rPr>
            </w:pPr>
          </w:p>
        </w:tc>
        <w:tc>
          <w:tcPr>
            <w:tcW w:w="4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3"/>
              </w:rPr>
              <w:t>5,625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r>
      <w:tr>
        <w:trPr>
          <w:trHeight w:val="413"/>
        </w:trPr>
        <w:tc>
          <w:tcPr>
            <w:tcW w:w="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2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gridSpan w:val="6"/>
          </w:tcPr>
          <w:p>
            <w:pPr>
              <w:ind w:left="4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339,931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445,253</w:t>
            </w: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42,719</w:t>
            </w:r>
          </w:p>
        </w:tc>
      </w:tr>
      <w:tr>
        <w:trPr>
          <w:trHeight w:val="216"/>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58,615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54,081</w:t>
            </w: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Taxes payable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47,697</w:t>
            </w:r>
          </w:p>
        </w:tc>
      </w:tr>
      <w:tr>
        <w:trPr>
          <w:trHeight w:val="216"/>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12,277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169,382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172,884</w:t>
            </w:r>
          </w:p>
        </w:tc>
        <w:tc>
          <w:tcPr>
            <w:tcW w:w="100" w:type="dxa"/>
            <w:vAlign w:val="bottom"/>
          </w:tcPr>
          <w:p>
            <w:pPr>
              <w:spacing w:after="0"/>
              <w:rPr>
                <w:sz w:val="18"/>
                <w:szCs w:val="18"/>
                <w:color w:val="auto"/>
              </w:rPr>
            </w:pPr>
          </w:p>
        </w:tc>
      </w:tr>
      <w:tr>
        <w:trPr>
          <w:trHeight w:val="249"/>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661,096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778,939</w:t>
            </w:r>
          </w:p>
        </w:tc>
      </w:tr>
      <w:tr>
        <w:trPr>
          <w:trHeight w:val="102"/>
        </w:trPr>
        <w:tc>
          <w:tcPr>
            <w:tcW w:w="440" w:type="dxa"/>
            <w:vAlign w:val="bottom"/>
            <w:tcBorders>
              <w:top w:val="single" w:sz="8" w:color="CFF0FC"/>
              <w:bottom w:val="single" w:sz="8" w:color="auto"/>
            </w:tcBorders>
          </w:tcPr>
          <w:p>
            <w:pPr>
              <w:spacing w:after="0"/>
              <w:rPr>
                <w:sz w:val="8"/>
                <w:szCs w:val="8"/>
                <w:color w:val="auto"/>
              </w:rPr>
            </w:pPr>
          </w:p>
        </w:tc>
        <w:tc>
          <w:tcPr>
            <w:tcW w:w="1060" w:type="dxa"/>
            <w:vAlign w:val="bottom"/>
            <w:tcBorders>
              <w:top w:val="single" w:sz="8" w:color="CFF0FC"/>
              <w:bottom w:val="single" w:sz="8" w:color="auto"/>
            </w:tcBorders>
          </w:tcPr>
          <w:p>
            <w:pPr>
              <w:spacing w:after="0"/>
              <w:rPr>
                <w:sz w:val="8"/>
                <w:szCs w:val="8"/>
                <w:color w:val="auto"/>
              </w:rPr>
            </w:pPr>
          </w:p>
        </w:tc>
        <w:tc>
          <w:tcPr>
            <w:tcW w:w="42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94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-2073910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-2056765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-2073910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-2056765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-2073910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-2056765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-111125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-93980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further details, please see Note 10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(the “2023 Restructuring Plan”), primarily associated with alignment of the Company’s workforce around its global site strategy, the optimization of the Company’s hybrid work model, as well as appropriate measures to optimize expenditures and resource allocation, as a result of which, the Company incurred restructuring charges of $70,901. The remaining liability under the 2023 Restructuring Plan, as of March 31, 2025, is immaterial and most of it is expected to be paid during the fiscal year 2025.</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year 2024, the Company initiated a new restructuring plan (the “2024 Restructuring Plan”), which was mainly comprised of employee severance expenses and benefits arrangements. The majority of the remaining liability under the 2024 Restructuring Plan, as of March 31, 2025, is expected to be paid during the coming several quarters. The Company expects to execute the remainder of the 2024 Restructuring plan over the next several quarters.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2024 and 2023 Restructuring Plans, as of March 31, 2025 were as follows (*)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October 1, 2024</w:t>
            </w:r>
          </w:p>
        </w:tc>
        <w:tc>
          <w:tcPr>
            <w:tcW w:w="2240" w:type="dxa"/>
            <w:vAlign w:val="bottom"/>
            <w:gridSpan w:val="2"/>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77,984</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(20,657)</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(20,899)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December 31, 2024</w:t>
            </w:r>
          </w:p>
        </w:tc>
        <w:tc>
          <w:tcPr>
            <w:tcW w:w="5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59,604</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63,451</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(20,331)</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(21,857)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r>
      <w:tr>
        <w:trPr>
          <w:trHeight w:val="25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March 31, 2025</w:t>
            </w:r>
          </w:p>
        </w:tc>
        <w:tc>
          <w:tcPr>
            <w:tcW w:w="5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table above does not include amounts related to employees' benefit incurred in prior periods.</w:t>
      </w:r>
    </w:p>
    <w:p>
      <w:pPr>
        <w:spacing w:after="0" w:line="27"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2023 Restructuring Plan which was presented in prior periods in a separate table, is now combined with the table for 2024 Restructuring Plan, due to immateriality of the remaining liability for the 2023 Restructuring Plan.</w:t>
      </w:r>
    </w:p>
    <w:p>
      <w:pPr>
        <w:spacing w:after="0" w:line="366"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for the following periods consisted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5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4"/>
          </w:tcPr>
          <w:p>
            <w:pPr>
              <w:jc w:val="cente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24,624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17,415</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63,546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49,932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r>
      <w:tr>
        <w:trPr>
          <w:trHeight w:val="20"/>
        </w:trPr>
        <w:tc>
          <w:tcPr>
            <w:tcW w:w="5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25,269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24,657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65,842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50,491</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6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5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r>
      <w:tr>
        <w:trPr>
          <w:trHeight w:val="21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(1)</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102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028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2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2025:</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six months ended March 31, 2025, the Company recorded a tax benefit of $16,010 related to the release of prior periods accrued withholding taxes on unremitted earnings accumulated in a certain jurisdiction. The release of the accrued withholding taxes followed the Company’s funding decisions relating to investment allocation decision.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six months ended March 31, 2025 also included a benefit of $4,991 relating primarily to release of gross unrecognized tax benefits due to expiration of the periods set forth in statutes of limitations in certain jurisdictions, and settlements of tax audits.</w:t>
      </w:r>
    </w:p>
    <w:p>
      <w:pPr>
        <w:spacing w:after="0" w:line="144"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2024:</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taxes in the six months ended March 31, 2024 included a benefit of $64,874 relating primarily to release of gross unrecognized tax benefits due to settlements of tax audits, and expiration of the periods set forth in statutes of limitations in certain jurisdictions. The majority of the release was offset by an increase in taxes payable and tax payments, and, as a result, a net benefit of $31,087 was included within income tax expense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9512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5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deferred tax assets of $59,948, derived primarily from tax credits, net capital and operating loss carry forwards related to some of the Company's subsidiaries, were offset by valuation allowances due to the uncertainty of realizing tax benefit for such credits and losses.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amount of gross unrecognized tax benefits, was $165,249 as of March 31, 2025, all of which would affect the effective tax rate if realized.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amount includes an accrual of $34,660 in income taxes payable for interest and penalties relating to unrecognized tax benefits.</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March 31, 2025, the Company cannot estimate the change in unrecognized tax benefits resulting from these audits within the next 12 months.</w:t>
      </w:r>
    </w:p>
    <w:p>
      <w:pPr>
        <w:spacing w:after="0" w:line="131"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163,243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118,502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314,376</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266,467</w:t>
            </w: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and dividends attributable to participating restricted stock</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(5,861)</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(4,951)</w:t>
            </w:r>
          </w:p>
        </w:tc>
      </w:tr>
      <w:tr>
        <w:trPr>
          <w:trHeight w:val="20"/>
        </w:trPr>
        <w:tc>
          <w:tcPr>
            <w:tcW w:w="55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160,163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116,243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308,515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261,516</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5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1,967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3,754</w:t>
            </w:r>
          </w:p>
        </w:tc>
        <w:tc>
          <w:tcPr>
            <w:tcW w:w="4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2,971</w:t>
            </w: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(3,733)</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(2,953)</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160,173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116,250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308,536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261,534</w:t>
            </w:r>
          </w:p>
        </w:tc>
      </w:tr>
      <w:tr>
        <w:trPr>
          <w:trHeight w:val="196"/>
        </w:trPr>
        <w:tc>
          <w:tcPr>
            <w:tcW w:w="5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111,961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116,404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112,357</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116,623</w:t>
            </w: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(2,167)</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109,849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114,185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110,262</w:t>
            </w: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114,456</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420" w:type="dxa"/>
            <w:vAlign w:val="bottom"/>
          </w:tcPr>
          <w:p>
            <w:pPr>
              <w:spacing w:after="0"/>
              <w:rPr>
                <w:sz w:val="17"/>
                <w:szCs w:val="17"/>
                <w:color w:val="auto"/>
              </w:rPr>
            </w:pP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708</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110,402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114,906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110,886</w:t>
            </w: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115,164</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3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2.28</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5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2.27</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-1833880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-1833880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-1833880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-1242060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-1242060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-1242060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-1224915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-1242060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-659130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-641985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-659130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-641985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-659130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-641985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-641985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-350520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March 31, 2025, 240 and 150 shares, respectively, on a weighted average basis, were attributable to antidilutive outstanding equity-based compensation awards. For the three and six months ended March 31, 2024, 162 and 92,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02"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w:t>
      </w:r>
      <w:r>
        <w:rPr>
          <w:rFonts w:ascii="Times New Roman" w:cs="Times New Roman" w:eastAsia="Times New Roman" w:hAnsi="Times New Roman"/>
          <w:sz w:val="18"/>
          <w:szCs w:val="18"/>
          <w:color w:val="231F20"/>
        </w:rPr>
        <w:t>During the six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March 31, 2025, </w:t>
      </w:r>
      <w:r>
        <w:rPr>
          <w:rFonts w:ascii="Times New Roman" w:cs="Times New Roman" w:eastAsia="Times New Roman" w:hAnsi="Times New Roman"/>
          <w:sz w:val="18"/>
          <w:szCs w:val="18"/>
          <w:color w:val="000000"/>
        </w:rPr>
        <w:t>the Company repurchased 3,198 ordinary shares at an average price of $87.44 per share (excluding broker and transaction fees). As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March 31, 2025, the Company had remaining authority to repurchase up to $257,972 of its outstanding ordinary shares under the August 2023 plan. On May 7, 2025, the Company’s Board of Directors adopted a share repurchase plan for the repurchase of up to an additional $1.0 billion of the Company’s outstanding ordinary shares with no expiration date, which brings the aggregate unused authorization under both the August 2023 and the May 2025 plans to $1.26 billion. The May 2025 plan permits the Company to purchase our ordinary shares in the open market or through privately negotiated transactions at times and prices that the Company considers appropriate.</w:t>
      </w:r>
    </w:p>
    <w:p>
      <w:pPr>
        <w:spacing w:after="0" w:line="393"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As of March 31, 2025, the Company was in compliance with the financial covenants and had no outstanding borrowings under the Revolving Credit Facility.</w:t>
      </w:r>
    </w:p>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and six months ended March 31, 2025 were $4,207 and $8,524, respectively, and $4,249 and $8,562 for three and six months ended March 31, 2024. The accrued interest on the Senior Notes is included in accrued expenses and other current liabilities and was $4,804 as of March 31, 2025. </w:t>
      </w:r>
      <w:r>
        <w:rPr>
          <w:rFonts w:ascii="Times New Roman" w:cs="Times New Roman" w:eastAsia="Times New Roman" w:hAnsi="Times New Roman"/>
          <w:sz w:val="18"/>
          <w:szCs w:val="18"/>
          <w:color w:val="231F20"/>
        </w:rPr>
        <w:t>As of March 31, 2025, the noncurrent outstanding principal</w:t>
      </w:r>
      <w:r>
        <w:rPr>
          <w:rFonts w:ascii="Times New Roman" w:cs="Times New Roman" w:eastAsia="Times New Roman" w:hAnsi="Times New Roman"/>
          <w:sz w:val="18"/>
          <w:szCs w:val="18"/>
          <w:color w:val="auto"/>
        </w:rPr>
        <w:t xml:space="preserve"> portion was $650,000.</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March 31, 2025 was $578,832. The fair value was determined based on observable data, such as quoted prices for similar liabilities in active markets of Senior Notes as of March 31, 2025 and is deemed a Level 2 liability within the fair value measurement framework.</w:t>
      </w:r>
    </w:p>
    <w:p>
      <w:pPr>
        <w:spacing w:after="0" w:line="14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additional uncommitted lines of credit available for general corporate and other specific purposes. The Company had outstanding letters of credit and bank guarantees from various banks totaling $89,884 as of March 31, 2025.</w:t>
      </w:r>
    </w:p>
    <w:p>
      <w:pPr>
        <w:spacing w:after="0" w:line="117"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term of primarily ten years. Also, in accordance with the Equity Incentive Plan, options were issued at or above the market price at the time of the grant.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the Company granted 1,007 restricted stock, 280 restricted stock units and stock options to purchase 82 ordinary shares. The weighted average fair values associated with these grants were $82.22 per restricted stock, $83.11 per restricted stock unit and $12.04 per stock option.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March 31, 2025, 799 ordinary shares have been issued since the commencement of the ESPP.</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2025, the Company issued 251 ordinary shares to employees under the ESPP at a weighted average price of $65.81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0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six months ended March 31, 2025 and 2024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13,248</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25,606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26,775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4,123</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22,013</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21,527</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52,173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52,425</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March 31, 2025, there was $124,528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there was $1,463 of unrecognized compensation expense related to the ESPP which is expected to be recognized over the remaining purchase period.</w:t>
      </w:r>
    </w:p>
    <w:p>
      <w:pPr>
        <w:spacing w:after="0" w:line="117"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six months ended March 31, 2025 and 2024: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6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80" w:type="dxa"/>
            <w:vAlign w:val="bottom"/>
            <w:vMerge w:val="restart"/>
          </w:tcPr>
          <w:p>
            <w:pPr>
              <w:spacing w:after="0"/>
              <w:rPr>
                <w:sz w:val="13"/>
                <w:szCs w:val="13"/>
                <w:color w:val="auto"/>
              </w:rPr>
            </w:pPr>
          </w:p>
        </w:tc>
        <w:tc>
          <w:tcPr>
            <w:tcW w:w="17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0.527</w:t>
            </w: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58,615</w:t>
            </w: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0.479</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53,729</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0.479</w:t>
            </w: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55,528</w:t>
            </w: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0.435</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50,683</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February 4, 2025 and February 6, 2024 declarations were included in accrued expenses and other current liabilities as of March 31, 2025 and 2024, respectively.</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May 7, 2025 the Company’s Board of Directors approved the next quarterly dividend payment and set June 30, 2025 as the record date for determining the shareholders entitled to receive the dividend, which is payable on July 25, 2025.</w:t>
      </w:r>
    </w:p>
    <w:p>
      <w:pPr>
        <w:spacing w:after="0" w:line="117"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2024, filed on December 17, 2024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enable service providers to cost-effectively engage their customers, introduce new products and services, automate service and network operations, monetize connectivity and content, support new business models and generally enhance their understanding of their customers.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standalone, fixed wireless access (FWA),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monetization, service and network automation, are designed to meet the challenges facing our customers as they roll out 5G networks, migrate to the cloud, introduce generative AI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six months ended March 31, 2025, customers in North America accounted for 65.9%% of our revenue, while customers in Europe and the rest of the world accounted for 15.0%% and 19.1%%, respectively. We maintain and support development facilities in Brazil, Canada, Cyprus, India, Ireland, Israel, Mexico, the Philippines, the UK and the United States.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4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4 to our consolidated financial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and cloud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$747.1 million and $720.3 million in the three months ended March 31, 2025 and 2024, respectively, and $1.48 billion and $1.44 billion in the six months ended March 31, 2025 and 2024.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and six months ended March 31, 2025 and 2024. Certain items in our consolidated statements of income are reflected as a percentage of revenue (figures may not sum because of rounding):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gridSpan w:val="3"/>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566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Borders>
              <w:bottom w:val="single" w:sz="8" w:color="auto"/>
            </w:tcBorders>
            <w:gridSpan w:val="3"/>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64.4</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61.7</w:t>
            </w:r>
          </w:p>
        </w:tc>
        <w:tc>
          <w:tcPr>
            <w:tcW w:w="4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197"/>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top w:val="single" w:sz="8" w:color="CFF0FC"/>
            </w:tcBorders>
          </w:tcPr>
          <w:p>
            <w:pPr>
              <w:spacing w:after="0"/>
              <w:rPr>
                <w:sz w:val="17"/>
                <w:szCs w:val="17"/>
                <w:color w:val="auto"/>
              </w:rPr>
            </w:pPr>
          </w:p>
        </w:tc>
      </w:tr>
      <w:tr>
        <w:trPr>
          <w:trHeight w:val="23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-1182370</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-1182370</wp:posOffset>
            </wp:positionV>
            <wp:extent cx="1028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-1182370</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-325120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-307975</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-325120</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-325120</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-307975</wp:posOffset>
            </wp:positionV>
            <wp:extent cx="1028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-325120</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-307975</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1028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102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102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1028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028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2025 and 2024</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six months ended March 31, 2025 compared to the six months ended March 31, 2024. Following the table is a discussion and analysis of our business and results of operations for such periods.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25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6"/>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restart"/>
          </w:tcPr>
          <w:p>
            <w:pPr>
              <w:jc w:val="right"/>
              <w:ind w:right="60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9"/>
                <w:szCs w:val="19"/>
                <w:b w:val="1"/>
                <w:bCs w:val="1"/>
                <w:color w:val="auto"/>
                <w:vertAlign w:val="superscript"/>
              </w:rPr>
              <w:t>(a)</w:t>
            </w:r>
          </w:p>
        </w:tc>
        <w:tc>
          <w:tcPr>
            <w:tcW w:w="100" w:type="dxa"/>
            <w:vAlign w:val="bottom"/>
          </w:tcPr>
          <w:p>
            <w:pPr>
              <w:spacing w:after="0"/>
              <w:rPr>
                <w:sz w:val="2"/>
                <w:szCs w:val="2"/>
                <w:color w:val="auto"/>
              </w:rPr>
            </w:pP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Revenue (*)</w:t>
            </w:r>
          </w:p>
        </w:tc>
        <w:tc>
          <w:tcPr>
            <w:tcW w:w="10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2,238,258</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ind w:left="320"/>
              <w:spacing w:after="0" w:line="203" w:lineRule="exact"/>
              <w:rPr>
                <w:sz w:val="20"/>
                <w:szCs w:val="20"/>
                <w:color w:val="auto"/>
              </w:rPr>
            </w:pPr>
            <w:r>
              <w:rPr>
                <w:rFonts w:ascii="Times New Roman" w:cs="Times New Roman" w:eastAsia="Times New Roman" w:hAnsi="Times New Roman"/>
                <w:sz w:val="18"/>
                <w:szCs w:val="18"/>
                <w:color w:val="auto"/>
                <w:w w:val="94"/>
              </w:rPr>
              <w:t>2,491,048</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(252,790)</w:t>
            </w:r>
          </w:p>
        </w:tc>
        <w:tc>
          <w:tcPr>
            <w:tcW w:w="2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1,380,308</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1,614,740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(234,432)</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166,129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256,712</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290,113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(33,401)</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33,160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(26,377)</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2,150,982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(309,293)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396,569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340,066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56,503</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(14,874)</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381,695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318,638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63,057</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315,853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268,147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47,706</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1,680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14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1220" w:type="dxa"/>
            <w:vAlign w:val="bottom"/>
            <w:gridSpan w:val="2"/>
            <w:shd w:val="clear" w:color="auto" w:fill="CFF0FC"/>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314,376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266,467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47,909</w:t>
            </w:r>
          </w:p>
        </w:tc>
        <w:tc>
          <w:tcPr>
            <w:tcW w:w="14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844"/>
        </w:trPr>
        <w:tc>
          <w:tcPr>
            <w:tcW w:w="47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-3436620</wp:posOffset>
            </wp:positionV>
            <wp:extent cx="15944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-3222625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-3222625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-3222625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-2253615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-2253615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-2253615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-2253615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-1396365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-1379220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-1396365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-1379220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-1396365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-1379220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-1396365</wp:posOffset>
            </wp:positionV>
            <wp:extent cx="137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-1379220</wp:posOffset>
            </wp:positionV>
            <wp:extent cx="137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-1070610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-1053465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-1070610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-1053465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-1070610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-1053465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-1070610</wp:posOffset>
            </wp:positionV>
            <wp:extent cx="137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-1053465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Geographic Information:</w:t>
      </w:r>
    </w:p>
    <w:tbl>
      <w:tblPr>
        <w:tblLayout w:type="fixed"/>
        <w:tblInd w:w="0" w:type="dxa"/>
        <w:tblCellMar>
          <w:top w:w="0" w:type="dxa"/>
          <w:left w:w="0" w:type="dxa"/>
          <w:bottom w:w="0" w:type="dxa"/>
          <w:right w:w="0" w:type="dxa"/>
        </w:tblCellMar>
      </w:tblPr>
      <w:tr>
        <w:trPr>
          <w:trHeight w:val="151"/>
        </w:trPr>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00" w:type="dxa"/>
            <w:vAlign w:val="bottom"/>
            <w:gridSpan w:val="5"/>
          </w:tcPr>
          <w:p>
            <w:pPr>
              <w:ind w:left="76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(Decrease) Increase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1,661,341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(185,610)</w:t>
            </w: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366,268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(30,360)</w:t>
            </w:r>
          </w:p>
        </w:tc>
        <w:tc>
          <w:tcPr>
            <w:tcW w:w="6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463,439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(36,820)</w:t>
            </w: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2,238,258</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2,491,048</w:t>
            </w:r>
          </w:p>
        </w:tc>
        <w:tc>
          <w:tcPr>
            <w:tcW w:w="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(252,790)</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decreased by $252.8 million, or (10.1)%, to $2,238.3 million in the six months ended March 31, 2025, from $2,491.0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March 31, 2024. During the six months ended March 31, 2025, we phased out several low-margin, non-core business activities, the results of which were included in the six months ended March 31, 2024. Excluding the effects of phasing out those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immaterial impact of negative foreign currency fluctuations, revenue for the six months ended March 31, 2025, increased by 2.9%, compared to the six months ended March 31, 2024.</w:t>
      </w:r>
    </w:p>
    <w:p>
      <w:pPr>
        <w:spacing w:after="0" w:line="15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six months ended March 31, 2025, revenue from customers in North America, Europe and the rest of the world accounted for 65.9%%, 15.0%% and 19.1%%, respectively, of total revenue, compared to 66.7%, 14.7% and 18.6%, respectively, in the six months ended March 31, 2024.</w:t>
      </w:r>
    </w:p>
    <w:p>
      <w:pPr>
        <w:spacing w:after="0" w:line="135"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8"/>
          <w:szCs w:val="18"/>
          <w:color w:val="auto"/>
        </w:rPr>
        <w:t>Revenue from customers in North America decreased in absolute amounts during the six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which was partially offset by higher revenue from managed services activities.</w:t>
      </w:r>
    </w:p>
    <w:p>
      <w:pPr>
        <w:spacing w:after="0" w:line="39"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Revenue from customers in Europe decreased in absolute amounts during the six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Revenue from customers in Europe slightly increased as a percentage of total revenue to 15.0% from 14.7% in the six months ended March 31, 2025 compared to six months ended March 31, 2024, benefiting from the ramp-up of new deal activities and a contribution from the previously completed acquisition of Profinit.</w:t>
      </w:r>
    </w:p>
    <w:p>
      <w:pPr>
        <w:spacing w:after="0" w:line="160"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in absolute amounts in the six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Excluding the effects of the phase out activities, revenue from customers in Asia-Pacific region increased as project and managed services activities continued to ramp up with various customers.</w:t>
      </w:r>
    </w:p>
    <w:p>
      <w:pPr>
        <w:spacing w:after="0" w:line="16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decreased by $234.4 million, or 14.5%, to $1,380.3 million in the six months ended March 31, 2025, from $1,614.7 million in the six months ended March 31, 2024. The cost of revenue as a percentage of revenue, decreased to 61.7% in the six months ended March 31, 2025, from 64.8% in the six months ended March 31, 2024, the majority of which is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continued focus on operational excellence and the efficiency improvements. Our cost of revenue was also positively affected by foreign exchange impacts.</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$14.2 million, or 7.9%, to $166.1 million in the six months ended March 31, 2025, from $180.4 million in the six months ended March 31, 2024. Research and development expense increased as a percentage of total revenue from 7.2% in the six months ended March 31, 2024, to 7.4% in the six months ended March 31, 2025, as total revenue decreased at a higher rate than research and development expense as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by $33.4 million, or 11.5%, to $256.7 million in the six months ended March 31, 2025, from $290.1 million in the six months ended March 31, 2024. Selling, general and administrative expense slightly decreased as a percentage of revenue from 11.6% in the six months ended March 31, 2024, to 11.5% in the six months ended March 31, 2025. The decrease was primarily attributable to operational excellence and efficiency improvements, and changes of certain acquisition-related liabilities measured at fair value, partially offset by an increase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slightly decreased by $0.9 million, or 2.6% to $31.8 million from $32.6 million in the six months ended March 31, 2024. The slight decrease in amortization of purchased intangible assets and other was primarily attributable to a decrease in amortization of previously purchased intangible assets, partially offset by an increase in amortization of intangible assets due to recent completed acquisitions.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six months ended March 31, 2025, were $6.8 million, and were $33.2 in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In fiscal year 2024, the Company took actions under a new restructuring plan, mainly comprised of employee's severance expense and benefits arrangements. The Company expects to execute the remainder of the 2024 restructuring plan over the next several quarters, please see Note 9 to our consolidated financial statements.</w:t>
      </w:r>
    </w:p>
    <w:p>
      <w:pPr>
        <w:spacing w:after="0" w:line="14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$56.5 million, or 16.6%, in the six months ended March 31, 2025, to $396.6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$340.1 million, in the six months ended March 31, 2024. Operating income increased as a percentage of revenue from 13.7% in the six months ended March 31, 2024, to 17.7% in the six months ended March 31, 2025. The increase in operating income was primarily attributable to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the continued focus on operational excellence through ongoing adoption of automation, AI, and other sophisticated tools within our operations, to drive additional cost savings and efficiency improvements, and to a lower level of restructuring charges recorded in the six months ended March 31, 2025 compared to the six months ended March 31, 2024. Our operating income was positively affected by foreign exchange impacts.</w:t>
      </w:r>
    </w:p>
    <w:p>
      <w:pPr>
        <w:spacing w:after="0" w:line="1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decreased from a net expense of $21.4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a net expense of $14.9 million in the six months ended March 31, 2025. The decrease in interest and other expense, net, was primarily attributable to: (i) a realized gain from an equity investment, partially offset by fair value changes of certain other equity investments resulting in a net increase of $9.7 million compared to the six months ended March 31, 2024, (ii) a decrease in foreign exchange fluctuation charges, partially offset by; (iii) a decrease in interest income net of interest expenses, as a result of lower level of cash balances, recorded in the six months ended March 31, 2025 compared to the six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-306705</wp:posOffset>
            </wp:positionV>
            <wp:extent cx="368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2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six months ended March 31, 2025 were $65.8, million, on pre-tax income of $381.7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17.2%, compared to 15.8% in the six months ended March 31, 2024. Please see also Note 10 to our consolidated financial statements. Our effective tax rate may fluctuate between periods as a result of discrete items that may affect a particular period.</w:t>
      </w:r>
    </w:p>
    <w:p>
      <w:pPr>
        <w:spacing w:after="0" w:line="14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$47.9 million, or 18.0%, to $314.4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from $266.5 million in the six months ended March 31, 2024. The increase in net income is primarily attributable an increase in operating income, a decrease in interest and other expense, net, which were partially offset by an increase in income tax expense.</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$0.51, or 22.5%, to $2.78 in the six months ended March 31, 2025, from $2.27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six months ended March 31, 2024. The increase in diluted earnings per share was primarily attributable to an increase in net income in the six months ended March 31, 2025, and to a decrease in the diluted weighted average number of shares outstanding which resulted from share repurchases. Please see also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March 31, 2025 compared to the three months ended March 31, 2024. Following the table is a discussion and analysis of our business and results of operations for such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5"/>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4"/>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3"/>
            <w:vMerge w:val="restart"/>
          </w:tcPr>
          <w:p>
            <w:pPr>
              <w:jc w:val="right"/>
              <w:ind w:right="58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9"/>
                <w:szCs w:val="19"/>
                <w:b w:val="1"/>
                <w:bCs w:val="1"/>
                <w:color w:val="auto"/>
                <w:vertAlign w:val="superscript"/>
              </w:rPr>
              <w:t>(a)</w:t>
            </w:r>
          </w:p>
        </w:tc>
        <w:tc>
          <w:tcPr>
            <w:tcW w:w="1100" w:type="dxa"/>
            <w:vAlign w:val="bottom"/>
            <w:gridSpan w:val="4"/>
            <w:vMerge w:val="restart"/>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CFF0FC"/>
            </w:tcBorders>
          </w:tcPr>
          <w:p>
            <w:pPr>
              <w:spacing w:after="0"/>
              <w:rPr>
                <w:sz w:val="12"/>
                <w:szCs w:val="12"/>
                <w:color w:val="auto"/>
              </w:rPr>
            </w:pPr>
          </w:p>
        </w:tc>
        <w:tc>
          <w:tcPr>
            <w:tcW w:w="860" w:type="dxa"/>
            <w:vAlign w:val="bottom"/>
            <w:tcBorders>
              <w:top w:val="single" w:sz="8" w:color="auto"/>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(117,646)</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698,049</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801,996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(103,947)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81,796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91,154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134,625</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147,609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(12,984)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16,198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33,160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(33,160)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930,468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1,090,117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(159,649)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197,735</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155,732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42,003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(11,650)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189,270</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144,082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45,188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25,269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24,657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164,001</w:t>
            </w: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119,425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44,576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7"/>
                <w:szCs w:val="17"/>
                <w:color w:val="auto"/>
              </w:rPr>
            </w:pPr>
          </w:p>
        </w:tc>
        <w:tc>
          <w:tcPr>
            <w:tcW w:w="120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163,243</w:t>
            </w:r>
          </w:p>
        </w:tc>
        <w:tc>
          <w:tcPr>
            <w:tcW w:w="76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118,502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44,741</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413"/>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Geographic Information:</w:t>
            </w: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top w:val="single" w:sz="8" w:color="CFF0FC"/>
            </w:tcBorders>
            <w:vMerge w:val="restart"/>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8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(Decrease) Increase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738,335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823,206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(84,871)</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180,676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184,848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(4,172)</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209,192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237,795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(28,603)</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1,128,203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1,245,849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(117,646)</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-3642360</wp:posOffset>
            </wp:positionV>
            <wp:extent cx="19373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-3436620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-3436620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-3436620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-2468245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-2468245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-2468245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-2468245</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-1610995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-1593850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-1610995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-1593850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-1610995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-1610995</wp:posOffset>
            </wp:positionV>
            <wp:extent cx="137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-1593850</wp:posOffset>
            </wp:positionV>
            <wp:extent cx="137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-1285240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-1268095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-1285240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-1268095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-1285240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-1268095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-1285240</wp:posOffset>
            </wp:positionV>
            <wp:extent cx="137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-1268095</wp:posOffset>
            </wp:positionV>
            <wp:extent cx="137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decreased by $117.6 million, or (9.4)%, to $1,128.2 million in the three months ended March 31, 2025, from $1,245.8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2024. During the first quarter of fiscal year 2025, we phased out several low-margin, non-core business activities, the results of which were included in the three months ended March 31, 2024. Excluding the effects of phasing out those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immaterial impact of negative foreign currency fluctuations, revenue for the three months ended March 31, 2025, increased by 4.0%, compared to the three months ended March 31, 2024.</w:t>
      </w:r>
    </w:p>
    <w:p>
      <w:pPr>
        <w:spacing w:after="0" w:line="16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revenue from customers in North America, Europe and the rest of the world accounted for 65.4%%, 16.0%% and 18.6%%, respectively, of total revenue, compared to 66.1%, 14.8% and 19.1%, respectively, in the three months ended March 31, 2024.</w:t>
      </w:r>
    </w:p>
    <w:p>
      <w:pPr>
        <w:spacing w:after="0" w:line="12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8"/>
          <w:szCs w:val="18"/>
          <w:color w:val="auto"/>
        </w:rPr>
        <w:t>Revenue from customers in North America decreased in absolute amounts during the three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which was partially offset by higher revenue from managed services activities.</w:t>
      </w:r>
    </w:p>
    <w:p>
      <w:pPr>
        <w:spacing w:after="0" w:line="3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Revenue from customers in Europe slightly decreased in absolute amounts during the three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almost fully off-set by higher revenue from managed services activities benefiting from the ramp-up of new deal activities, and a contribution from the previously completed acquisition of Profinit. The increase in revenue from customers in Europe as a percentage of total revenue to 16.0% from 14.8% in three months ended March 31, 2025 compared to three months ended March 31, 2024, is primarily attributable to new deals and acquisition activities mentioned above in this paragraph.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ind w:right="60" w:firstLine="509"/>
        <w:spacing w:after="0" w:line="23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in absolute amounts during the three months ended March 31,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Excluding the effects of the phase out activities, revenue from customers in Asia-Pacific region increased as project and managed services activities continued to ramp up with various customers.</w:t>
      </w:r>
    </w:p>
    <w:p>
      <w:pPr>
        <w:spacing w:after="0" w:line="15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decreased by $103.9 million, or 13.0%, to $698.0 million in the three months ended March 31, 2025, from $802.0 million in the three months ended March 31, 2024. The cost of revenue as a percentage of revenue decreased to 61.9% in the three months ended March 31, 2025, from 64.4% in the three months ended March 31, 2024, the majority of which is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continued focus on operational excellence and the efficiency improvements. Our cost of revenue was also positively affected by foreign exchange impacts.</w:t>
      </w:r>
    </w:p>
    <w:p>
      <w:pPr>
        <w:spacing w:after="0" w:line="1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in absolute amounts by $9.4 million, or 10.3%, to $81.8 million in the three months ended March 31, 2025, from $91.2 million in the three months ended March 31, 2024. Research and development expense as a percentage of total revenue was 7.3% in the three months ended March 31, 2025 and 2024.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3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in absolute amounts by $13.0 million, or 8.8%, to $134.6 million in the three months ended March 31, 2025, from $147.6 million in the three months ended March 31, 2024. Selling, general and administrative expense slightly increased as a percentage of revenue from 11.8% in the three months ended March 31, 2024, to 11.9% in the three months ended March 31, 2025. The decrease in costs in was primarily attributable to operational excellence and efficiency improvements. Selling, general and administrative expense may fluctuate from time to time, depending upon such factors as changes in our workforce and sales efforts and the results of any operational efficiency programs that we may undertake.</w:t>
      </w:r>
    </w:p>
    <w:p>
      <w:pPr>
        <w:spacing w:after="0" w:line="14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2025, slightly decreased by $0.2 million, or 1.2% to $16.0 million from $16.2 million in the three months ended March 31, 2024. The slight decrease in amortization of purchased intangible assets and other was primarily attributable to a decrease in amortization of previously purchased intangible assets, partially offset by an increase in amortization of intangible assets due to recent completed acquisitions.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There were no restructuring charges in the three months ended March 31, 2025, while there were $33.2 million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March 31, 2024. In fiscal year 2024, the Company took actions under a new restructuring plan, mainly comprised of employee's severance expense and benefits arrangements. The Company expects to execute the remainder of the 2024 restructuring plan over the next several quarters, please see Note 9 to our consolidated financial statements.</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$42.0 million, or 27.0%, in the three months ended March 31, 2025, to $197.7 million, or 17.5%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from $155.7 million, or 12.5% of revenue, in the three months ended March 31, 2024. The increase in operating income was primarily attributable to the phasing out of non-core, low-margin business activities, the continued focus on operational excellence through ongoing adoption of automation, AI, and other sophisticated tools within our operations, to drive additional cost savings and efficiency improvements, to a decrease in restructuring charges recorded in the three months ended March 31, 2024, while there were no such restructuring charges in the three months ended March 31, 2025. Our operating income was positively affected by foreign exchange impacts.</w:t>
      </w:r>
    </w:p>
    <w:p>
      <w:pPr>
        <w:spacing w:after="0" w:line="12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decreased from a net expense of $11.7 million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to a net expense of $8.5 million in the three months ended March 31, 2025. The decrease in interest and other expense, net, was primarily attributable to a decrease in foreign exchange fluctuation charges, changes of minority equity investments measured at fair value, partially offset by a decrease in interest income net of interest expenses, as a result of lower level of cash balances.</w:t>
      </w:r>
    </w:p>
    <w:p>
      <w:pPr>
        <w:spacing w:after="0" w:line="12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three months ended March 31, 2025 were $25.3 million on pre-tax income of $189.3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13.4%, compared to effective tax rate of 17.1% in the three months ended March 31, 2024. Our effective tax rate may fluctuate between periods as a result of discrete items that may affect a particular period, please see Note 10 to our consolidated financial statements.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$44.7 million, or 37.8%, to $163.2 million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2025, from $118.5 million in the three months ended March 31, 2024. The increase in net income is primarily attributable to an increase in operating income, in the three months ended March 31, 2025 compared to the three months ended March 31,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line="14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$0.44, or 43.6%, to $1.45 in the three months ended March 31, 2025,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$1.01 in the three months ended March 31, 2024. The increase in diluted earnings per share was primarily attributable to an increase in net income in the three months ended March 31, 2025, and a decrease in the diluted weighted average number of shares outstanding which resulted from share repurchases. Please see also Note 11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9" w:lineRule="exact"/>
        <w:rPr>
          <w:sz w:val="20"/>
          <w:szCs w:val="20"/>
          <w:color w:val="auto"/>
        </w:rPr>
      </w:pPr>
    </w:p>
    <w:p>
      <w:pPr>
        <w:ind w:right="40" w:firstLine="8"/>
        <w:spacing w:after="0" w:line="275" w:lineRule="auto"/>
        <w:tabs>
          <w:tab w:leader="none" w:pos="23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During the three months ended December 31, 2024, we phased out several low-margin, non-core business activities, which were included in the three and six months ended March 31, 2024. These business activities resulted in an aggregate of approximately $600 million of revenue in fiscal year 2024, or approximately $150 million per fiscal quarter. The geographic proportional impact of revenue attributable to such business activities is consistent with that of the overall company in fiscal year 2024. These activities substantially already ceased in the three months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$323.7 million as of March 31, 2025, compared to $514.3 million as of September 30, 2024. The decrease was mainly attributable to $279.7 million repurchase of our ordinary shares pursuant to our repurchase program, $107.8 million of cash dividend payment, $57.2 million payments for business acquisitions and $43.3 million for capital expenditures, net, partially offset by $278.0 million positive cash flow from operating activities, $16.7 million net proceeds from equity investments and other and $11.4 million of proceeds from stock options. Net cash provided by operating activities amounted to $278.0 million and $315.0 million in the six months ended March 31, 2025 and 2024, respectively.</w:t>
      </w:r>
    </w:p>
    <w:p>
      <w:pPr>
        <w:spacing w:after="0" w:line="15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the six months ended March 31, 2025 was $234.7 million and is calculated as net cash provided by operating activities of $278.0 million for the period less $43.3 million for capital expenditures, net, and is after restructuring payments of approximately $48 million.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4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2025 and 2024, we did not recognize any credit losses. Please see Notes 5 and 6 to the consolidated financial statements.</w:t>
      </w:r>
    </w:p>
    <w:p>
      <w:pPr>
        <w:spacing w:after="0" w:line="14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As of March 31, 2025, we were in compliance with the financial covenants and had no outstanding borrowing under the Revolving Credit Facility.</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March 31, 2025,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13 to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we had additional uncommitted lines of credit available for general corporate and other specific purposes. We had outstanding letters of credit and bank guarantees totaling $89.9 million as of March 31, 2025.</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operating leases, purchase obligations, pension funding and unrecognized tax benefits, summarized in the disclosure of contractual obligations set forth in our Annual Report on Form 20-F for the fiscal year ended September 30, 2024, filed on December 17, 2024 with the SEC. Since September 30, 2024, there have been no material changes in our aggregate contractual obligations mentioned above.</w:t>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six months ended March 31, 2025, we completed three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$59.0 million in cash, and a potential for additional consideration which may be paid later based on achievement of certain performance metrics. The majority of this amount was paid for the acquisition of Profinit, a data science and engineering company, please see Note 3 to our consolidated financial statements.</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$43.3 million in the six months ended March 31, 2025 and were mainly attributable to investments in our operating facilities and our development centers around the world.</w:t>
      </w:r>
    </w:p>
    <w:p>
      <w:pPr>
        <w:spacing w:after="0" w:line="14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During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six months ended March 31, 2025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auto"/>
        </w:rPr>
        <w:t xml:space="preserve"> repurchased 3.2 million ordinary shares at an average price of $87.44 per share (excluding broker and transaction fees). As of March 31, 2025, we had remaining authority to repurchase up to $258.0 million of our outstanding ordinary shares under the August 2023 plan. On May 7, 2025, our Board of Directors adopted a share repurchase plan for the repurchase of up to an additional $1.0 billion of our outstanding ordinary shares with no expiration date, which brings the aggregate unused authorization under both the August 2023 and the May 2025 plans to $1.26 billion. The May 2025 plan permits us to purchase our ordinary shares in the open market or through privately negotiated transactions at times and prices that we consider appropriate.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six months ended March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Pr>
          <w:p>
            <w:pPr>
              <w:spacing w:after="0"/>
              <w:rPr>
                <w:sz w:val="13"/>
                <w:szCs w:val="13"/>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160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0.527</w:t>
            </w: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16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160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2023</w:t>
            </w:r>
          </w:p>
        </w:tc>
        <w:tc>
          <w:tcPr>
            <w:tcW w:w="16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0.435</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May 7, 2025 our Board of Directors approved the next quarterly dividend payment and set June 30, 2025 as the record date for determining the shareholders entitled to receive the dividend, which is payable on July 25, 2025.</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2025 and 2024,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March 31, 2025 of equity securities that are registered by us pursuant to Section 12 of the Exchange Act:</w:t>
      </w:r>
    </w:p>
    <w:p>
      <w:pPr>
        <w:spacing w:after="0"/>
        <w:rPr>
          <w:sz w:val="20"/>
          <w:szCs w:val="20"/>
          <w:color w:val="auto"/>
        </w:rPr>
      </w:pPr>
      <w:r>
        <w:rPr>
          <w:rFonts w:ascii="Times New Roman" w:cs="Times New Roman" w:eastAsia="Times New Roman" w:hAnsi="Times New Roman"/>
          <w:sz w:val="18"/>
          <w:szCs w:val="18"/>
          <w:color w:val="auto"/>
        </w:rPr>
        <w:t>____________</w:t>
      </w:r>
    </w:p>
    <w:tbl>
      <w:tblPr>
        <w:tblLayout w:type="fixed"/>
        <w:tblInd w:w="0" w:type="dxa"/>
        <w:tblCellMar>
          <w:top w:w="0" w:type="dxa"/>
          <w:left w:w="0" w:type="dxa"/>
          <w:bottom w:w="0" w:type="dxa"/>
          <w:right w:w="0" w:type="dxa"/>
        </w:tblCellMar>
      </w:tblP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01/01/25-01/31/25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351,866</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351,866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363,185,862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02/01/25-02/28/25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343,636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343,636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333,027,629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03/01/25-03/31/25</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841,609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841,609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257,971,753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1,537,111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1,537,111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-170815</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2023, our Board of Directors adopted a share repurchase plan for the repurchase of up to $1.1 billion of our outstanding ordinary shares and on May 7, 2025, adopted another share repurchase plan for the repurchase of up to an additional $1.0 billion of our outstanding ordinary shares, which brings the aggregate unused authorization under both the August 2023 and the May 2025 plans to $1.26 billion. The authorizations have no expiration date and permit us to purchase our ordinary shares in open market or privately negotiated transactions at times and prices we consider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March 31, 2025:</w:t>
      </w:r>
    </w:p>
    <w:p>
      <w:pPr>
        <w:spacing w:after="0" w:line="198"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3, 2025</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5, 2025</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18,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lowerLetter"/>
      <w:start w:val="1"/>
    </w:lvl>
    <w:lvl w:ilvl="1">
      <w:lvlJc w:val="left"/>
      <w:lvlText w:val="(%2)"/>
      <w:numFmt w:val="lowerLetter"/>
      <w:start w:val="2"/>
    </w:lvl>
  </w:abstractNum>
  <w:abstractNum w:abstractNumId="4">
    <w:nsid w:val="25E45D32"/>
    <w:multiLevelType w:val="hybridMultilevel"/>
    <w:lvl w:ilvl="0">
      <w:lvlJc w:val="left"/>
      <w:lvlText w:val="(%1)"/>
      <w:numFmt w:val="lowerLetter"/>
      <w:start w:val="3"/>
    </w:lvl>
    <w:lvl w:ilvl="1">
      <w:lvlJc w:val="left"/>
      <w:lvlText w:val="%2"/>
      <w:numFmt w:val="lowerLetter"/>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7"/>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9"/>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13"/>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decimal"/>
      <w:start w:val="15"/>
    </w:lvl>
  </w:abstractNum>
  <w:abstractNum w:abstractNumId="24">
    <w:nsid w:val="54E49EB4"/>
    <w:multiLevelType w:val="hybridMultilevel"/>
    <w:lvl w:ilvl="0">
      <w:lvlJc w:val="left"/>
      <w:lvlText w:val="%1."/>
      <w:numFmt w:val="decimal"/>
      <w:start w:val="16"/>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2025-05-19T15:10:51Z</dcterms:created>
  <dcterms:modified xsi:type="dcterms:W3CDTF">2025-05-19T15:10:51Z</dcterms:modified>
</cp:coreProperties>
</file>