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59"/>
        <w:spacing w:after="0"/>
        <w:rPr>
          <w:sz w:val="20"/>
          <w:szCs w:val="20"/>
          <w:color w:val="auto"/>
        </w:rPr>
      </w:pPr>
      <w:r>
        <w:rPr>
          <w:rFonts w:ascii="Courier New" w:cs="Courier New" w:eastAsia="Courier New" w:hAnsi="Courier New"/>
          <w:sz w:val="15"/>
          <w:szCs w:val="15"/>
          <w:color w:val="auto"/>
        </w:rPr>
        <w:t>UNITED STATES</w:t>
      </w:r>
    </w:p>
    <w:p>
      <w:pPr>
        <w:spacing w:after="0" w:line="8" w:lineRule="exact"/>
        <w:rPr>
          <w:sz w:val="24"/>
          <w:szCs w:val="24"/>
          <w:color w:val="auto"/>
        </w:rPr>
      </w:pPr>
    </w:p>
    <w:p>
      <w:pPr>
        <w:jc w:val="center"/>
        <w:ind w:right="285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8" w:lineRule="exact"/>
        <w:rPr>
          <w:sz w:val="24"/>
          <w:szCs w:val="24"/>
          <w:color w:val="auto"/>
        </w:rPr>
      </w:pPr>
    </w:p>
    <w:p>
      <w:pPr>
        <w:jc w:val="center"/>
        <w:ind w:right="2859"/>
        <w:spacing w:after="0"/>
        <w:rPr>
          <w:sz w:val="20"/>
          <w:szCs w:val="20"/>
          <w:color w:val="auto"/>
        </w:rPr>
      </w:pPr>
      <w:r>
        <w:rPr>
          <w:rFonts w:ascii="Courier New" w:cs="Courier New" w:eastAsia="Courier New" w:hAnsi="Courier New"/>
          <w:sz w:val="15"/>
          <w:szCs w:val="15"/>
          <w:color w:val="auto"/>
        </w:rPr>
        <w:t>WASHINGTON, D.C. 20549</w:t>
      </w:r>
    </w:p>
    <w:p>
      <w:pPr>
        <w:spacing w:after="0" w:line="185" w:lineRule="exact"/>
        <w:rPr>
          <w:sz w:val="24"/>
          <w:szCs w:val="24"/>
          <w:color w:val="auto"/>
        </w:rPr>
      </w:pPr>
    </w:p>
    <w:p>
      <w:pPr>
        <w:jc w:val="center"/>
        <w:ind w:right="2859"/>
        <w:spacing w:after="0"/>
        <w:rPr>
          <w:sz w:val="20"/>
          <w:szCs w:val="20"/>
          <w:color w:val="auto"/>
        </w:rPr>
      </w:pPr>
      <w:r>
        <w:rPr>
          <w:rFonts w:ascii="Courier New" w:cs="Courier New" w:eastAsia="Courier New" w:hAnsi="Courier New"/>
          <w:sz w:val="15"/>
          <w:szCs w:val="15"/>
          <w:color w:val="auto"/>
        </w:rPr>
        <w:t>FORM 6-K</w:t>
      </w:r>
    </w:p>
    <w:p>
      <w:pPr>
        <w:spacing w:after="0" w:line="185"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REPORT OF FOREIGN PRIVATE ISSUER</w:t>
      </w:r>
    </w:p>
    <w:p>
      <w:pPr>
        <w:spacing w:after="0" w:line="8" w:lineRule="exact"/>
        <w:rPr>
          <w:sz w:val="24"/>
          <w:szCs w:val="24"/>
          <w:color w:val="auto"/>
        </w:rPr>
      </w:pPr>
    </w:p>
    <w:p>
      <w:pPr>
        <w:ind w:left="1940"/>
        <w:spacing w:after="0"/>
        <w:rPr>
          <w:sz w:val="20"/>
          <w:szCs w:val="20"/>
          <w:color w:val="auto"/>
        </w:rPr>
      </w:pPr>
      <w:r>
        <w:rPr>
          <w:rFonts w:ascii="Courier New" w:cs="Courier New" w:eastAsia="Courier New" w:hAnsi="Courier New"/>
          <w:sz w:val="15"/>
          <w:szCs w:val="15"/>
          <w:color w:val="auto"/>
        </w:rPr>
        <w:t>PURSUANT TO RULE 13A-16 OR 15D-16 UNDER</w:t>
      </w:r>
    </w:p>
    <w:p>
      <w:pPr>
        <w:spacing w:after="0" w:line="8" w:lineRule="exact"/>
        <w:rPr>
          <w:sz w:val="24"/>
          <w:szCs w:val="24"/>
          <w:color w:val="auto"/>
        </w:rPr>
      </w:pPr>
    </w:p>
    <w:p>
      <w:pPr>
        <w:ind w:left="2120"/>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185" w:lineRule="exact"/>
        <w:rPr>
          <w:sz w:val="24"/>
          <w:szCs w:val="24"/>
          <w:color w:val="auto"/>
        </w:rPr>
      </w:pPr>
    </w:p>
    <w:p>
      <w:pPr>
        <w:jc w:val="center"/>
        <w:ind w:right="2859"/>
        <w:spacing w:after="0"/>
        <w:rPr>
          <w:sz w:val="20"/>
          <w:szCs w:val="20"/>
          <w:color w:val="auto"/>
        </w:rPr>
      </w:pPr>
      <w:r>
        <w:rPr>
          <w:rFonts w:ascii="Courier New" w:cs="Courier New" w:eastAsia="Courier New" w:hAnsi="Courier New"/>
          <w:sz w:val="15"/>
          <w:szCs w:val="15"/>
          <w:color w:val="auto"/>
        </w:rPr>
        <w:t>For the month of July 2007</w:t>
      </w:r>
    </w:p>
    <w:p>
      <w:pPr>
        <w:spacing w:after="0" w:line="185" w:lineRule="exact"/>
        <w:rPr>
          <w:sz w:val="24"/>
          <w:szCs w:val="24"/>
          <w:color w:val="auto"/>
        </w:rPr>
      </w:pPr>
    </w:p>
    <w:p>
      <w:pPr>
        <w:jc w:val="center"/>
        <w:ind w:right="2859"/>
        <w:spacing w:after="0"/>
        <w:rPr>
          <w:sz w:val="20"/>
          <w:szCs w:val="20"/>
          <w:color w:val="auto"/>
        </w:rPr>
      </w:pPr>
      <w:r>
        <w:rPr>
          <w:rFonts w:ascii="Courier New" w:cs="Courier New" w:eastAsia="Courier New" w:hAnsi="Courier New"/>
          <w:sz w:val="15"/>
          <w:szCs w:val="15"/>
          <w:color w:val="auto"/>
        </w:rPr>
        <w:t>Commission File Number 1-14840</w:t>
      </w:r>
    </w:p>
    <w:p>
      <w:pPr>
        <w:spacing w:after="0" w:line="185" w:lineRule="exact"/>
        <w:rPr>
          <w:sz w:val="24"/>
          <w:szCs w:val="24"/>
          <w:color w:val="auto"/>
        </w:rPr>
      </w:pPr>
    </w:p>
    <w:p>
      <w:pPr>
        <w:jc w:val="center"/>
        <w:ind w:right="2859"/>
        <w:spacing w:after="0"/>
        <w:rPr>
          <w:sz w:val="20"/>
          <w:szCs w:val="20"/>
          <w:color w:val="auto"/>
        </w:rPr>
      </w:pPr>
      <w:r>
        <w:rPr>
          <w:rFonts w:ascii="Courier New" w:cs="Courier New" w:eastAsia="Courier New" w:hAnsi="Courier New"/>
          <w:sz w:val="15"/>
          <w:szCs w:val="15"/>
          <w:color w:val="auto"/>
        </w:rPr>
        <w:t>AMDOCS LIMITED</w:t>
      </w:r>
    </w:p>
    <w:p>
      <w:pPr>
        <w:spacing w:after="0" w:line="185" w:lineRule="exact"/>
        <w:rPr>
          <w:sz w:val="24"/>
          <w:szCs w:val="24"/>
          <w:color w:val="auto"/>
        </w:rPr>
      </w:pPr>
    </w:p>
    <w:p>
      <w:pPr>
        <w:jc w:val="center"/>
        <w:ind w:right="2859"/>
        <w:spacing w:after="0"/>
        <w:rPr>
          <w:sz w:val="20"/>
          <w:szCs w:val="20"/>
          <w:color w:val="auto"/>
        </w:rPr>
      </w:pPr>
      <w:r>
        <w:rPr>
          <w:rFonts w:ascii="Courier New" w:cs="Courier New" w:eastAsia="Courier New" w:hAnsi="Courier New"/>
          <w:sz w:val="15"/>
          <w:szCs w:val="15"/>
          <w:color w:val="auto"/>
        </w:rPr>
        <w:t>Suite 5, Tower Hill House Le Bordage</w:t>
      </w:r>
    </w:p>
    <w:p>
      <w:pPr>
        <w:spacing w:after="0" w:line="8" w:lineRule="exact"/>
        <w:rPr>
          <w:sz w:val="24"/>
          <w:szCs w:val="24"/>
          <w:color w:val="auto"/>
        </w:rPr>
      </w:pPr>
    </w:p>
    <w:p>
      <w:pPr>
        <w:jc w:val="center"/>
        <w:ind w:right="2759"/>
        <w:spacing w:after="0"/>
        <w:rPr>
          <w:sz w:val="20"/>
          <w:szCs w:val="20"/>
          <w:color w:val="auto"/>
        </w:rPr>
      </w:pPr>
      <w:r>
        <w:rPr>
          <w:rFonts w:ascii="Courier New" w:cs="Courier New" w:eastAsia="Courier New" w:hAnsi="Courier New"/>
          <w:sz w:val="15"/>
          <w:szCs w:val="15"/>
          <w:color w:val="auto"/>
        </w:rPr>
        <w:t>St. Peter Port, Island of Guernsey, GY1 3QT Channel Islands</w:t>
      </w:r>
    </w:p>
    <w:p>
      <w:pPr>
        <w:spacing w:after="0" w:line="185" w:lineRule="exact"/>
        <w:rPr>
          <w:sz w:val="24"/>
          <w:szCs w:val="24"/>
          <w:color w:val="auto"/>
        </w:rPr>
      </w:pPr>
    </w:p>
    <w:p>
      <w:pPr>
        <w:ind w:left="3140"/>
        <w:spacing w:after="0"/>
        <w:rPr>
          <w:sz w:val="20"/>
          <w:szCs w:val="20"/>
          <w:color w:val="auto"/>
        </w:rPr>
      </w:pPr>
      <w:r>
        <w:rPr>
          <w:rFonts w:ascii="Courier New" w:cs="Courier New" w:eastAsia="Courier New" w:hAnsi="Courier New"/>
          <w:sz w:val="15"/>
          <w:szCs w:val="15"/>
          <w:color w:val="auto"/>
        </w:rPr>
        <w:t>Amdocs, Inc.</w:t>
      </w:r>
    </w:p>
    <w:p>
      <w:pPr>
        <w:spacing w:after="0" w:line="8" w:lineRule="exact"/>
        <w:rPr>
          <w:sz w:val="24"/>
          <w:szCs w:val="24"/>
          <w:color w:val="auto"/>
        </w:rPr>
      </w:pPr>
    </w:p>
    <w:p>
      <w:pPr>
        <w:ind w:left="1000"/>
        <w:spacing w:after="0"/>
        <w:rPr>
          <w:sz w:val="20"/>
          <w:szCs w:val="20"/>
          <w:color w:val="auto"/>
        </w:rPr>
      </w:pPr>
      <w:r>
        <w:rPr>
          <w:rFonts w:ascii="Courier New" w:cs="Courier New" w:eastAsia="Courier New" w:hAnsi="Courier New"/>
          <w:sz w:val="15"/>
          <w:szCs w:val="15"/>
          <w:color w:val="auto"/>
        </w:rPr>
        <w:t>1390 Timberlake Manor Parkway, Chesterfield, Missouri 63017</w:t>
      </w:r>
    </w:p>
    <w:p>
      <w:pPr>
        <w:spacing w:after="0" w:line="8" w:lineRule="exact"/>
        <w:rPr>
          <w:sz w:val="24"/>
          <w:szCs w:val="24"/>
          <w:color w:val="auto"/>
        </w:rPr>
      </w:pPr>
    </w:p>
    <w:p>
      <w:pPr>
        <w:ind w:left="184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85" w:lineRule="exact"/>
        <w:rPr>
          <w:sz w:val="24"/>
          <w:szCs w:val="24"/>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of Form 20-F or Form 40-F.</w:t>
      </w:r>
    </w:p>
    <w:p>
      <w:pPr>
        <w:sectPr>
          <w:pgSz w:w="11900" w:h="16838" w:orient="portrait"/>
          <w:cols w:equalWidth="0" w:num="1">
            <w:col w:w="10219"/>
          </w:cols>
          <w:pgMar w:left="240" w:top="591" w:right="1440" w:bottom="1440" w:gutter="0" w:footer="0" w:header="0"/>
        </w:sectPr>
      </w:pPr>
    </w:p>
    <w:p>
      <w:pPr>
        <w:spacing w:after="0" w:line="174" w:lineRule="exact"/>
        <w:rPr>
          <w:sz w:val="24"/>
          <w:szCs w:val="24"/>
          <w:color w:val="auto"/>
        </w:rPr>
      </w:pPr>
    </w:p>
    <w:p>
      <w:pPr>
        <w:ind w:left="2400"/>
        <w:spacing w:after="0"/>
        <w:rPr>
          <w:sz w:val="20"/>
          <w:szCs w:val="20"/>
          <w:color w:val="auto"/>
        </w:rPr>
      </w:pPr>
      <w:r>
        <w:rPr>
          <w:rFonts w:ascii="Courier New" w:cs="Courier New" w:eastAsia="Courier New" w:hAnsi="Courier New"/>
          <w:sz w:val="15"/>
          <w:szCs w:val="15"/>
          <w:color w:val="auto"/>
        </w:rPr>
        <w:t>FORM 20-F</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X</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FORM 40-F</w:t>
      </w:r>
    </w:p>
    <w:p>
      <w:pPr>
        <w:spacing w:after="0" w:line="8" w:lineRule="exact"/>
        <w:rPr>
          <w:sz w:val="24"/>
          <w:szCs w:val="24"/>
          <w:color w:val="auto"/>
        </w:rPr>
      </w:pPr>
    </w:p>
    <w:p>
      <w:pPr>
        <w:sectPr>
          <w:pgSz w:w="11900" w:h="16838" w:orient="portrait"/>
          <w:cols w:equalWidth="0" w:num="3">
            <w:col w:w="3220" w:space="280"/>
            <w:col w:w="100" w:space="460"/>
            <w:col w:w="6159"/>
          </w:cols>
          <w:pgMar w:left="240" w:top="591" w:right="1440" w:bottom="1440" w:gutter="0" w:footer="0" w:header="0"/>
          <w:type w:val="continuous"/>
        </w:sectPr>
      </w:pPr>
    </w:p>
    <w:p>
      <w:pPr>
        <w:ind w:left="332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sectPr>
          <w:pgSz w:w="11900" w:h="16838" w:orient="portrait"/>
          <w:cols w:equalWidth="0" w:num="2">
            <w:col w:w="4260" w:space="720"/>
            <w:col w:w="5239"/>
          </w:cols>
          <w:pgMar w:left="240" w:top="591" w:right="1440" w:bottom="1440" w:gutter="0" w:footer="0" w:header="0"/>
          <w:type w:val="continuous"/>
        </w:sectPr>
      </w:pPr>
    </w:p>
    <w:p>
      <w:pPr>
        <w:ind w:right="2939"/>
        <w:spacing w:after="0" w:line="250" w:lineRule="auto"/>
        <w:rPr>
          <w:sz w:val="20"/>
          <w:szCs w:val="20"/>
          <w:color w:val="auto"/>
        </w:rPr>
      </w:pPr>
      <w:r>
        <w:rPr>
          <w:rFonts w:ascii="Courier New" w:cs="Courier New" w:eastAsia="Courier New" w:hAnsi="Courier New"/>
          <w:sz w:val="15"/>
          <w:szCs w:val="15"/>
          <w:color w:val="auto"/>
        </w:rPr>
        <w:t>Indicate by check mark if the registrant is submitting the Form 6-K in paper as permitted by Regulation S-T Rule 101(b)(1):</w:t>
      </w:r>
    </w:p>
    <w:p>
      <w:pPr>
        <w:spacing w:after="0" w:line="1" w:lineRule="exact"/>
        <w:rPr>
          <w:sz w:val="24"/>
          <w:szCs w:val="24"/>
          <w:color w:val="auto"/>
        </w:rPr>
      </w:pPr>
    </w:p>
    <w:p>
      <w:pPr>
        <w:ind w:left="406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Indicate by check mark if the registrant is submitting the Form 6-K in paper as permitted by Regulation S-T Rule 101(b)(7):</w:t>
      </w:r>
    </w:p>
    <w:p>
      <w:pPr>
        <w:spacing w:after="0" w:line="1" w:lineRule="exact"/>
        <w:rPr>
          <w:sz w:val="24"/>
          <w:szCs w:val="24"/>
          <w:color w:val="auto"/>
        </w:rPr>
      </w:pPr>
    </w:p>
    <w:p>
      <w:pPr>
        <w:ind w:left="406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ind w:right="2839"/>
        <w:spacing w:after="0" w:line="252" w:lineRule="auto"/>
        <w:rPr>
          <w:sz w:val="20"/>
          <w:szCs w:val="20"/>
          <w:color w:val="auto"/>
        </w:rPr>
      </w:pPr>
      <w:r>
        <w:rPr>
          <w:rFonts w:ascii="Courier New" w:cs="Courier New" w:eastAsia="Courier New" w:hAnsi="Courier New"/>
          <w:sz w:val="15"/>
          <w:szCs w:val="15"/>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591" w:right="1440" w:bottom="1440" w:gutter="0" w:footer="0" w:header="0"/>
          <w:type w:val="continuous"/>
        </w:sectPr>
      </w:pPr>
    </w:p>
    <w:p>
      <w:pPr>
        <w:spacing w:after="0" w:line="175" w:lineRule="exact"/>
        <w:rPr>
          <w:sz w:val="24"/>
          <w:szCs w:val="24"/>
          <w:color w:val="auto"/>
        </w:rPr>
      </w:pPr>
    </w:p>
    <w:p>
      <w:pPr>
        <w:ind w:left="2860"/>
        <w:spacing w:after="0"/>
        <w:rPr>
          <w:sz w:val="20"/>
          <w:szCs w:val="20"/>
          <w:color w:val="auto"/>
        </w:rPr>
      </w:pPr>
      <w:r>
        <w:rPr>
          <w:rFonts w:ascii="Courier New" w:cs="Courier New" w:eastAsia="Courier New" w:hAnsi="Courier New"/>
          <w:sz w:val="15"/>
          <w:szCs w:val="15"/>
          <w:color w:val="auto"/>
        </w:rPr>
        <w:t>YES</w:t>
      </w:r>
    </w:p>
    <w:p>
      <w:pPr>
        <w:spacing w:after="0" w:line="20" w:lineRule="exact"/>
        <w:rPr>
          <w:sz w:val="24"/>
          <w:szCs w:val="24"/>
          <w:color w:val="auto"/>
        </w:rPr>
      </w:pPr>
      <w:r>
        <w:rPr>
          <w:sz w:val="24"/>
          <w:szCs w:val="24"/>
          <w:color w:val="auto"/>
        </w:rPr>
        <w:br w:type="column"/>
      </w:r>
    </w:p>
    <w:p>
      <w:pPr>
        <w:spacing w:after="0" w:line="33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5519"/>
        <w:spacing w:after="0"/>
        <w:rPr>
          <w:sz w:val="20"/>
          <w:szCs w:val="20"/>
          <w:color w:val="auto"/>
        </w:rPr>
      </w:pPr>
      <w:r>
        <w:rPr>
          <w:rFonts w:ascii="Courier New" w:cs="Courier New" w:eastAsia="Courier New" w:hAnsi="Courier New"/>
          <w:sz w:val="15"/>
          <w:szCs w:val="15"/>
          <w:color w:val="auto"/>
        </w:rPr>
        <w:t>X</w:t>
      </w:r>
    </w:p>
    <w:p>
      <w:pPr>
        <w:spacing w:after="0" w:line="8" w:lineRule="exact"/>
        <w:rPr>
          <w:sz w:val="24"/>
          <w:szCs w:val="24"/>
          <w:color w:val="auto"/>
        </w:rPr>
      </w:pPr>
    </w:p>
    <w:p>
      <w:pPr>
        <w:jc w:val="center"/>
        <w:ind w:right="551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4">
            <w:col w:w="3140" w:space="80"/>
            <w:col w:w="460" w:space="280"/>
            <w:col w:w="180" w:space="100"/>
            <w:col w:w="5979"/>
          </w:cols>
          <w:pgMar w:left="240" w:top="591" w:right="1440" w:bottom="1440" w:gutter="0" w:footer="0" w:header="0"/>
          <w:type w:val="continuous"/>
        </w:sectPr>
      </w:pPr>
    </w:p>
    <w:bookmarkStart w:id="1" w:name="page2"/>
    <w:bookmarkEnd w:id="1"/>
    <w:p>
      <w:pPr>
        <w:ind w:right="2839" w:firstLine="461"/>
        <w:spacing w:after="0" w:line="251" w:lineRule="auto"/>
        <w:rPr>
          <w:sz w:val="20"/>
          <w:szCs w:val="20"/>
          <w:color w:val="auto"/>
        </w:rPr>
      </w:pPr>
      <w:r>
        <w:rPr>
          <w:rFonts w:ascii="Courier New" w:cs="Courier New" w:eastAsia="Courier New" w:hAnsi="Courier New"/>
          <w:sz w:val="15"/>
          <w:szCs w:val="15"/>
          <w:color w:val="auto"/>
        </w:rPr>
        <w:t>On July 18, 2007, Amdocs Limited ("Amdocs") issued a press release announcing financial results for the quarter ended March 31, 2007. A copy of the press release is furnished as Exhibit 99.1 to this Report of Foreign Private Issuer on Form 6-K.</w:t>
      </w:r>
    </w:p>
    <w:p>
      <w:pPr>
        <w:spacing w:after="0" w:line="176" w:lineRule="exact"/>
        <w:rPr>
          <w:sz w:val="20"/>
          <w:szCs w:val="20"/>
          <w:color w:val="auto"/>
        </w:rPr>
      </w:pPr>
    </w:p>
    <w:p>
      <w:pPr>
        <w:jc w:val="both"/>
        <w:ind w:right="2839" w:firstLine="461"/>
        <w:spacing w:after="0" w:line="251" w:lineRule="auto"/>
        <w:rPr>
          <w:sz w:val="20"/>
          <w:szCs w:val="20"/>
          <w:color w:val="auto"/>
        </w:rPr>
      </w:pPr>
      <w:r>
        <w:rPr>
          <w:rFonts w:ascii="Courier New" w:cs="Courier New" w:eastAsia="Courier New" w:hAnsi="Courier New"/>
          <w:sz w:val="15"/>
          <w:szCs w:val="15"/>
          <w:color w:val="auto"/>
        </w:rPr>
        <w:t>On July 18, 2007, Amdocs issued a press release announcing the appointment of Tamar Rapaport-Dagin as Chief Financial Officer of Amdocs Management Limited effective November 15, 2007. A copy of the press release is furnished as Exhibit 99.2 to this Report of Foreign Private Issuer on Form 6-K.</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information in this Form 6-K (including Exhibit 99.1 and Exhibit 99.2)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0219"/>
          </w:cols>
          <w:pgMar w:left="240" w:top="650" w:right="1440" w:bottom="1440" w:gutter="0" w:footer="0" w:header="0"/>
        </w:sectPr>
      </w:pPr>
    </w:p>
    <w:bookmarkStart w:id="2" w:name="page3"/>
    <w:bookmarkEnd w:id="2"/>
    <w:p>
      <w:pPr>
        <w:ind w:left="3220"/>
        <w:spacing w:after="0"/>
        <w:rPr>
          <w:sz w:val="20"/>
          <w:szCs w:val="20"/>
          <w:color w:val="auto"/>
        </w:rPr>
      </w:pPr>
      <w:r>
        <w:rPr>
          <w:rFonts w:ascii="Courier New" w:cs="Courier New" w:eastAsia="Courier New" w:hAnsi="Courier New"/>
          <w:sz w:val="15"/>
          <w:szCs w:val="15"/>
          <w:color w:val="auto"/>
        </w:rPr>
        <w:t>SIGNATURES</w:t>
      </w:r>
    </w:p>
    <w:p>
      <w:pPr>
        <w:spacing w:after="0" w:line="185" w:lineRule="exact"/>
        <w:rPr>
          <w:sz w:val="20"/>
          <w:szCs w:val="20"/>
          <w:color w:val="auto"/>
        </w:rPr>
      </w:pPr>
    </w:p>
    <w:p>
      <w:pPr>
        <w:jc w:val="both"/>
        <w:ind w:right="3579"/>
        <w:spacing w:after="0" w:line="252"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AMDOCS LIMITED</w:t>
      </w:r>
    </w:p>
    <w:p>
      <w:pPr>
        <w:spacing w:after="0" w:line="362"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 Thomas G. O'Brien</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Thomas G. O'Brien</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Treasurer and Secretary</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Authorized U.S. Representative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July 18, 2007</w:t>
      </w:r>
    </w:p>
    <w:p>
      <w:pPr>
        <w:sectPr>
          <w:pgSz w:w="11900" w:h="16838" w:orient="portrait"/>
          <w:cols w:equalWidth="0" w:num="1">
            <w:col w:w="10219"/>
          </w:cols>
          <w:pgMar w:left="240" w:top="650"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2"/>
        </w:trPr>
        <w:tc>
          <w:tcPr>
            <w:tcW w:w="1240" w:type="dxa"/>
            <w:vAlign w:val="bottom"/>
          </w:tcPr>
          <w:p>
            <w:pPr>
              <w:spacing w:after="0"/>
              <w:rPr>
                <w:sz w:val="14"/>
                <w:szCs w:val="14"/>
                <w:color w:val="auto"/>
              </w:rPr>
            </w:pPr>
          </w:p>
        </w:tc>
        <w:tc>
          <w:tcPr>
            <w:tcW w:w="4760" w:type="dxa"/>
            <w:vAlign w:val="bottom"/>
            <w:gridSpan w:val="2"/>
          </w:tcPr>
          <w:p>
            <w:pPr>
              <w:jc w:val="center"/>
              <w:ind w:left="163"/>
              <w:spacing w:after="0"/>
              <w:rPr>
                <w:sz w:val="20"/>
                <w:szCs w:val="20"/>
                <w:color w:val="auto"/>
              </w:rPr>
            </w:pPr>
            <w:r>
              <w:rPr>
                <w:rFonts w:ascii="Courier New" w:cs="Courier New" w:eastAsia="Courier New" w:hAnsi="Courier New"/>
                <w:sz w:val="15"/>
                <w:szCs w:val="15"/>
                <w:color w:val="auto"/>
              </w:rPr>
              <w:t>EXHIBIT INDEX</w:t>
            </w:r>
          </w:p>
        </w:tc>
      </w:tr>
      <w:tr>
        <w:trPr>
          <w:trHeight w:val="710"/>
        </w:trPr>
        <w:tc>
          <w:tcPr>
            <w:tcW w:w="124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4760" w:type="dxa"/>
            <w:vAlign w:val="bottom"/>
            <w:gridSpan w:val="2"/>
          </w:tcPr>
          <w:p>
            <w:pPr>
              <w:ind w:left="1800"/>
              <w:spacing w:after="0"/>
              <w:rPr>
                <w:sz w:val="20"/>
                <w:szCs w:val="20"/>
                <w:color w:val="auto"/>
              </w:rPr>
            </w:pPr>
            <w:r>
              <w:rPr>
                <w:rFonts w:ascii="Courier New" w:cs="Courier New" w:eastAsia="Courier New" w:hAnsi="Courier New"/>
                <w:sz w:val="15"/>
                <w:szCs w:val="15"/>
                <w:color w:val="auto"/>
              </w:rPr>
              <w:t>DESCRIPTION</w:t>
            </w:r>
          </w:p>
        </w:tc>
      </w:tr>
      <w:tr>
        <w:trPr>
          <w:trHeight w:val="177"/>
        </w:trPr>
        <w:tc>
          <w:tcPr>
            <w:tcW w:w="12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1240" w:type="dxa"/>
            <w:vAlign w:val="bottom"/>
          </w:tcPr>
          <w:p>
            <w:pPr>
              <w:spacing w:after="0"/>
              <w:rPr>
                <w:sz w:val="20"/>
                <w:szCs w:val="20"/>
                <w:color w:val="auto"/>
              </w:rPr>
            </w:pPr>
            <w:r>
              <w:rPr>
                <w:rFonts w:ascii="Courier New" w:cs="Courier New" w:eastAsia="Courier New" w:hAnsi="Courier New"/>
                <w:sz w:val="15"/>
                <w:szCs w:val="15"/>
                <w:color w:val="auto"/>
              </w:rPr>
              <w:t>99.1</w:t>
            </w:r>
          </w:p>
        </w:tc>
        <w:tc>
          <w:tcPr>
            <w:tcW w:w="2680" w:type="dxa"/>
            <w:vAlign w:val="bottom"/>
          </w:tcPr>
          <w:p>
            <w:pPr>
              <w:ind w:left="40"/>
              <w:spacing w:after="0"/>
              <w:rPr>
                <w:sz w:val="20"/>
                <w:szCs w:val="20"/>
                <w:color w:val="auto"/>
              </w:rPr>
            </w:pPr>
            <w:r>
              <w:rPr>
                <w:rFonts w:ascii="Courier New" w:cs="Courier New" w:eastAsia="Courier New" w:hAnsi="Courier New"/>
                <w:sz w:val="15"/>
                <w:szCs w:val="15"/>
                <w:color w:val="auto"/>
              </w:rPr>
              <w:t>Amdocs Limited Press Release</w:t>
            </w:r>
          </w:p>
        </w:tc>
        <w:tc>
          <w:tcPr>
            <w:tcW w:w="2080" w:type="dxa"/>
            <w:vAlign w:val="bottom"/>
          </w:tcPr>
          <w:p>
            <w:pPr>
              <w:ind w:left="40"/>
              <w:spacing w:after="0"/>
              <w:rPr>
                <w:sz w:val="20"/>
                <w:szCs w:val="20"/>
                <w:color w:val="auto"/>
              </w:rPr>
            </w:pPr>
            <w:r>
              <w:rPr>
                <w:rFonts w:ascii="Courier New" w:cs="Courier New" w:eastAsia="Courier New" w:hAnsi="Courier New"/>
                <w:sz w:val="15"/>
                <w:szCs w:val="15"/>
                <w:color w:val="auto"/>
              </w:rPr>
              <w:t>dated July 18, 2007.</w:t>
            </w:r>
          </w:p>
        </w:tc>
      </w:tr>
      <w:tr>
        <w:trPr>
          <w:trHeight w:val="177"/>
        </w:trPr>
        <w:tc>
          <w:tcPr>
            <w:tcW w:w="1240" w:type="dxa"/>
            <w:vAlign w:val="bottom"/>
          </w:tcPr>
          <w:p>
            <w:pPr>
              <w:spacing w:after="0"/>
              <w:rPr>
                <w:sz w:val="20"/>
                <w:szCs w:val="20"/>
                <w:color w:val="auto"/>
              </w:rPr>
            </w:pPr>
            <w:r>
              <w:rPr>
                <w:rFonts w:ascii="Courier New" w:cs="Courier New" w:eastAsia="Courier New" w:hAnsi="Courier New"/>
                <w:sz w:val="15"/>
                <w:szCs w:val="15"/>
                <w:color w:val="auto"/>
              </w:rPr>
              <w:t>99.2</w:t>
            </w:r>
          </w:p>
        </w:tc>
        <w:tc>
          <w:tcPr>
            <w:tcW w:w="2680" w:type="dxa"/>
            <w:vAlign w:val="bottom"/>
          </w:tcPr>
          <w:p>
            <w:pPr>
              <w:ind w:left="40"/>
              <w:spacing w:after="0"/>
              <w:rPr>
                <w:sz w:val="20"/>
                <w:szCs w:val="20"/>
                <w:color w:val="auto"/>
              </w:rPr>
            </w:pPr>
            <w:r>
              <w:rPr>
                <w:rFonts w:ascii="Courier New" w:cs="Courier New" w:eastAsia="Courier New" w:hAnsi="Courier New"/>
                <w:sz w:val="15"/>
                <w:szCs w:val="15"/>
                <w:color w:val="auto"/>
              </w:rPr>
              <w:t>Amdocs Limited Press Release</w:t>
            </w:r>
          </w:p>
        </w:tc>
        <w:tc>
          <w:tcPr>
            <w:tcW w:w="2080" w:type="dxa"/>
            <w:vAlign w:val="bottom"/>
          </w:tcPr>
          <w:p>
            <w:pPr>
              <w:ind w:left="40"/>
              <w:spacing w:after="0"/>
              <w:rPr>
                <w:sz w:val="20"/>
                <w:szCs w:val="20"/>
                <w:color w:val="auto"/>
              </w:rPr>
            </w:pPr>
            <w:r>
              <w:rPr>
                <w:rFonts w:ascii="Courier New" w:cs="Courier New" w:eastAsia="Courier New" w:hAnsi="Courier New"/>
                <w:sz w:val="15"/>
                <w:szCs w:val="15"/>
                <w:color w:val="auto"/>
              </w:rPr>
              <w:t>dated July 18, 2007.</w:t>
            </w:r>
          </w:p>
        </w:tc>
      </w:tr>
    </w:tbl>
    <w:p>
      <w:pPr>
        <w:sectPr>
          <w:pgSz w:w="11900" w:h="16838" w:orient="portrait"/>
          <w:cols w:equalWidth="0" w:num="1">
            <w:col w:w="10219"/>
          </w:cols>
          <w:pgMar w:left="240" w:top="650" w:right="1440" w:bottom="1440" w:gutter="0" w:footer="0" w:header="0"/>
        </w:sectPr>
      </w:pPr>
    </w:p>
    <w:bookmarkStart w:id="4" w:name="page5"/>
    <w:bookmarkEnd w:id="4"/>
    <w:p>
      <w:pPr>
        <w:ind w:left="6260"/>
        <w:spacing w:after="0"/>
        <w:rPr>
          <w:sz w:val="20"/>
          <w:szCs w:val="20"/>
          <w:color w:val="auto"/>
        </w:rPr>
      </w:pPr>
      <w:r>
        <w:rPr>
          <w:rFonts w:ascii="Courier New" w:cs="Courier New" w:eastAsia="Courier New" w:hAnsi="Courier New"/>
          <w:sz w:val="15"/>
          <w:szCs w:val="15"/>
          <w:color w:val="auto"/>
        </w:rPr>
        <w:t>Exhibit 99.1</w:t>
      </w:r>
    </w:p>
    <w:p>
      <w:pPr>
        <w:spacing w:after="0" w:line="185"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AMDOCS LIMITED REPORTS RECORD REVENUE AND STRONG EARNINGS</w:t>
      </w:r>
    </w:p>
    <w:p>
      <w:pPr>
        <w:spacing w:after="0" w:line="185" w:lineRule="exact"/>
        <w:rPr>
          <w:sz w:val="20"/>
          <w:szCs w:val="20"/>
          <w:color w:val="auto"/>
        </w:rPr>
      </w:pPr>
    </w:p>
    <w:p>
      <w:pPr>
        <w:spacing w:after="0"/>
        <w:tabs>
          <w:tab w:leader="none" w:pos="6160" w:val="left"/>
        </w:tabs>
        <w:rPr>
          <w:sz w:val="20"/>
          <w:szCs w:val="20"/>
          <w:color w:val="auto"/>
        </w:rPr>
      </w:pPr>
      <w:r>
        <w:rPr>
          <w:rFonts w:ascii="Courier New" w:cs="Courier New" w:eastAsia="Courier New" w:hAnsi="Courier New"/>
          <w:sz w:val="15"/>
          <w:szCs w:val="15"/>
          <w:color w:val="auto"/>
        </w:rPr>
        <w:t>PRESS RELEASE</w:t>
      </w:r>
      <w:r>
        <w:rPr>
          <w:sz w:val="20"/>
          <w:szCs w:val="20"/>
          <w:color w:val="auto"/>
        </w:rPr>
        <w:tab/>
      </w:r>
      <w:r>
        <w:rPr>
          <w:rFonts w:ascii="Courier New" w:cs="Courier New" w:eastAsia="Courier New" w:hAnsi="Courier New"/>
          <w:sz w:val="15"/>
          <w:szCs w:val="15"/>
          <w:color w:val="auto"/>
        </w:rPr>
        <w:t>(AMDOCS LOGO)</w:t>
      </w:r>
    </w:p>
    <w:p>
      <w:pPr>
        <w:spacing w:after="0" w:line="185"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AMDOCS REPORTS 10% GROWTH IN QUARTERLY DILUTED NON-GAAP EARNINGS PER SHARE TO</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$0.54;</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DILUTED GAAP EARNINGS PER SHARE OF $0.40</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Key highlights:</w:t>
      </w:r>
    </w:p>
    <w:p>
      <w:pPr>
        <w:spacing w:after="0" w:line="185" w:lineRule="exact"/>
        <w:rPr>
          <w:sz w:val="20"/>
          <w:szCs w:val="20"/>
          <w:color w:val="auto"/>
        </w:rPr>
      </w:pPr>
    </w:p>
    <w:p>
      <w:pPr>
        <w:ind w:left="920" w:hanging="464"/>
        <w:spacing w:after="0"/>
        <w:tabs>
          <w:tab w:leader="none" w:pos="9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 quarter revenue increased 14% to $712 million</w:t>
      </w:r>
    </w:p>
    <w:p>
      <w:pPr>
        <w:spacing w:after="0" w:line="184" w:lineRule="exact"/>
        <w:rPr>
          <w:rFonts w:ascii="Courier New" w:cs="Courier New" w:eastAsia="Courier New" w:hAnsi="Courier New"/>
          <w:sz w:val="15"/>
          <w:szCs w:val="15"/>
          <w:color w:val="auto"/>
        </w:rPr>
      </w:pPr>
    </w:p>
    <w:p>
      <w:pPr>
        <w:ind w:left="920" w:right="3019" w:hanging="464"/>
        <w:spacing w:after="0" w:line="252" w:lineRule="auto"/>
        <w:tabs>
          <w:tab w:leader="none" w:pos="9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 increase in third quarter diluted non-GAAP EPS, excluding acquisition-related costs and equity-based compensation expense, net of related tax effects, to $0.54, exceeding guidance of $0.50-$0.52</w:t>
      </w:r>
    </w:p>
    <w:p>
      <w:pPr>
        <w:spacing w:after="0" w:line="174" w:lineRule="exact"/>
        <w:rPr>
          <w:rFonts w:ascii="Courier New" w:cs="Courier New" w:eastAsia="Courier New" w:hAnsi="Courier New"/>
          <w:sz w:val="15"/>
          <w:szCs w:val="15"/>
          <w:color w:val="auto"/>
        </w:rPr>
      </w:pPr>
    </w:p>
    <w:p>
      <w:pPr>
        <w:ind w:left="920" w:hanging="464"/>
        <w:spacing w:after="0"/>
        <w:tabs>
          <w:tab w:leader="none" w:pos="9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Diluted GAAP EPS of $0.40 for the quarter</w:t>
      </w:r>
    </w:p>
    <w:p>
      <w:pPr>
        <w:spacing w:after="0" w:line="184" w:lineRule="exact"/>
        <w:rPr>
          <w:rFonts w:ascii="Courier New" w:cs="Courier New" w:eastAsia="Courier New" w:hAnsi="Courier New"/>
          <w:sz w:val="15"/>
          <w:szCs w:val="15"/>
          <w:color w:val="auto"/>
        </w:rPr>
      </w:pPr>
    </w:p>
    <w:p>
      <w:pPr>
        <w:ind w:left="920" w:hanging="464"/>
        <w:spacing w:after="0"/>
        <w:tabs>
          <w:tab w:leader="none" w:pos="9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Free cash flow of $87 million for the quarter</w:t>
      </w:r>
    </w:p>
    <w:p>
      <w:pPr>
        <w:spacing w:after="0" w:line="184" w:lineRule="exact"/>
        <w:rPr>
          <w:rFonts w:ascii="Courier New" w:cs="Courier New" w:eastAsia="Courier New" w:hAnsi="Courier New"/>
          <w:sz w:val="15"/>
          <w:szCs w:val="15"/>
          <w:color w:val="auto"/>
        </w:rPr>
      </w:pPr>
    </w:p>
    <w:p>
      <w:pPr>
        <w:ind w:left="920" w:right="2839" w:hanging="464"/>
        <w:spacing w:after="0" w:line="251" w:lineRule="auto"/>
        <w:tabs>
          <w:tab w:leader="none" w:pos="9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Fourth quarter fiscal 2007 guidance: Expected revenue of approximately $725-$735 million and diluted non-GAAP EPS of $0.52 - $0.54, excluding acquisition-related costs and approximately $0.05-$0.06 per share of equity-based compensation expense, net of related tax effects. Diluted GAAP EPS is expected to be approximately $0.40-$0.43</w:t>
      </w:r>
    </w:p>
    <w:p>
      <w:pPr>
        <w:spacing w:after="0" w:line="176"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ST. LOUIS, MO - JULY 18, 2007 - Amdocs Limited (NYSE: DOX) today reported that for the quarter ended June 30, 2007, revenue was $712.1 million, an increase of 13.7% from last year's third quarter. Net income on a non-GAAP basis was $120.6 million, or $0.54 per diluted share (excluding acquisition-related costs, which include amortization of purchased intangible assets and excluding equity-based compensation expense, net of related tax effects, of $32.4 million), compared to non-GAAP net income of $106.2 million, or $0.49 per diluted share, in the third quarter of fiscal 2006 (excluding acquisition-related costs, which include amortization of purchased intangible assets and the write-off of in-process research and development and excluding equity-based compensation expense, net of related tax effects, of $20.6 million). The Company's GAAP net income was $88.2 million, or $0.40 per diluted share, compared to GAAP net income of $85.6 million, or $0.39 per diluted share, in the third quarter of fiscal 2006. Free cash flow for the quarter was $87.1 million, comprised of cash flow from operations of $126.5 million less $39.4 million in net capital expenditures and other.</w:t>
      </w:r>
    </w:p>
    <w:p>
      <w:pPr>
        <w:sectPr>
          <w:pgSz w:w="11900" w:h="16838" w:orient="portrait"/>
          <w:cols w:equalWidth="0" w:num="1">
            <w:col w:w="10219"/>
          </w:cols>
          <w:pgMar w:left="240" w:top="496" w:right="1440" w:bottom="1440" w:gutter="0" w:footer="0" w:header="0"/>
        </w:sectPr>
      </w:pPr>
    </w:p>
    <w:bookmarkStart w:id="5" w:name="page6"/>
    <w:bookmarkEnd w:id="5"/>
    <w:p>
      <w:pPr>
        <w:ind w:right="2839"/>
        <w:spacing w:after="0" w:line="251" w:lineRule="auto"/>
        <w:rPr>
          <w:sz w:val="20"/>
          <w:szCs w:val="20"/>
          <w:color w:val="auto"/>
        </w:rPr>
      </w:pPr>
      <w:r>
        <w:rPr>
          <w:rFonts w:ascii="Courier New" w:cs="Courier New" w:eastAsia="Courier New" w:hAnsi="Courier New"/>
          <w:sz w:val="15"/>
          <w:szCs w:val="15"/>
          <w:color w:val="auto"/>
        </w:rPr>
        <w:t>"One of Amdocs' key differentiators is that our customers - the leading service providers in the world - view us as a strategic partner, and that translates into long-term relationships and continued new business opportunities with those customers. In fact, while we enjoyed new wins, much of the growth in revenue and earnings this quarter was driven by existing business," said Dov Baharav, chief executive officer of Amdocs Management Limited. "As service providers continue to transform themselves, Amdocs remains the partner of choice to deliver complex projects. During the quarter we met a number of key delivery milestones for our customers, which will lead to expanded business opportunities in the future."</w:t>
      </w:r>
    </w:p>
    <w:p>
      <w:pPr>
        <w:spacing w:after="0" w:line="175"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Baharav continued, "Amdocs is the only company to comprehensively address service providers' needs for customer experience systems innovation, offering the market-defining software portfolio combined with services that extend from strategy to execution. We combine relentless innovation with an unmatched foundation of business process best practices. We enjoy a unique competitive advantage steeped in industry expertise and unmatched experience working with the market leaders. We have sound reason to be excited about the opportunities for Amdocs and the growth of our company in the years to come."</w:t>
      </w:r>
    </w:p>
    <w:p>
      <w:pPr>
        <w:spacing w:after="0" w:line="17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Amdocs new business included a variety of wins across geographies and lines of business. These wins include a transformation project to extend into OSS for a customer that is currently using Amdocs BSS systems. In the broadband cable and satellite market, the Company continued to convert subscribers onto an Amdocs system. The Company had other wins supporting next generation projects around the world and wins in the emerging markets.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OUTLOOK</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Amdocs expects that revenue for the fourth quarter of fiscal 2007 will be approximately $725-$735 million. Diluted earnings per share on a non-GAAP basis for the fourth quarter are expected to be $0.52-$0.54, excluding acquisition-related costs and approximately $0.05-$0.06 per share of equity-based compensation expense, net of related tax effects. Diluted GAAP EPS is expected to be approximately $0.40-$0.43.</w:t>
      </w:r>
    </w:p>
    <w:p>
      <w:pPr>
        <w:spacing w:after="0" w:line="176"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Amdocs will host a conference call on July 18, 2007 at 5 p.m. Eastern Time to discuss the Company's third quarter results. The call will be carried live on the Internet via www.InvestorCalendar.com and the Amdocs website, www.amdocs.com.</w:t>
      </w:r>
    </w:p>
    <w:p>
      <w:pPr>
        <w:sectPr>
          <w:pgSz w:w="11900" w:h="16838" w:orient="portrait"/>
          <w:cols w:equalWidth="0" w:num="1">
            <w:col w:w="10219"/>
          </w:cols>
          <w:pgMar w:left="240" w:top="650"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NON-GAAP FINANCIAL MEASURES</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This release includes non-GAAP diluted earnings per share and other non-GAAP financial measures, including free cash flow, non-GAAP cost of service, non-GAAP research and development, non-GAAP selling, general and administrative, non-GAAP operating income, non-GAAP income taxes and non-GAAP net income. These non-GAAP measures exclude the following items:</w:t>
      </w:r>
    </w:p>
    <w:p>
      <w:pPr>
        <w:spacing w:after="0" w:line="176" w:lineRule="exact"/>
        <w:rPr>
          <w:sz w:val="20"/>
          <w:szCs w:val="20"/>
          <w:color w:val="auto"/>
        </w:rPr>
      </w:pPr>
    </w:p>
    <w:p>
      <w:pPr>
        <w:ind w:left="920" w:hanging="464"/>
        <w:spacing w:after="0"/>
        <w:tabs>
          <w:tab w:leader="none" w:pos="9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amortization of purchased intangible assets;</w:t>
      </w:r>
    </w:p>
    <w:p>
      <w:pPr>
        <w:spacing w:after="0" w:line="184" w:lineRule="exact"/>
        <w:rPr>
          <w:rFonts w:ascii="Courier New" w:cs="Courier New" w:eastAsia="Courier New" w:hAnsi="Courier New"/>
          <w:sz w:val="15"/>
          <w:szCs w:val="15"/>
          <w:color w:val="auto"/>
        </w:rPr>
      </w:pPr>
    </w:p>
    <w:p>
      <w:pPr>
        <w:ind w:left="920" w:hanging="464"/>
        <w:spacing w:after="0"/>
        <w:tabs>
          <w:tab w:leader="none" w:pos="9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in-process research and development write-off and other;</w:t>
      </w:r>
    </w:p>
    <w:p>
      <w:pPr>
        <w:spacing w:after="0" w:line="184" w:lineRule="exact"/>
        <w:rPr>
          <w:rFonts w:ascii="Courier New" w:cs="Courier New" w:eastAsia="Courier New" w:hAnsi="Courier New"/>
          <w:sz w:val="15"/>
          <w:szCs w:val="15"/>
          <w:color w:val="auto"/>
        </w:rPr>
      </w:pPr>
    </w:p>
    <w:p>
      <w:pPr>
        <w:ind w:left="920" w:hanging="464"/>
        <w:spacing w:after="0"/>
        <w:tabs>
          <w:tab w:leader="none" w:pos="9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 charges;</w:t>
      </w:r>
    </w:p>
    <w:p>
      <w:pPr>
        <w:spacing w:after="0" w:line="184" w:lineRule="exact"/>
        <w:rPr>
          <w:rFonts w:ascii="Courier New" w:cs="Courier New" w:eastAsia="Courier New" w:hAnsi="Courier New"/>
          <w:sz w:val="15"/>
          <w:szCs w:val="15"/>
          <w:color w:val="auto"/>
        </w:rPr>
      </w:pPr>
    </w:p>
    <w:p>
      <w:pPr>
        <w:ind w:left="920" w:hanging="464"/>
        <w:spacing w:after="0"/>
        <w:tabs>
          <w:tab w:leader="none" w:pos="9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equity-based compensation expense; and</w:t>
      </w:r>
    </w:p>
    <w:p>
      <w:pPr>
        <w:spacing w:after="0" w:line="184" w:lineRule="exact"/>
        <w:rPr>
          <w:rFonts w:ascii="Courier New" w:cs="Courier New" w:eastAsia="Courier New" w:hAnsi="Courier New"/>
          <w:sz w:val="15"/>
          <w:szCs w:val="15"/>
          <w:color w:val="auto"/>
        </w:rPr>
      </w:pPr>
    </w:p>
    <w:p>
      <w:pPr>
        <w:ind w:left="920" w:hanging="464"/>
        <w:spacing w:after="0"/>
        <w:tabs>
          <w:tab w:leader="none" w:pos="9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effects related to the above.</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17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Amdocs believes that the presentation of non-GAAP diluted earnings per share and other financial measures, including free cash flow, non-GAAP cost of service, non-GAAP research and development, non-GAAP selling, general and administrative, non-GAAP operating income, non-GAAP income taxes and non-GAAP net income,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7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For its internal budgeting process and in monitoring the results of the business, Amdocs' management uses financial statements that do not include amortization of purchased intangible assets, in-process research and development write-off and other, restructuring charges, equity-based compensation expense, and related tax effects. Amdocs' management also uses the foregoing non-GAAP financial measures, in addition to the corresponding GAAP</w:t>
      </w:r>
    </w:p>
    <w:p>
      <w:pPr>
        <w:sectPr>
          <w:pgSz w:w="11900" w:h="16838" w:orient="portrait"/>
          <w:cols w:equalWidth="0" w:num="1">
            <w:col w:w="10219"/>
          </w:cols>
          <w:pgMar w:left="240" w:top="650" w:right="1440" w:bottom="1440" w:gutter="0" w:footer="0" w:header="0"/>
        </w:sectPr>
      </w:pPr>
    </w:p>
    <w:bookmarkStart w:id="7" w:name="page8"/>
    <w:bookmarkEnd w:id="7"/>
    <w:p>
      <w:pPr>
        <w:ind w:right="2839"/>
        <w:spacing w:after="0" w:line="251" w:lineRule="auto"/>
        <w:rPr>
          <w:sz w:val="20"/>
          <w:szCs w:val="20"/>
          <w:color w:val="auto"/>
        </w:rPr>
      </w:pPr>
      <w:r>
        <w:rPr>
          <w:rFonts w:ascii="Courier New" w:cs="Courier New" w:eastAsia="Courier New" w:hAnsi="Courier New"/>
          <w:sz w:val="15"/>
          <w:szCs w:val="15"/>
          <w:color w:val="auto"/>
        </w:rPr>
        <w:t>measures, in reviewing the financial results of Amdocs. In addition, Amdocs believes that significant groups of investors exclude these non-cash expenses in reviewing its results and those of its competitors, because the amounts of the expenses between companies can vary greatly depending on the assumptions used by an individual company in determining the amounts of the expenses.</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Amdocs further believes that, where the adjustments used in calculating non-GAAP diluted earnings per share are based on specific, identified amounts that impact different line items in the Consolidated Statements of Income (including cost of service, research and development, selling, general and administrative, operating income, income taxes and net income), it is useful to investors to understand how these specific line items in the Consolidated Statements of Income are affected by these adjustments.</w:t>
      </w:r>
    </w:p>
    <w:p>
      <w:pPr>
        <w:spacing w:after="0" w:line="176" w:lineRule="exact"/>
        <w:rPr>
          <w:sz w:val="20"/>
          <w:szCs w:val="20"/>
          <w:color w:val="auto"/>
        </w:rPr>
      </w:pPr>
    </w:p>
    <w:p>
      <w:pPr>
        <w:ind w:right="3119"/>
        <w:spacing w:after="0" w:line="253" w:lineRule="auto"/>
        <w:rPr>
          <w:sz w:val="20"/>
          <w:szCs w:val="20"/>
          <w:color w:val="auto"/>
        </w:rPr>
      </w:pPr>
      <w:r>
        <w:rPr>
          <w:rFonts w:ascii="Courier New" w:cs="Courier New" w:eastAsia="Courier New" w:hAnsi="Courier New"/>
          <w:sz w:val="15"/>
          <w:szCs w:val="15"/>
          <w:color w:val="auto"/>
        </w:rPr>
        <w:t>Please refer to the Reconciliation of Selected Financial Metrics from GAAP to Non-GAAP tables below.</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ABOUT AMDOCS</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Amdocs is the market leader in customer experience systems innovation, enabling world-leading service providers to deliver an integrated, innovative and the intentional customer experience(TM) - at every point of service. Amdocs provides solutions that deliver customer experience excellence, combining the software, service and expertise to help our customers execute their strategies and achieve service, operational and financial excellence. A global company with revenue of $2.48 billion in fiscal 2006, Amdocs has over 16,000 employees and serves customers in more than 50 countries around the world. For more information, visit Amdocs at www.amdocs.com.</w:t>
      </w:r>
    </w:p>
    <w:p>
      <w:pPr>
        <w:spacing w:after="0" w:line="175"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w:t>
      </w:r>
    </w:p>
    <w:p>
      <w:pPr>
        <w:sectPr>
          <w:pgSz w:w="11900" w:h="16838" w:orient="portrait"/>
          <w:cols w:equalWidth="0" w:num="1">
            <w:col w:w="10219"/>
          </w:cols>
          <w:pgMar w:left="240" w:top="650" w:right="1440" w:bottom="1440" w:gutter="0" w:footer="0" w:header="0"/>
        </w:sectPr>
      </w:pPr>
    </w:p>
    <w:bookmarkStart w:id="8" w:name="page9"/>
    <w:bookmarkEnd w:id="8"/>
    <w:p>
      <w:pPr>
        <w:ind w:right="2839" w:firstLine="92"/>
        <w:spacing w:after="0" w:line="250" w:lineRule="auto"/>
        <w:rPr>
          <w:sz w:val="20"/>
          <w:szCs w:val="20"/>
          <w:color w:val="auto"/>
        </w:rPr>
      </w:pPr>
      <w:r>
        <w:rPr>
          <w:rFonts w:ascii="Courier New" w:cs="Courier New" w:eastAsia="Courier New" w:hAnsi="Courier New"/>
          <w:sz w:val="15"/>
          <w:szCs w:val="15"/>
          <w:color w:val="auto"/>
        </w:rPr>
        <w:t>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for the fiscal year ended September 30, 2006 and in our quarterly Form 6-K furnished on February 6 and May 11, 2007.</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CONTACT: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Thomas G. O'Brien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Treasurer and Vice President of Investor Relations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Amdocs Limited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314-212-8328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E-mail: dox_info@amdocs.com</w:t>
      </w:r>
    </w:p>
    <w:p>
      <w:pPr>
        <w:sectPr>
          <w:pgSz w:w="11900" w:h="16838" w:orient="portrait"/>
          <w:cols w:equalWidth="0" w:num="1">
            <w:col w:w="10219"/>
          </w:cols>
          <w:pgMar w:left="240" w:top="473" w:right="1440" w:bottom="1440" w:gutter="0" w:footer="0" w:header="0"/>
        </w:sectPr>
      </w:pPr>
    </w:p>
    <w:bookmarkStart w:id="9" w:name="page10"/>
    <w:bookmarkEnd w:id="9"/>
    <w:p>
      <w:pPr>
        <w:jc w:val="center"/>
        <w:ind w:right="2834"/>
        <w:spacing w:after="0"/>
        <w:rPr>
          <w:sz w:val="20"/>
          <w:szCs w:val="20"/>
          <w:color w:val="auto"/>
        </w:rPr>
      </w:pPr>
      <w:r>
        <w:rPr>
          <w:rFonts w:ascii="Courier New" w:cs="Courier New" w:eastAsia="Courier New" w:hAnsi="Courier New"/>
          <w:sz w:val="15"/>
          <w:szCs w:val="15"/>
          <w:color w:val="auto"/>
        </w:rPr>
        <w:t>AMDOCS LIMITED</w:t>
      </w:r>
    </w:p>
    <w:p>
      <w:pPr>
        <w:spacing w:after="0" w:line="185" w:lineRule="exact"/>
        <w:rPr>
          <w:sz w:val="20"/>
          <w:szCs w:val="20"/>
          <w:color w:val="auto"/>
        </w:rPr>
      </w:pPr>
    </w:p>
    <w:p>
      <w:pPr>
        <w:jc w:val="center"/>
        <w:ind w:right="2754"/>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185" w:lineRule="exact"/>
        <w:rPr>
          <w:sz w:val="20"/>
          <w:szCs w:val="20"/>
          <w:color w:val="auto"/>
        </w:rPr>
      </w:pPr>
    </w:p>
    <w:p>
      <w:pPr>
        <w:ind w:left="2025"/>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40"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3"/>
          </w:tcPr>
          <w:p>
            <w:pPr>
              <w:jc w:val="right"/>
              <w:ind w:right="63"/>
              <w:spacing w:after="0"/>
              <w:rPr>
                <w:sz w:val="20"/>
                <w:szCs w:val="20"/>
                <w:color w:val="auto"/>
              </w:rPr>
            </w:pPr>
            <w:r>
              <w:rPr>
                <w:rFonts w:ascii="Courier New" w:cs="Courier New" w:eastAsia="Courier New" w:hAnsi="Courier New"/>
                <w:sz w:val="15"/>
                <w:szCs w:val="15"/>
                <w:color w:val="auto"/>
              </w:rPr>
              <w:t>THREE MONTHS ENDED</w:t>
            </w:r>
          </w:p>
        </w:tc>
        <w:tc>
          <w:tcPr>
            <w:tcW w:w="240" w:type="dxa"/>
            <w:vAlign w:val="bottom"/>
          </w:tcPr>
          <w:p>
            <w:pPr>
              <w:spacing w:after="0"/>
              <w:rPr>
                <w:sz w:val="14"/>
                <w:szCs w:val="14"/>
                <w:color w:val="auto"/>
              </w:rPr>
            </w:pPr>
          </w:p>
        </w:tc>
        <w:tc>
          <w:tcPr>
            <w:tcW w:w="2020" w:type="dxa"/>
            <w:vAlign w:val="bottom"/>
            <w:gridSpan w:val="3"/>
          </w:tcPr>
          <w:p>
            <w:pPr>
              <w:jc w:val="right"/>
              <w:ind w:right="203"/>
              <w:spacing w:after="0"/>
              <w:rPr>
                <w:sz w:val="20"/>
                <w:szCs w:val="20"/>
                <w:color w:val="auto"/>
              </w:rPr>
            </w:pPr>
            <w:r>
              <w:rPr>
                <w:rFonts w:ascii="Courier New" w:cs="Courier New" w:eastAsia="Courier New" w:hAnsi="Courier New"/>
                <w:sz w:val="15"/>
                <w:szCs w:val="15"/>
                <w:color w:val="auto"/>
              </w:rPr>
              <w:t>NINE MONTHS ENDED</w:t>
            </w:r>
          </w:p>
        </w:tc>
      </w:tr>
      <w:tr>
        <w:trPr>
          <w:trHeight w:val="177"/>
        </w:trPr>
        <w:tc>
          <w:tcPr>
            <w:tcW w:w="3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3"/>
          </w:tcPr>
          <w:p>
            <w:pPr>
              <w:jc w:val="right"/>
              <w:ind w:right="523"/>
              <w:spacing w:after="0"/>
              <w:rPr>
                <w:sz w:val="20"/>
                <w:szCs w:val="20"/>
                <w:color w:val="auto"/>
              </w:rPr>
            </w:pPr>
            <w:r>
              <w:rPr>
                <w:rFonts w:ascii="Courier New" w:cs="Courier New" w:eastAsia="Courier New" w:hAnsi="Courier New"/>
                <w:sz w:val="15"/>
                <w:szCs w:val="15"/>
                <w:color w:val="auto"/>
              </w:rPr>
              <w:t>JUNE 30,</w:t>
            </w:r>
          </w:p>
        </w:tc>
        <w:tc>
          <w:tcPr>
            <w:tcW w:w="240" w:type="dxa"/>
            <w:vAlign w:val="bottom"/>
          </w:tcPr>
          <w:p>
            <w:pPr>
              <w:spacing w:after="0"/>
              <w:rPr>
                <w:sz w:val="15"/>
                <w:szCs w:val="15"/>
                <w:color w:val="auto"/>
              </w:rPr>
            </w:pPr>
          </w:p>
        </w:tc>
        <w:tc>
          <w:tcPr>
            <w:tcW w:w="2020" w:type="dxa"/>
            <w:vAlign w:val="bottom"/>
            <w:gridSpan w:val="3"/>
          </w:tcPr>
          <w:p>
            <w:pPr>
              <w:jc w:val="right"/>
              <w:ind w:right="563"/>
              <w:spacing w:after="0"/>
              <w:rPr>
                <w:sz w:val="20"/>
                <w:szCs w:val="20"/>
                <w:color w:val="auto"/>
              </w:rPr>
            </w:pPr>
            <w:r>
              <w:rPr>
                <w:rFonts w:ascii="Courier New" w:cs="Courier New" w:eastAsia="Courier New" w:hAnsi="Courier New"/>
                <w:sz w:val="15"/>
                <w:szCs w:val="15"/>
                <w:color w:val="auto"/>
              </w:rPr>
              <w:t>JUNE 30,</w:t>
            </w:r>
          </w:p>
        </w:tc>
      </w:tr>
      <w:tr>
        <w:trPr>
          <w:trHeight w:val="177"/>
        </w:trPr>
        <w:tc>
          <w:tcPr>
            <w:tcW w:w="3740" w:type="dxa"/>
            <w:vAlign w:val="bottom"/>
          </w:tcPr>
          <w:p>
            <w:pPr>
              <w:spacing w:after="0"/>
              <w:rPr>
                <w:sz w:val="15"/>
                <w:szCs w:val="15"/>
                <w:color w:val="auto"/>
              </w:rPr>
            </w:pPr>
          </w:p>
        </w:tc>
        <w:tc>
          <w:tcPr>
            <w:tcW w:w="2020" w:type="dxa"/>
            <w:vAlign w:val="bottom"/>
            <w:gridSpan w:val="4"/>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2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2007</w:t>
            </w:r>
          </w:p>
        </w:tc>
        <w:tc>
          <w:tcPr>
            <w:tcW w:w="240" w:type="dxa"/>
            <w:vAlign w:val="bottom"/>
          </w:tcPr>
          <w:p>
            <w:pPr>
              <w:spacing w:after="0"/>
              <w:rPr>
                <w:sz w:val="15"/>
                <w:szCs w:val="15"/>
                <w:color w:val="auto"/>
              </w:rPr>
            </w:pPr>
          </w:p>
        </w:tc>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2006</w:t>
            </w:r>
          </w:p>
        </w:tc>
        <w:tc>
          <w:tcPr>
            <w:tcW w:w="240" w:type="dxa"/>
            <w:vAlign w:val="bottom"/>
          </w:tcPr>
          <w:p>
            <w:pPr>
              <w:spacing w:after="0"/>
              <w:rPr>
                <w:sz w:val="15"/>
                <w:szCs w:val="15"/>
                <w:color w:val="auto"/>
              </w:rPr>
            </w:pPr>
          </w:p>
        </w:tc>
        <w:tc>
          <w:tcPr>
            <w:tcW w:w="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2007</w:t>
            </w:r>
          </w:p>
        </w:tc>
        <w:tc>
          <w:tcPr>
            <w:tcW w:w="240" w:type="dxa"/>
            <w:vAlign w:val="bottom"/>
          </w:tcPr>
          <w:p>
            <w:pPr>
              <w:spacing w:after="0"/>
              <w:rPr>
                <w:sz w:val="15"/>
                <w:szCs w:val="15"/>
                <w:color w:val="auto"/>
              </w:rPr>
            </w:pPr>
          </w:p>
        </w:tc>
        <w:tc>
          <w:tcPr>
            <w:tcW w:w="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2006</w:t>
            </w:r>
          </w:p>
        </w:tc>
      </w:tr>
      <w:tr>
        <w:trPr>
          <w:trHeight w:val="177"/>
        </w:trPr>
        <w:tc>
          <w:tcPr>
            <w:tcW w:w="3740" w:type="dxa"/>
            <w:vAlign w:val="bottom"/>
          </w:tcPr>
          <w:p>
            <w:pPr>
              <w:spacing w:after="0"/>
              <w:rPr>
                <w:sz w:val="15"/>
                <w:szCs w:val="15"/>
                <w:color w:val="auto"/>
              </w:rPr>
            </w:pPr>
          </w:p>
        </w:tc>
        <w:tc>
          <w:tcPr>
            <w:tcW w:w="10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7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7"/>
        </w:trPr>
        <w:tc>
          <w:tcPr>
            <w:tcW w:w="3740" w:type="dxa"/>
            <w:vAlign w:val="bottom"/>
          </w:tcPr>
          <w:p>
            <w:pPr>
              <w:ind w:left="280"/>
              <w:spacing w:after="0"/>
              <w:rPr>
                <w:sz w:val="20"/>
                <w:szCs w:val="20"/>
                <w:color w:val="auto"/>
              </w:rPr>
            </w:pPr>
            <w:r>
              <w:rPr>
                <w:rFonts w:ascii="Courier New" w:cs="Courier New" w:eastAsia="Courier New" w:hAnsi="Courier New"/>
                <w:sz w:val="15"/>
                <w:szCs w:val="15"/>
                <w:color w:val="auto"/>
              </w:rPr>
              <w:t>License</w:t>
            </w:r>
          </w:p>
        </w:tc>
        <w:tc>
          <w:tcPr>
            <w:tcW w:w="10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$ 43,821</w:t>
            </w: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$ 23,220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113,091</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85,172</w:t>
            </w:r>
          </w:p>
        </w:tc>
      </w:tr>
      <w:tr>
        <w:trPr>
          <w:trHeight w:val="177"/>
        </w:trPr>
        <w:tc>
          <w:tcPr>
            <w:tcW w:w="3740" w:type="dxa"/>
            <w:vAlign w:val="bottom"/>
          </w:tcPr>
          <w:p>
            <w:pPr>
              <w:ind w:left="280"/>
              <w:spacing w:after="0"/>
              <w:rPr>
                <w:sz w:val="20"/>
                <w:szCs w:val="20"/>
                <w:color w:val="auto"/>
              </w:rPr>
            </w:pPr>
            <w:r>
              <w:rPr>
                <w:rFonts w:ascii="Courier New" w:cs="Courier New" w:eastAsia="Courier New" w:hAnsi="Courier New"/>
                <w:sz w:val="15"/>
                <w:szCs w:val="15"/>
                <w:color w:val="auto"/>
              </w:rPr>
              <w:t>Service</w:t>
            </w:r>
          </w:p>
        </w:tc>
        <w:tc>
          <w:tcPr>
            <w:tcW w:w="22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668,270</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603,228</w:t>
            </w:r>
          </w:p>
        </w:tc>
        <w:tc>
          <w:tcPr>
            <w:tcW w:w="240" w:type="dxa"/>
            <w:vAlign w:val="bottom"/>
          </w:tcPr>
          <w:p>
            <w:pPr>
              <w:spacing w:after="0"/>
              <w:rPr>
                <w:sz w:val="15"/>
                <w:szCs w:val="15"/>
                <w:color w:val="auto"/>
              </w:rPr>
            </w:pP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1,996,393</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1,729,433</w:t>
            </w:r>
          </w:p>
        </w:tc>
      </w:tr>
      <w:tr>
        <w:trPr>
          <w:trHeight w:val="177"/>
        </w:trPr>
        <w:tc>
          <w:tcPr>
            <w:tcW w:w="3740" w:type="dxa"/>
            <w:vAlign w:val="bottom"/>
          </w:tcPr>
          <w:p>
            <w:pPr>
              <w:spacing w:after="0"/>
              <w:rPr>
                <w:sz w:val="15"/>
                <w:szCs w:val="15"/>
                <w:color w:val="auto"/>
              </w:rPr>
            </w:pPr>
          </w:p>
        </w:tc>
        <w:tc>
          <w:tcPr>
            <w:tcW w:w="10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712,091</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626,448</w:t>
            </w:r>
          </w:p>
        </w:tc>
        <w:tc>
          <w:tcPr>
            <w:tcW w:w="240" w:type="dxa"/>
            <w:vAlign w:val="bottom"/>
          </w:tcPr>
          <w:p>
            <w:pPr>
              <w:spacing w:after="0"/>
              <w:rPr>
                <w:sz w:val="15"/>
                <w:szCs w:val="15"/>
                <w:color w:val="auto"/>
              </w:rPr>
            </w:pP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2,109,484</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1,814,605</w:t>
            </w:r>
          </w:p>
        </w:tc>
      </w:tr>
      <w:tr>
        <w:trPr>
          <w:trHeight w:val="177"/>
        </w:trPr>
        <w:tc>
          <w:tcPr>
            <w:tcW w:w="37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3740" w:type="dxa"/>
            <w:vAlign w:val="bottom"/>
          </w:tcPr>
          <w:p>
            <w:pPr>
              <w:ind w:left="280"/>
              <w:spacing w:after="0"/>
              <w:rPr>
                <w:sz w:val="20"/>
                <w:szCs w:val="20"/>
                <w:color w:val="auto"/>
              </w:rPr>
            </w:pPr>
            <w:r>
              <w:rPr>
                <w:rFonts w:ascii="Courier New" w:cs="Courier New" w:eastAsia="Courier New" w:hAnsi="Courier New"/>
                <w:sz w:val="15"/>
                <w:szCs w:val="15"/>
                <w:color w:val="auto"/>
              </w:rPr>
              <w:t>Cost of license</w:t>
            </w:r>
          </w:p>
        </w:tc>
        <w:tc>
          <w:tcPr>
            <w:tcW w:w="22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960</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995</w:t>
            </w:r>
          </w:p>
        </w:tc>
        <w:tc>
          <w:tcPr>
            <w:tcW w:w="240" w:type="dxa"/>
            <w:vAlign w:val="bottom"/>
          </w:tcPr>
          <w:p>
            <w:pPr>
              <w:spacing w:after="0"/>
              <w:rPr>
                <w:sz w:val="15"/>
                <w:szCs w:val="15"/>
                <w:color w:val="auto"/>
              </w:rPr>
            </w:pP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3,045</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2,973</w:t>
            </w:r>
          </w:p>
        </w:tc>
      </w:tr>
      <w:tr>
        <w:trPr>
          <w:trHeight w:val="177"/>
        </w:trPr>
        <w:tc>
          <w:tcPr>
            <w:tcW w:w="3740" w:type="dxa"/>
            <w:vAlign w:val="bottom"/>
          </w:tcPr>
          <w:p>
            <w:pPr>
              <w:ind w:left="280"/>
              <w:spacing w:after="0"/>
              <w:rPr>
                <w:sz w:val="20"/>
                <w:szCs w:val="20"/>
                <w:color w:val="auto"/>
              </w:rPr>
            </w:pPr>
            <w:r>
              <w:rPr>
                <w:rFonts w:ascii="Courier New" w:cs="Courier New" w:eastAsia="Courier New" w:hAnsi="Courier New"/>
                <w:sz w:val="15"/>
                <w:szCs w:val="15"/>
                <w:color w:val="auto"/>
              </w:rPr>
              <w:t>Cost of service</w:t>
            </w:r>
          </w:p>
        </w:tc>
        <w:tc>
          <w:tcPr>
            <w:tcW w:w="22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448,795</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402,626</w:t>
            </w:r>
          </w:p>
        </w:tc>
        <w:tc>
          <w:tcPr>
            <w:tcW w:w="240" w:type="dxa"/>
            <w:vAlign w:val="bottom"/>
          </w:tcPr>
          <w:p>
            <w:pPr>
              <w:spacing w:after="0"/>
              <w:rPr>
                <w:sz w:val="15"/>
                <w:szCs w:val="15"/>
                <w:color w:val="auto"/>
              </w:rPr>
            </w:pP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1,330,776</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1,165,010</w:t>
            </w:r>
          </w:p>
        </w:tc>
      </w:tr>
      <w:tr>
        <w:trPr>
          <w:trHeight w:val="177"/>
        </w:trPr>
        <w:tc>
          <w:tcPr>
            <w:tcW w:w="3740" w:type="dxa"/>
            <w:vAlign w:val="bottom"/>
          </w:tcPr>
          <w:p>
            <w:pPr>
              <w:ind w:left="280"/>
              <w:spacing w:after="0"/>
              <w:rPr>
                <w:sz w:val="20"/>
                <w:szCs w:val="20"/>
                <w:color w:val="auto"/>
              </w:rPr>
            </w:pPr>
            <w:r>
              <w:rPr>
                <w:rFonts w:ascii="Courier New" w:cs="Courier New" w:eastAsia="Courier New" w:hAnsi="Courier New"/>
                <w:sz w:val="15"/>
                <w:szCs w:val="15"/>
                <w:color w:val="auto"/>
              </w:rPr>
              <w:t>Research and development</w:t>
            </w:r>
          </w:p>
        </w:tc>
        <w:tc>
          <w:tcPr>
            <w:tcW w:w="22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56,727</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46,455</w:t>
            </w:r>
          </w:p>
        </w:tc>
        <w:tc>
          <w:tcPr>
            <w:tcW w:w="240" w:type="dxa"/>
            <w:vAlign w:val="bottom"/>
          </w:tcPr>
          <w:p>
            <w:pPr>
              <w:spacing w:after="0"/>
              <w:rPr>
                <w:sz w:val="15"/>
                <w:szCs w:val="15"/>
                <w:color w:val="auto"/>
              </w:rPr>
            </w:pP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174,929</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131,392</w:t>
            </w:r>
          </w:p>
        </w:tc>
      </w:tr>
      <w:tr>
        <w:trPr>
          <w:trHeight w:val="177"/>
        </w:trPr>
        <w:tc>
          <w:tcPr>
            <w:tcW w:w="3740" w:type="dxa"/>
            <w:vAlign w:val="bottom"/>
          </w:tcPr>
          <w:p>
            <w:pPr>
              <w:ind w:left="280"/>
              <w:spacing w:after="0"/>
              <w:rPr>
                <w:sz w:val="20"/>
                <w:szCs w:val="20"/>
                <w:color w:val="auto"/>
              </w:rPr>
            </w:pPr>
            <w:r>
              <w:rPr>
                <w:rFonts w:ascii="Courier New" w:cs="Courier New" w:eastAsia="Courier New" w:hAnsi="Courier New"/>
                <w:sz w:val="15"/>
                <w:szCs w:val="15"/>
                <w:color w:val="auto"/>
              </w:rPr>
              <w:t>Selling, general and administrative</w:t>
            </w:r>
          </w:p>
        </w:tc>
        <w:tc>
          <w:tcPr>
            <w:tcW w:w="22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94,445</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74,940</w:t>
            </w:r>
          </w:p>
        </w:tc>
        <w:tc>
          <w:tcPr>
            <w:tcW w:w="240" w:type="dxa"/>
            <w:vAlign w:val="bottom"/>
          </w:tcPr>
          <w:p>
            <w:pPr>
              <w:spacing w:after="0"/>
              <w:rPr>
                <w:sz w:val="15"/>
                <w:szCs w:val="15"/>
                <w:color w:val="auto"/>
              </w:rPr>
            </w:pP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274,895</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227,289</w:t>
            </w:r>
          </w:p>
        </w:tc>
      </w:tr>
      <w:tr>
        <w:trPr>
          <w:trHeight w:val="177"/>
        </w:trPr>
        <w:tc>
          <w:tcPr>
            <w:tcW w:w="3740" w:type="dxa"/>
            <w:vAlign w:val="bottom"/>
          </w:tcPr>
          <w:p>
            <w:pPr>
              <w:ind w:left="280"/>
              <w:spacing w:after="0"/>
              <w:rPr>
                <w:sz w:val="20"/>
                <w:szCs w:val="20"/>
                <w:color w:val="auto"/>
              </w:rPr>
            </w:pPr>
            <w:r>
              <w:rPr>
                <w:rFonts w:ascii="Courier New" w:cs="Courier New" w:eastAsia="Courier New" w:hAnsi="Courier New"/>
                <w:sz w:val="15"/>
                <w:szCs w:val="15"/>
                <w:color w:val="auto"/>
              </w:rPr>
              <w:t>Amortization of purchased intangible</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3740" w:type="dxa"/>
            <w:vAlign w:val="bottom"/>
          </w:tcPr>
          <w:p>
            <w:pPr>
              <w:ind w:left="540"/>
              <w:spacing w:after="0"/>
              <w:rPr>
                <w:sz w:val="20"/>
                <w:szCs w:val="20"/>
                <w:color w:val="auto"/>
              </w:rPr>
            </w:pPr>
            <w:r>
              <w:rPr>
                <w:rFonts w:ascii="Courier New" w:cs="Courier New" w:eastAsia="Courier New" w:hAnsi="Courier New"/>
                <w:sz w:val="15"/>
                <w:szCs w:val="15"/>
                <w:color w:val="auto"/>
              </w:rPr>
              <w:t>assets</w:t>
            </w:r>
          </w:p>
        </w:tc>
        <w:tc>
          <w:tcPr>
            <w:tcW w:w="22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19,175</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8,547</w:t>
            </w:r>
          </w:p>
        </w:tc>
        <w:tc>
          <w:tcPr>
            <w:tcW w:w="240" w:type="dxa"/>
            <w:vAlign w:val="bottom"/>
          </w:tcPr>
          <w:p>
            <w:pPr>
              <w:spacing w:after="0"/>
              <w:rPr>
                <w:sz w:val="15"/>
                <w:szCs w:val="15"/>
                <w:color w:val="auto"/>
              </w:rPr>
            </w:pP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55,785</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23,588</w:t>
            </w:r>
          </w:p>
        </w:tc>
      </w:tr>
      <w:tr>
        <w:trPr>
          <w:trHeight w:val="177"/>
        </w:trPr>
        <w:tc>
          <w:tcPr>
            <w:tcW w:w="3740" w:type="dxa"/>
            <w:vAlign w:val="bottom"/>
          </w:tcPr>
          <w:p>
            <w:pPr>
              <w:ind w:left="280"/>
              <w:spacing w:after="0"/>
              <w:rPr>
                <w:sz w:val="20"/>
                <w:szCs w:val="20"/>
                <w:color w:val="auto"/>
              </w:rPr>
            </w:pPr>
            <w:r>
              <w:rPr>
                <w:rFonts w:ascii="Courier New" w:cs="Courier New" w:eastAsia="Courier New" w:hAnsi="Courier New"/>
                <w:sz w:val="15"/>
                <w:szCs w:val="15"/>
                <w:color w:val="auto"/>
              </w:rPr>
              <w:t>Restructuring charges, in-process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3740" w:type="dxa"/>
            <w:vAlign w:val="bottom"/>
          </w:tcPr>
          <w:p>
            <w:pPr>
              <w:ind w:left="540"/>
              <w:spacing w:after="0"/>
              <w:rPr>
                <w:sz w:val="20"/>
                <w:szCs w:val="20"/>
                <w:color w:val="auto"/>
              </w:rPr>
            </w:pPr>
            <w:r>
              <w:rPr>
                <w:rFonts w:ascii="Courier New" w:cs="Courier New" w:eastAsia="Courier New" w:hAnsi="Courier New"/>
                <w:sz w:val="15"/>
                <w:szCs w:val="15"/>
                <w:color w:val="auto"/>
              </w:rPr>
              <w:t>research and development and</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3740" w:type="dxa"/>
            <w:vAlign w:val="bottom"/>
          </w:tcPr>
          <w:p>
            <w:pPr>
              <w:ind w:left="540"/>
              <w:spacing w:after="0"/>
              <w:rPr>
                <w:sz w:val="20"/>
                <w:szCs w:val="20"/>
                <w:color w:val="auto"/>
              </w:rPr>
            </w:pPr>
            <w:r>
              <w:rPr>
                <w:rFonts w:ascii="Courier New" w:cs="Courier New" w:eastAsia="Courier New" w:hAnsi="Courier New"/>
                <w:sz w:val="15"/>
                <w:szCs w:val="15"/>
                <w:color w:val="auto"/>
              </w:rPr>
              <w:t>other (1)</w:t>
            </w:r>
          </w:p>
        </w:tc>
        <w:tc>
          <w:tcPr>
            <w:tcW w:w="22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8,415</w:t>
            </w:r>
          </w:p>
        </w:tc>
        <w:tc>
          <w:tcPr>
            <w:tcW w:w="240" w:type="dxa"/>
            <w:vAlign w:val="bottom"/>
          </w:tcPr>
          <w:p>
            <w:pPr>
              <w:spacing w:after="0"/>
              <w:rPr>
                <w:sz w:val="15"/>
                <w:szCs w:val="15"/>
                <w:color w:val="auto"/>
              </w:rPr>
            </w:pP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6,761</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8,415</w:t>
            </w:r>
          </w:p>
        </w:tc>
      </w:tr>
      <w:tr>
        <w:trPr>
          <w:trHeight w:val="177"/>
        </w:trPr>
        <w:tc>
          <w:tcPr>
            <w:tcW w:w="3740" w:type="dxa"/>
            <w:vAlign w:val="bottom"/>
          </w:tcPr>
          <w:p>
            <w:pPr>
              <w:spacing w:after="0"/>
              <w:rPr>
                <w:sz w:val="15"/>
                <w:szCs w:val="15"/>
                <w:color w:val="auto"/>
              </w:rPr>
            </w:pPr>
          </w:p>
        </w:tc>
        <w:tc>
          <w:tcPr>
            <w:tcW w:w="10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620,102</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541,978</w:t>
            </w:r>
          </w:p>
        </w:tc>
        <w:tc>
          <w:tcPr>
            <w:tcW w:w="240" w:type="dxa"/>
            <w:vAlign w:val="bottom"/>
          </w:tcPr>
          <w:p>
            <w:pPr>
              <w:spacing w:after="0"/>
              <w:rPr>
                <w:sz w:val="15"/>
                <w:szCs w:val="15"/>
                <w:color w:val="auto"/>
              </w:rPr>
            </w:pP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1,846,191</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1,558,667</w:t>
            </w:r>
          </w:p>
        </w:tc>
      </w:tr>
      <w:tr>
        <w:trPr>
          <w:trHeight w:val="177"/>
        </w:trPr>
        <w:tc>
          <w:tcPr>
            <w:tcW w:w="3740" w:type="dxa"/>
            <w:vAlign w:val="bottom"/>
          </w:tcPr>
          <w:p>
            <w:pPr>
              <w:spacing w:after="0"/>
              <w:rPr>
                <w:sz w:val="15"/>
                <w:szCs w:val="15"/>
                <w:color w:val="auto"/>
              </w:rPr>
            </w:pPr>
          </w:p>
        </w:tc>
        <w:tc>
          <w:tcPr>
            <w:tcW w:w="10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7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2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91,989</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84,470</w:t>
            </w:r>
          </w:p>
        </w:tc>
        <w:tc>
          <w:tcPr>
            <w:tcW w:w="240" w:type="dxa"/>
            <w:vAlign w:val="bottom"/>
          </w:tcPr>
          <w:p>
            <w:pPr>
              <w:spacing w:after="0"/>
              <w:rPr>
                <w:sz w:val="15"/>
                <w:szCs w:val="15"/>
                <w:color w:val="auto"/>
              </w:rPr>
            </w:pP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263,293</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255,938</w:t>
            </w:r>
          </w:p>
        </w:tc>
      </w:tr>
      <w:tr>
        <w:trPr>
          <w:trHeight w:val="177"/>
        </w:trPr>
        <w:tc>
          <w:tcPr>
            <w:tcW w:w="374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w:t>
            </w:r>
          </w:p>
        </w:tc>
        <w:tc>
          <w:tcPr>
            <w:tcW w:w="22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14,290</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14,938</w:t>
            </w:r>
          </w:p>
        </w:tc>
        <w:tc>
          <w:tcPr>
            <w:tcW w:w="240" w:type="dxa"/>
            <w:vAlign w:val="bottom"/>
          </w:tcPr>
          <w:p>
            <w:pPr>
              <w:spacing w:after="0"/>
              <w:rPr>
                <w:sz w:val="15"/>
                <w:szCs w:val="15"/>
                <w:color w:val="auto"/>
              </w:rPr>
            </w:pP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36,928</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33,659</w:t>
            </w:r>
          </w:p>
        </w:tc>
      </w:tr>
      <w:tr>
        <w:trPr>
          <w:trHeight w:val="177"/>
        </w:trPr>
        <w:tc>
          <w:tcPr>
            <w:tcW w:w="3740" w:type="dxa"/>
            <w:vAlign w:val="bottom"/>
          </w:tcPr>
          <w:p>
            <w:pPr>
              <w:spacing w:after="0"/>
              <w:rPr>
                <w:sz w:val="15"/>
                <w:szCs w:val="15"/>
                <w:color w:val="auto"/>
              </w:rPr>
            </w:pPr>
          </w:p>
        </w:tc>
        <w:tc>
          <w:tcPr>
            <w:tcW w:w="10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74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22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106,279</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99,408</w:t>
            </w:r>
          </w:p>
        </w:tc>
        <w:tc>
          <w:tcPr>
            <w:tcW w:w="240" w:type="dxa"/>
            <w:vAlign w:val="bottom"/>
          </w:tcPr>
          <w:p>
            <w:pPr>
              <w:spacing w:after="0"/>
              <w:rPr>
                <w:sz w:val="15"/>
                <w:szCs w:val="15"/>
                <w:color w:val="auto"/>
              </w:rPr>
            </w:pP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300,221</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289,597</w:t>
            </w:r>
          </w:p>
        </w:tc>
      </w:tr>
      <w:tr>
        <w:trPr>
          <w:trHeight w:val="177"/>
        </w:trPr>
        <w:tc>
          <w:tcPr>
            <w:tcW w:w="374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2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18,098</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13,823</w:t>
            </w:r>
          </w:p>
        </w:tc>
        <w:tc>
          <w:tcPr>
            <w:tcW w:w="240" w:type="dxa"/>
            <w:vAlign w:val="bottom"/>
          </w:tcPr>
          <w:p>
            <w:pPr>
              <w:spacing w:after="0"/>
              <w:rPr>
                <w:sz w:val="15"/>
                <w:szCs w:val="15"/>
                <w:color w:val="auto"/>
              </w:rPr>
            </w:pP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31,527</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46,916</w:t>
            </w:r>
          </w:p>
        </w:tc>
      </w:tr>
      <w:tr>
        <w:trPr>
          <w:trHeight w:val="177"/>
        </w:trPr>
        <w:tc>
          <w:tcPr>
            <w:tcW w:w="3740" w:type="dxa"/>
            <w:vAlign w:val="bottom"/>
          </w:tcPr>
          <w:p>
            <w:pPr>
              <w:spacing w:after="0"/>
              <w:rPr>
                <w:sz w:val="15"/>
                <w:szCs w:val="15"/>
                <w:color w:val="auto"/>
              </w:rPr>
            </w:pPr>
          </w:p>
        </w:tc>
        <w:tc>
          <w:tcPr>
            <w:tcW w:w="10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7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$ 88,181</w:t>
            </w: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$ 85,585</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268,694</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242,681</w:t>
            </w:r>
          </w:p>
        </w:tc>
      </w:tr>
      <w:tr>
        <w:trPr>
          <w:trHeight w:val="177"/>
        </w:trPr>
        <w:tc>
          <w:tcPr>
            <w:tcW w:w="3740" w:type="dxa"/>
            <w:vAlign w:val="bottom"/>
          </w:tcPr>
          <w:p>
            <w:pPr>
              <w:spacing w:after="0"/>
              <w:rPr>
                <w:sz w:val="15"/>
                <w:szCs w:val="15"/>
                <w:color w:val="auto"/>
              </w:rPr>
            </w:pPr>
          </w:p>
        </w:tc>
        <w:tc>
          <w:tcPr>
            <w:tcW w:w="10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74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0.42</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0.42</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1.30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r>
      <w:tr>
        <w:trPr>
          <w:trHeight w:val="177"/>
        </w:trPr>
        <w:tc>
          <w:tcPr>
            <w:tcW w:w="3740" w:type="dxa"/>
            <w:vAlign w:val="bottom"/>
          </w:tcPr>
          <w:p>
            <w:pPr>
              <w:spacing w:after="0"/>
              <w:rPr>
                <w:sz w:val="15"/>
                <w:szCs w:val="15"/>
                <w:color w:val="auto"/>
              </w:rPr>
            </w:pPr>
          </w:p>
        </w:tc>
        <w:tc>
          <w:tcPr>
            <w:tcW w:w="10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740" w:type="dxa"/>
            <w:vAlign w:val="bottom"/>
          </w:tcPr>
          <w:p>
            <w:pPr>
              <w:spacing w:after="0"/>
              <w:rPr>
                <w:sz w:val="20"/>
                <w:szCs w:val="20"/>
                <w:color w:val="auto"/>
              </w:rPr>
            </w:pPr>
            <w:r>
              <w:rPr>
                <w:rFonts w:ascii="Courier New" w:cs="Courier New" w:eastAsia="Courier New" w:hAnsi="Courier New"/>
                <w:sz w:val="15"/>
                <w:szCs w:val="15"/>
                <w:color w:val="auto"/>
              </w:rPr>
              <w:t>Diluted earnings per share (2)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0.40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0.39</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1.22</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1.13</w:t>
            </w:r>
          </w:p>
        </w:tc>
      </w:tr>
      <w:tr>
        <w:trPr>
          <w:trHeight w:val="177"/>
        </w:trPr>
        <w:tc>
          <w:tcPr>
            <w:tcW w:w="3740" w:type="dxa"/>
            <w:vAlign w:val="bottom"/>
          </w:tcPr>
          <w:p>
            <w:pPr>
              <w:spacing w:after="0"/>
              <w:rPr>
                <w:sz w:val="15"/>
                <w:szCs w:val="15"/>
                <w:color w:val="auto"/>
              </w:rPr>
            </w:pPr>
          </w:p>
        </w:tc>
        <w:tc>
          <w:tcPr>
            <w:tcW w:w="10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740" w:type="dxa"/>
            <w:vAlign w:val="bottom"/>
          </w:tcPr>
          <w:p>
            <w:pPr>
              <w:spacing w:after="0"/>
              <w:rPr>
                <w:sz w:val="20"/>
                <w:szCs w:val="20"/>
                <w:color w:val="auto"/>
              </w:rPr>
            </w:pPr>
            <w:r>
              <w:rPr>
                <w:rFonts w:ascii="Courier New" w:cs="Courier New" w:eastAsia="Courier New" w:hAnsi="Courier New"/>
                <w:sz w:val="15"/>
                <w:szCs w:val="15"/>
                <w:color w:val="auto"/>
              </w:rPr>
              <w:t>Basic weighted average number of shares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3740" w:type="dxa"/>
            <w:vAlign w:val="bottom"/>
          </w:tcPr>
          <w:p>
            <w:pPr>
              <w:ind w:left="280"/>
              <w:spacing w:after="0"/>
              <w:rPr>
                <w:sz w:val="20"/>
                <w:szCs w:val="20"/>
                <w:color w:val="auto"/>
              </w:rPr>
            </w:pPr>
            <w:r>
              <w:rPr>
                <w:rFonts w:ascii="Courier New" w:cs="Courier New" w:eastAsia="Courier New" w:hAnsi="Courier New"/>
                <w:sz w:val="15"/>
                <w:szCs w:val="15"/>
                <w:color w:val="auto"/>
              </w:rPr>
              <w:t>outstanding</w:t>
            </w:r>
          </w:p>
        </w:tc>
        <w:tc>
          <w:tcPr>
            <w:tcW w:w="22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208,262</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204,404</w:t>
            </w:r>
          </w:p>
        </w:tc>
        <w:tc>
          <w:tcPr>
            <w:tcW w:w="240" w:type="dxa"/>
            <w:vAlign w:val="bottom"/>
          </w:tcPr>
          <w:p>
            <w:pPr>
              <w:spacing w:after="0"/>
              <w:rPr>
                <w:sz w:val="15"/>
                <w:szCs w:val="15"/>
                <w:color w:val="auto"/>
              </w:rPr>
            </w:pP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207,332</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202,474</w:t>
            </w:r>
          </w:p>
        </w:tc>
      </w:tr>
      <w:tr>
        <w:trPr>
          <w:trHeight w:val="177"/>
        </w:trPr>
        <w:tc>
          <w:tcPr>
            <w:tcW w:w="3740" w:type="dxa"/>
            <w:vAlign w:val="bottom"/>
          </w:tcPr>
          <w:p>
            <w:pPr>
              <w:spacing w:after="0"/>
              <w:rPr>
                <w:sz w:val="15"/>
                <w:szCs w:val="15"/>
                <w:color w:val="auto"/>
              </w:rPr>
            </w:pPr>
          </w:p>
        </w:tc>
        <w:tc>
          <w:tcPr>
            <w:tcW w:w="10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74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3740" w:type="dxa"/>
            <w:vAlign w:val="bottom"/>
          </w:tcPr>
          <w:p>
            <w:pPr>
              <w:ind w:left="280"/>
              <w:spacing w:after="0"/>
              <w:rPr>
                <w:sz w:val="20"/>
                <w:szCs w:val="20"/>
                <w:color w:val="auto"/>
              </w:rPr>
            </w:pPr>
            <w:r>
              <w:rPr>
                <w:rFonts w:ascii="Courier New" w:cs="Courier New" w:eastAsia="Courier New" w:hAnsi="Courier New"/>
                <w:sz w:val="15"/>
                <w:szCs w:val="15"/>
                <w:color w:val="auto"/>
              </w:rPr>
              <w:t>of shares outstanding</w:t>
            </w:r>
          </w:p>
        </w:tc>
        <w:tc>
          <w:tcPr>
            <w:tcW w:w="22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223,775</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220,109</w:t>
            </w:r>
          </w:p>
        </w:tc>
        <w:tc>
          <w:tcPr>
            <w:tcW w:w="240" w:type="dxa"/>
            <w:vAlign w:val="bottom"/>
          </w:tcPr>
          <w:p>
            <w:pPr>
              <w:spacing w:after="0"/>
              <w:rPr>
                <w:sz w:val="15"/>
                <w:szCs w:val="15"/>
                <w:color w:val="auto"/>
              </w:rPr>
            </w:pP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222,997</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217,633</w:t>
            </w:r>
          </w:p>
        </w:tc>
      </w:tr>
      <w:tr>
        <w:trPr>
          <w:trHeight w:val="177"/>
        </w:trPr>
        <w:tc>
          <w:tcPr>
            <w:tcW w:w="3740" w:type="dxa"/>
            <w:vAlign w:val="bottom"/>
          </w:tcPr>
          <w:p>
            <w:pPr>
              <w:spacing w:after="0"/>
              <w:rPr>
                <w:sz w:val="15"/>
                <w:szCs w:val="15"/>
                <w:color w:val="auto"/>
              </w:rPr>
            </w:pPr>
          </w:p>
        </w:tc>
        <w:tc>
          <w:tcPr>
            <w:tcW w:w="10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left="465" w:right="2839" w:hanging="465"/>
        <w:spacing w:after="0" w:line="251" w:lineRule="auto"/>
        <w:tabs>
          <w:tab w:leader="none" w:pos="46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 charges, in-process research and development and other for the nine months ended June 30, 2007 include the following: restructuring charges of $6,011, in-process research and development of $2,666 offset by other acquisition related income of $1,916. Restructuring charges, in-process research and development and other for the three and nine months ended June 30, 2006 include in-process research and development of $8,415.</w:t>
      </w:r>
    </w:p>
    <w:p>
      <w:pPr>
        <w:spacing w:after="0" w:line="175" w:lineRule="exact"/>
        <w:rPr>
          <w:rFonts w:ascii="Courier New" w:cs="Courier New" w:eastAsia="Courier New" w:hAnsi="Courier New"/>
          <w:sz w:val="15"/>
          <w:szCs w:val="15"/>
          <w:color w:val="auto"/>
        </w:rPr>
      </w:pPr>
    </w:p>
    <w:p>
      <w:pPr>
        <w:ind w:left="465" w:right="2839" w:hanging="465"/>
        <w:spacing w:after="0" w:line="251" w:lineRule="auto"/>
        <w:tabs>
          <w:tab w:leader="none" w:pos="46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the impact of assumed conversion of the convertible notes, $985 and $2,955, representing interest expense and amortization of issuance costs, were added back to net income for the three and nine months ended June 30, 2007, respectively, and $985 and $2,964 were added back to net income for the three and nine months ended June 30, 2006, respectively, for the purpose of computing diluted earnings per share.</w:t>
      </w:r>
    </w:p>
    <w:p>
      <w:pPr>
        <w:sectPr>
          <w:pgSz w:w="11900" w:h="16838" w:orient="portrait"/>
          <w:cols w:equalWidth="0" w:num="1">
            <w:col w:w="10225"/>
          </w:cols>
          <w:pgMar w:left="235" w:top="650" w:right="1440" w:bottom="1440" w:gutter="0" w:footer="0" w:header="0"/>
        </w:sectPr>
      </w:pPr>
    </w:p>
    <w:bookmarkStart w:id="10" w:name="page11"/>
    <w:bookmarkEnd w:id="10"/>
    <w:p>
      <w:pPr>
        <w:jc w:val="center"/>
        <w:ind w:right="2834"/>
        <w:spacing w:after="0"/>
        <w:rPr>
          <w:sz w:val="20"/>
          <w:szCs w:val="20"/>
          <w:color w:val="auto"/>
        </w:rPr>
      </w:pPr>
      <w:r>
        <w:rPr>
          <w:rFonts w:ascii="Courier New" w:cs="Courier New" w:eastAsia="Courier New" w:hAnsi="Courier New"/>
          <w:sz w:val="15"/>
          <w:szCs w:val="15"/>
          <w:color w:val="auto"/>
        </w:rPr>
        <w:t>AMDOCS LIMITED</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SELECTED FINANCIAL METRICS</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6220" w:type="dxa"/>
            <w:vAlign w:val="bottom"/>
            <w:gridSpan w:val="7"/>
          </w:tcPr>
          <w:p>
            <w:pPr>
              <w:ind w:left="2020"/>
              <w:spacing w:after="0"/>
              <w:rPr>
                <w:sz w:val="20"/>
                <w:szCs w:val="20"/>
                <w:color w:val="auto"/>
              </w:rPr>
            </w:pPr>
            <w:r>
              <w:rPr>
                <w:rFonts w:ascii="Courier New" w:cs="Courier New" w:eastAsia="Courier New" w:hAnsi="Courier New"/>
                <w:sz w:val="15"/>
                <w:szCs w:val="15"/>
                <w:color w:val="auto"/>
              </w:rPr>
              <w:t>(IN THOUSANDS, EXCEPT PER SHARE DATA)</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710"/>
        </w:trPr>
        <w:tc>
          <w:tcPr>
            <w:tcW w:w="3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3"/>
          </w:tcPr>
          <w:p>
            <w:pPr>
              <w:jc w:val="right"/>
              <w:ind w:right="63"/>
              <w:spacing w:after="0"/>
              <w:rPr>
                <w:sz w:val="20"/>
                <w:szCs w:val="20"/>
                <w:color w:val="auto"/>
              </w:rPr>
            </w:pPr>
            <w:r>
              <w:rPr>
                <w:rFonts w:ascii="Courier New" w:cs="Courier New" w:eastAsia="Courier New" w:hAnsi="Courier New"/>
                <w:sz w:val="15"/>
                <w:szCs w:val="15"/>
                <w:color w:val="auto"/>
              </w:rPr>
              <w:t>THREE MONTHS ENDED</w:t>
            </w:r>
          </w:p>
        </w:tc>
        <w:tc>
          <w:tcPr>
            <w:tcW w:w="240" w:type="dxa"/>
            <w:vAlign w:val="bottom"/>
          </w:tcPr>
          <w:p>
            <w:pPr>
              <w:spacing w:after="0"/>
              <w:rPr>
                <w:sz w:val="24"/>
                <w:szCs w:val="24"/>
                <w:color w:val="auto"/>
              </w:rPr>
            </w:pPr>
          </w:p>
        </w:tc>
        <w:tc>
          <w:tcPr>
            <w:tcW w:w="2020" w:type="dxa"/>
            <w:vAlign w:val="bottom"/>
            <w:gridSpan w:val="3"/>
          </w:tcPr>
          <w:p>
            <w:pPr>
              <w:jc w:val="right"/>
              <w:ind w:right="203"/>
              <w:spacing w:after="0"/>
              <w:rPr>
                <w:sz w:val="20"/>
                <w:szCs w:val="20"/>
                <w:color w:val="auto"/>
              </w:rPr>
            </w:pPr>
            <w:r>
              <w:rPr>
                <w:rFonts w:ascii="Courier New" w:cs="Courier New" w:eastAsia="Courier New" w:hAnsi="Courier New"/>
                <w:sz w:val="15"/>
                <w:szCs w:val="15"/>
                <w:color w:val="auto"/>
              </w:rPr>
              <w:t>NINE MONTHS ENDED</w:t>
            </w:r>
          </w:p>
        </w:tc>
      </w:tr>
      <w:tr>
        <w:trPr>
          <w:trHeight w:val="177"/>
        </w:trPr>
        <w:tc>
          <w:tcPr>
            <w:tcW w:w="3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3"/>
          </w:tcPr>
          <w:p>
            <w:pPr>
              <w:jc w:val="right"/>
              <w:ind w:right="523"/>
              <w:spacing w:after="0"/>
              <w:rPr>
                <w:sz w:val="20"/>
                <w:szCs w:val="20"/>
                <w:color w:val="auto"/>
              </w:rPr>
            </w:pPr>
            <w:r>
              <w:rPr>
                <w:rFonts w:ascii="Courier New" w:cs="Courier New" w:eastAsia="Courier New" w:hAnsi="Courier New"/>
                <w:sz w:val="15"/>
                <w:szCs w:val="15"/>
                <w:color w:val="auto"/>
              </w:rPr>
              <w:t>JUNE 30,</w:t>
            </w:r>
          </w:p>
        </w:tc>
        <w:tc>
          <w:tcPr>
            <w:tcW w:w="240" w:type="dxa"/>
            <w:vAlign w:val="bottom"/>
          </w:tcPr>
          <w:p>
            <w:pPr>
              <w:spacing w:after="0"/>
              <w:rPr>
                <w:sz w:val="15"/>
                <w:szCs w:val="15"/>
                <w:color w:val="auto"/>
              </w:rPr>
            </w:pPr>
          </w:p>
        </w:tc>
        <w:tc>
          <w:tcPr>
            <w:tcW w:w="2020" w:type="dxa"/>
            <w:vAlign w:val="bottom"/>
            <w:gridSpan w:val="3"/>
          </w:tcPr>
          <w:p>
            <w:pPr>
              <w:jc w:val="right"/>
              <w:ind w:right="563"/>
              <w:spacing w:after="0"/>
              <w:rPr>
                <w:sz w:val="20"/>
                <w:szCs w:val="20"/>
                <w:color w:val="auto"/>
              </w:rPr>
            </w:pPr>
            <w:r>
              <w:rPr>
                <w:rFonts w:ascii="Courier New" w:cs="Courier New" w:eastAsia="Courier New" w:hAnsi="Courier New"/>
                <w:sz w:val="15"/>
                <w:szCs w:val="15"/>
                <w:color w:val="auto"/>
              </w:rPr>
              <w:t>JUNE 30,</w:t>
            </w:r>
          </w:p>
        </w:tc>
      </w:tr>
      <w:tr>
        <w:trPr>
          <w:trHeight w:val="177"/>
        </w:trPr>
        <w:tc>
          <w:tcPr>
            <w:tcW w:w="3000" w:type="dxa"/>
            <w:vAlign w:val="bottom"/>
          </w:tcPr>
          <w:p>
            <w:pPr>
              <w:spacing w:after="0"/>
              <w:rPr>
                <w:sz w:val="15"/>
                <w:szCs w:val="15"/>
                <w:color w:val="auto"/>
              </w:rPr>
            </w:pPr>
          </w:p>
        </w:tc>
        <w:tc>
          <w:tcPr>
            <w:tcW w:w="2020" w:type="dxa"/>
            <w:vAlign w:val="bottom"/>
            <w:gridSpan w:val="4"/>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2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2007</w:t>
            </w:r>
          </w:p>
        </w:tc>
        <w:tc>
          <w:tcPr>
            <w:tcW w:w="240" w:type="dxa"/>
            <w:vAlign w:val="bottom"/>
          </w:tcPr>
          <w:p>
            <w:pPr>
              <w:spacing w:after="0"/>
              <w:rPr>
                <w:sz w:val="15"/>
                <w:szCs w:val="15"/>
                <w:color w:val="auto"/>
              </w:rPr>
            </w:pPr>
          </w:p>
        </w:tc>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2006</w:t>
            </w:r>
          </w:p>
        </w:tc>
        <w:tc>
          <w:tcPr>
            <w:tcW w:w="240" w:type="dxa"/>
            <w:vAlign w:val="bottom"/>
          </w:tcPr>
          <w:p>
            <w:pPr>
              <w:spacing w:after="0"/>
              <w:rPr>
                <w:sz w:val="15"/>
                <w:szCs w:val="15"/>
                <w:color w:val="auto"/>
              </w:rPr>
            </w:pPr>
          </w:p>
        </w:tc>
        <w:tc>
          <w:tcPr>
            <w:tcW w:w="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2007</w:t>
            </w:r>
          </w:p>
        </w:tc>
        <w:tc>
          <w:tcPr>
            <w:tcW w:w="240" w:type="dxa"/>
            <w:vAlign w:val="bottom"/>
          </w:tcPr>
          <w:p>
            <w:pPr>
              <w:spacing w:after="0"/>
              <w:rPr>
                <w:sz w:val="15"/>
                <w:szCs w:val="15"/>
                <w:color w:val="auto"/>
              </w:rPr>
            </w:pPr>
          </w:p>
        </w:tc>
        <w:tc>
          <w:tcPr>
            <w:tcW w:w="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2006</w:t>
            </w:r>
          </w:p>
        </w:tc>
      </w:tr>
      <w:tr>
        <w:trPr>
          <w:trHeight w:val="177"/>
        </w:trPr>
        <w:tc>
          <w:tcPr>
            <w:tcW w:w="3000" w:type="dxa"/>
            <w:vAlign w:val="bottom"/>
          </w:tcPr>
          <w:p>
            <w:pPr>
              <w:spacing w:after="0"/>
              <w:rPr>
                <w:sz w:val="15"/>
                <w:szCs w:val="15"/>
                <w:color w:val="auto"/>
              </w:rPr>
            </w:pPr>
          </w:p>
        </w:tc>
        <w:tc>
          <w:tcPr>
            <w:tcW w:w="10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0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712,091</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626,448</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2,109,484</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1,814,605</w:t>
            </w:r>
          </w:p>
        </w:tc>
      </w:tr>
      <w:tr>
        <w:trPr>
          <w:trHeight w:val="177"/>
        </w:trPr>
        <w:tc>
          <w:tcPr>
            <w:tcW w:w="3000" w:type="dxa"/>
            <w:vAlign w:val="bottom"/>
          </w:tcPr>
          <w:p>
            <w:pPr>
              <w:spacing w:after="0"/>
              <w:rPr>
                <w:sz w:val="20"/>
                <w:szCs w:val="20"/>
                <w:color w:val="auto"/>
              </w:rPr>
            </w:pPr>
            <w:r>
              <w:rPr>
                <w:rFonts w:ascii="Courier New" w:cs="Courier New" w:eastAsia="Courier New" w:hAnsi="Courier New"/>
                <w:sz w:val="15"/>
                <w:szCs w:val="15"/>
                <w:color w:val="auto"/>
              </w:rPr>
              <w:t>Non-GAAP operating income</w:t>
            </w:r>
          </w:p>
        </w:tc>
        <w:tc>
          <w:tcPr>
            <w:tcW w:w="22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123,843</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112,380</w:t>
            </w:r>
          </w:p>
        </w:tc>
        <w:tc>
          <w:tcPr>
            <w:tcW w:w="240" w:type="dxa"/>
            <w:vAlign w:val="bottom"/>
          </w:tcPr>
          <w:p>
            <w:pPr>
              <w:spacing w:after="0"/>
              <w:rPr>
                <w:sz w:val="15"/>
                <w:szCs w:val="15"/>
                <w:color w:val="auto"/>
              </w:rPr>
            </w:pP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365,809</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319,889</w:t>
            </w:r>
          </w:p>
        </w:tc>
      </w:tr>
      <w:tr>
        <w:trPr>
          <w:trHeight w:val="177"/>
        </w:trPr>
        <w:tc>
          <w:tcPr>
            <w:tcW w:w="3000" w:type="dxa"/>
            <w:vAlign w:val="bottom"/>
          </w:tcPr>
          <w:p>
            <w:pPr>
              <w:spacing w:after="0"/>
              <w:rPr>
                <w:sz w:val="20"/>
                <w:szCs w:val="20"/>
                <w:color w:val="auto"/>
              </w:rPr>
            </w:pPr>
            <w:r>
              <w:rPr>
                <w:rFonts w:ascii="Courier New" w:cs="Courier New" w:eastAsia="Courier New" w:hAnsi="Courier New"/>
                <w:sz w:val="15"/>
                <w:szCs w:val="15"/>
                <w:color w:val="auto"/>
              </w:rPr>
              <w:t>Non-GAAP net income</w:t>
            </w:r>
          </w:p>
        </w:tc>
        <w:tc>
          <w:tcPr>
            <w:tcW w:w="22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120,576</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106,169</w:t>
            </w:r>
          </w:p>
        </w:tc>
        <w:tc>
          <w:tcPr>
            <w:tcW w:w="240" w:type="dxa"/>
            <w:vAlign w:val="bottom"/>
          </w:tcPr>
          <w:p>
            <w:pPr>
              <w:spacing w:after="0"/>
              <w:rPr>
                <w:sz w:val="15"/>
                <w:szCs w:val="15"/>
                <w:color w:val="auto"/>
              </w:rPr>
            </w:pP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353,163</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291,678</w:t>
            </w:r>
          </w:p>
        </w:tc>
      </w:tr>
      <w:tr>
        <w:trPr>
          <w:trHeight w:val="177"/>
        </w:trPr>
        <w:tc>
          <w:tcPr>
            <w:tcW w:w="3000" w:type="dxa"/>
            <w:vAlign w:val="bottom"/>
          </w:tcPr>
          <w:p>
            <w:pPr>
              <w:spacing w:after="0"/>
              <w:rPr>
                <w:sz w:val="20"/>
                <w:szCs w:val="20"/>
                <w:color w:val="auto"/>
              </w:rPr>
            </w:pPr>
            <w:r>
              <w:rPr>
                <w:rFonts w:ascii="Courier New" w:cs="Courier New" w:eastAsia="Courier New" w:hAnsi="Courier New"/>
                <w:sz w:val="15"/>
                <w:szCs w:val="15"/>
                <w:color w:val="auto"/>
              </w:rPr>
              <w:t>Non-GAAP diluted earnings per</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3000" w:type="dxa"/>
            <w:vAlign w:val="bottom"/>
          </w:tcPr>
          <w:p>
            <w:pPr>
              <w:ind w:left="280"/>
              <w:spacing w:after="0"/>
              <w:rPr>
                <w:sz w:val="20"/>
                <w:szCs w:val="20"/>
                <w:color w:val="auto"/>
              </w:rPr>
            </w:pPr>
            <w:r>
              <w:rPr>
                <w:rFonts w:ascii="Courier New" w:cs="Courier New" w:eastAsia="Courier New" w:hAnsi="Courier New"/>
                <w:sz w:val="15"/>
                <w:szCs w:val="15"/>
                <w:color w:val="auto"/>
              </w:rPr>
              <w:t>share (1)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0.54</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0.49</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1.60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1.35</w:t>
            </w:r>
          </w:p>
        </w:tc>
      </w:tr>
      <w:tr>
        <w:trPr>
          <w:trHeight w:val="177"/>
        </w:trPr>
        <w:tc>
          <w:tcPr>
            <w:tcW w:w="300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3000" w:type="dxa"/>
            <w:vAlign w:val="bottom"/>
          </w:tcPr>
          <w:p>
            <w:pPr>
              <w:ind w:left="280"/>
              <w:spacing w:after="0"/>
              <w:rPr>
                <w:sz w:val="20"/>
                <w:szCs w:val="20"/>
                <w:color w:val="auto"/>
              </w:rPr>
            </w:pPr>
            <w:r>
              <w:rPr>
                <w:rFonts w:ascii="Courier New" w:cs="Courier New" w:eastAsia="Courier New" w:hAnsi="Courier New"/>
                <w:sz w:val="15"/>
                <w:szCs w:val="15"/>
                <w:color w:val="auto"/>
              </w:rPr>
              <w:t>of shares outstanding</w:t>
            </w:r>
          </w:p>
        </w:tc>
        <w:tc>
          <w:tcPr>
            <w:tcW w:w="22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223,775</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220,109</w:t>
            </w:r>
          </w:p>
        </w:tc>
        <w:tc>
          <w:tcPr>
            <w:tcW w:w="240" w:type="dxa"/>
            <w:vAlign w:val="bottom"/>
          </w:tcPr>
          <w:p>
            <w:pPr>
              <w:spacing w:after="0"/>
              <w:rPr>
                <w:sz w:val="15"/>
                <w:szCs w:val="15"/>
                <w:color w:val="auto"/>
              </w:rPr>
            </w:pP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222,997</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217,633</w:t>
            </w:r>
          </w:p>
        </w:tc>
      </w:tr>
    </w:tbl>
    <w:p>
      <w:pPr>
        <w:spacing w:after="0" w:line="360" w:lineRule="exact"/>
        <w:rPr>
          <w:sz w:val="20"/>
          <w:szCs w:val="20"/>
          <w:color w:val="auto"/>
        </w:rPr>
      </w:pPr>
    </w:p>
    <w:p>
      <w:pPr>
        <w:ind w:left="465" w:right="2839" w:hanging="465"/>
        <w:spacing w:after="0" w:line="251" w:lineRule="auto"/>
        <w:tabs>
          <w:tab w:leader="none" w:pos="46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the impact of assumed conversion of the convertible notes, $985 and $2,955, representing interest expense and amortization of issuance costs, were added back to net income for the three and nine months ended June 30, 2007, respectively, and $985 and $2,964 were added back to net income for the three and nine months ended June 30, 2006, respectively, for the purpose of computing diluted earnings per share.</w:t>
      </w:r>
    </w:p>
    <w:p>
      <w:pPr>
        <w:sectPr>
          <w:pgSz w:w="11900" w:h="16838" w:orient="portrait"/>
          <w:cols w:equalWidth="0" w:num="1">
            <w:col w:w="10225"/>
          </w:cols>
          <w:pgMar w:left="235" w:top="650" w:right="1440" w:bottom="1440" w:gutter="0" w:footer="0" w:header="0"/>
        </w:sectPr>
      </w:pPr>
    </w:p>
    <w:bookmarkStart w:id="11" w:name="page12"/>
    <w:bookmarkEnd w:id="11"/>
    <w:p>
      <w:pPr>
        <w:jc w:val="center"/>
        <w:ind w:right="4140"/>
        <w:spacing w:after="0"/>
        <w:rPr>
          <w:sz w:val="20"/>
          <w:szCs w:val="20"/>
          <w:color w:val="auto"/>
        </w:rPr>
      </w:pPr>
      <w:r>
        <w:rPr>
          <w:rFonts w:ascii="Courier New" w:cs="Courier New" w:eastAsia="Courier New" w:hAnsi="Courier New"/>
          <w:sz w:val="15"/>
          <w:szCs w:val="15"/>
          <w:color w:val="auto"/>
        </w:rPr>
        <w:t>AMDOCS LIMITED</w:t>
      </w:r>
    </w:p>
    <w:p>
      <w:pPr>
        <w:spacing w:after="0" w:line="8" w:lineRule="exact"/>
        <w:rPr>
          <w:sz w:val="20"/>
          <w:szCs w:val="20"/>
          <w:color w:val="auto"/>
        </w:rPr>
      </w:pPr>
    </w:p>
    <w:p>
      <w:pPr>
        <w:jc w:val="center"/>
        <w:ind w:right="4140"/>
        <w:spacing w:after="0"/>
        <w:rPr>
          <w:sz w:val="20"/>
          <w:szCs w:val="20"/>
          <w:color w:val="auto"/>
        </w:rPr>
      </w:pPr>
      <w:r>
        <w:rPr>
          <w:rFonts w:ascii="Courier New" w:cs="Courier New" w:eastAsia="Courier New" w:hAnsi="Courier New"/>
          <w:sz w:val="15"/>
          <w:szCs w:val="15"/>
          <w:color w:val="auto"/>
        </w:rPr>
        <w:t>RECONCILIATION OF SELECTED FINANCIAL METRICS FROM GAAP TO NON-GAAP</w:t>
      </w:r>
    </w:p>
    <w:p>
      <w:pPr>
        <w:spacing w:after="0" w:line="8" w:lineRule="exact"/>
        <w:rPr>
          <w:sz w:val="20"/>
          <w:szCs w:val="20"/>
          <w:color w:val="auto"/>
        </w:rPr>
      </w:pPr>
    </w:p>
    <w:p>
      <w:pPr>
        <w:jc w:val="center"/>
        <w:ind w:right="414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80" w:type="dxa"/>
            <w:vAlign w:val="bottom"/>
            <w:gridSpan w:val="5"/>
          </w:tcPr>
          <w:p>
            <w:pPr>
              <w:jc w:val="right"/>
              <w:ind w:right="343"/>
              <w:spacing w:after="0"/>
              <w:rPr>
                <w:sz w:val="20"/>
                <w:szCs w:val="20"/>
                <w:color w:val="auto"/>
              </w:rPr>
            </w:pPr>
            <w:r>
              <w:rPr>
                <w:rFonts w:ascii="Courier New" w:cs="Courier New" w:eastAsia="Courier New" w:hAnsi="Courier New"/>
                <w:sz w:val="15"/>
                <w:szCs w:val="15"/>
                <w:color w:val="auto"/>
              </w:rPr>
              <w:t>THREE MONTHS ENDED JUNE 30, 2007</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7"/>
        </w:trPr>
        <w:tc>
          <w:tcPr>
            <w:tcW w:w="4380" w:type="dxa"/>
            <w:vAlign w:val="bottom"/>
          </w:tcPr>
          <w:p>
            <w:pPr>
              <w:spacing w:after="0"/>
              <w:rPr>
                <w:sz w:val="15"/>
                <w:szCs w:val="15"/>
                <w:color w:val="auto"/>
              </w:rPr>
            </w:pPr>
          </w:p>
        </w:tc>
        <w:tc>
          <w:tcPr>
            <w:tcW w:w="5480" w:type="dxa"/>
            <w:vAlign w:val="bottom"/>
            <w:gridSpan w:val="9"/>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4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340" w:type="dxa"/>
            <w:vAlign w:val="bottom"/>
            <w:gridSpan w:val="3"/>
          </w:tcPr>
          <w:p>
            <w:pPr>
              <w:jc w:val="right"/>
              <w:ind w:right="343"/>
              <w:spacing w:after="0"/>
              <w:rPr>
                <w:sz w:val="20"/>
                <w:szCs w:val="20"/>
                <w:color w:val="auto"/>
              </w:rPr>
            </w:pPr>
            <w:r>
              <w:rPr>
                <w:rFonts w:ascii="Courier New" w:cs="Courier New" w:eastAsia="Courier New" w:hAnsi="Courier New"/>
                <w:sz w:val="15"/>
                <w:szCs w:val="15"/>
                <w:color w:val="auto"/>
              </w:rPr>
              <w:t>RECONCILIATION ITEMS</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4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6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4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AMORTIZATION</w:t>
            </w: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4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OF PURCHASED</w:t>
            </w:r>
          </w:p>
        </w:tc>
        <w:tc>
          <w:tcPr>
            <w:tcW w:w="146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EQUITY BASED</w:t>
            </w: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4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INTANGIBLE</w:t>
            </w:r>
          </w:p>
        </w:tc>
        <w:tc>
          <w:tcPr>
            <w:tcW w:w="146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COMPENSATION</w:t>
            </w:r>
          </w:p>
        </w:tc>
        <w:tc>
          <w:tcPr>
            <w:tcW w:w="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TAX</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4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GAAP</w:t>
            </w:r>
          </w:p>
        </w:tc>
        <w:tc>
          <w:tcPr>
            <w:tcW w:w="400" w:type="dxa"/>
            <w:vAlign w:val="bottom"/>
          </w:tcPr>
          <w:p>
            <w:pPr>
              <w:spacing w:after="0"/>
              <w:rPr>
                <w:sz w:val="15"/>
                <w:szCs w:val="15"/>
                <w:color w:val="auto"/>
              </w:rPr>
            </w:pPr>
          </w:p>
        </w:tc>
        <w:tc>
          <w:tcPr>
            <w:tcW w:w="940" w:type="dxa"/>
            <w:vAlign w:val="bottom"/>
          </w:tcPr>
          <w:p>
            <w:pPr>
              <w:jc w:val="center"/>
              <w:ind w:right="303"/>
              <w:spacing w:after="0"/>
              <w:rPr>
                <w:sz w:val="20"/>
                <w:szCs w:val="20"/>
                <w:color w:val="auto"/>
              </w:rPr>
            </w:pPr>
            <w:r>
              <w:rPr>
                <w:rFonts w:ascii="Courier New" w:cs="Courier New" w:eastAsia="Courier New" w:hAnsi="Courier New"/>
                <w:sz w:val="15"/>
                <w:szCs w:val="15"/>
                <w:color w:val="auto"/>
              </w:rPr>
              <w:t>ASSETS</w:t>
            </w:r>
          </w:p>
        </w:tc>
        <w:tc>
          <w:tcPr>
            <w:tcW w:w="14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EXPENSE</w:t>
            </w:r>
          </w:p>
        </w:tc>
        <w:tc>
          <w:tcPr>
            <w:tcW w:w="8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EFFECT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NON-GAAP</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4380" w:type="dxa"/>
            <w:vAlign w:val="bottom"/>
          </w:tcPr>
          <w:p>
            <w:pPr>
              <w:spacing w:after="0"/>
              <w:rPr>
                <w:sz w:val="15"/>
                <w:szCs w:val="15"/>
                <w:color w:val="auto"/>
              </w:rPr>
            </w:pP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355"/>
        </w:trPr>
        <w:tc>
          <w:tcPr>
            <w:tcW w:w="43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7"/>
        </w:trPr>
        <w:tc>
          <w:tcPr>
            <w:tcW w:w="4380" w:type="dxa"/>
            <w:vAlign w:val="bottom"/>
          </w:tcPr>
          <w:p>
            <w:pPr>
              <w:ind w:left="280"/>
              <w:spacing w:after="0"/>
              <w:rPr>
                <w:sz w:val="20"/>
                <w:szCs w:val="20"/>
                <w:color w:val="auto"/>
              </w:rPr>
            </w:pPr>
            <w:r>
              <w:rPr>
                <w:rFonts w:ascii="Courier New" w:cs="Courier New" w:eastAsia="Courier New" w:hAnsi="Courier New"/>
                <w:sz w:val="15"/>
                <w:szCs w:val="15"/>
                <w:color w:val="auto"/>
              </w:rPr>
              <w:t>Cost of license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960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  --</w:t>
            </w: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960</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4380" w:type="dxa"/>
            <w:vAlign w:val="bottom"/>
          </w:tcPr>
          <w:p>
            <w:pPr>
              <w:ind w:left="280"/>
              <w:spacing w:after="0"/>
              <w:rPr>
                <w:sz w:val="20"/>
                <w:szCs w:val="20"/>
                <w:color w:val="auto"/>
              </w:rPr>
            </w:pPr>
            <w:r>
              <w:rPr>
                <w:rFonts w:ascii="Courier New" w:cs="Courier New" w:eastAsia="Courier New" w:hAnsi="Courier New"/>
                <w:sz w:val="15"/>
                <w:szCs w:val="15"/>
                <w:color w:val="auto"/>
              </w:rPr>
              <w:t>Cost of service</w:t>
            </w:r>
          </w:p>
        </w:tc>
        <w:tc>
          <w:tcPr>
            <w:tcW w:w="220" w:type="dxa"/>
            <w:vAlign w:val="bottom"/>
          </w:tcPr>
          <w:p>
            <w:pPr>
              <w:spacing w:after="0"/>
              <w:rPr>
                <w:sz w:val="15"/>
                <w:szCs w:val="15"/>
                <w:color w:val="auto"/>
              </w:rPr>
            </w:pP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448,795</w:t>
            </w:r>
          </w:p>
        </w:tc>
        <w:tc>
          <w:tcPr>
            <w:tcW w:w="40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8"/>
              </w:rPr>
              <w:t>(6,587)</w:t>
            </w:r>
          </w:p>
        </w:tc>
        <w:tc>
          <w:tcPr>
            <w:tcW w:w="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442,208</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4380" w:type="dxa"/>
            <w:vAlign w:val="bottom"/>
          </w:tcPr>
          <w:p>
            <w:pPr>
              <w:ind w:left="280"/>
              <w:spacing w:after="0"/>
              <w:rPr>
                <w:sz w:val="20"/>
                <w:szCs w:val="20"/>
                <w:color w:val="auto"/>
              </w:rPr>
            </w:pPr>
            <w:r>
              <w:rPr>
                <w:rFonts w:ascii="Courier New" w:cs="Courier New" w:eastAsia="Courier New" w:hAnsi="Courier New"/>
                <w:sz w:val="15"/>
                <w:szCs w:val="15"/>
                <w:color w:val="auto"/>
              </w:rPr>
              <w:t>Research and development</w:t>
            </w:r>
          </w:p>
        </w:tc>
        <w:tc>
          <w:tcPr>
            <w:tcW w:w="220" w:type="dxa"/>
            <w:vAlign w:val="bottom"/>
          </w:tcPr>
          <w:p>
            <w:pPr>
              <w:spacing w:after="0"/>
              <w:rPr>
                <w:sz w:val="15"/>
                <w:szCs w:val="15"/>
                <w:color w:val="auto"/>
              </w:rPr>
            </w:pP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56,727</w:t>
            </w:r>
          </w:p>
        </w:tc>
        <w:tc>
          <w:tcPr>
            <w:tcW w:w="40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8"/>
              </w:rPr>
              <w:t>(1,734)</w:t>
            </w:r>
          </w:p>
        </w:tc>
        <w:tc>
          <w:tcPr>
            <w:tcW w:w="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54,993</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4380" w:type="dxa"/>
            <w:vAlign w:val="bottom"/>
          </w:tcPr>
          <w:p>
            <w:pPr>
              <w:ind w:left="280"/>
              <w:spacing w:after="0"/>
              <w:rPr>
                <w:sz w:val="20"/>
                <w:szCs w:val="20"/>
                <w:color w:val="auto"/>
              </w:rPr>
            </w:pPr>
            <w:r>
              <w:rPr>
                <w:rFonts w:ascii="Courier New" w:cs="Courier New" w:eastAsia="Courier New" w:hAnsi="Courier New"/>
                <w:sz w:val="15"/>
                <w:szCs w:val="15"/>
                <w:color w:val="auto"/>
              </w:rPr>
              <w:t>Selling, general and administrative</w:t>
            </w:r>
          </w:p>
        </w:tc>
        <w:tc>
          <w:tcPr>
            <w:tcW w:w="220" w:type="dxa"/>
            <w:vAlign w:val="bottom"/>
          </w:tcPr>
          <w:p>
            <w:pPr>
              <w:spacing w:after="0"/>
              <w:rPr>
                <w:sz w:val="15"/>
                <w:szCs w:val="15"/>
                <w:color w:val="auto"/>
              </w:rPr>
            </w:pP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94,445</w:t>
            </w:r>
          </w:p>
        </w:tc>
        <w:tc>
          <w:tcPr>
            <w:tcW w:w="40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8"/>
              </w:rPr>
              <w:t>(4,358)</w:t>
            </w:r>
          </w:p>
        </w:tc>
        <w:tc>
          <w:tcPr>
            <w:tcW w:w="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90,087</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4380" w:type="dxa"/>
            <w:vAlign w:val="bottom"/>
          </w:tcPr>
          <w:p>
            <w:pPr>
              <w:ind w:left="280"/>
              <w:spacing w:after="0"/>
              <w:rPr>
                <w:sz w:val="20"/>
                <w:szCs w:val="20"/>
                <w:color w:val="auto"/>
              </w:rPr>
            </w:pPr>
            <w:r>
              <w:rPr>
                <w:rFonts w:ascii="Courier New" w:cs="Courier New" w:eastAsia="Courier New" w:hAnsi="Courier New"/>
                <w:sz w:val="15"/>
                <w:szCs w:val="15"/>
                <w:color w:val="auto"/>
              </w:rPr>
              <w:t>Amortization of purchased intangible assets</w:t>
            </w:r>
          </w:p>
        </w:tc>
        <w:tc>
          <w:tcPr>
            <w:tcW w:w="220" w:type="dxa"/>
            <w:vAlign w:val="bottom"/>
          </w:tcPr>
          <w:p>
            <w:pPr>
              <w:spacing w:after="0"/>
              <w:rPr>
                <w:sz w:val="15"/>
                <w:szCs w:val="15"/>
                <w:color w:val="auto"/>
              </w:rPr>
            </w:pP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19,175</w:t>
            </w:r>
          </w:p>
        </w:tc>
        <w:tc>
          <w:tcPr>
            <w:tcW w:w="400" w:type="dxa"/>
            <w:vAlign w:val="bottom"/>
          </w:tcPr>
          <w:p>
            <w:pPr>
              <w:spacing w:after="0"/>
              <w:rPr>
                <w:sz w:val="15"/>
                <w:szCs w:val="15"/>
                <w:color w:val="auto"/>
              </w:rPr>
            </w:pPr>
          </w:p>
        </w:tc>
        <w:tc>
          <w:tcPr>
            <w:tcW w:w="94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9"/>
              </w:rPr>
              <w:t>(19,175)</w:t>
            </w:r>
          </w:p>
        </w:tc>
        <w:tc>
          <w:tcPr>
            <w:tcW w:w="540" w:type="dxa"/>
            <w:vAlign w:val="bottom"/>
          </w:tcPr>
          <w:p>
            <w:pPr>
              <w:spacing w:after="0"/>
              <w:rPr>
                <w:sz w:val="15"/>
                <w:szCs w:val="15"/>
                <w:color w:val="auto"/>
              </w:rPr>
            </w:pPr>
          </w:p>
        </w:tc>
        <w:tc>
          <w:tcPr>
            <w:tcW w:w="9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4380" w:type="dxa"/>
            <w:vAlign w:val="bottom"/>
          </w:tcPr>
          <w:p>
            <w:pPr>
              <w:spacing w:after="0"/>
              <w:rPr>
                <w:sz w:val="15"/>
                <w:szCs w:val="15"/>
                <w:color w:val="auto"/>
              </w:rPr>
            </w:pP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438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220" w:type="dxa"/>
            <w:vAlign w:val="bottom"/>
          </w:tcPr>
          <w:p>
            <w:pPr>
              <w:spacing w:after="0"/>
              <w:rPr>
                <w:sz w:val="15"/>
                <w:szCs w:val="15"/>
                <w:color w:val="auto"/>
              </w:rPr>
            </w:pP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620,102</w:t>
            </w:r>
          </w:p>
        </w:tc>
        <w:tc>
          <w:tcPr>
            <w:tcW w:w="400" w:type="dxa"/>
            <w:vAlign w:val="bottom"/>
          </w:tcPr>
          <w:p>
            <w:pPr>
              <w:spacing w:after="0"/>
              <w:rPr>
                <w:sz w:val="15"/>
                <w:szCs w:val="15"/>
                <w:color w:val="auto"/>
              </w:rPr>
            </w:pPr>
          </w:p>
        </w:tc>
        <w:tc>
          <w:tcPr>
            <w:tcW w:w="94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9"/>
              </w:rPr>
              <w:t>(19,175)</w:t>
            </w:r>
          </w:p>
        </w:tc>
        <w:tc>
          <w:tcPr>
            <w:tcW w:w="146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(12,679)</w:t>
            </w:r>
          </w:p>
        </w:tc>
        <w:tc>
          <w:tcPr>
            <w:tcW w:w="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588,248</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4380" w:type="dxa"/>
            <w:vAlign w:val="bottom"/>
          </w:tcPr>
          <w:p>
            <w:pPr>
              <w:spacing w:after="0"/>
              <w:rPr>
                <w:sz w:val="15"/>
                <w:szCs w:val="15"/>
                <w:color w:val="auto"/>
              </w:rPr>
            </w:pP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43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20" w:type="dxa"/>
            <w:vAlign w:val="bottom"/>
          </w:tcPr>
          <w:p>
            <w:pPr>
              <w:spacing w:after="0"/>
              <w:rPr>
                <w:sz w:val="15"/>
                <w:szCs w:val="15"/>
                <w:color w:val="auto"/>
              </w:rPr>
            </w:pP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91,989</w:t>
            </w:r>
          </w:p>
        </w:tc>
        <w:tc>
          <w:tcPr>
            <w:tcW w:w="40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19,175</w:t>
            </w:r>
          </w:p>
        </w:tc>
        <w:tc>
          <w:tcPr>
            <w:tcW w:w="540" w:type="dxa"/>
            <w:vAlign w:val="bottom"/>
          </w:tcPr>
          <w:p>
            <w:pPr>
              <w:spacing w:after="0"/>
              <w:rPr>
                <w:sz w:val="15"/>
                <w:szCs w:val="15"/>
                <w:color w:val="auto"/>
              </w:rPr>
            </w:pPr>
          </w:p>
        </w:tc>
        <w:tc>
          <w:tcPr>
            <w:tcW w:w="92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12,679</w:t>
            </w:r>
          </w:p>
        </w:tc>
        <w:tc>
          <w:tcPr>
            <w:tcW w:w="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123,843</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4380" w:type="dxa"/>
            <w:vAlign w:val="bottom"/>
          </w:tcPr>
          <w:p>
            <w:pPr>
              <w:spacing w:after="0"/>
              <w:rPr>
                <w:sz w:val="15"/>
                <w:szCs w:val="15"/>
                <w:color w:val="auto"/>
              </w:rPr>
            </w:pP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438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20" w:type="dxa"/>
            <w:vAlign w:val="bottom"/>
          </w:tcPr>
          <w:p>
            <w:pPr>
              <w:spacing w:after="0"/>
              <w:rPr>
                <w:sz w:val="15"/>
                <w:szCs w:val="15"/>
                <w:color w:val="auto"/>
              </w:rPr>
            </w:pP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18,098</w:t>
            </w:r>
          </w:p>
        </w:tc>
        <w:tc>
          <w:tcPr>
            <w:tcW w:w="40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9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(541)</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17,557</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4380" w:type="dxa"/>
            <w:vAlign w:val="bottom"/>
          </w:tcPr>
          <w:p>
            <w:pPr>
              <w:spacing w:after="0"/>
              <w:rPr>
                <w:sz w:val="15"/>
                <w:szCs w:val="15"/>
                <w:color w:val="auto"/>
              </w:rPr>
            </w:pP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$ 88,181</w:t>
            </w:r>
          </w:p>
        </w:tc>
        <w:tc>
          <w:tcPr>
            <w:tcW w:w="134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$ 19,175</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$ 12,679</w:t>
            </w:r>
          </w:p>
        </w:tc>
        <w:tc>
          <w:tcPr>
            <w:tcW w:w="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$ 541</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$120,576</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4380" w:type="dxa"/>
            <w:vAlign w:val="bottom"/>
          </w:tcPr>
          <w:p>
            <w:pPr>
              <w:spacing w:after="0"/>
              <w:rPr>
                <w:sz w:val="15"/>
                <w:szCs w:val="15"/>
                <w:color w:val="auto"/>
              </w:rPr>
            </w:pP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887"/>
        </w:trPr>
        <w:tc>
          <w:tcPr>
            <w:tcW w:w="4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THREE MONTHS ENDED JUNE 30,</w:t>
            </w: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2006</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7"/>
        </w:trPr>
        <w:tc>
          <w:tcPr>
            <w:tcW w:w="4380" w:type="dxa"/>
            <w:vAlign w:val="bottom"/>
          </w:tcPr>
          <w:p>
            <w:pPr>
              <w:spacing w:after="0"/>
              <w:rPr>
                <w:sz w:val="15"/>
                <w:szCs w:val="15"/>
                <w:color w:val="auto"/>
              </w:rPr>
            </w:pPr>
          </w:p>
        </w:tc>
        <w:tc>
          <w:tcPr>
            <w:tcW w:w="7140" w:type="dxa"/>
            <w:vAlign w:val="bottom"/>
            <w:gridSpan w:val="1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34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RECONCILIATION ITEMS</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4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60" w:type="dxa"/>
            <w:vAlign w:val="bottom"/>
            <w:gridSpan w:val="8"/>
          </w:tcPr>
          <w:p>
            <w:pPr>
              <w:ind w:left="1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4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AMORTIZATION</w:t>
            </w: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4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OF PURCHASED</w:t>
            </w:r>
          </w:p>
        </w:tc>
        <w:tc>
          <w:tcPr>
            <w:tcW w:w="146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IN-PROCESS</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EQUITY BASED</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4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INTANGIBLE</w:t>
            </w:r>
          </w:p>
        </w:tc>
        <w:tc>
          <w:tcPr>
            <w:tcW w:w="146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RESEARCH AND</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COMPENSATION</w:t>
            </w:r>
          </w:p>
        </w:tc>
        <w:tc>
          <w:tcPr>
            <w:tcW w:w="320" w:type="dxa"/>
            <w:vAlign w:val="bottom"/>
          </w:tcPr>
          <w:p>
            <w:pPr>
              <w:spacing w:after="0"/>
              <w:rPr>
                <w:sz w:val="15"/>
                <w:szCs w:val="15"/>
                <w:color w:val="auto"/>
              </w:rPr>
            </w:pPr>
          </w:p>
        </w:tc>
        <w:tc>
          <w:tcPr>
            <w:tcW w:w="80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TAX</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4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GAAP</w:t>
            </w:r>
          </w:p>
        </w:tc>
        <w:tc>
          <w:tcPr>
            <w:tcW w:w="400" w:type="dxa"/>
            <w:vAlign w:val="bottom"/>
          </w:tcPr>
          <w:p>
            <w:pPr>
              <w:spacing w:after="0"/>
              <w:rPr>
                <w:sz w:val="15"/>
                <w:szCs w:val="15"/>
                <w:color w:val="auto"/>
              </w:rPr>
            </w:pPr>
          </w:p>
        </w:tc>
        <w:tc>
          <w:tcPr>
            <w:tcW w:w="940" w:type="dxa"/>
            <w:vAlign w:val="bottom"/>
          </w:tcPr>
          <w:p>
            <w:pPr>
              <w:jc w:val="center"/>
              <w:ind w:right="303"/>
              <w:spacing w:after="0"/>
              <w:rPr>
                <w:sz w:val="20"/>
                <w:szCs w:val="20"/>
                <w:color w:val="auto"/>
              </w:rPr>
            </w:pPr>
            <w:r>
              <w:rPr>
                <w:rFonts w:ascii="Courier New" w:cs="Courier New" w:eastAsia="Courier New" w:hAnsi="Courier New"/>
                <w:sz w:val="15"/>
                <w:szCs w:val="15"/>
                <w:color w:val="auto"/>
              </w:rPr>
              <w:t>ASSETS</w:t>
            </w:r>
          </w:p>
        </w:tc>
        <w:tc>
          <w:tcPr>
            <w:tcW w:w="146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DEVELOPMENT</w:t>
            </w:r>
          </w:p>
        </w:tc>
        <w:tc>
          <w:tcPr>
            <w:tcW w:w="13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EXPENSE</w:t>
            </w:r>
          </w:p>
        </w:tc>
        <w:tc>
          <w:tcPr>
            <w:tcW w:w="320" w:type="dxa"/>
            <w:vAlign w:val="bottom"/>
          </w:tcPr>
          <w:p>
            <w:pPr>
              <w:spacing w:after="0"/>
              <w:rPr>
                <w:sz w:val="15"/>
                <w:szCs w:val="15"/>
                <w:color w:val="auto"/>
              </w:rPr>
            </w:pPr>
          </w:p>
        </w:tc>
        <w:tc>
          <w:tcPr>
            <w:tcW w:w="80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9"/>
              </w:rPr>
              <w:t>EFFECT</w:t>
            </w:r>
          </w:p>
        </w:tc>
        <w:tc>
          <w:tcPr>
            <w:tcW w:w="86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9"/>
              </w:rPr>
              <w:t>NON-GAAP</w:t>
            </w:r>
          </w:p>
        </w:tc>
      </w:tr>
      <w:tr>
        <w:trPr>
          <w:trHeight w:val="177"/>
        </w:trPr>
        <w:tc>
          <w:tcPr>
            <w:tcW w:w="4380" w:type="dxa"/>
            <w:vAlign w:val="bottom"/>
          </w:tcPr>
          <w:p>
            <w:pPr>
              <w:spacing w:after="0"/>
              <w:rPr>
                <w:sz w:val="15"/>
                <w:szCs w:val="15"/>
                <w:color w:val="auto"/>
              </w:rPr>
            </w:pP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4140" w:type="dxa"/>
            <w:vAlign w:val="bottom"/>
            <w:gridSpan w:val="6"/>
          </w:tcPr>
          <w:p>
            <w:pPr>
              <w:ind w:left="140"/>
              <w:spacing w:after="0"/>
              <w:rPr>
                <w:sz w:val="20"/>
                <w:szCs w:val="20"/>
                <w:color w:val="auto"/>
              </w:rPr>
            </w:pPr>
            <w:r>
              <w:rPr>
                <w:rFonts w:ascii="Courier New" w:cs="Courier New" w:eastAsia="Courier New" w:hAnsi="Courier New"/>
                <w:sz w:val="15"/>
                <w:szCs w:val="15"/>
                <w:color w:val="auto"/>
              </w:rPr>
              <w:t>------------   -------------   ------------</w:t>
            </w:r>
          </w:p>
        </w:tc>
        <w:tc>
          <w:tcPr>
            <w:tcW w:w="11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43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7"/>
        </w:trPr>
        <w:tc>
          <w:tcPr>
            <w:tcW w:w="4380" w:type="dxa"/>
            <w:vAlign w:val="bottom"/>
          </w:tcPr>
          <w:p>
            <w:pPr>
              <w:ind w:left="280"/>
              <w:spacing w:after="0"/>
              <w:rPr>
                <w:sz w:val="20"/>
                <w:szCs w:val="20"/>
                <w:color w:val="auto"/>
              </w:rPr>
            </w:pPr>
            <w:r>
              <w:rPr>
                <w:rFonts w:ascii="Courier New" w:cs="Courier New" w:eastAsia="Courier New" w:hAnsi="Courier New"/>
                <w:sz w:val="15"/>
                <w:szCs w:val="15"/>
                <w:color w:val="auto"/>
              </w:rPr>
              <w:t>Cost of license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995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4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995</w:t>
            </w:r>
          </w:p>
        </w:tc>
      </w:tr>
      <w:tr>
        <w:trPr>
          <w:trHeight w:val="177"/>
        </w:trPr>
        <w:tc>
          <w:tcPr>
            <w:tcW w:w="4380" w:type="dxa"/>
            <w:vAlign w:val="bottom"/>
          </w:tcPr>
          <w:p>
            <w:pPr>
              <w:ind w:left="280"/>
              <w:spacing w:after="0"/>
              <w:rPr>
                <w:sz w:val="20"/>
                <w:szCs w:val="20"/>
                <w:color w:val="auto"/>
              </w:rPr>
            </w:pPr>
            <w:r>
              <w:rPr>
                <w:rFonts w:ascii="Courier New" w:cs="Courier New" w:eastAsia="Courier New" w:hAnsi="Courier New"/>
                <w:sz w:val="15"/>
                <w:szCs w:val="15"/>
                <w:color w:val="auto"/>
              </w:rPr>
              <w:t>Cost of service</w:t>
            </w:r>
          </w:p>
        </w:tc>
        <w:tc>
          <w:tcPr>
            <w:tcW w:w="220" w:type="dxa"/>
            <w:vAlign w:val="bottom"/>
          </w:tcPr>
          <w:p>
            <w:pPr>
              <w:spacing w:after="0"/>
              <w:rPr>
                <w:sz w:val="15"/>
                <w:szCs w:val="15"/>
                <w:color w:val="auto"/>
              </w:rPr>
            </w:pP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402,626</w:t>
            </w:r>
          </w:p>
        </w:tc>
        <w:tc>
          <w:tcPr>
            <w:tcW w:w="400" w:type="dxa"/>
            <w:vAlign w:val="bottom"/>
          </w:tcPr>
          <w:p>
            <w:pPr>
              <w:spacing w:after="0"/>
              <w:rPr>
                <w:sz w:val="15"/>
                <w:szCs w:val="15"/>
                <w:color w:val="auto"/>
              </w:rPr>
            </w:pPr>
          </w:p>
        </w:tc>
        <w:tc>
          <w:tcPr>
            <w:tcW w:w="9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9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(4,165)</w:t>
            </w:r>
          </w:p>
        </w:tc>
        <w:tc>
          <w:tcPr>
            <w:tcW w:w="320" w:type="dxa"/>
            <w:vAlign w:val="bottom"/>
          </w:tcPr>
          <w:p>
            <w:pPr>
              <w:spacing w:after="0"/>
              <w:rPr>
                <w:sz w:val="15"/>
                <w:szCs w:val="15"/>
                <w:color w:val="auto"/>
              </w:rPr>
            </w:pPr>
          </w:p>
        </w:tc>
        <w:tc>
          <w:tcPr>
            <w:tcW w:w="8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398,461</w:t>
            </w:r>
          </w:p>
        </w:tc>
      </w:tr>
      <w:tr>
        <w:trPr>
          <w:trHeight w:val="177"/>
        </w:trPr>
        <w:tc>
          <w:tcPr>
            <w:tcW w:w="4380" w:type="dxa"/>
            <w:vAlign w:val="bottom"/>
          </w:tcPr>
          <w:p>
            <w:pPr>
              <w:ind w:left="280"/>
              <w:spacing w:after="0"/>
              <w:rPr>
                <w:sz w:val="20"/>
                <w:szCs w:val="20"/>
                <w:color w:val="auto"/>
              </w:rPr>
            </w:pPr>
            <w:r>
              <w:rPr>
                <w:rFonts w:ascii="Courier New" w:cs="Courier New" w:eastAsia="Courier New" w:hAnsi="Courier New"/>
                <w:sz w:val="15"/>
                <w:szCs w:val="15"/>
                <w:color w:val="auto"/>
              </w:rPr>
              <w:t>Research and development</w:t>
            </w:r>
          </w:p>
        </w:tc>
        <w:tc>
          <w:tcPr>
            <w:tcW w:w="220" w:type="dxa"/>
            <w:vAlign w:val="bottom"/>
          </w:tcPr>
          <w:p>
            <w:pPr>
              <w:spacing w:after="0"/>
              <w:rPr>
                <w:sz w:val="15"/>
                <w:szCs w:val="15"/>
                <w:color w:val="auto"/>
              </w:rPr>
            </w:pP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46,455</w:t>
            </w:r>
          </w:p>
        </w:tc>
        <w:tc>
          <w:tcPr>
            <w:tcW w:w="400" w:type="dxa"/>
            <w:vAlign w:val="bottom"/>
          </w:tcPr>
          <w:p>
            <w:pPr>
              <w:spacing w:after="0"/>
              <w:rPr>
                <w:sz w:val="15"/>
                <w:szCs w:val="15"/>
                <w:color w:val="auto"/>
              </w:rPr>
            </w:pPr>
          </w:p>
        </w:tc>
        <w:tc>
          <w:tcPr>
            <w:tcW w:w="9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9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(1,232)</w:t>
            </w:r>
          </w:p>
        </w:tc>
        <w:tc>
          <w:tcPr>
            <w:tcW w:w="320" w:type="dxa"/>
            <w:vAlign w:val="bottom"/>
          </w:tcPr>
          <w:p>
            <w:pPr>
              <w:spacing w:after="0"/>
              <w:rPr>
                <w:sz w:val="15"/>
                <w:szCs w:val="15"/>
                <w:color w:val="auto"/>
              </w:rPr>
            </w:pPr>
          </w:p>
        </w:tc>
        <w:tc>
          <w:tcPr>
            <w:tcW w:w="8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45,223</w:t>
            </w:r>
          </w:p>
        </w:tc>
      </w:tr>
      <w:tr>
        <w:trPr>
          <w:trHeight w:val="177"/>
        </w:trPr>
        <w:tc>
          <w:tcPr>
            <w:tcW w:w="4380" w:type="dxa"/>
            <w:vAlign w:val="bottom"/>
          </w:tcPr>
          <w:p>
            <w:pPr>
              <w:ind w:left="280"/>
              <w:spacing w:after="0"/>
              <w:rPr>
                <w:sz w:val="20"/>
                <w:szCs w:val="20"/>
                <w:color w:val="auto"/>
              </w:rPr>
            </w:pPr>
            <w:r>
              <w:rPr>
                <w:rFonts w:ascii="Courier New" w:cs="Courier New" w:eastAsia="Courier New" w:hAnsi="Courier New"/>
                <w:sz w:val="15"/>
                <w:szCs w:val="15"/>
                <w:color w:val="auto"/>
              </w:rPr>
              <w:t>Selling, general and administrative</w:t>
            </w:r>
          </w:p>
        </w:tc>
        <w:tc>
          <w:tcPr>
            <w:tcW w:w="220" w:type="dxa"/>
            <w:vAlign w:val="bottom"/>
          </w:tcPr>
          <w:p>
            <w:pPr>
              <w:spacing w:after="0"/>
              <w:rPr>
                <w:sz w:val="15"/>
                <w:szCs w:val="15"/>
                <w:color w:val="auto"/>
              </w:rPr>
            </w:pP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74,940</w:t>
            </w:r>
          </w:p>
        </w:tc>
        <w:tc>
          <w:tcPr>
            <w:tcW w:w="400" w:type="dxa"/>
            <w:vAlign w:val="bottom"/>
          </w:tcPr>
          <w:p>
            <w:pPr>
              <w:spacing w:after="0"/>
              <w:rPr>
                <w:sz w:val="15"/>
                <w:szCs w:val="15"/>
                <w:color w:val="auto"/>
              </w:rPr>
            </w:pPr>
          </w:p>
        </w:tc>
        <w:tc>
          <w:tcPr>
            <w:tcW w:w="9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9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(5,551)</w:t>
            </w:r>
          </w:p>
        </w:tc>
        <w:tc>
          <w:tcPr>
            <w:tcW w:w="320" w:type="dxa"/>
            <w:vAlign w:val="bottom"/>
          </w:tcPr>
          <w:p>
            <w:pPr>
              <w:spacing w:after="0"/>
              <w:rPr>
                <w:sz w:val="15"/>
                <w:szCs w:val="15"/>
                <w:color w:val="auto"/>
              </w:rPr>
            </w:pPr>
          </w:p>
        </w:tc>
        <w:tc>
          <w:tcPr>
            <w:tcW w:w="8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69,389</w:t>
            </w:r>
          </w:p>
        </w:tc>
      </w:tr>
      <w:tr>
        <w:trPr>
          <w:trHeight w:val="177"/>
        </w:trPr>
        <w:tc>
          <w:tcPr>
            <w:tcW w:w="4380" w:type="dxa"/>
            <w:vAlign w:val="bottom"/>
          </w:tcPr>
          <w:p>
            <w:pPr>
              <w:ind w:left="280"/>
              <w:spacing w:after="0"/>
              <w:rPr>
                <w:sz w:val="20"/>
                <w:szCs w:val="20"/>
                <w:color w:val="auto"/>
              </w:rPr>
            </w:pPr>
            <w:r>
              <w:rPr>
                <w:rFonts w:ascii="Courier New" w:cs="Courier New" w:eastAsia="Courier New" w:hAnsi="Courier New"/>
                <w:sz w:val="15"/>
                <w:szCs w:val="15"/>
                <w:color w:val="auto"/>
              </w:rPr>
              <w:t>Amortization of purchased intangible assets</w:t>
            </w:r>
          </w:p>
        </w:tc>
        <w:tc>
          <w:tcPr>
            <w:tcW w:w="220" w:type="dxa"/>
            <w:vAlign w:val="bottom"/>
          </w:tcPr>
          <w:p>
            <w:pPr>
              <w:spacing w:after="0"/>
              <w:rPr>
                <w:sz w:val="15"/>
                <w:szCs w:val="15"/>
                <w:color w:val="auto"/>
              </w:rPr>
            </w:pP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8,547</w:t>
            </w:r>
          </w:p>
        </w:tc>
        <w:tc>
          <w:tcPr>
            <w:tcW w:w="40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(8,547)</w:t>
            </w:r>
          </w:p>
        </w:tc>
        <w:tc>
          <w:tcPr>
            <w:tcW w:w="540" w:type="dxa"/>
            <w:vAlign w:val="bottom"/>
          </w:tcPr>
          <w:p>
            <w:pPr>
              <w:spacing w:after="0"/>
              <w:rPr>
                <w:sz w:val="15"/>
                <w:szCs w:val="15"/>
                <w:color w:val="auto"/>
              </w:rPr>
            </w:pPr>
          </w:p>
        </w:tc>
        <w:tc>
          <w:tcPr>
            <w:tcW w:w="9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5"/>
                <w:szCs w:val="15"/>
                <w:color w:val="auto"/>
              </w:rPr>
            </w:pPr>
          </w:p>
        </w:tc>
        <w:tc>
          <w:tcPr>
            <w:tcW w:w="4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380" w:type="dxa"/>
            <w:vAlign w:val="bottom"/>
          </w:tcPr>
          <w:p>
            <w:pPr>
              <w:ind w:left="280"/>
              <w:spacing w:after="0"/>
              <w:rPr>
                <w:sz w:val="20"/>
                <w:szCs w:val="20"/>
                <w:color w:val="auto"/>
              </w:rPr>
            </w:pPr>
            <w:r>
              <w:rPr>
                <w:rFonts w:ascii="Courier New" w:cs="Courier New" w:eastAsia="Courier New" w:hAnsi="Courier New"/>
                <w:sz w:val="15"/>
                <w:szCs w:val="15"/>
                <w:color w:val="auto"/>
              </w:rPr>
              <w:t>Restructuring charges, in-process research</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4380" w:type="dxa"/>
            <w:vAlign w:val="bottom"/>
          </w:tcPr>
          <w:p>
            <w:pPr>
              <w:ind w:left="540"/>
              <w:spacing w:after="0"/>
              <w:rPr>
                <w:sz w:val="20"/>
                <w:szCs w:val="20"/>
                <w:color w:val="auto"/>
              </w:rPr>
            </w:pPr>
            <w:r>
              <w:rPr>
                <w:rFonts w:ascii="Courier New" w:cs="Courier New" w:eastAsia="Courier New" w:hAnsi="Courier New"/>
                <w:sz w:val="15"/>
                <w:szCs w:val="15"/>
                <w:color w:val="auto"/>
              </w:rPr>
              <w:t>and development and other</w:t>
            </w:r>
          </w:p>
        </w:tc>
        <w:tc>
          <w:tcPr>
            <w:tcW w:w="220" w:type="dxa"/>
            <w:vAlign w:val="bottom"/>
          </w:tcPr>
          <w:p>
            <w:pPr>
              <w:spacing w:after="0"/>
              <w:rPr>
                <w:sz w:val="15"/>
                <w:szCs w:val="15"/>
                <w:color w:val="auto"/>
              </w:rPr>
            </w:pP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8,415</w:t>
            </w:r>
          </w:p>
        </w:tc>
        <w:tc>
          <w:tcPr>
            <w:tcW w:w="400" w:type="dxa"/>
            <w:vAlign w:val="bottom"/>
          </w:tcPr>
          <w:p>
            <w:pPr>
              <w:spacing w:after="0"/>
              <w:rPr>
                <w:sz w:val="15"/>
                <w:szCs w:val="15"/>
                <w:color w:val="auto"/>
              </w:rPr>
            </w:pPr>
          </w:p>
        </w:tc>
        <w:tc>
          <w:tcPr>
            <w:tcW w:w="9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8"/>
              </w:rPr>
              <w:t>(8,415)</w:t>
            </w:r>
          </w:p>
        </w:tc>
        <w:tc>
          <w:tcPr>
            <w:tcW w:w="880" w:type="dxa"/>
            <w:vAlign w:val="bottom"/>
          </w:tcPr>
          <w:p>
            <w:pPr>
              <w:spacing w:after="0"/>
              <w:rPr>
                <w:sz w:val="15"/>
                <w:szCs w:val="15"/>
                <w:color w:val="auto"/>
              </w:rPr>
            </w:pPr>
          </w:p>
        </w:tc>
        <w:tc>
          <w:tcPr>
            <w:tcW w:w="4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380" w:type="dxa"/>
            <w:vAlign w:val="bottom"/>
          </w:tcPr>
          <w:p>
            <w:pPr>
              <w:spacing w:after="0"/>
              <w:rPr>
                <w:sz w:val="15"/>
                <w:szCs w:val="15"/>
                <w:color w:val="auto"/>
              </w:rPr>
            </w:pP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38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220" w:type="dxa"/>
            <w:vAlign w:val="bottom"/>
          </w:tcPr>
          <w:p>
            <w:pPr>
              <w:spacing w:after="0"/>
              <w:rPr>
                <w:sz w:val="15"/>
                <w:szCs w:val="15"/>
                <w:color w:val="auto"/>
              </w:rPr>
            </w:pP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541,978</w:t>
            </w:r>
          </w:p>
        </w:tc>
        <w:tc>
          <w:tcPr>
            <w:tcW w:w="40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(8,547)</w:t>
            </w:r>
          </w:p>
        </w:tc>
        <w:tc>
          <w:tcPr>
            <w:tcW w:w="54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8"/>
              </w:rPr>
              <w:t>(8,415)</w:t>
            </w:r>
          </w:p>
        </w:tc>
        <w:tc>
          <w:tcPr>
            <w:tcW w:w="134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(10,948)</w:t>
            </w:r>
          </w:p>
        </w:tc>
        <w:tc>
          <w:tcPr>
            <w:tcW w:w="320" w:type="dxa"/>
            <w:vAlign w:val="bottom"/>
          </w:tcPr>
          <w:p>
            <w:pPr>
              <w:spacing w:after="0"/>
              <w:rPr>
                <w:sz w:val="15"/>
                <w:szCs w:val="15"/>
                <w:color w:val="auto"/>
              </w:rPr>
            </w:pPr>
          </w:p>
        </w:tc>
        <w:tc>
          <w:tcPr>
            <w:tcW w:w="8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514,068</w:t>
            </w:r>
          </w:p>
        </w:tc>
      </w:tr>
      <w:tr>
        <w:trPr>
          <w:trHeight w:val="177"/>
        </w:trPr>
        <w:tc>
          <w:tcPr>
            <w:tcW w:w="4380" w:type="dxa"/>
            <w:vAlign w:val="bottom"/>
          </w:tcPr>
          <w:p>
            <w:pPr>
              <w:spacing w:after="0"/>
              <w:rPr>
                <w:sz w:val="15"/>
                <w:szCs w:val="15"/>
                <w:color w:val="auto"/>
              </w:rPr>
            </w:pP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3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20" w:type="dxa"/>
            <w:vAlign w:val="bottom"/>
          </w:tcPr>
          <w:p>
            <w:pPr>
              <w:spacing w:after="0"/>
              <w:rPr>
                <w:sz w:val="15"/>
                <w:szCs w:val="15"/>
                <w:color w:val="auto"/>
              </w:rPr>
            </w:pP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84,470</w:t>
            </w:r>
          </w:p>
        </w:tc>
        <w:tc>
          <w:tcPr>
            <w:tcW w:w="400" w:type="dxa"/>
            <w:vAlign w:val="bottom"/>
          </w:tcPr>
          <w:p>
            <w:pPr>
              <w:spacing w:after="0"/>
              <w:rPr>
                <w:sz w:val="15"/>
                <w:szCs w:val="15"/>
                <w:color w:val="auto"/>
              </w:rPr>
            </w:pPr>
          </w:p>
        </w:tc>
        <w:tc>
          <w:tcPr>
            <w:tcW w:w="9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8,547</w:t>
            </w:r>
          </w:p>
        </w:tc>
        <w:tc>
          <w:tcPr>
            <w:tcW w:w="540" w:type="dxa"/>
            <w:vAlign w:val="bottom"/>
          </w:tcPr>
          <w:p>
            <w:pPr>
              <w:spacing w:after="0"/>
              <w:rPr>
                <w:sz w:val="15"/>
                <w:szCs w:val="15"/>
                <w:color w:val="auto"/>
              </w:rPr>
            </w:pPr>
          </w:p>
        </w:tc>
        <w:tc>
          <w:tcPr>
            <w:tcW w:w="9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8,415</w:t>
            </w:r>
          </w:p>
        </w:tc>
        <w:tc>
          <w:tcPr>
            <w:tcW w:w="13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10,948</w:t>
            </w:r>
          </w:p>
        </w:tc>
        <w:tc>
          <w:tcPr>
            <w:tcW w:w="320" w:type="dxa"/>
            <w:vAlign w:val="bottom"/>
          </w:tcPr>
          <w:p>
            <w:pPr>
              <w:spacing w:after="0"/>
              <w:rPr>
                <w:sz w:val="15"/>
                <w:szCs w:val="15"/>
                <w:color w:val="auto"/>
              </w:rPr>
            </w:pPr>
          </w:p>
        </w:tc>
        <w:tc>
          <w:tcPr>
            <w:tcW w:w="8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112,380</w:t>
            </w:r>
          </w:p>
        </w:tc>
      </w:tr>
      <w:tr>
        <w:trPr>
          <w:trHeight w:val="177"/>
        </w:trPr>
        <w:tc>
          <w:tcPr>
            <w:tcW w:w="4380" w:type="dxa"/>
            <w:vAlign w:val="bottom"/>
          </w:tcPr>
          <w:p>
            <w:pPr>
              <w:spacing w:after="0"/>
              <w:rPr>
                <w:sz w:val="15"/>
                <w:szCs w:val="15"/>
                <w:color w:val="auto"/>
              </w:rPr>
            </w:pP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38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20" w:type="dxa"/>
            <w:vAlign w:val="bottom"/>
          </w:tcPr>
          <w:p>
            <w:pPr>
              <w:spacing w:after="0"/>
              <w:rPr>
                <w:sz w:val="15"/>
                <w:szCs w:val="15"/>
                <w:color w:val="auto"/>
              </w:rPr>
            </w:pP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13,823</w:t>
            </w:r>
          </w:p>
        </w:tc>
        <w:tc>
          <w:tcPr>
            <w:tcW w:w="400" w:type="dxa"/>
            <w:vAlign w:val="bottom"/>
          </w:tcPr>
          <w:p>
            <w:pPr>
              <w:spacing w:after="0"/>
              <w:rPr>
                <w:sz w:val="15"/>
                <w:szCs w:val="15"/>
                <w:color w:val="auto"/>
              </w:rPr>
            </w:pPr>
          </w:p>
        </w:tc>
        <w:tc>
          <w:tcPr>
            <w:tcW w:w="9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9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5"/>
                <w:szCs w:val="15"/>
                <w:color w:val="auto"/>
              </w:rPr>
            </w:pPr>
          </w:p>
        </w:tc>
        <w:tc>
          <w:tcPr>
            <w:tcW w:w="4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7,326</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21,149</w:t>
            </w:r>
          </w:p>
        </w:tc>
      </w:tr>
      <w:tr>
        <w:trPr>
          <w:trHeight w:val="177"/>
        </w:trPr>
        <w:tc>
          <w:tcPr>
            <w:tcW w:w="4380" w:type="dxa"/>
            <w:vAlign w:val="bottom"/>
          </w:tcPr>
          <w:p>
            <w:pPr>
              <w:spacing w:after="0"/>
              <w:rPr>
                <w:sz w:val="15"/>
                <w:szCs w:val="15"/>
                <w:color w:val="auto"/>
              </w:rPr>
            </w:pP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$ 85,585</w:t>
            </w:r>
          </w:p>
        </w:tc>
        <w:tc>
          <w:tcPr>
            <w:tcW w:w="134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$ 8,547</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$ 8,415</w:t>
            </w:r>
          </w:p>
        </w:tc>
        <w:tc>
          <w:tcPr>
            <w:tcW w:w="13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$ 10,948</w:t>
            </w:r>
          </w:p>
        </w:tc>
        <w:tc>
          <w:tcPr>
            <w:tcW w:w="11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$(7,326)</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$106,169</w:t>
            </w:r>
          </w:p>
        </w:tc>
      </w:tr>
      <w:tr>
        <w:trPr>
          <w:trHeight w:val="177"/>
        </w:trPr>
        <w:tc>
          <w:tcPr>
            <w:tcW w:w="4380" w:type="dxa"/>
            <w:vAlign w:val="bottom"/>
          </w:tcPr>
          <w:p>
            <w:pPr>
              <w:spacing w:after="0"/>
              <w:rPr>
                <w:sz w:val="15"/>
                <w:szCs w:val="15"/>
                <w:color w:val="auto"/>
              </w:rPr>
            </w:pP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520"/>
          </w:cols>
          <w:pgMar w:left="240" w:top="650" w:right="139" w:bottom="1440" w:gutter="0" w:footer="0" w:header="0"/>
        </w:sectPr>
      </w:pPr>
    </w:p>
    <w:bookmarkStart w:id="12" w:name="page13"/>
    <w:bookmarkEnd w:id="12"/>
    <w:p>
      <w:pPr>
        <w:jc w:val="center"/>
        <w:ind w:right="2860"/>
        <w:spacing w:after="0"/>
        <w:rPr>
          <w:sz w:val="20"/>
          <w:szCs w:val="20"/>
          <w:color w:val="auto"/>
        </w:rPr>
      </w:pPr>
      <w:r>
        <w:rPr>
          <w:rFonts w:ascii="Courier New" w:cs="Courier New" w:eastAsia="Courier New" w:hAnsi="Courier New"/>
          <w:sz w:val="15"/>
          <w:szCs w:val="15"/>
          <w:color w:val="auto"/>
        </w:rPr>
        <w:t>AMDOCS LIMITED</w:t>
      </w:r>
    </w:p>
    <w:p>
      <w:pPr>
        <w:spacing w:after="0" w:line="8" w:lineRule="exact"/>
        <w:rPr>
          <w:sz w:val="20"/>
          <w:szCs w:val="20"/>
          <w:color w:val="auto"/>
        </w:rPr>
      </w:pPr>
    </w:p>
    <w:p>
      <w:pPr>
        <w:jc w:val="center"/>
        <w:ind w:right="2860"/>
        <w:spacing w:after="0"/>
        <w:rPr>
          <w:sz w:val="20"/>
          <w:szCs w:val="20"/>
          <w:color w:val="auto"/>
        </w:rPr>
      </w:pPr>
      <w:r>
        <w:rPr>
          <w:rFonts w:ascii="Courier New" w:cs="Courier New" w:eastAsia="Courier New" w:hAnsi="Courier New"/>
          <w:sz w:val="15"/>
          <w:szCs w:val="15"/>
          <w:color w:val="auto"/>
        </w:rPr>
        <w:t>RECONCILIATION OF SELECTED FINANCIAL METRICS FROM GAAP TO NON-GAAP</w:t>
      </w:r>
    </w:p>
    <w:p>
      <w:pPr>
        <w:spacing w:after="0" w:line="8" w:lineRule="exact"/>
        <w:rPr>
          <w:sz w:val="20"/>
          <w:szCs w:val="20"/>
          <w:color w:val="auto"/>
        </w:rPr>
      </w:pPr>
    </w:p>
    <w:p>
      <w:pPr>
        <w:jc w:val="center"/>
        <w:ind w:right="286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340" w:type="dxa"/>
            <w:vAlign w:val="bottom"/>
            <w:gridSpan w:val="3"/>
          </w:tcPr>
          <w:p>
            <w:pPr>
              <w:jc w:val="right"/>
              <w:ind w:right="703"/>
              <w:spacing w:after="0"/>
              <w:rPr>
                <w:sz w:val="20"/>
                <w:szCs w:val="20"/>
                <w:color w:val="auto"/>
              </w:rPr>
            </w:pPr>
            <w:r>
              <w:rPr>
                <w:rFonts w:ascii="Courier New" w:cs="Courier New" w:eastAsia="Courier New" w:hAnsi="Courier New"/>
                <w:sz w:val="15"/>
                <w:szCs w:val="15"/>
                <w:color w:val="auto"/>
              </w:rPr>
              <w:t>NINE MONTHS ENDED</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7"/>
        </w:trPr>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JUNE 30, 2007</w:t>
            </w: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2620" w:type="dxa"/>
            <w:vAlign w:val="bottom"/>
          </w:tcPr>
          <w:p>
            <w:pPr>
              <w:spacing w:after="0"/>
              <w:rPr>
                <w:sz w:val="15"/>
                <w:szCs w:val="15"/>
                <w:color w:val="auto"/>
              </w:rPr>
            </w:pPr>
          </w:p>
        </w:tc>
        <w:tc>
          <w:tcPr>
            <w:tcW w:w="7620" w:type="dxa"/>
            <w:vAlign w:val="bottom"/>
            <w:gridSpan w:val="1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60" w:type="dxa"/>
            <w:vAlign w:val="bottom"/>
            <w:gridSpan w:val="4"/>
          </w:tcPr>
          <w:p>
            <w:pPr>
              <w:ind w:left="420"/>
              <w:spacing w:after="0"/>
              <w:rPr>
                <w:sz w:val="20"/>
                <w:szCs w:val="20"/>
                <w:color w:val="auto"/>
              </w:rPr>
            </w:pPr>
            <w:r>
              <w:rPr>
                <w:rFonts w:ascii="Courier New" w:cs="Courier New" w:eastAsia="Courier New" w:hAnsi="Courier New"/>
                <w:sz w:val="15"/>
                <w:szCs w:val="15"/>
                <w:color w:val="auto"/>
              </w:rPr>
              <w:t>RECONCILIATION ITEMS</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360" w:type="dxa"/>
            <w:vAlign w:val="bottom"/>
            <w:gridSpan w:val="8"/>
          </w:tcPr>
          <w:p>
            <w:pPr>
              <w:ind w:left="1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8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RESTRUCTURING</w:t>
            </w: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8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CHARGES,</w:t>
            </w: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AMORTIZATION</w:t>
            </w:r>
          </w:p>
        </w:tc>
        <w:tc>
          <w:tcPr>
            <w:tcW w:w="148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IN-PROCESS</w:t>
            </w:r>
          </w:p>
        </w:tc>
        <w:tc>
          <w:tcPr>
            <w:tcW w:w="420" w:type="dxa"/>
            <w:vAlign w:val="bottom"/>
          </w:tcPr>
          <w:p>
            <w:pPr>
              <w:spacing w:after="0"/>
              <w:rPr>
                <w:sz w:val="15"/>
                <w:szCs w:val="15"/>
                <w:color w:val="auto"/>
              </w:rPr>
            </w:pPr>
          </w:p>
        </w:tc>
        <w:tc>
          <w:tcPr>
            <w:tcW w:w="960" w:type="dxa"/>
            <w:vAlign w:val="bottom"/>
          </w:tcPr>
          <w:p>
            <w:pPr>
              <w:jc w:val="right"/>
              <w:ind w:right="323"/>
              <w:spacing w:after="0"/>
              <w:rPr>
                <w:sz w:val="20"/>
                <w:szCs w:val="20"/>
                <w:color w:val="auto"/>
              </w:rPr>
            </w:pPr>
            <w:r>
              <w:rPr>
                <w:rFonts w:ascii="Courier New" w:cs="Courier New" w:eastAsia="Courier New" w:hAnsi="Courier New"/>
                <w:sz w:val="15"/>
                <w:szCs w:val="15"/>
                <w:color w:val="auto"/>
                <w:w w:val="99"/>
              </w:rPr>
              <w:t>EQUITY</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OF PURCHASED</w:t>
            </w:r>
          </w:p>
        </w:tc>
        <w:tc>
          <w:tcPr>
            <w:tcW w:w="148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RESEARCH AND</w:t>
            </w:r>
          </w:p>
        </w:tc>
        <w:tc>
          <w:tcPr>
            <w:tcW w:w="420" w:type="dxa"/>
            <w:vAlign w:val="bottom"/>
          </w:tcPr>
          <w:p>
            <w:pPr>
              <w:spacing w:after="0"/>
              <w:rPr>
                <w:sz w:val="15"/>
                <w:szCs w:val="15"/>
                <w:color w:val="auto"/>
              </w:rPr>
            </w:pPr>
          </w:p>
        </w:tc>
        <w:tc>
          <w:tcPr>
            <w:tcW w:w="96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BASED</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INTANGIBLE</w:t>
            </w:r>
          </w:p>
        </w:tc>
        <w:tc>
          <w:tcPr>
            <w:tcW w:w="148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DEVELOPMENT</w:t>
            </w:r>
          </w:p>
        </w:tc>
        <w:tc>
          <w:tcPr>
            <w:tcW w:w="138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COMPENSATION</w:t>
            </w:r>
          </w:p>
        </w:tc>
        <w:tc>
          <w:tcPr>
            <w:tcW w:w="280" w:type="dxa"/>
            <w:vAlign w:val="bottom"/>
          </w:tcPr>
          <w:p>
            <w:pPr>
              <w:spacing w:after="0"/>
              <w:rPr>
                <w:sz w:val="15"/>
                <w:szCs w:val="15"/>
                <w:color w:val="auto"/>
              </w:rPr>
            </w:pPr>
          </w:p>
        </w:tc>
        <w:tc>
          <w:tcPr>
            <w:tcW w:w="8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TAX</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GAAP</w:t>
            </w:r>
          </w:p>
        </w:tc>
        <w:tc>
          <w:tcPr>
            <w:tcW w:w="420" w:type="dxa"/>
            <w:vAlign w:val="bottom"/>
          </w:tcPr>
          <w:p>
            <w:pPr>
              <w:spacing w:after="0"/>
              <w:rPr>
                <w:sz w:val="15"/>
                <w:szCs w:val="15"/>
                <w:color w:val="auto"/>
              </w:rPr>
            </w:pPr>
          </w:p>
        </w:tc>
        <w:tc>
          <w:tcPr>
            <w:tcW w:w="960" w:type="dxa"/>
            <w:vAlign w:val="bottom"/>
          </w:tcPr>
          <w:p>
            <w:pPr>
              <w:jc w:val="center"/>
              <w:ind w:right="323"/>
              <w:spacing w:after="0"/>
              <w:rPr>
                <w:sz w:val="20"/>
                <w:szCs w:val="20"/>
                <w:color w:val="auto"/>
              </w:rPr>
            </w:pPr>
            <w:r>
              <w:rPr>
                <w:rFonts w:ascii="Courier New" w:cs="Courier New" w:eastAsia="Courier New" w:hAnsi="Courier New"/>
                <w:sz w:val="15"/>
                <w:szCs w:val="15"/>
                <w:color w:val="auto"/>
              </w:rPr>
              <w:t>ASSETS</w:t>
            </w:r>
          </w:p>
        </w:tc>
        <w:tc>
          <w:tcPr>
            <w:tcW w:w="14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AND OTHER</w:t>
            </w:r>
          </w:p>
        </w:tc>
        <w:tc>
          <w:tcPr>
            <w:tcW w:w="420" w:type="dxa"/>
            <w:vAlign w:val="bottom"/>
          </w:tcPr>
          <w:p>
            <w:pPr>
              <w:spacing w:after="0"/>
              <w:rPr>
                <w:sz w:val="15"/>
                <w:szCs w:val="15"/>
                <w:color w:val="auto"/>
              </w:rPr>
            </w:pP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w w:val="98"/>
              </w:rPr>
              <w:t>EXPENSE</w:t>
            </w:r>
          </w:p>
        </w:tc>
        <w:tc>
          <w:tcPr>
            <w:tcW w:w="280" w:type="dxa"/>
            <w:vAlign w:val="bottom"/>
          </w:tcPr>
          <w:p>
            <w:pPr>
              <w:spacing w:after="0"/>
              <w:rPr>
                <w:sz w:val="15"/>
                <w:szCs w:val="15"/>
                <w:color w:val="auto"/>
              </w:rPr>
            </w:pP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EFFECT</w:t>
            </w:r>
          </w:p>
        </w:tc>
        <w:tc>
          <w:tcPr>
            <w:tcW w:w="22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NON-GAAP</w:t>
            </w:r>
          </w:p>
        </w:tc>
      </w:tr>
      <w:tr>
        <w:trPr>
          <w:trHeight w:val="177"/>
        </w:trPr>
        <w:tc>
          <w:tcPr>
            <w:tcW w:w="2620" w:type="dxa"/>
            <w:vAlign w:val="bottom"/>
          </w:tcPr>
          <w:p>
            <w:pPr>
              <w:spacing w:after="0"/>
              <w:rPr>
                <w:sz w:val="15"/>
                <w:szCs w:val="15"/>
                <w:color w:val="auto"/>
              </w:rPr>
            </w:pP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4240" w:type="dxa"/>
            <w:vAlign w:val="bottom"/>
            <w:gridSpan w:val="6"/>
          </w:tcPr>
          <w:p>
            <w:pPr>
              <w:ind w:left="140"/>
              <w:spacing w:after="0"/>
              <w:rPr>
                <w:sz w:val="20"/>
                <w:szCs w:val="20"/>
                <w:color w:val="auto"/>
              </w:rPr>
            </w:pPr>
            <w:r>
              <w:rPr>
                <w:rFonts w:ascii="Courier New" w:cs="Courier New" w:eastAsia="Courier New" w:hAnsi="Courier New"/>
                <w:sz w:val="15"/>
                <w:szCs w:val="15"/>
                <w:color w:val="auto"/>
              </w:rPr>
              <w:t>------------   -------------  -------------</w:t>
            </w:r>
          </w:p>
        </w:tc>
        <w:tc>
          <w:tcPr>
            <w:tcW w:w="11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26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7"/>
        </w:trPr>
        <w:tc>
          <w:tcPr>
            <w:tcW w:w="2620" w:type="dxa"/>
            <w:vAlign w:val="bottom"/>
          </w:tcPr>
          <w:p>
            <w:pPr>
              <w:ind w:left="280"/>
              <w:spacing w:after="0"/>
              <w:rPr>
                <w:sz w:val="20"/>
                <w:szCs w:val="20"/>
                <w:color w:val="auto"/>
              </w:rPr>
            </w:pPr>
            <w:r>
              <w:rPr>
                <w:rFonts w:ascii="Courier New" w:cs="Courier New" w:eastAsia="Courier New" w:hAnsi="Courier New"/>
                <w:sz w:val="15"/>
                <w:szCs w:val="15"/>
                <w:color w:val="auto"/>
              </w:rPr>
              <w:t>Cost of license</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3,045</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ind w:left="4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3,045</w:t>
            </w:r>
          </w:p>
        </w:tc>
      </w:tr>
      <w:tr>
        <w:trPr>
          <w:trHeight w:val="177"/>
        </w:trPr>
        <w:tc>
          <w:tcPr>
            <w:tcW w:w="2620" w:type="dxa"/>
            <w:vAlign w:val="bottom"/>
          </w:tcPr>
          <w:p>
            <w:pPr>
              <w:ind w:left="280"/>
              <w:spacing w:after="0"/>
              <w:rPr>
                <w:sz w:val="20"/>
                <w:szCs w:val="20"/>
                <w:color w:val="auto"/>
              </w:rPr>
            </w:pPr>
            <w:r>
              <w:rPr>
                <w:rFonts w:ascii="Courier New" w:cs="Courier New" w:eastAsia="Courier New" w:hAnsi="Courier New"/>
                <w:sz w:val="15"/>
                <w:szCs w:val="15"/>
                <w:color w:val="auto"/>
              </w:rPr>
              <w:t>Cost of service</w:t>
            </w:r>
          </w:p>
        </w:tc>
        <w:tc>
          <w:tcPr>
            <w:tcW w:w="240" w:type="dxa"/>
            <w:vAlign w:val="bottom"/>
          </w:tcPr>
          <w:p>
            <w:pPr>
              <w:spacing w:after="0"/>
              <w:rPr>
                <w:sz w:val="15"/>
                <w:szCs w:val="15"/>
                <w:color w:val="auto"/>
              </w:rPr>
            </w:pP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1,330,776</w:t>
            </w:r>
          </w:p>
        </w:tc>
        <w:tc>
          <w:tcPr>
            <w:tcW w:w="420" w:type="dxa"/>
            <w:vAlign w:val="bottom"/>
          </w:tcPr>
          <w:p>
            <w:pPr>
              <w:spacing w:after="0"/>
              <w:rPr>
                <w:sz w:val="15"/>
                <w:szCs w:val="15"/>
                <w:color w:val="auto"/>
              </w:rPr>
            </w:pP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(18,914)</w:t>
            </w:r>
          </w:p>
        </w:tc>
        <w:tc>
          <w:tcPr>
            <w:tcW w:w="280" w:type="dxa"/>
            <w:vAlign w:val="bottom"/>
          </w:tcPr>
          <w:p>
            <w:pPr>
              <w:spacing w:after="0"/>
              <w:rPr>
                <w:sz w:val="15"/>
                <w:szCs w:val="15"/>
                <w:color w:val="auto"/>
              </w:rPr>
            </w:pP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1,311,862</w:t>
            </w:r>
          </w:p>
        </w:tc>
      </w:tr>
      <w:tr>
        <w:trPr>
          <w:trHeight w:val="177"/>
        </w:trPr>
        <w:tc>
          <w:tcPr>
            <w:tcW w:w="2620" w:type="dxa"/>
            <w:vAlign w:val="bottom"/>
          </w:tcPr>
          <w:p>
            <w:pPr>
              <w:ind w:left="280"/>
              <w:spacing w:after="0"/>
              <w:rPr>
                <w:sz w:val="20"/>
                <w:szCs w:val="20"/>
                <w:color w:val="auto"/>
              </w:rPr>
            </w:pPr>
            <w:r>
              <w:rPr>
                <w:rFonts w:ascii="Courier New" w:cs="Courier New" w:eastAsia="Courier New" w:hAnsi="Courier New"/>
                <w:sz w:val="15"/>
                <w:szCs w:val="15"/>
                <w:color w:val="auto"/>
              </w:rPr>
              <w:t>Research and development</w:t>
            </w:r>
          </w:p>
        </w:tc>
        <w:tc>
          <w:tcPr>
            <w:tcW w:w="240" w:type="dxa"/>
            <w:vAlign w:val="bottom"/>
          </w:tcPr>
          <w:p>
            <w:pPr>
              <w:spacing w:after="0"/>
              <w:rPr>
                <w:sz w:val="15"/>
                <w:szCs w:val="15"/>
                <w:color w:val="auto"/>
              </w:rPr>
            </w:pP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174,929</w:t>
            </w:r>
          </w:p>
        </w:tc>
        <w:tc>
          <w:tcPr>
            <w:tcW w:w="420" w:type="dxa"/>
            <w:vAlign w:val="bottom"/>
          </w:tcPr>
          <w:p>
            <w:pPr>
              <w:spacing w:after="0"/>
              <w:rPr>
                <w:sz w:val="15"/>
                <w:szCs w:val="15"/>
                <w:color w:val="auto"/>
              </w:rPr>
            </w:pP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(5,099)</w:t>
            </w:r>
          </w:p>
        </w:tc>
        <w:tc>
          <w:tcPr>
            <w:tcW w:w="280" w:type="dxa"/>
            <w:vAlign w:val="bottom"/>
          </w:tcPr>
          <w:p>
            <w:pPr>
              <w:spacing w:after="0"/>
              <w:rPr>
                <w:sz w:val="15"/>
                <w:szCs w:val="15"/>
                <w:color w:val="auto"/>
              </w:rPr>
            </w:pP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169,830</w:t>
            </w:r>
          </w:p>
        </w:tc>
      </w:tr>
      <w:tr>
        <w:trPr>
          <w:trHeight w:val="177"/>
        </w:trPr>
        <w:tc>
          <w:tcPr>
            <w:tcW w:w="2620" w:type="dxa"/>
            <w:vAlign w:val="bottom"/>
          </w:tcPr>
          <w:p>
            <w:pPr>
              <w:ind w:left="280"/>
              <w:spacing w:after="0"/>
              <w:rPr>
                <w:sz w:val="20"/>
                <w:szCs w:val="20"/>
                <w:color w:val="auto"/>
              </w:rPr>
            </w:pPr>
            <w:r>
              <w:rPr>
                <w:rFonts w:ascii="Courier New" w:cs="Courier New" w:eastAsia="Courier New" w:hAnsi="Courier New"/>
                <w:sz w:val="15"/>
                <w:szCs w:val="15"/>
                <w:color w:val="auto"/>
              </w:rPr>
              <w:t>Selling, general and</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2620" w:type="dxa"/>
            <w:vAlign w:val="bottom"/>
          </w:tcPr>
          <w:p>
            <w:pPr>
              <w:ind w:left="540"/>
              <w:spacing w:after="0"/>
              <w:rPr>
                <w:sz w:val="20"/>
                <w:szCs w:val="20"/>
                <w:color w:val="auto"/>
              </w:rPr>
            </w:pPr>
            <w:r>
              <w:rPr>
                <w:rFonts w:ascii="Courier New" w:cs="Courier New" w:eastAsia="Courier New" w:hAnsi="Courier New"/>
                <w:sz w:val="15"/>
                <w:szCs w:val="15"/>
                <w:color w:val="auto"/>
              </w:rPr>
              <w:t>administrative</w:t>
            </w:r>
          </w:p>
        </w:tc>
        <w:tc>
          <w:tcPr>
            <w:tcW w:w="240" w:type="dxa"/>
            <w:vAlign w:val="bottom"/>
          </w:tcPr>
          <w:p>
            <w:pPr>
              <w:spacing w:after="0"/>
              <w:rPr>
                <w:sz w:val="15"/>
                <w:szCs w:val="15"/>
                <w:color w:val="auto"/>
              </w:rPr>
            </w:pP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274,895</w:t>
            </w:r>
          </w:p>
        </w:tc>
        <w:tc>
          <w:tcPr>
            <w:tcW w:w="420" w:type="dxa"/>
            <w:vAlign w:val="bottom"/>
          </w:tcPr>
          <w:p>
            <w:pPr>
              <w:spacing w:after="0"/>
              <w:rPr>
                <w:sz w:val="15"/>
                <w:szCs w:val="15"/>
                <w:color w:val="auto"/>
              </w:rPr>
            </w:pP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(15,957)</w:t>
            </w:r>
          </w:p>
        </w:tc>
        <w:tc>
          <w:tcPr>
            <w:tcW w:w="280" w:type="dxa"/>
            <w:vAlign w:val="bottom"/>
          </w:tcPr>
          <w:p>
            <w:pPr>
              <w:spacing w:after="0"/>
              <w:rPr>
                <w:sz w:val="15"/>
                <w:szCs w:val="15"/>
                <w:color w:val="auto"/>
              </w:rPr>
            </w:pP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258,938</w:t>
            </w:r>
          </w:p>
        </w:tc>
      </w:tr>
      <w:tr>
        <w:trPr>
          <w:trHeight w:val="177"/>
        </w:trPr>
        <w:tc>
          <w:tcPr>
            <w:tcW w:w="2620" w:type="dxa"/>
            <w:vAlign w:val="bottom"/>
          </w:tcPr>
          <w:p>
            <w:pPr>
              <w:ind w:left="280"/>
              <w:spacing w:after="0"/>
              <w:rPr>
                <w:sz w:val="20"/>
                <w:szCs w:val="20"/>
                <w:color w:val="auto"/>
              </w:rPr>
            </w:pPr>
            <w:r>
              <w:rPr>
                <w:rFonts w:ascii="Courier New" w:cs="Courier New" w:eastAsia="Courier New" w:hAnsi="Courier New"/>
                <w:sz w:val="15"/>
                <w:szCs w:val="15"/>
                <w:color w:val="auto"/>
              </w:rPr>
              <w:t>Amortization of</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2620" w:type="dxa"/>
            <w:vAlign w:val="bottom"/>
          </w:tcPr>
          <w:p>
            <w:pPr>
              <w:ind w:left="540"/>
              <w:spacing w:after="0"/>
              <w:rPr>
                <w:sz w:val="20"/>
                <w:szCs w:val="20"/>
                <w:color w:val="auto"/>
              </w:rPr>
            </w:pPr>
            <w:r>
              <w:rPr>
                <w:rFonts w:ascii="Courier New" w:cs="Courier New" w:eastAsia="Courier New" w:hAnsi="Courier New"/>
                <w:sz w:val="15"/>
                <w:szCs w:val="15"/>
                <w:color w:val="auto"/>
              </w:rPr>
              <w:t>purchased intangible</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2620" w:type="dxa"/>
            <w:vAlign w:val="bottom"/>
          </w:tcPr>
          <w:p>
            <w:pPr>
              <w:ind w:left="540"/>
              <w:spacing w:after="0"/>
              <w:rPr>
                <w:sz w:val="20"/>
                <w:szCs w:val="20"/>
                <w:color w:val="auto"/>
              </w:rPr>
            </w:pPr>
            <w:r>
              <w:rPr>
                <w:rFonts w:ascii="Courier New" w:cs="Courier New" w:eastAsia="Courier New" w:hAnsi="Courier New"/>
                <w:sz w:val="15"/>
                <w:szCs w:val="15"/>
                <w:color w:val="auto"/>
              </w:rPr>
              <w:t>assets</w:t>
            </w:r>
          </w:p>
        </w:tc>
        <w:tc>
          <w:tcPr>
            <w:tcW w:w="240" w:type="dxa"/>
            <w:vAlign w:val="bottom"/>
          </w:tcPr>
          <w:p>
            <w:pPr>
              <w:spacing w:after="0"/>
              <w:rPr>
                <w:sz w:val="15"/>
                <w:szCs w:val="15"/>
                <w:color w:val="auto"/>
              </w:rPr>
            </w:pP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55,785</w:t>
            </w:r>
          </w:p>
        </w:tc>
        <w:tc>
          <w:tcPr>
            <w:tcW w:w="420" w:type="dxa"/>
            <w:vAlign w:val="bottom"/>
          </w:tcPr>
          <w:p>
            <w:pPr>
              <w:spacing w:after="0"/>
              <w:rPr>
                <w:sz w:val="15"/>
                <w:szCs w:val="15"/>
                <w:color w:val="auto"/>
              </w:rPr>
            </w:pP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(55,785)</w:t>
            </w:r>
          </w:p>
        </w:tc>
        <w:tc>
          <w:tcPr>
            <w:tcW w:w="520" w:type="dxa"/>
            <w:vAlign w:val="bottom"/>
          </w:tcPr>
          <w:p>
            <w:pPr>
              <w:spacing w:after="0"/>
              <w:rPr>
                <w:sz w:val="15"/>
                <w:szCs w:val="15"/>
                <w:color w:val="auto"/>
              </w:rPr>
            </w:pPr>
          </w:p>
        </w:tc>
        <w:tc>
          <w:tcPr>
            <w:tcW w:w="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620" w:type="dxa"/>
            <w:vAlign w:val="bottom"/>
          </w:tcPr>
          <w:p>
            <w:pPr>
              <w:ind w:left="280"/>
              <w:spacing w:after="0"/>
              <w:rPr>
                <w:sz w:val="20"/>
                <w:szCs w:val="20"/>
                <w:color w:val="auto"/>
              </w:rPr>
            </w:pPr>
            <w:r>
              <w:rPr>
                <w:rFonts w:ascii="Courier New" w:cs="Courier New" w:eastAsia="Courier New" w:hAnsi="Courier New"/>
                <w:sz w:val="15"/>
                <w:szCs w:val="15"/>
                <w:color w:val="auto"/>
              </w:rPr>
              <w:t>Restructuring charges,</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2620" w:type="dxa"/>
            <w:vAlign w:val="bottom"/>
          </w:tcPr>
          <w:p>
            <w:pPr>
              <w:ind w:left="540"/>
              <w:spacing w:after="0"/>
              <w:rPr>
                <w:sz w:val="20"/>
                <w:szCs w:val="20"/>
                <w:color w:val="auto"/>
              </w:rPr>
            </w:pPr>
            <w:r>
              <w:rPr>
                <w:rFonts w:ascii="Courier New" w:cs="Courier New" w:eastAsia="Courier New" w:hAnsi="Courier New"/>
                <w:sz w:val="15"/>
                <w:szCs w:val="15"/>
                <w:color w:val="auto"/>
              </w:rPr>
              <w:t>in-process research</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2620" w:type="dxa"/>
            <w:vAlign w:val="bottom"/>
          </w:tcPr>
          <w:p>
            <w:pPr>
              <w:ind w:left="540"/>
              <w:spacing w:after="0"/>
              <w:rPr>
                <w:sz w:val="20"/>
                <w:szCs w:val="20"/>
                <w:color w:val="auto"/>
              </w:rPr>
            </w:pPr>
            <w:r>
              <w:rPr>
                <w:rFonts w:ascii="Courier New" w:cs="Courier New" w:eastAsia="Courier New" w:hAnsi="Courier New"/>
                <w:sz w:val="15"/>
                <w:szCs w:val="15"/>
                <w:color w:val="auto"/>
              </w:rPr>
              <w:t>and development and</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2620" w:type="dxa"/>
            <w:vAlign w:val="bottom"/>
          </w:tcPr>
          <w:p>
            <w:pPr>
              <w:ind w:left="540"/>
              <w:spacing w:after="0"/>
              <w:rPr>
                <w:sz w:val="20"/>
                <w:szCs w:val="20"/>
                <w:color w:val="auto"/>
              </w:rPr>
            </w:pPr>
            <w:r>
              <w:rPr>
                <w:rFonts w:ascii="Courier New" w:cs="Courier New" w:eastAsia="Courier New" w:hAnsi="Courier New"/>
                <w:sz w:val="15"/>
                <w:szCs w:val="15"/>
                <w:color w:val="auto"/>
              </w:rPr>
              <w:t>other</w:t>
            </w:r>
          </w:p>
        </w:tc>
        <w:tc>
          <w:tcPr>
            <w:tcW w:w="240" w:type="dxa"/>
            <w:vAlign w:val="bottom"/>
          </w:tcPr>
          <w:p>
            <w:pPr>
              <w:spacing w:after="0"/>
              <w:rPr>
                <w:sz w:val="15"/>
                <w:szCs w:val="15"/>
                <w:color w:val="auto"/>
              </w:rPr>
            </w:pP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6,761</w:t>
            </w:r>
          </w:p>
        </w:tc>
        <w:tc>
          <w:tcPr>
            <w:tcW w:w="420" w:type="dxa"/>
            <w:vAlign w:val="bottom"/>
          </w:tcPr>
          <w:p>
            <w:pPr>
              <w:spacing w:after="0"/>
              <w:rPr>
                <w:sz w:val="15"/>
                <w:szCs w:val="15"/>
                <w:color w:val="auto"/>
              </w:rPr>
            </w:pP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w w:val="98"/>
              </w:rPr>
              <w:t>(6,761)</w:t>
            </w:r>
          </w:p>
        </w:tc>
        <w:tc>
          <w:tcPr>
            <w:tcW w:w="420" w:type="dxa"/>
            <w:vAlign w:val="bottom"/>
          </w:tcPr>
          <w:p>
            <w:pPr>
              <w:spacing w:after="0"/>
              <w:rPr>
                <w:sz w:val="15"/>
                <w:szCs w:val="15"/>
                <w:color w:val="auto"/>
              </w:rPr>
            </w:pP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620" w:type="dxa"/>
            <w:vAlign w:val="bottom"/>
          </w:tcPr>
          <w:p>
            <w:pPr>
              <w:spacing w:after="0"/>
              <w:rPr>
                <w:sz w:val="15"/>
                <w:szCs w:val="15"/>
                <w:color w:val="auto"/>
              </w:rPr>
            </w:pP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240" w:type="dxa"/>
            <w:vAlign w:val="bottom"/>
          </w:tcPr>
          <w:p>
            <w:pPr>
              <w:spacing w:after="0"/>
              <w:rPr>
                <w:sz w:val="15"/>
                <w:szCs w:val="15"/>
                <w:color w:val="auto"/>
              </w:rPr>
            </w:pP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1,846,191</w:t>
            </w:r>
          </w:p>
        </w:tc>
        <w:tc>
          <w:tcPr>
            <w:tcW w:w="420" w:type="dxa"/>
            <w:vAlign w:val="bottom"/>
          </w:tcPr>
          <w:p>
            <w:pPr>
              <w:spacing w:after="0"/>
              <w:rPr>
                <w:sz w:val="15"/>
                <w:szCs w:val="15"/>
                <w:color w:val="auto"/>
              </w:rPr>
            </w:pP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(55,785)</w:t>
            </w:r>
          </w:p>
        </w:tc>
        <w:tc>
          <w:tcPr>
            <w:tcW w:w="520" w:type="dxa"/>
            <w:vAlign w:val="bottom"/>
          </w:tcPr>
          <w:p>
            <w:pPr>
              <w:spacing w:after="0"/>
              <w:rPr>
                <w:sz w:val="15"/>
                <w:szCs w:val="15"/>
                <w:color w:val="auto"/>
              </w:rPr>
            </w:pP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w w:val="98"/>
              </w:rPr>
              <w:t>(6,761)</w:t>
            </w:r>
          </w:p>
        </w:tc>
        <w:tc>
          <w:tcPr>
            <w:tcW w:w="420" w:type="dxa"/>
            <w:vAlign w:val="bottom"/>
          </w:tcPr>
          <w:p>
            <w:pPr>
              <w:spacing w:after="0"/>
              <w:rPr>
                <w:sz w:val="15"/>
                <w:szCs w:val="15"/>
                <w:color w:val="auto"/>
              </w:rPr>
            </w:pP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(39,970)</w:t>
            </w:r>
          </w:p>
        </w:tc>
        <w:tc>
          <w:tcPr>
            <w:tcW w:w="280" w:type="dxa"/>
            <w:vAlign w:val="bottom"/>
          </w:tcPr>
          <w:p>
            <w:pPr>
              <w:spacing w:after="0"/>
              <w:rPr>
                <w:sz w:val="15"/>
                <w:szCs w:val="15"/>
                <w:color w:val="auto"/>
              </w:rPr>
            </w:pP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1,743,675</w:t>
            </w:r>
          </w:p>
        </w:tc>
      </w:tr>
      <w:tr>
        <w:trPr>
          <w:trHeight w:val="177"/>
        </w:trPr>
        <w:tc>
          <w:tcPr>
            <w:tcW w:w="2620" w:type="dxa"/>
            <w:vAlign w:val="bottom"/>
          </w:tcPr>
          <w:p>
            <w:pPr>
              <w:spacing w:after="0"/>
              <w:rPr>
                <w:sz w:val="15"/>
                <w:szCs w:val="15"/>
                <w:color w:val="auto"/>
              </w:rPr>
            </w:pP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40" w:type="dxa"/>
            <w:vAlign w:val="bottom"/>
          </w:tcPr>
          <w:p>
            <w:pPr>
              <w:spacing w:after="0"/>
              <w:rPr>
                <w:sz w:val="15"/>
                <w:szCs w:val="15"/>
                <w:color w:val="auto"/>
              </w:rPr>
            </w:pP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263,293</w:t>
            </w:r>
          </w:p>
        </w:tc>
        <w:tc>
          <w:tcPr>
            <w:tcW w:w="420" w:type="dxa"/>
            <w:vAlign w:val="bottom"/>
          </w:tcPr>
          <w:p>
            <w:pPr>
              <w:spacing w:after="0"/>
              <w:rPr>
                <w:sz w:val="15"/>
                <w:szCs w:val="15"/>
                <w:color w:val="auto"/>
              </w:rPr>
            </w:pP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55,785</w:t>
            </w:r>
          </w:p>
        </w:tc>
        <w:tc>
          <w:tcPr>
            <w:tcW w:w="520" w:type="dxa"/>
            <w:vAlign w:val="bottom"/>
          </w:tcPr>
          <w:p>
            <w:pPr>
              <w:spacing w:after="0"/>
              <w:rPr>
                <w:sz w:val="15"/>
                <w:szCs w:val="15"/>
                <w:color w:val="auto"/>
              </w:rPr>
            </w:pPr>
          </w:p>
        </w:tc>
        <w:tc>
          <w:tcPr>
            <w:tcW w:w="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6,761</w:t>
            </w:r>
          </w:p>
        </w:tc>
        <w:tc>
          <w:tcPr>
            <w:tcW w:w="420" w:type="dxa"/>
            <w:vAlign w:val="bottom"/>
          </w:tcPr>
          <w:p>
            <w:pPr>
              <w:spacing w:after="0"/>
              <w:rPr>
                <w:sz w:val="15"/>
                <w:szCs w:val="15"/>
                <w:color w:val="auto"/>
              </w:rPr>
            </w:pP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39,970</w:t>
            </w:r>
          </w:p>
        </w:tc>
        <w:tc>
          <w:tcPr>
            <w:tcW w:w="280" w:type="dxa"/>
            <w:vAlign w:val="bottom"/>
          </w:tcPr>
          <w:p>
            <w:pPr>
              <w:spacing w:after="0"/>
              <w:rPr>
                <w:sz w:val="15"/>
                <w:szCs w:val="15"/>
                <w:color w:val="auto"/>
              </w:rPr>
            </w:pP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365,809</w:t>
            </w:r>
          </w:p>
        </w:tc>
      </w:tr>
      <w:tr>
        <w:trPr>
          <w:trHeight w:val="177"/>
        </w:trPr>
        <w:tc>
          <w:tcPr>
            <w:tcW w:w="2620" w:type="dxa"/>
            <w:vAlign w:val="bottom"/>
          </w:tcPr>
          <w:p>
            <w:pPr>
              <w:spacing w:after="0"/>
              <w:rPr>
                <w:sz w:val="15"/>
                <w:szCs w:val="15"/>
                <w:color w:val="auto"/>
              </w:rPr>
            </w:pP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40" w:type="dxa"/>
            <w:vAlign w:val="bottom"/>
          </w:tcPr>
          <w:p>
            <w:pPr>
              <w:spacing w:after="0"/>
              <w:rPr>
                <w:sz w:val="15"/>
                <w:szCs w:val="15"/>
                <w:color w:val="auto"/>
              </w:rPr>
            </w:pP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31,527</w:t>
            </w:r>
          </w:p>
        </w:tc>
        <w:tc>
          <w:tcPr>
            <w:tcW w:w="420" w:type="dxa"/>
            <w:vAlign w:val="bottom"/>
          </w:tcPr>
          <w:p>
            <w:pPr>
              <w:spacing w:after="0"/>
              <w:rPr>
                <w:sz w:val="15"/>
                <w:szCs w:val="15"/>
                <w:color w:val="auto"/>
              </w:rPr>
            </w:pP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18,047</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49,574</w:t>
            </w:r>
          </w:p>
        </w:tc>
      </w:tr>
      <w:tr>
        <w:trPr>
          <w:trHeight w:val="177"/>
        </w:trPr>
        <w:tc>
          <w:tcPr>
            <w:tcW w:w="2620" w:type="dxa"/>
            <w:vAlign w:val="bottom"/>
          </w:tcPr>
          <w:p>
            <w:pPr>
              <w:spacing w:after="0"/>
              <w:rPr>
                <w:sz w:val="15"/>
                <w:szCs w:val="15"/>
                <w:color w:val="auto"/>
              </w:rPr>
            </w:pP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268,694</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$ 55,785</w:t>
            </w:r>
          </w:p>
        </w:tc>
        <w:tc>
          <w:tcPr>
            <w:tcW w:w="148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$ 6,761</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$ 39,970</w:t>
            </w:r>
          </w:p>
        </w:tc>
        <w:tc>
          <w:tcPr>
            <w:tcW w:w="11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$(18,047)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353,163</w:t>
            </w:r>
          </w:p>
        </w:tc>
      </w:tr>
      <w:tr>
        <w:trPr>
          <w:trHeight w:val="177"/>
        </w:trPr>
        <w:tc>
          <w:tcPr>
            <w:tcW w:w="2620" w:type="dxa"/>
            <w:vAlign w:val="bottom"/>
          </w:tcPr>
          <w:p>
            <w:pPr>
              <w:spacing w:after="0"/>
              <w:rPr>
                <w:sz w:val="15"/>
                <w:szCs w:val="15"/>
                <w:color w:val="auto"/>
              </w:rPr>
            </w:pP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40"/>
          </w:cols>
          <w:pgMar w:left="240" w:top="650" w:right="1419" w:bottom="1440" w:gutter="0" w:footer="0" w:header="0"/>
        </w:sectPr>
      </w:pPr>
    </w:p>
    <w:bookmarkStart w:id="13" w:name="page14"/>
    <w:bookmarkEnd w:id="13"/>
    <w:p>
      <w:pPr>
        <w:jc w:val="center"/>
        <w:ind w:right="2860"/>
        <w:spacing w:after="0"/>
        <w:rPr>
          <w:sz w:val="20"/>
          <w:szCs w:val="20"/>
          <w:color w:val="auto"/>
        </w:rPr>
      </w:pPr>
      <w:r>
        <w:rPr>
          <w:rFonts w:ascii="Courier New" w:cs="Courier New" w:eastAsia="Courier New" w:hAnsi="Courier New"/>
          <w:sz w:val="15"/>
          <w:szCs w:val="15"/>
          <w:color w:val="auto"/>
        </w:rPr>
        <w:t>AMDOCS LIMITED</w:t>
      </w:r>
    </w:p>
    <w:p>
      <w:pPr>
        <w:spacing w:after="0" w:line="8" w:lineRule="exact"/>
        <w:rPr>
          <w:sz w:val="20"/>
          <w:szCs w:val="20"/>
          <w:color w:val="auto"/>
        </w:rPr>
      </w:pPr>
    </w:p>
    <w:p>
      <w:pPr>
        <w:jc w:val="center"/>
        <w:ind w:right="2860"/>
        <w:spacing w:after="0"/>
        <w:rPr>
          <w:sz w:val="20"/>
          <w:szCs w:val="20"/>
          <w:color w:val="auto"/>
        </w:rPr>
      </w:pPr>
      <w:r>
        <w:rPr>
          <w:rFonts w:ascii="Courier New" w:cs="Courier New" w:eastAsia="Courier New" w:hAnsi="Courier New"/>
          <w:sz w:val="15"/>
          <w:szCs w:val="15"/>
          <w:color w:val="auto"/>
        </w:rPr>
        <w:t>RECONCILIATION OF SELECTED FINANCIAL METRICS FROM GAAP TO NON-GAAP</w:t>
      </w:r>
    </w:p>
    <w:p>
      <w:pPr>
        <w:spacing w:after="0" w:line="8" w:lineRule="exact"/>
        <w:rPr>
          <w:sz w:val="20"/>
          <w:szCs w:val="20"/>
          <w:color w:val="auto"/>
        </w:rPr>
      </w:pPr>
    </w:p>
    <w:p>
      <w:pPr>
        <w:jc w:val="center"/>
        <w:ind w:right="286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40" w:type="dxa"/>
            <w:vAlign w:val="bottom"/>
            <w:gridSpan w:val="3"/>
          </w:tcPr>
          <w:p>
            <w:pPr>
              <w:jc w:val="right"/>
              <w:ind w:right="703"/>
              <w:spacing w:after="0"/>
              <w:rPr>
                <w:sz w:val="20"/>
                <w:szCs w:val="20"/>
                <w:color w:val="auto"/>
              </w:rPr>
            </w:pPr>
            <w:r>
              <w:rPr>
                <w:rFonts w:ascii="Courier New" w:cs="Courier New" w:eastAsia="Courier New" w:hAnsi="Courier New"/>
                <w:sz w:val="15"/>
                <w:szCs w:val="15"/>
                <w:color w:val="auto"/>
              </w:rPr>
              <w:t>NINE MONTHS ENDED</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7"/>
        </w:trPr>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JUNE 30, 2006</w:t>
            </w: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2620" w:type="dxa"/>
            <w:vAlign w:val="bottom"/>
          </w:tcPr>
          <w:p>
            <w:pPr>
              <w:spacing w:after="0"/>
              <w:rPr>
                <w:sz w:val="15"/>
                <w:szCs w:val="15"/>
                <w:color w:val="auto"/>
              </w:rPr>
            </w:pPr>
          </w:p>
        </w:tc>
        <w:tc>
          <w:tcPr>
            <w:tcW w:w="7620" w:type="dxa"/>
            <w:vAlign w:val="bottom"/>
            <w:gridSpan w:val="1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0" w:type="dxa"/>
            <w:vAlign w:val="bottom"/>
            <w:gridSpan w:val="4"/>
          </w:tcPr>
          <w:p>
            <w:pPr>
              <w:ind w:left="360"/>
              <w:spacing w:after="0"/>
              <w:rPr>
                <w:sz w:val="20"/>
                <w:szCs w:val="20"/>
                <w:color w:val="auto"/>
              </w:rPr>
            </w:pPr>
            <w:r>
              <w:rPr>
                <w:rFonts w:ascii="Courier New" w:cs="Courier New" w:eastAsia="Courier New" w:hAnsi="Courier New"/>
                <w:sz w:val="15"/>
                <w:szCs w:val="15"/>
                <w:color w:val="auto"/>
              </w:rPr>
              <w:t>RECONCILIATION ITEMS</w:t>
            </w: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0" w:type="dxa"/>
            <w:vAlign w:val="bottom"/>
            <w:gridSpan w:val="8"/>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AMORTIZATION</w:t>
            </w: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ind w:right="323"/>
              <w:spacing w:after="0"/>
              <w:rPr>
                <w:sz w:val="20"/>
                <w:szCs w:val="20"/>
                <w:color w:val="auto"/>
              </w:rPr>
            </w:pPr>
            <w:r>
              <w:rPr>
                <w:rFonts w:ascii="Courier New" w:cs="Courier New" w:eastAsia="Courier New" w:hAnsi="Courier New"/>
                <w:sz w:val="15"/>
                <w:szCs w:val="15"/>
                <w:color w:val="auto"/>
                <w:w w:val="99"/>
              </w:rPr>
              <w:t>EQUITY</w:t>
            </w: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OF PURCHASED</w:t>
            </w:r>
          </w:p>
        </w:tc>
        <w:tc>
          <w:tcPr>
            <w:tcW w:w="142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IN-PROCESS</w:t>
            </w:r>
          </w:p>
        </w:tc>
        <w:tc>
          <w:tcPr>
            <w:tcW w:w="420" w:type="dxa"/>
            <w:vAlign w:val="bottom"/>
          </w:tcPr>
          <w:p>
            <w:pPr>
              <w:spacing w:after="0"/>
              <w:rPr>
                <w:sz w:val="15"/>
                <w:szCs w:val="15"/>
                <w:color w:val="auto"/>
              </w:rPr>
            </w:pPr>
          </w:p>
        </w:tc>
        <w:tc>
          <w:tcPr>
            <w:tcW w:w="96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BASED</w:t>
            </w: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INTANGIBLE</w:t>
            </w:r>
          </w:p>
        </w:tc>
        <w:tc>
          <w:tcPr>
            <w:tcW w:w="14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RESEARCH AND</w:t>
            </w:r>
          </w:p>
        </w:tc>
        <w:tc>
          <w:tcPr>
            <w:tcW w:w="138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COMPENSATION</w:t>
            </w:r>
          </w:p>
        </w:tc>
        <w:tc>
          <w:tcPr>
            <w:tcW w:w="340" w:type="dxa"/>
            <w:vAlign w:val="bottom"/>
          </w:tcPr>
          <w:p>
            <w:pPr>
              <w:spacing w:after="0"/>
              <w:rPr>
                <w:sz w:val="15"/>
                <w:szCs w:val="15"/>
                <w:color w:val="auto"/>
              </w:rPr>
            </w:pPr>
          </w:p>
        </w:tc>
        <w:tc>
          <w:tcPr>
            <w:tcW w:w="8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TAX</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GAAP</w:t>
            </w:r>
          </w:p>
        </w:tc>
        <w:tc>
          <w:tcPr>
            <w:tcW w:w="420" w:type="dxa"/>
            <w:vAlign w:val="bottom"/>
          </w:tcPr>
          <w:p>
            <w:pPr>
              <w:spacing w:after="0"/>
              <w:rPr>
                <w:sz w:val="15"/>
                <w:szCs w:val="15"/>
                <w:color w:val="auto"/>
              </w:rPr>
            </w:pPr>
          </w:p>
        </w:tc>
        <w:tc>
          <w:tcPr>
            <w:tcW w:w="1020" w:type="dxa"/>
            <w:vAlign w:val="bottom"/>
          </w:tcPr>
          <w:p>
            <w:pPr>
              <w:jc w:val="center"/>
              <w:ind w:right="383"/>
              <w:spacing w:after="0"/>
              <w:rPr>
                <w:sz w:val="20"/>
                <w:szCs w:val="20"/>
                <w:color w:val="auto"/>
              </w:rPr>
            </w:pPr>
            <w:r>
              <w:rPr>
                <w:rFonts w:ascii="Courier New" w:cs="Courier New" w:eastAsia="Courier New" w:hAnsi="Courier New"/>
                <w:sz w:val="15"/>
                <w:szCs w:val="15"/>
                <w:color w:val="auto"/>
              </w:rPr>
              <w:t>ASSETS</w:t>
            </w:r>
          </w:p>
        </w:tc>
        <w:tc>
          <w:tcPr>
            <w:tcW w:w="142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DEVELOPMENT</w:t>
            </w:r>
          </w:p>
        </w:tc>
        <w:tc>
          <w:tcPr>
            <w:tcW w:w="420" w:type="dxa"/>
            <w:vAlign w:val="bottom"/>
          </w:tcPr>
          <w:p>
            <w:pPr>
              <w:spacing w:after="0"/>
              <w:rPr>
                <w:sz w:val="15"/>
                <w:szCs w:val="15"/>
                <w:color w:val="auto"/>
              </w:rPr>
            </w:pP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w w:val="98"/>
              </w:rPr>
              <w:t>EXPENSE</w:t>
            </w:r>
          </w:p>
        </w:tc>
        <w:tc>
          <w:tcPr>
            <w:tcW w:w="340" w:type="dxa"/>
            <w:vAlign w:val="bottom"/>
          </w:tcPr>
          <w:p>
            <w:pPr>
              <w:spacing w:after="0"/>
              <w:rPr>
                <w:sz w:val="15"/>
                <w:szCs w:val="15"/>
                <w:color w:val="auto"/>
              </w:rPr>
            </w:pPr>
          </w:p>
        </w:tc>
        <w:tc>
          <w:tcPr>
            <w:tcW w:w="82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6"/>
              </w:rPr>
              <w:t>EFFECT</w:t>
            </w:r>
          </w:p>
        </w:tc>
        <w:tc>
          <w:tcPr>
            <w:tcW w:w="18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NON-GAAP</w:t>
            </w:r>
          </w:p>
        </w:tc>
      </w:tr>
      <w:tr>
        <w:trPr>
          <w:trHeight w:val="177"/>
        </w:trPr>
        <w:tc>
          <w:tcPr>
            <w:tcW w:w="2620" w:type="dxa"/>
            <w:vAlign w:val="bottom"/>
          </w:tcPr>
          <w:p>
            <w:pPr>
              <w:spacing w:after="0"/>
              <w:rPr>
                <w:sz w:val="15"/>
                <w:szCs w:val="15"/>
                <w:color w:val="auto"/>
              </w:rPr>
            </w:pP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4240" w:type="dxa"/>
            <w:vAlign w:val="bottom"/>
            <w:gridSpan w:val="6"/>
          </w:tcPr>
          <w:p>
            <w:pPr>
              <w:jc w:val="right"/>
              <w:ind w:right="63"/>
              <w:spacing w:after="0"/>
              <w:rPr>
                <w:sz w:val="20"/>
                <w:szCs w:val="20"/>
                <w:color w:val="auto"/>
              </w:rPr>
            </w:pPr>
            <w:r>
              <w:rPr>
                <w:rFonts w:ascii="Courier New" w:cs="Courier New" w:eastAsia="Courier New" w:hAnsi="Courier New"/>
                <w:sz w:val="15"/>
                <w:szCs w:val="15"/>
                <w:color w:val="auto"/>
              </w:rPr>
              <w:t>------------   -------------  -------------</w:t>
            </w:r>
          </w:p>
        </w:tc>
        <w:tc>
          <w:tcPr>
            <w:tcW w:w="116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26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7"/>
        </w:trPr>
        <w:tc>
          <w:tcPr>
            <w:tcW w:w="2620" w:type="dxa"/>
            <w:vAlign w:val="bottom"/>
          </w:tcPr>
          <w:p>
            <w:pPr>
              <w:ind w:left="280"/>
              <w:spacing w:after="0"/>
              <w:rPr>
                <w:sz w:val="20"/>
                <w:szCs w:val="20"/>
                <w:color w:val="auto"/>
              </w:rPr>
            </w:pPr>
            <w:r>
              <w:rPr>
                <w:rFonts w:ascii="Courier New" w:cs="Courier New" w:eastAsia="Courier New" w:hAnsi="Courier New"/>
                <w:sz w:val="15"/>
                <w:szCs w:val="15"/>
                <w:color w:val="auto"/>
              </w:rPr>
              <w:t>Cost of license</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2,973</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2,973</w:t>
            </w:r>
          </w:p>
        </w:tc>
      </w:tr>
      <w:tr>
        <w:trPr>
          <w:trHeight w:val="177"/>
        </w:trPr>
        <w:tc>
          <w:tcPr>
            <w:tcW w:w="2620" w:type="dxa"/>
            <w:vAlign w:val="bottom"/>
          </w:tcPr>
          <w:p>
            <w:pPr>
              <w:ind w:left="280"/>
              <w:spacing w:after="0"/>
              <w:rPr>
                <w:sz w:val="20"/>
                <w:szCs w:val="20"/>
                <w:color w:val="auto"/>
              </w:rPr>
            </w:pPr>
            <w:r>
              <w:rPr>
                <w:rFonts w:ascii="Courier New" w:cs="Courier New" w:eastAsia="Courier New" w:hAnsi="Courier New"/>
                <w:sz w:val="15"/>
                <w:szCs w:val="15"/>
                <w:color w:val="auto"/>
              </w:rPr>
              <w:t>Cost of service</w:t>
            </w:r>
          </w:p>
        </w:tc>
        <w:tc>
          <w:tcPr>
            <w:tcW w:w="240" w:type="dxa"/>
            <w:vAlign w:val="bottom"/>
          </w:tcPr>
          <w:p>
            <w:pPr>
              <w:spacing w:after="0"/>
              <w:rPr>
                <w:sz w:val="15"/>
                <w:szCs w:val="15"/>
                <w:color w:val="auto"/>
              </w:rPr>
            </w:pP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1,165,010</w:t>
            </w:r>
          </w:p>
        </w:tc>
        <w:tc>
          <w:tcPr>
            <w:tcW w:w="42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(12,237)</w:t>
            </w:r>
          </w:p>
        </w:tc>
        <w:tc>
          <w:tcPr>
            <w:tcW w:w="34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1,152,773</w:t>
            </w:r>
          </w:p>
        </w:tc>
      </w:tr>
      <w:tr>
        <w:trPr>
          <w:trHeight w:val="177"/>
        </w:trPr>
        <w:tc>
          <w:tcPr>
            <w:tcW w:w="2620" w:type="dxa"/>
            <w:vAlign w:val="bottom"/>
          </w:tcPr>
          <w:p>
            <w:pPr>
              <w:ind w:left="280"/>
              <w:spacing w:after="0"/>
              <w:rPr>
                <w:sz w:val="20"/>
                <w:szCs w:val="20"/>
                <w:color w:val="auto"/>
              </w:rPr>
            </w:pPr>
            <w:r>
              <w:rPr>
                <w:rFonts w:ascii="Courier New" w:cs="Courier New" w:eastAsia="Courier New" w:hAnsi="Courier New"/>
                <w:sz w:val="15"/>
                <w:szCs w:val="15"/>
                <w:color w:val="auto"/>
              </w:rPr>
              <w:t>Research and development</w:t>
            </w:r>
          </w:p>
        </w:tc>
        <w:tc>
          <w:tcPr>
            <w:tcW w:w="240" w:type="dxa"/>
            <w:vAlign w:val="bottom"/>
          </w:tcPr>
          <w:p>
            <w:pPr>
              <w:spacing w:after="0"/>
              <w:rPr>
                <w:sz w:val="15"/>
                <w:szCs w:val="15"/>
                <w:color w:val="auto"/>
              </w:rPr>
            </w:pP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131,392</w:t>
            </w:r>
          </w:p>
        </w:tc>
        <w:tc>
          <w:tcPr>
            <w:tcW w:w="42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(3,041)</w:t>
            </w:r>
          </w:p>
        </w:tc>
        <w:tc>
          <w:tcPr>
            <w:tcW w:w="34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128,351</w:t>
            </w:r>
          </w:p>
        </w:tc>
      </w:tr>
      <w:tr>
        <w:trPr>
          <w:trHeight w:val="177"/>
        </w:trPr>
        <w:tc>
          <w:tcPr>
            <w:tcW w:w="2620" w:type="dxa"/>
            <w:vAlign w:val="bottom"/>
          </w:tcPr>
          <w:p>
            <w:pPr>
              <w:ind w:left="280"/>
              <w:spacing w:after="0"/>
              <w:rPr>
                <w:sz w:val="20"/>
                <w:szCs w:val="20"/>
                <w:color w:val="auto"/>
              </w:rPr>
            </w:pPr>
            <w:r>
              <w:rPr>
                <w:rFonts w:ascii="Courier New" w:cs="Courier New" w:eastAsia="Courier New" w:hAnsi="Courier New"/>
                <w:sz w:val="15"/>
                <w:szCs w:val="15"/>
                <w:color w:val="auto"/>
              </w:rPr>
              <w:t>Selling, general and</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2620" w:type="dxa"/>
            <w:vAlign w:val="bottom"/>
          </w:tcPr>
          <w:p>
            <w:pPr>
              <w:ind w:left="540"/>
              <w:spacing w:after="0"/>
              <w:rPr>
                <w:sz w:val="20"/>
                <w:szCs w:val="20"/>
                <w:color w:val="auto"/>
              </w:rPr>
            </w:pPr>
            <w:r>
              <w:rPr>
                <w:rFonts w:ascii="Courier New" w:cs="Courier New" w:eastAsia="Courier New" w:hAnsi="Courier New"/>
                <w:sz w:val="15"/>
                <w:szCs w:val="15"/>
                <w:color w:val="auto"/>
              </w:rPr>
              <w:t>administrative</w:t>
            </w:r>
          </w:p>
        </w:tc>
        <w:tc>
          <w:tcPr>
            <w:tcW w:w="240" w:type="dxa"/>
            <w:vAlign w:val="bottom"/>
          </w:tcPr>
          <w:p>
            <w:pPr>
              <w:spacing w:after="0"/>
              <w:rPr>
                <w:sz w:val="15"/>
                <w:szCs w:val="15"/>
                <w:color w:val="auto"/>
              </w:rPr>
            </w:pP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227,289</w:t>
            </w:r>
          </w:p>
        </w:tc>
        <w:tc>
          <w:tcPr>
            <w:tcW w:w="42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(16,670)</w:t>
            </w:r>
          </w:p>
        </w:tc>
        <w:tc>
          <w:tcPr>
            <w:tcW w:w="34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210,619</w:t>
            </w:r>
          </w:p>
        </w:tc>
      </w:tr>
      <w:tr>
        <w:trPr>
          <w:trHeight w:val="177"/>
        </w:trPr>
        <w:tc>
          <w:tcPr>
            <w:tcW w:w="2620" w:type="dxa"/>
            <w:vAlign w:val="bottom"/>
          </w:tcPr>
          <w:p>
            <w:pPr>
              <w:ind w:left="280"/>
              <w:spacing w:after="0"/>
              <w:rPr>
                <w:sz w:val="20"/>
                <w:szCs w:val="20"/>
                <w:color w:val="auto"/>
              </w:rPr>
            </w:pPr>
            <w:r>
              <w:rPr>
                <w:rFonts w:ascii="Courier New" w:cs="Courier New" w:eastAsia="Courier New" w:hAnsi="Courier New"/>
                <w:sz w:val="15"/>
                <w:szCs w:val="15"/>
                <w:color w:val="auto"/>
              </w:rPr>
              <w:t>Amortization of</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2620" w:type="dxa"/>
            <w:vAlign w:val="bottom"/>
          </w:tcPr>
          <w:p>
            <w:pPr>
              <w:ind w:left="540"/>
              <w:spacing w:after="0"/>
              <w:rPr>
                <w:sz w:val="20"/>
                <w:szCs w:val="20"/>
                <w:color w:val="auto"/>
              </w:rPr>
            </w:pPr>
            <w:r>
              <w:rPr>
                <w:rFonts w:ascii="Courier New" w:cs="Courier New" w:eastAsia="Courier New" w:hAnsi="Courier New"/>
                <w:sz w:val="15"/>
                <w:szCs w:val="15"/>
                <w:color w:val="auto"/>
              </w:rPr>
              <w:t>purchased intangible</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2620" w:type="dxa"/>
            <w:vAlign w:val="bottom"/>
          </w:tcPr>
          <w:p>
            <w:pPr>
              <w:ind w:left="540"/>
              <w:spacing w:after="0"/>
              <w:rPr>
                <w:sz w:val="20"/>
                <w:szCs w:val="20"/>
                <w:color w:val="auto"/>
              </w:rPr>
            </w:pPr>
            <w:r>
              <w:rPr>
                <w:rFonts w:ascii="Courier New" w:cs="Courier New" w:eastAsia="Courier New" w:hAnsi="Courier New"/>
                <w:sz w:val="15"/>
                <w:szCs w:val="15"/>
                <w:color w:val="auto"/>
              </w:rPr>
              <w:t>assets</w:t>
            </w:r>
          </w:p>
        </w:tc>
        <w:tc>
          <w:tcPr>
            <w:tcW w:w="240" w:type="dxa"/>
            <w:vAlign w:val="bottom"/>
          </w:tcPr>
          <w:p>
            <w:pPr>
              <w:spacing w:after="0"/>
              <w:rPr>
                <w:sz w:val="15"/>
                <w:szCs w:val="15"/>
                <w:color w:val="auto"/>
              </w:rPr>
            </w:pP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23,588</w:t>
            </w:r>
          </w:p>
        </w:tc>
        <w:tc>
          <w:tcPr>
            <w:tcW w:w="42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(23,588)</w:t>
            </w:r>
          </w:p>
        </w:tc>
        <w:tc>
          <w:tcPr>
            <w:tcW w:w="460" w:type="dxa"/>
            <w:vAlign w:val="bottom"/>
          </w:tcPr>
          <w:p>
            <w:pPr>
              <w:spacing w:after="0"/>
              <w:rPr>
                <w:sz w:val="15"/>
                <w:szCs w:val="15"/>
                <w:color w:val="auto"/>
              </w:rPr>
            </w:pPr>
          </w:p>
        </w:tc>
        <w:tc>
          <w:tcPr>
            <w:tcW w:w="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620" w:type="dxa"/>
            <w:vAlign w:val="bottom"/>
          </w:tcPr>
          <w:p>
            <w:pPr>
              <w:ind w:left="280"/>
              <w:spacing w:after="0"/>
              <w:rPr>
                <w:sz w:val="20"/>
                <w:szCs w:val="20"/>
                <w:color w:val="auto"/>
              </w:rPr>
            </w:pPr>
            <w:r>
              <w:rPr>
                <w:rFonts w:ascii="Courier New" w:cs="Courier New" w:eastAsia="Courier New" w:hAnsi="Courier New"/>
                <w:sz w:val="15"/>
                <w:szCs w:val="15"/>
                <w:color w:val="auto"/>
              </w:rPr>
              <w:t>Restructuring charges,</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2620" w:type="dxa"/>
            <w:vAlign w:val="bottom"/>
          </w:tcPr>
          <w:p>
            <w:pPr>
              <w:ind w:left="540"/>
              <w:spacing w:after="0"/>
              <w:rPr>
                <w:sz w:val="20"/>
                <w:szCs w:val="20"/>
                <w:color w:val="auto"/>
              </w:rPr>
            </w:pPr>
            <w:r>
              <w:rPr>
                <w:rFonts w:ascii="Courier New" w:cs="Courier New" w:eastAsia="Courier New" w:hAnsi="Courier New"/>
                <w:sz w:val="15"/>
                <w:szCs w:val="15"/>
                <w:color w:val="auto"/>
              </w:rPr>
              <w:t>in-process research</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2620" w:type="dxa"/>
            <w:vAlign w:val="bottom"/>
          </w:tcPr>
          <w:p>
            <w:pPr>
              <w:ind w:left="540"/>
              <w:spacing w:after="0"/>
              <w:rPr>
                <w:sz w:val="20"/>
                <w:szCs w:val="20"/>
                <w:color w:val="auto"/>
              </w:rPr>
            </w:pPr>
            <w:r>
              <w:rPr>
                <w:rFonts w:ascii="Courier New" w:cs="Courier New" w:eastAsia="Courier New" w:hAnsi="Courier New"/>
                <w:sz w:val="15"/>
                <w:szCs w:val="15"/>
                <w:color w:val="auto"/>
              </w:rPr>
              <w:t>and development and</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2620" w:type="dxa"/>
            <w:vAlign w:val="bottom"/>
          </w:tcPr>
          <w:p>
            <w:pPr>
              <w:ind w:left="540"/>
              <w:spacing w:after="0"/>
              <w:rPr>
                <w:sz w:val="20"/>
                <w:szCs w:val="20"/>
                <w:color w:val="auto"/>
              </w:rPr>
            </w:pPr>
            <w:r>
              <w:rPr>
                <w:rFonts w:ascii="Courier New" w:cs="Courier New" w:eastAsia="Courier New" w:hAnsi="Courier New"/>
                <w:sz w:val="15"/>
                <w:szCs w:val="15"/>
                <w:color w:val="auto"/>
              </w:rPr>
              <w:t>other</w:t>
            </w:r>
          </w:p>
        </w:tc>
        <w:tc>
          <w:tcPr>
            <w:tcW w:w="240" w:type="dxa"/>
            <w:vAlign w:val="bottom"/>
          </w:tcPr>
          <w:p>
            <w:pPr>
              <w:spacing w:after="0"/>
              <w:rPr>
                <w:sz w:val="15"/>
                <w:szCs w:val="15"/>
                <w:color w:val="auto"/>
              </w:rPr>
            </w:pP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8,415</w:t>
            </w:r>
          </w:p>
        </w:tc>
        <w:tc>
          <w:tcPr>
            <w:tcW w:w="42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w w:val="98"/>
              </w:rPr>
              <w:t>(8,415)</w:t>
            </w:r>
          </w:p>
        </w:tc>
        <w:tc>
          <w:tcPr>
            <w:tcW w:w="420" w:type="dxa"/>
            <w:vAlign w:val="bottom"/>
          </w:tcPr>
          <w:p>
            <w:pPr>
              <w:spacing w:after="0"/>
              <w:rPr>
                <w:sz w:val="15"/>
                <w:szCs w:val="15"/>
                <w:color w:val="auto"/>
              </w:rPr>
            </w:pP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620" w:type="dxa"/>
            <w:vAlign w:val="bottom"/>
          </w:tcPr>
          <w:p>
            <w:pPr>
              <w:spacing w:after="0"/>
              <w:rPr>
                <w:sz w:val="15"/>
                <w:szCs w:val="15"/>
                <w:color w:val="auto"/>
              </w:rPr>
            </w:pP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240" w:type="dxa"/>
            <w:vAlign w:val="bottom"/>
          </w:tcPr>
          <w:p>
            <w:pPr>
              <w:spacing w:after="0"/>
              <w:rPr>
                <w:sz w:val="15"/>
                <w:szCs w:val="15"/>
                <w:color w:val="auto"/>
              </w:rPr>
            </w:pP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1,558,667</w:t>
            </w:r>
          </w:p>
        </w:tc>
        <w:tc>
          <w:tcPr>
            <w:tcW w:w="42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(23,588)</w:t>
            </w:r>
          </w:p>
        </w:tc>
        <w:tc>
          <w:tcPr>
            <w:tcW w:w="460" w:type="dxa"/>
            <w:vAlign w:val="bottom"/>
          </w:tcPr>
          <w:p>
            <w:pPr>
              <w:spacing w:after="0"/>
              <w:rPr>
                <w:sz w:val="15"/>
                <w:szCs w:val="15"/>
                <w:color w:val="auto"/>
              </w:rPr>
            </w:pP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w w:val="98"/>
              </w:rPr>
              <w:t>(8,415)</w:t>
            </w:r>
          </w:p>
        </w:tc>
        <w:tc>
          <w:tcPr>
            <w:tcW w:w="420" w:type="dxa"/>
            <w:vAlign w:val="bottom"/>
          </w:tcPr>
          <w:p>
            <w:pPr>
              <w:spacing w:after="0"/>
              <w:rPr>
                <w:sz w:val="15"/>
                <w:szCs w:val="15"/>
                <w:color w:val="auto"/>
              </w:rPr>
            </w:pP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(31,948)</w:t>
            </w:r>
          </w:p>
        </w:tc>
        <w:tc>
          <w:tcPr>
            <w:tcW w:w="34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1,494,716</w:t>
            </w:r>
          </w:p>
        </w:tc>
      </w:tr>
      <w:tr>
        <w:trPr>
          <w:trHeight w:val="177"/>
        </w:trPr>
        <w:tc>
          <w:tcPr>
            <w:tcW w:w="2620" w:type="dxa"/>
            <w:vAlign w:val="bottom"/>
          </w:tcPr>
          <w:p>
            <w:pPr>
              <w:spacing w:after="0"/>
              <w:rPr>
                <w:sz w:val="15"/>
                <w:szCs w:val="15"/>
                <w:color w:val="auto"/>
              </w:rPr>
            </w:pP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40" w:type="dxa"/>
            <w:vAlign w:val="bottom"/>
          </w:tcPr>
          <w:p>
            <w:pPr>
              <w:spacing w:after="0"/>
              <w:rPr>
                <w:sz w:val="15"/>
                <w:szCs w:val="15"/>
                <w:color w:val="auto"/>
              </w:rPr>
            </w:pP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255,938</w:t>
            </w:r>
          </w:p>
        </w:tc>
        <w:tc>
          <w:tcPr>
            <w:tcW w:w="42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23,588</w:t>
            </w:r>
          </w:p>
        </w:tc>
        <w:tc>
          <w:tcPr>
            <w:tcW w:w="460" w:type="dxa"/>
            <w:vAlign w:val="bottom"/>
          </w:tcPr>
          <w:p>
            <w:pPr>
              <w:spacing w:after="0"/>
              <w:rPr>
                <w:sz w:val="15"/>
                <w:szCs w:val="15"/>
                <w:color w:val="auto"/>
              </w:rPr>
            </w:pPr>
          </w:p>
        </w:tc>
        <w:tc>
          <w:tcPr>
            <w:tcW w:w="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8,415</w:t>
            </w:r>
          </w:p>
        </w:tc>
        <w:tc>
          <w:tcPr>
            <w:tcW w:w="420" w:type="dxa"/>
            <w:vAlign w:val="bottom"/>
          </w:tcPr>
          <w:p>
            <w:pPr>
              <w:spacing w:after="0"/>
              <w:rPr>
                <w:sz w:val="15"/>
                <w:szCs w:val="15"/>
                <w:color w:val="auto"/>
              </w:rPr>
            </w:pP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31,948</w:t>
            </w:r>
          </w:p>
        </w:tc>
        <w:tc>
          <w:tcPr>
            <w:tcW w:w="34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319,889</w:t>
            </w:r>
          </w:p>
        </w:tc>
      </w:tr>
      <w:tr>
        <w:trPr>
          <w:trHeight w:val="177"/>
        </w:trPr>
        <w:tc>
          <w:tcPr>
            <w:tcW w:w="2620" w:type="dxa"/>
            <w:vAlign w:val="bottom"/>
          </w:tcPr>
          <w:p>
            <w:pPr>
              <w:spacing w:after="0"/>
              <w:rPr>
                <w:sz w:val="15"/>
                <w:szCs w:val="15"/>
                <w:color w:val="auto"/>
              </w:rPr>
            </w:pP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40" w:type="dxa"/>
            <w:vAlign w:val="bottom"/>
          </w:tcPr>
          <w:p>
            <w:pPr>
              <w:spacing w:after="0"/>
              <w:rPr>
                <w:sz w:val="15"/>
                <w:szCs w:val="15"/>
                <w:color w:val="auto"/>
              </w:rPr>
            </w:pP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46,916</w:t>
            </w:r>
          </w:p>
        </w:tc>
        <w:tc>
          <w:tcPr>
            <w:tcW w:w="42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14,954</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61,870</w:t>
            </w:r>
          </w:p>
        </w:tc>
      </w:tr>
      <w:tr>
        <w:trPr>
          <w:trHeight w:val="177"/>
        </w:trPr>
        <w:tc>
          <w:tcPr>
            <w:tcW w:w="2620" w:type="dxa"/>
            <w:vAlign w:val="bottom"/>
          </w:tcPr>
          <w:p>
            <w:pPr>
              <w:spacing w:after="0"/>
              <w:rPr>
                <w:sz w:val="15"/>
                <w:szCs w:val="15"/>
                <w:color w:val="auto"/>
              </w:rPr>
            </w:pP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242,681</w:t>
            </w:r>
          </w:p>
        </w:tc>
        <w:tc>
          <w:tcPr>
            <w:tcW w:w="144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$ 23,588</w:t>
            </w:r>
          </w:p>
        </w:tc>
        <w:tc>
          <w:tcPr>
            <w:tcW w:w="142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$ 8,415</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$ 31,948</w:t>
            </w:r>
          </w:p>
        </w:tc>
        <w:tc>
          <w:tcPr>
            <w:tcW w:w="1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$(14,954)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291,678</w:t>
            </w:r>
          </w:p>
        </w:tc>
      </w:tr>
      <w:tr>
        <w:trPr>
          <w:trHeight w:val="177"/>
        </w:trPr>
        <w:tc>
          <w:tcPr>
            <w:tcW w:w="2620" w:type="dxa"/>
            <w:vAlign w:val="bottom"/>
          </w:tcPr>
          <w:p>
            <w:pPr>
              <w:spacing w:after="0"/>
              <w:rPr>
                <w:sz w:val="15"/>
                <w:szCs w:val="15"/>
                <w:color w:val="auto"/>
              </w:rPr>
            </w:pP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40"/>
          </w:cols>
          <w:pgMar w:left="240" w:top="650" w:right="1419" w:bottom="1440" w:gutter="0" w:footer="0" w:header="0"/>
        </w:sectPr>
      </w:pPr>
    </w:p>
    <w:bookmarkStart w:id="14" w:name="page15"/>
    <w:bookmarkEnd w:id="14"/>
    <w:p>
      <w:pPr>
        <w:jc w:val="center"/>
        <w:ind w:right="2839"/>
        <w:spacing w:after="0"/>
        <w:rPr>
          <w:sz w:val="20"/>
          <w:szCs w:val="20"/>
          <w:color w:val="auto"/>
        </w:rPr>
      </w:pPr>
      <w:r>
        <w:rPr>
          <w:rFonts w:ascii="Courier New" w:cs="Courier New" w:eastAsia="Courier New" w:hAnsi="Courier New"/>
          <w:sz w:val="15"/>
          <w:szCs w:val="15"/>
          <w:color w:val="auto"/>
        </w:rPr>
        <w:t>AMDOCS LIMITED</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320" w:type="dxa"/>
            <w:vAlign w:val="bottom"/>
          </w:tcPr>
          <w:p>
            <w:pPr>
              <w:ind w:left="3040"/>
              <w:spacing w:after="0"/>
              <w:rPr>
                <w:sz w:val="20"/>
                <w:szCs w:val="20"/>
                <w:color w:val="auto"/>
              </w:rPr>
            </w:pPr>
            <w:r>
              <w:rPr>
                <w:rFonts w:ascii="Courier New" w:cs="Courier New" w:eastAsia="Courier New" w:hAnsi="Courier New"/>
                <w:sz w:val="15"/>
                <w:szCs w:val="15"/>
                <w:color w:val="auto"/>
              </w:rPr>
              <w:t>(IN THOUSANDS)</w:t>
            </w: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710"/>
        </w:trPr>
        <w:tc>
          <w:tcPr>
            <w:tcW w:w="632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OF</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7"/>
        </w:trPr>
        <w:tc>
          <w:tcPr>
            <w:tcW w:w="6320" w:type="dxa"/>
            <w:vAlign w:val="bottom"/>
          </w:tcPr>
          <w:p>
            <w:pPr>
              <w:spacing w:after="0"/>
              <w:rPr>
                <w:sz w:val="15"/>
                <w:szCs w:val="15"/>
                <w:color w:val="auto"/>
              </w:rPr>
            </w:pPr>
          </w:p>
        </w:tc>
        <w:tc>
          <w:tcPr>
            <w:tcW w:w="2340" w:type="dxa"/>
            <w:vAlign w:val="bottom"/>
            <w:gridSpan w:val="4"/>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6320" w:type="dxa"/>
            <w:vAlign w:val="bottom"/>
          </w:tcPr>
          <w:p>
            <w:pPr>
              <w:spacing w:after="0"/>
              <w:rPr>
                <w:sz w:val="15"/>
                <w:szCs w:val="15"/>
                <w:color w:val="auto"/>
              </w:rPr>
            </w:pPr>
          </w:p>
        </w:tc>
        <w:tc>
          <w:tcPr>
            <w:tcW w:w="12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JUNE 30,</w:t>
            </w:r>
          </w:p>
        </w:tc>
        <w:tc>
          <w:tcPr>
            <w:tcW w:w="220" w:type="dxa"/>
            <w:vAlign w:val="bottom"/>
          </w:tcPr>
          <w:p>
            <w:pPr>
              <w:spacing w:after="0"/>
              <w:rPr>
                <w:sz w:val="15"/>
                <w:szCs w:val="15"/>
                <w:color w:val="auto"/>
              </w:rPr>
            </w:pPr>
          </w:p>
        </w:tc>
        <w:tc>
          <w:tcPr>
            <w:tcW w:w="92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SEPTEMBER</w:t>
            </w:r>
          </w:p>
        </w:tc>
      </w:tr>
      <w:tr>
        <w:trPr>
          <w:trHeight w:val="177"/>
        </w:trPr>
        <w:tc>
          <w:tcPr>
            <w:tcW w:w="6320" w:type="dxa"/>
            <w:vAlign w:val="bottom"/>
          </w:tcPr>
          <w:p>
            <w:pPr>
              <w:spacing w:after="0"/>
              <w:rPr>
                <w:sz w:val="15"/>
                <w:szCs w:val="15"/>
                <w:color w:val="auto"/>
              </w:rPr>
            </w:pP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2007</w:t>
            </w:r>
          </w:p>
        </w:tc>
        <w:tc>
          <w:tcPr>
            <w:tcW w:w="220" w:type="dxa"/>
            <w:vAlign w:val="bottom"/>
          </w:tcPr>
          <w:p>
            <w:pPr>
              <w:spacing w:after="0"/>
              <w:rPr>
                <w:sz w:val="15"/>
                <w:szCs w:val="15"/>
                <w:color w:val="auto"/>
              </w:rPr>
            </w:pPr>
          </w:p>
        </w:tc>
        <w:tc>
          <w:tcPr>
            <w:tcW w:w="280" w:type="dxa"/>
            <w:vAlign w:val="bottom"/>
          </w:tcPr>
          <w:p>
            <w:pPr>
              <w:spacing w:after="0"/>
              <w:rPr>
                <w:sz w:val="20"/>
                <w:szCs w:val="20"/>
                <w:color w:val="auto"/>
              </w:rPr>
            </w:pPr>
            <w:r>
              <w:rPr>
                <w:rFonts w:ascii="Courier New" w:cs="Courier New" w:eastAsia="Courier New" w:hAnsi="Courier New"/>
                <w:sz w:val="15"/>
                <w:szCs w:val="15"/>
                <w:color w:val="auto"/>
                <w:w w:val="96"/>
              </w:rPr>
              <w:t>30,</w:t>
            </w:r>
          </w:p>
        </w:tc>
        <w:tc>
          <w:tcPr>
            <w:tcW w:w="6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2006</w:t>
            </w:r>
          </w:p>
        </w:tc>
      </w:tr>
      <w:tr>
        <w:trPr>
          <w:trHeight w:val="177"/>
        </w:trPr>
        <w:tc>
          <w:tcPr>
            <w:tcW w:w="6320" w:type="dxa"/>
            <w:vAlign w:val="bottom"/>
          </w:tcPr>
          <w:p>
            <w:pPr>
              <w:spacing w:after="0"/>
              <w:rPr>
                <w:sz w:val="15"/>
                <w:szCs w:val="15"/>
                <w:color w:val="auto"/>
              </w:rPr>
            </w:pP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3"/>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355"/>
        </w:trPr>
        <w:tc>
          <w:tcPr>
            <w:tcW w:w="63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7"/>
        </w:trPr>
        <w:tc>
          <w:tcPr>
            <w:tcW w:w="63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6320" w:type="dxa"/>
            <w:vAlign w:val="bottom"/>
          </w:tcPr>
          <w:p>
            <w:pPr>
              <w:spacing w:after="0"/>
              <w:rPr>
                <w:sz w:val="20"/>
                <w:szCs w:val="20"/>
                <w:color w:val="auto"/>
              </w:rPr>
            </w:pPr>
            <w:r>
              <w:rPr>
                <w:rFonts w:ascii="Courier New" w:cs="Courier New" w:eastAsia="Courier New" w:hAnsi="Courier New"/>
                <w:sz w:val="15"/>
                <w:szCs w:val="15"/>
                <w:color w:val="auto"/>
              </w:rPr>
              <w:t>Cash, cash equivalents and short-term interest-bearing investments</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$1,151,649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979,381</w:t>
            </w:r>
          </w:p>
        </w:tc>
      </w:tr>
      <w:tr>
        <w:trPr>
          <w:trHeight w:val="177"/>
        </w:trPr>
        <w:tc>
          <w:tcPr>
            <w:tcW w:w="6320" w:type="dxa"/>
            <w:vAlign w:val="bottom"/>
          </w:tcPr>
          <w:p>
            <w:pPr>
              <w:spacing w:after="0"/>
              <w:rPr>
                <w:sz w:val="20"/>
                <w:szCs w:val="20"/>
                <w:color w:val="auto"/>
              </w:rPr>
            </w:pPr>
            <w:r>
              <w:rPr>
                <w:rFonts w:ascii="Courier New" w:cs="Courier New" w:eastAsia="Courier New" w:hAnsi="Courier New"/>
                <w:sz w:val="15"/>
                <w:szCs w:val="15"/>
                <w:color w:val="auto"/>
              </w:rPr>
              <w:t>Accounts receivable, net, including unbilled of $54,243 and</w:t>
            </w: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6320" w:type="dxa"/>
            <w:vAlign w:val="bottom"/>
          </w:tcPr>
          <w:p>
            <w:pPr>
              <w:ind w:left="280"/>
              <w:spacing w:after="0"/>
              <w:rPr>
                <w:sz w:val="20"/>
                <w:szCs w:val="20"/>
                <w:color w:val="auto"/>
              </w:rPr>
            </w:pPr>
            <w:r>
              <w:rPr>
                <w:rFonts w:ascii="Courier New" w:cs="Courier New" w:eastAsia="Courier New" w:hAnsi="Courier New"/>
                <w:sz w:val="15"/>
                <w:szCs w:val="15"/>
                <w:color w:val="auto"/>
              </w:rPr>
              <w:t>$54,117 respectively</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480,433</w:t>
            </w:r>
          </w:p>
        </w:tc>
        <w:tc>
          <w:tcPr>
            <w:tcW w:w="220" w:type="dxa"/>
            <w:vAlign w:val="bottom"/>
          </w:tcPr>
          <w:p>
            <w:pPr>
              <w:spacing w:after="0"/>
              <w:rPr>
                <w:sz w:val="15"/>
                <w:szCs w:val="15"/>
                <w:color w:val="auto"/>
              </w:rPr>
            </w:pPr>
          </w:p>
        </w:tc>
        <w:tc>
          <w:tcPr>
            <w:tcW w:w="92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425,805</w:t>
            </w:r>
          </w:p>
        </w:tc>
      </w:tr>
      <w:tr>
        <w:trPr>
          <w:trHeight w:val="177"/>
        </w:trPr>
        <w:tc>
          <w:tcPr>
            <w:tcW w:w="6320" w:type="dxa"/>
            <w:vAlign w:val="bottom"/>
          </w:tcPr>
          <w:p>
            <w:pPr>
              <w:spacing w:after="0"/>
              <w:rPr>
                <w:sz w:val="20"/>
                <w:szCs w:val="20"/>
                <w:color w:val="auto"/>
              </w:rPr>
            </w:pPr>
            <w:r>
              <w:rPr>
                <w:rFonts w:ascii="Courier New" w:cs="Courier New" w:eastAsia="Courier New" w:hAnsi="Courier New"/>
                <w:sz w:val="15"/>
                <w:szCs w:val="15"/>
                <w:color w:val="auto"/>
              </w:rPr>
              <w:t>Deferred income taxes and taxes receivable</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130,876</w:t>
            </w:r>
          </w:p>
        </w:tc>
        <w:tc>
          <w:tcPr>
            <w:tcW w:w="220" w:type="dxa"/>
            <w:vAlign w:val="bottom"/>
          </w:tcPr>
          <w:p>
            <w:pPr>
              <w:spacing w:after="0"/>
              <w:rPr>
                <w:sz w:val="15"/>
                <w:szCs w:val="15"/>
                <w:color w:val="auto"/>
              </w:rPr>
            </w:pPr>
          </w:p>
        </w:tc>
        <w:tc>
          <w:tcPr>
            <w:tcW w:w="92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136,044</w:t>
            </w:r>
          </w:p>
        </w:tc>
      </w:tr>
      <w:tr>
        <w:trPr>
          <w:trHeight w:val="177"/>
        </w:trPr>
        <w:tc>
          <w:tcPr>
            <w:tcW w:w="6320" w:type="dxa"/>
            <w:vAlign w:val="bottom"/>
          </w:tcPr>
          <w:p>
            <w:pPr>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93,991</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jc w:val="right"/>
              <w:ind w:right="3"/>
              <w:spacing w:after="0"/>
              <w:rPr>
                <w:sz w:val="20"/>
                <w:szCs w:val="20"/>
                <w:color w:val="auto"/>
              </w:rPr>
            </w:pPr>
            <w:r>
              <w:rPr>
                <w:rFonts w:ascii="Courier New" w:cs="Courier New" w:eastAsia="Courier New" w:hAnsi="Courier New"/>
                <w:sz w:val="15"/>
                <w:szCs w:val="15"/>
                <w:color w:val="auto"/>
                <w:w w:val="99"/>
              </w:rPr>
              <w:t>97,476</w:t>
            </w:r>
          </w:p>
        </w:tc>
      </w:tr>
      <w:tr>
        <w:trPr>
          <w:trHeight w:val="177"/>
        </w:trPr>
        <w:tc>
          <w:tcPr>
            <w:tcW w:w="6320" w:type="dxa"/>
            <w:vAlign w:val="bottom"/>
          </w:tcPr>
          <w:p>
            <w:pPr>
              <w:spacing w:after="0"/>
              <w:rPr>
                <w:sz w:val="15"/>
                <w:szCs w:val="15"/>
                <w:color w:val="auto"/>
              </w:rPr>
            </w:pP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6320" w:type="dxa"/>
            <w:vAlign w:val="bottom"/>
          </w:tcPr>
          <w:p>
            <w:pPr>
              <w:ind w:left="360"/>
              <w:spacing w:after="0"/>
              <w:rPr>
                <w:sz w:val="20"/>
                <w:szCs w:val="20"/>
                <w:color w:val="auto"/>
              </w:rPr>
            </w:pPr>
            <w:r>
              <w:rPr>
                <w:rFonts w:ascii="Courier New" w:cs="Courier New" w:eastAsia="Courier New" w:hAnsi="Courier New"/>
                <w:sz w:val="15"/>
                <w:szCs w:val="15"/>
                <w:color w:val="auto"/>
              </w:rPr>
              <w:t>Total current assets</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1,856,949</w:t>
            </w:r>
          </w:p>
        </w:tc>
        <w:tc>
          <w:tcPr>
            <w:tcW w:w="220" w:type="dxa"/>
            <w:vAlign w:val="bottom"/>
          </w:tcPr>
          <w:p>
            <w:pPr>
              <w:spacing w:after="0"/>
              <w:rPr>
                <w:sz w:val="15"/>
                <w:szCs w:val="15"/>
                <w:color w:val="auto"/>
              </w:rPr>
            </w:pPr>
          </w:p>
        </w:tc>
        <w:tc>
          <w:tcPr>
            <w:tcW w:w="92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1,638,706</w:t>
            </w:r>
          </w:p>
        </w:tc>
      </w:tr>
      <w:tr>
        <w:trPr>
          <w:trHeight w:val="177"/>
        </w:trPr>
        <w:tc>
          <w:tcPr>
            <w:tcW w:w="6320" w:type="dxa"/>
            <w:vAlign w:val="bottom"/>
          </w:tcPr>
          <w:p>
            <w:pPr>
              <w:spacing w:after="0"/>
              <w:rPr>
                <w:sz w:val="20"/>
                <w:szCs w:val="20"/>
                <w:color w:val="auto"/>
              </w:rPr>
            </w:pPr>
            <w:r>
              <w:rPr>
                <w:rFonts w:ascii="Courier New" w:cs="Courier New" w:eastAsia="Courier New" w:hAnsi="Courier New"/>
                <w:sz w:val="15"/>
                <w:szCs w:val="15"/>
                <w:color w:val="auto"/>
              </w:rPr>
              <w:t>Equipment, vehicles and leasehold improvements, net</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258,272</w:t>
            </w:r>
          </w:p>
        </w:tc>
        <w:tc>
          <w:tcPr>
            <w:tcW w:w="220" w:type="dxa"/>
            <w:vAlign w:val="bottom"/>
          </w:tcPr>
          <w:p>
            <w:pPr>
              <w:spacing w:after="0"/>
              <w:rPr>
                <w:sz w:val="15"/>
                <w:szCs w:val="15"/>
                <w:color w:val="auto"/>
              </w:rPr>
            </w:pPr>
          </w:p>
        </w:tc>
        <w:tc>
          <w:tcPr>
            <w:tcW w:w="92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220,290</w:t>
            </w:r>
          </w:p>
        </w:tc>
      </w:tr>
      <w:tr>
        <w:trPr>
          <w:trHeight w:val="177"/>
        </w:trPr>
        <w:tc>
          <w:tcPr>
            <w:tcW w:w="6320" w:type="dxa"/>
            <w:vAlign w:val="bottom"/>
          </w:tcPr>
          <w:p>
            <w:pPr>
              <w:spacing w:after="0"/>
              <w:rPr>
                <w:sz w:val="20"/>
                <w:szCs w:val="20"/>
                <w:color w:val="auto"/>
              </w:rPr>
            </w:pPr>
            <w:r>
              <w:rPr>
                <w:rFonts w:ascii="Courier New" w:cs="Courier New" w:eastAsia="Courier New" w:hAnsi="Courier New"/>
                <w:sz w:val="15"/>
                <w:szCs w:val="15"/>
                <w:color w:val="auto"/>
              </w:rPr>
              <w:t>Goodwill and other intangible assets, net</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1,804,077</w:t>
            </w:r>
          </w:p>
        </w:tc>
        <w:tc>
          <w:tcPr>
            <w:tcW w:w="220" w:type="dxa"/>
            <w:vAlign w:val="bottom"/>
          </w:tcPr>
          <w:p>
            <w:pPr>
              <w:spacing w:after="0"/>
              <w:rPr>
                <w:sz w:val="15"/>
                <w:szCs w:val="15"/>
                <w:color w:val="auto"/>
              </w:rPr>
            </w:pPr>
          </w:p>
        </w:tc>
        <w:tc>
          <w:tcPr>
            <w:tcW w:w="92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1,809,322</w:t>
            </w:r>
          </w:p>
        </w:tc>
      </w:tr>
      <w:tr>
        <w:trPr>
          <w:trHeight w:val="177"/>
        </w:trPr>
        <w:tc>
          <w:tcPr>
            <w:tcW w:w="6320" w:type="dxa"/>
            <w:vAlign w:val="bottom"/>
          </w:tcPr>
          <w:p>
            <w:pPr>
              <w:spacing w:after="0"/>
              <w:rPr>
                <w:sz w:val="20"/>
                <w:szCs w:val="20"/>
                <w:color w:val="auto"/>
              </w:rPr>
            </w:pPr>
            <w:r>
              <w:rPr>
                <w:rFonts w:ascii="Courier New" w:cs="Courier New" w:eastAsia="Courier New" w:hAnsi="Courier New"/>
                <w:sz w:val="15"/>
                <w:szCs w:val="15"/>
                <w:color w:val="auto"/>
              </w:rPr>
              <w:t>Other noncurrent assets</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364,502</w:t>
            </w:r>
          </w:p>
        </w:tc>
        <w:tc>
          <w:tcPr>
            <w:tcW w:w="220" w:type="dxa"/>
            <w:vAlign w:val="bottom"/>
          </w:tcPr>
          <w:p>
            <w:pPr>
              <w:spacing w:after="0"/>
              <w:rPr>
                <w:sz w:val="15"/>
                <w:szCs w:val="15"/>
                <w:color w:val="auto"/>
              </w:rPr>
            </w:pPr>
          </w:p>
        </w:tc>
        <w:tc>
          <w:tcPr>
            <w:tcW w:w="92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294,510</w:t>
            </w:r>
          </w:p>
        </w:tc>
      </w:tr>
      <w:tr>
        <w:trPr>
          <w:trHeight w:val="177"/>
        </w:trPr>
        <w:tc>
          <w:tcPr>
            <w:tcW w:w="6320" w:type="dxa"/>
            <w:vAlign w:val="bottom"/>
          </w:tcPr>
          <w:p>
            <w:pPr>
              <w:spacing w:after="0"/>
              <w:rPr>
                <w:sz w:val="15"/>
                <w:szCs w:val="15"/>
                <w:color w:val="auto"/>
              </w:rPr>
            </w:pP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3"/>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63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$4,283,800</w:t>
            </w:r>
          </w:p>
        </w:tc>
        <w:tc>
          <w:tcPr>
            <w:tcW w:w="1140" w:type="dxa"/>
            <w:vAlign w:val="bottom"/>
            <w:gridSpan w:val="3"/>
          </w:tcPr>
          <w:p>
            <w:pPr>
              <w:jc w:val="right"/>
              <w:ind w:right="3"/>
              <w:spacing w:after="0"/>
              <w:rPr>
                <w:sz w:val="20"/>
                <w:szCs w:val="20"/>
                <w:color w:val="auto"/>
              </w:rPr>
            </w:pPr>
            <w:r>
              <w:rPr>
                <w:rFonts w:ascii="Courier New" w:cs="Courier New" w:eastAsia="Courier New" w:hAnsi="Courier New"/>
                <w:sz w:val="15"/>
                <w:szCs w:val="15"/>
                <w:color w:val="auto"/>
              </w:rPr>
              <w:t>$3,962,828</w:t>
            </w:r>
          </w:p>
        </w:tc>
      </w:tr>
      <w:tr>
        <w:trPr>
          <w:trHeight w:val="177"/>
        </w:trPr>
        <w:tc>
          <w:tcPr>
            <w:tcW w:w="6320" w:type="dxa"/>
            <w:vAlign w:val="bottom"/>
          </w:tcPr>
          <w:p>
            <w:pPr>
              <w:spacing w:after="0"/>
              <w:rPr>
                <w:sz w:val="15"/>
                <w:szCs w:val="15"/>
                <w:color w:val="auto"/>
              </w:rPr>
            </w:pP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3"/>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632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63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6320" w:type="dxa"/>
            <w:vAlign w:val="bottom"/>
          </w:tcPr>
          <w:p>
            <w:pPr>
              <w:spacing w:after="0"/>
              <w:rPr>
                <w:sz w:val="20"/>
                <w:szCs w:val="20"/>
                <w:color w:val="auto"/>
              </w:rPr>
            </w:pPr>
            <w:r>
              <w:rPr>
                <w:rFonts w:ascii="Courier New" w:cs="Courier New" w:eastAsia="Courier New" w:hAnsi="Courier New"/>
                <w:sz w:val="15"/>
                <w:szCs w:val="15"/>
                <w:color w:val="auto"/>
              </w:rPr>
              <w:t>Accounts payable and accruals</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548,126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597,107</w:t>
            </w:r>
          </w:p>
        </w:tc>
      </w:tr>
      <w:tr>
        <w:trPr>
          <w:trHeight w:val="177"/>
        </w:trPr>
        <w:tc>
          <w:tcPr>
            <w:tcW w:w="6320" w:type="dxa"/>
            <w:vAlign w:val="bottom"/>
          </w:tcPr>
          <w:p>
            <w:pPr>
              <w:spacing w:after="0"/>
              <w:rPr>
                <w:sz w:val="20"/>
                <w:szCs w:val="20"/>
                <w:color w:val="auto"/>
              </w:rPr>
            </w:pPr>
            <w:r>
              <w:rPr>
                <w:rFonts w:ascii="Courier New" w:cs="Courier New" w:eastAsia="Courier New" w:hAnsi="Courier New"/>
                <w:sz w:val="15"/>
                <w:szCs w:val="15"/>
                <w:color w:val="auto"/>
              </w:rPr>
              <w:t>Short-term portion of capital lease obligations and other financing</w:t>
            </w: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6320" w:type="dxa"/>
            <w:vAlign w:val="bottom"/>
          </w:tcPr>
          <w:p>
            <w:pPr>
              <w:ind w:left="280"/>
              <w:spacing w:after="0"/>
              <w:rPr>
                <w:sz w:val="20"/>
                <w:szCs w:val="20"/>
                <w:color w:val="auto"/>
              </w:rPr>
            </w:pPr>
            <w:r>
              <w:rPr>
                <w:rFonts w:ascii="Courier New" w:cs="Courier New" w:eastAsia="Courier New" w:hAnsi="Courier New"/>
                <w:sz w:val="15"/>
                <w:szCs w:val="15"/>
                <w:color w:val="auto"/>
              </w:rPr>
              <w:t>arrangements</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2,029</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1,963</w:t>
            </w:r>
          </w:p>
        </w:tc>
      </w:tr>
      <w:tr>
        <w:trPr>
          <w:trHeight w:val="177"/>
        </w:trPr>
        <w:tc>
          <w:tcPr>
            <w:tcW w:w="6320" w:type="dxa"/>
            <w:vAlign w:val="bottom"/>
          </w:tcPr>
          <w:p>
            <w:pPr>
              <w:spacing w:after="0"/>
              <w:rPr>
                <w:sz w:val="20"/>
                <w:szCs w:val="20"/>
                <w:color w:val="auto"/>
              </w:rPr>
            </w:pPr>
            <w:r>
              <w:rPr>
                <w:rFonts w:ascii="Courier New" w:cs="Courier New" w:eastAsia="Courier New" w:hAnsi="Courier New"/>
                <w:sz w:val="15"/>
                <w:szCs w:val="15"/>
                <w:color w:val="auto"/>
              </w:rPr>
              <w:t>Deferred revenue</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243,917</w:t>
            </w:r>
          </w:p>
        </w:tc>
        <w:tc>
          <w:tcPr>
            <w:tcW w:w="220" w:type="dxa"/>
            <w:vAlign w:val="bottom"/>
          </w:tcPr>
          <w:p>
            <w:pPr>
              <w:spacing w:after="0"/>
              <w:rPr>
                <w:sz w:val="15"/>
                <w:szCs w:val="15"/>
                <w:color w:val="auto"/>
              </w:rPr>
            </w:pPr>
          </w:p>
        </w:tc>
        <w:tc>
          <w:tcPr>
            <w:tcW w:w="92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253,376</w:t>
            </w:r>
          </w:p>
        </w:tc>
      </w:tr>
      <w:tr>
        <w:trPr>
          <w:trHeight w:val="177"/>
        </w:trPr>
        <w:tc>
          <w:tcPr>
            <w:tcW w:w="6320" w:type="dxa"/>
            <w:vAlign w:val="bottom"/>
          </w:tcPr>
          <w:p>
            <w:pPr>
              <w:spacing w:after="0"/>
              <w:rPr>
                <w:sz w:val="20"/>
                <w:szCs w:val="20"/>
                <w:color w:val="auto"/>
              </w:rPr>
            </w:pPr>
            <w:r>
              <w:rPr>
                <w:rFonts w:ascii="Courier New" w:cs="Courier New" w:eastAsia="Courier New" w:hAnsi="Courier New"/>
                <w:sz w:val="15"/>
                <w:szCs w:val="15"/>
                <w:color w:val="auto"/>
              </w:rPr>
              <w:t>Deferred income taxes and taxes payable</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209,635</w:t>
            </w:r>
          </w:p>
        </w:tc>
        <w:tc>
          <w:tcPr>
            <w:tcW w:w="220" w:type="dxa"/>
            <w:vAlign w:val="bottom"/>
          </w:tcPr>
          <w:p>
            <w:pPr>
              <w:spacing w:after="0"/>
              <w:rPr>
                <w:sz w:val="15"/>
                <w:szCs w:val="15"/>
                <w:color w:val="auto"/>
              </w:rPr>
            </w:pPr>
          </w:p>
        </w:tc>
        <w:tc>
          <w:tcPr>
            <w:tcW w:w="92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179,241</w:t>
            </w:r>
          </w:p>
        </w:tc>
      </w:tr>
      <w:tr>
        <w:trPr>
          <w:trHeight w:val="177"/>
        </w:trPr>
        <w:tc>
          <w:tcPr>
            <w:tcW w:w="6320" w:type="dxa"/>
            <w:vAlign w:val="bottom"/>
          </w:tcPr>
          <w:p>
            <w:pPr>
              <w:spacing w:after="0"/>
              <w:rPr>
                <w:sz w:val="15"/>
                <w:szCs w:val="15"/>
                <w:color w:val="auto"/>
              </w:rPr>
            </w:pP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3"/>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6320" w:type="dxa"/>
            <w:vAlign w:val="bottom"/>
          </w:tcPr>
          <w:p>
            <w:pPr>
              <w:ind w:left="360"/>
              <w:spacing w:after="0"/>
              <w:rPr>
                <w:sz w:val="20"/>
                <w:szCs w:val="20"/>
                <w:color w:val="auto"/>
              </w:rPr>
            </w:pPr>
            <w:r>
              <w:rPr>
                <w:rFonts w:ascii="Courier New" w:cs="Courier New" w:eastAsia="Courier New" w:hAnsi="Courier New"/>
                <w:sz w:val="15"/>
                <w:szCs w:val="15"/>
                <w:color w:val="auto"/>
              </w:rPr>
              <w:t>Total current liabilities</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1,003,707</w:t>
            </w:r>
          </w:p>
        </w:tc>
        <w:tc>
          <w:tcPr>
            <w:tcW w:w="220" w:type="dxa"/>
            <w:vAlign w:val="bottom"/>
          </w:tcPr>
          <w:p>
            <w:pPr>
              <w:spacing w:after="0"/>
              <w:rPr>
                <w:sz w:val="15"/>
                <w:szCs w:val="15"/>
                <w:color w:val="auto"/>
              </w:rPr>
            </w:pPr>
          </w:p>
        </w:tc>
        <w:tc>
          <w:tcPr>
            <w:tcW w:w="92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1,031,687</w:t>
            </w:r>
          </w:p>
        </w:tc>
      </w:tr>
      <w:tr>
        <w:trPr>
          <w:trHeight w:val="177"/>
        </w:trPr>
        <w:tc>
          <w:tcPr>
            <w:tcW w:w="6320" w:type="dxa"/>
            <w:vAlign w:val="bottom"/>
          </w:tcPr>
          <w:p>
            <w:pPr>
              <w:spacing w:after="0"/>
              <w:rPr>
                <w:sz w:val="20"/>
                <w:szCs w:val="20"/>
                <w:color w:val="auto"/>
              </w:rPr>
            </w:pPr>
            <w:r>
              <w:rPr>
                <w:rFonts w:ascii="Courier New" w:cs="Courier New" w:eastAsia="Courier New" w:hAnsi="Courier New"/>
                <w:sz w:val="15"/>
                <w:szCs w:val="15"/>
                <w:color w:val="auto"/>
              </w:rPr>
              <w:t>0.50% Convertible notes</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450,000</w:t>
            </w:r>
          </w:p>
        </w:tc>
        <w:tc>
          <w:tcPr>
            <w:tcW w:w="220" w:type="dxa"/>
            <w:vAlign w:val="bottom"/>
          </w:tcPr>
          <w:p>
            <w:pPr>
              <w:spacing w:after="0"/>
              <w:rPr>
                <w:sz w:val="15"/>
                <w:szCs w:val="15"/>
                <w:color w:val="auto"/>
              </w:rPr>
            </w:pPr>
          </w:p>
        </w:tc>
        <w:tc>
          <w:tcPr>
            <w:tcW w:w="92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450,000</w:t>
            </w:r>
          </w:p>
        </w:tc>
      </w:tr>
      <w:tr>
        <w:trPr>
          <w:trHeight w:val="177"/>
        </w:trPr>
        <w:tc>
          <w:tcPr>
            <w:tcW w:w="6320" w:type="dxa"/>
            <w:vAlign w:val="bottom"/>
          </w:tcPr>
          <w:p>
            <w:pPr>
              <w:spacing w:after="0"/>
              <w:rPr>
                <w:sz w:val="20"/>
                <w:szCs w:val="20"/>
                <w:color w:val="auto"/>
              </w:rPr>
            </w:pPr>
            <w:r>
              <w:rPr>
                <w:rFonts w:ascii="Courier New" w:cs="Courier New" w:eastAsia="Courier New" w:hAnsi="Courier New"/>
                <w:sz w:val="15"/>
                <w:szCs w:val="15"/>
                <w:color w:val="auto"/>
              </w:rPr>
              <w:t>Noncurrent liabilities and other</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315,216</w:t>
            </w:r>
          </w:p>
        </w:tc>
        <w:tc>
          <w:tcPr>
            <w:tcW w:w="220" w:type="dxa"/>
            <w:vAlign w:val="bottom"/>
          </w:tcPr>
          <w:p>
            <w:pPr>
              <w:spacing w:after="0"/>
              <w:rPr>
                <w:sz w:val="15"/>
                <w:szCs w:val="15"/>
                <w:color w:val="auto"/>
              </w:rPr>
            </w:pPr>
          </w:p>
        </w:tc>
        <w:tc>
          <w:tcPr>
            <w:tcW w:w="92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326,976</w:t>
            </w:r>
          </w:p>
        </w:tc>
      </w:tr>
      <w:tr>
        <w:trPr>
          <w:trHeight w:val="177"/>
        </w:trPr>
        <w:tc>
          <w:tcPr>
            <w:tcW w:w="63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2,514,877</w:t>
            </w:r>
          </w:p>
        </w:tc>
        <w:tc>
          <w:tcPr>
            <w:tcW w:w="220" w:type="dxa"/>
            <w:vAlign w:val="bottom"/>
          </w:tcPr>
          <w:p>
            <w:pPr>
              <w:spacing w:after="0"/>
              <w:rPr>
                <w:sz w:val="15"/>
                <w:szCs w:val="15"/>
                <w:color w:val="auto"/>
              </w:rPr>
            </w:pPr>
          </w:p>
        </w:tc>
        <w:tc>
          <w:tcPr>
            <w:tcW w:w="92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2,154,165</w:t>
            </w:r>
          </w:p>
        </w:tc>
      </w:tr>
      <w:tr>
        <w:trPr>
          <w:trHeight w:val="177"/>
        </w:trPr>
        <w:tc>
          <w:tcPr>
            <w:tcW w:w="6320" w:type="dxa"/>
            <w:vAlign w:val="bottom"/>
          </w:tcPr>
          <w:p>
            <w:pPr>
              <w:spacing w:after="0"/>
              <w:rPr>
                <w:sz w:val="15"/>
                <w:szCs w:val="15"/>
                <w:color w:val="auto"/>
              </w:rPr>
            </w:pP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3"/>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6320" w:type="dxa"/>
            <w:vAlign w:val="bottom"/>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$4,283,800</w:t>
            </w:r>
          </w:p>
        </w:tc>
        <w:tc>
          <w:tcPr>
            <w:tcW w:w="1140" w:type="dxa"/>
            <w:vAlign w:val="bottom"/>
            <w:gridSpan w:val="3"/>
          </w:tcPr>
          <w:p>
            <w:pPr>
              <w:jc w:val="right"/>
              <w:ind w:right="3"/>
              <w:spacing w:after="0"/>
              <w:rPr>
                <w:sz w:val="20"/>
                <w:szCs w:val="20"/>
                <w:color w:val="auto"/>
              </w:rPr>
            </w:pPr>
            <w:r>
              <w:rPr>
                <w:rFonts w:ascii="Courier New" w:cs="Courier New" w:eastAsia="Courier New" w:hAnsi="Courier New"/>
                <w:sz w:val="15"/>
                <w:szCs w:val="15"/>
                <w:color w:val="auto"/>
              </w:rPr>
              <w:t>$3,962,828</w:t>
            </w:r>
          </w:p>
        </w:tc>
      </w:tr>
      <w:tr>
        <w:trPr>
          <w:trHeight w:val="177"/>
        </w:trPr>
        <w:tc>
          <w:tcPr>
            <w:tcW w:w="6320" w:type="dxa"/>
            <w:vAlign w:val="bottom"/>
          </w:tcPr>
          <w:p>
            <w:pPr>
              <w:spacing w:after="0"/>
              <w:rPr>
                <w:sz w:val="15"/>
                <w:szCs w:val="15"/>
                <w:color w:val="auto"/>
              </w:rPr>
            </w:pP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3"/>
          </w:tcPr>
          <w:p>
            <w:pPr>
              <w:jc w:val="right"/>
              <w:ind w:right="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 # #</w:t>
      </w:r>
    </w:p>
    <w:p>
      <w:pPr>
        <w:sectPr>
          <w:pgSz w:w="11900" w:h="16838" w:orient="portrait"/>
          <w:cols w:equalWidth="0" w:num="1">
            <w:col w:w="10219"/>
          </w:cols>
          <w:pgMar w:left="240" w:top="650" w:right="1440" w:bottom="1440" w:gutter="0" w:footer="0" w:header="0"/>
        </w:sectPr>
      </w:pPr>
    </w:p>
    <w:bookmarkStart w:id="15" w:name="page16"/>
    <w:bookmarkEnd w:id="15"/>
    <w:p>
      <w:pPr>
        <w:jc w:val="right"/>
        <w:ind w:right="2839"/>
        <w:spacing w:after="0"/>
        <w:rPr>
          <w:sz w:val="20"/>
          <w:szCs w:val="20"/>
          <w:color w:val="auto"/>
        </w:rPr>
      </w:pPr>
      <w:r>
        <w:rPr>
          <w:rFonts w:ascii="Courier New" w:cs="Courier New" w:eastAsia="Courier New" w:hAnsi="Courier New"/>
          <w:sz w:val="15"/>
          <w:szCs w:val="15"/>
          <w:color w:val="auto"/>
        </w:rPr>
        <w:t>[amdocs logo]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Press Release</w:t>
      </w:r>
    </w:p>
    <w:p>
      <w:pPr>
        <w:spacing w:after="0" w:line="18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Amdocs Announces Appointment of Tamar Rapaport-Dagim as Chief</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Financial Officer Effective November 15, 2007</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Ron Moskovitz Will Continue To Serve as Chief Financial Officer During</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the Transition Period</w:t>
      </w:r>
    </w:p>
    <w:p>
      <w:pPr>
        <w:spacing w:after="0" w:line="362"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St. Louis, MO - July 18, 2007 - The Amdocs Limited (NYSE: DOX) board of directors today announced that effective November 15, 2007, Tamar Rapaport-Dagim will become the chief financial officer of Amdocs Management Limited. Rapaport-Dagim will succeed Ron Moskovitz, who will be resigning to manage an international private business. Moskovitz will continue to serve as CFO until November 15, 2007 in order to assist in the transition.</w:t>
      </w:r>
    </w:p>
    <w:p>
      <w:pPr>
        <w:spacing w:after="0" w:line="176"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"Ron has been a key member of the Amdocs management team and has contributed greatly to our success over the past nine years," said Dov Baharav, chief executive officer of Amdocs Management Limited. "We thank him for his excellent service for the Company and wish him well in his new role. With Ron's assistance, we expect a smooth transition for Tamar into her new position."</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Rapaport-Dagim joined Amdocs in 2004 as Vice President of Finance reporting to Moskovitz. Prior to joining Amdocs, Rapaport-Dagim was the CFO of Emblaze, a provider of multimedia solutions over wireless and IP networks and traded on the London Stock Exchange. She has also been the controller of Teledata Networks and has held various finance management positions in public accounting. Rapaport-Dagim holds BA and MBA degrees from Tel Aviv University and is a certified public accountant.</w:t>
      </w:r>
    </w:p>
    <w:p>
      <w:pPr>
        <w:spacing w:after="0" w:line="176"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"It is with mixed emotions that I leave Amdocs but I look forward to this next challenge in my career," said Moskovitz. "I take comfort in knowing that the Company is in great shape and in good hands with Tamar".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About Amdocs</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Amdocs is the market leader in customer experience systems innovation, enabling world-leading service providers to deliver an integrated, innovative and the intentional customer experienceTM - at every point of service. Amdocs provides solutions that deliver customer experience excellence, combining the software, service and expertise to help our customers execute their strategies and achieve service, operational &amp; financial excellence. A global company with revenue of $2.48 billion in fiscal 2006, Amdocs has over 16,000 employees and serves customers in more than 50 countries around the world. For more information, visit Amdocs at www.amdocs.com.</w:t>
      </w:r>
    </w:p>
    <w:p>
      <w:pPr>
        <w:spacing w:after="0" w:line="352"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for the fiscal year ended September 30, 2006 and in our quarterly Form 6-K furnished on February 6 and May 11, 2007.</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Contact: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Thomas G. O'Brien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Treasurer and Vice President of Investor Relations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Amdocs Limited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314-212-8328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E-mail: dox_info@amdocs.com</w:t>
      </w:r>
    </w:p>
    <w:sectPr>
      <w:pgSz w:w="11900" w:h="16838" w:orient="portrait"/>
      <w:cols w:equalWidth="0" w:num="1">
        <w:col w:w="10219"/>
      </w:cols>
      <w:pgMar w:left="240" w:top="49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2019-12-12T01:15:39Z</dcterms:created>
  <dcterms:modified xsi:type="dcterms:W3CDTF">2019-12-12T01:15:39Z</dcterms:modified>
</cp:coreProperties>
</file>