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2013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2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2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368" w:right="1039" w:bottom="1440" w:gutter="0" w:footer="0" w:header="0"/>
        </w:sectPr>
      </w:pPr>
    </w:p>
    <w:bookmarkStart w:id="1" w:name="page2"/>
    <w:bookmarkEnd w:id="1"/>
    <w:p>
      <w:pPr>
        <w:ind w:right="5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5, 2013, Amdocs Limited (“Amdocs”) issued a press release announcing financial results for the quarter and fiscal year ended September 30, 2013. A copy of the press release is furnished as Exhibit 99.1 to this Report of Foreign Private Issuer on Form 6-K.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8"/>
              </w:rPr>
              <w:t>Amdocs Limited Press Release dated November 5, 2013.</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$845M, Up 2.8%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2014 Revenue Growth of 4-8%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Cash Dividend to be Raised From $0.13 to $0.155 Per Share, Subject to Shareholder Approval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Signed definitive agreement to acquire Celcite Management Solutions, LLC for approximately $129 million in cash, subject to customary closing conditions. Additional consideration may be paid later based on the achievement of certain performance metrics. Closed acquisition of Actix on September 19, 2013</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revenue of $845 million, within the $830-$860 million guidance range. Foreign currency movements had a negligible effect on revenue relative to the third quarter of fiscal 2013</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non-GAAP operating income of $141 million; non-GAAP operating margin of 16.7%; GAAP operating income of $123 million</w:t>
      </w:r>
    </w:p>
    <w:p>
      <w:pPr>
        <w:spacing w:after="0" w:line="75" w:lineRule="exact"/>
        <w:rPr>
          <w:rFonts w:ascii="Arial" w:cs="Arial" w:eastAsia="Arial" w:hAnsi="Arial"/>
          <w:sz w:val="18"/>
          <w:szCs w:val="18"/>
          <w:color w:val="auto"/>
        </w:rPr>
      </w:pPr>
    </w:p>
    <w:p>
      <w:pPr>
        <w:ind w:left="900" w:right="28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Fourth fiscal quarter diluted non-GAAP EPS of $0.63, within the $0.60-$0.66 guidance range, excluding amortization of purchased intangible assets and other acquisition related costs and equity-based compensation expense, net of related tax effects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$0.54 for the fourth fiscal quarter, within the $0.50-$0.58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$205 million for the fourth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$2.87 billion at the end of the fourth fiscal quarter, up $40 million from the end of the third quarter of fiscal 2013</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$97 million of ordinary shares during the fourth fiscal quarter</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$0.13 per share quarterly cash dividend to be paid on January 17, 2014, and approved an increase in the quarterly cash dividend to $0.155 per share to be paid on April 17, 2014, subject to shareholder approval</w:t>
      </w:r>
    </w:p>
    <w:p>
      <w:pPr>
        <w:sectPr>
          <w:pgSz w:w="11900" w:h="16838" w:orient="portrait"/>
          <w:cols w:equalWidth="0" w:num="1">
            <w:col w:w="11420"/>
          </w:cols>
          <w:pgMar w:left="240" w:top="121" w:right="239" w:bottom="1440" w:gutter="0" w:footer="0" w:header="0"/>
        </w:sectPr>
      </w:pPr>
    </w:p>
    <w:bookmarkStart w:id="5" w:name="page6"/>
    <w:bookmarkEnd w:id="5"/>
    <w:p>
      <w:pPr>
        <w:ind w:left="900" w:right="14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fiscal 2014 guidance: Expected revenue of approximately $845-$875 million which includes the consolidation of Actix for the full quarter but does not incorporate any contribution from Celcite as the deal may not close within the quarter. Expected diluted non-GAAP EPS of approximately $0.72-$0.78, excluding amortization of purchased intangible assets and other acquisition-related costs and approximately $0.06-$0.07 per share of equity-based compensation expense, net of related tax effects. Expected diluted GAAP EPS of approximately $0.58-$0.66</w:t>
      </w:r>
    </w:p>
    <w:p>
      <w:pPr>
        <w:spacing w:after="0" w:line="93"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Fiscal 2014 guidance: Expected revenue growth of 4-8%, which incorporates an organic growth outlook of roughly 2-5% and an aggregate expected contribution from Actix and Celcite of approximately 2-3%. Expected non-GAAP diluted earnings per share growth of roughly 6-9%, which incorporates modest accretion from the combined impact of Actix and Celcite and the impact of anticipated share repurchase activity over the course of the fiscal year</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ST. LOUIS – November 5, 2013 </w:t>
      </w:r>
      <w:r>
        <w:rPr>
          <w:rFonts w:ascii="Arial" w:cs="Arial" w:eastAsia="Arial" w:hAnsi="Arial"/>
          <w:sz w:val="18"/>
          <w:szCs w:val="18"/>
          <w:color w:val="auto"/>
        </w:rPr>
        <w:t>– Amdocs Limited (NYSE: DOX) today reported that for its fiscal quarter ended September 30, 2013, revenue was $845.2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0.5% sequentially from the third fiscal quarter of 2013 and up 2.8% as compared to last year’s fourth fiscal quarter. Net income on a non-GAAP basis was $103.4 million, or $0.63 per diluted share, compared to non-GAAP net income of $115.7 million, or $0.70 per diluted share, in the fourth quarter of fiscal 2012. Non-GAAP net income excludes amortization of purchased intangible assets and other acquisition related costs and equity-based compensation expenses of $14.4 million, net of related tax effects, in the fourth quarter of fiscal 2013 and excludes such amortization and other acquisition related costs and equity-based compensation expenses of $17.7 million, net of related tax effects, in the fourth quarter of fiscal 2012. The Company’s GAAP net income for the fourth quarter of fiscal 2013 was $89.0 million, or $0.54 per diluted share, compared to GAAP net income of $98.0 million, or $0.60 per diluted share, in the prior fiscal year’s fourth quarter.</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concluded fiscal 2013 with solid fourth quarter results and delivered full year non-GAAP earnings per share growth at the high end of our guidance issued at the start of the year. In North America, we closed out a strong year as we helped our customers respond to rapidly changing competitive dynamics, particularly in the wireless market. In the emerging markets, the progression of highly complex transformation projects led to strong sequential growth in the fourth quarter and double-digit revenue growth for the full year. While revenue in Europe</w:t>
      </w:r>
    </w:p>
    <w:p>
      <w:pPr>
        <w:sectPr>
          <w:pgSz w:w="11900" w:h="16838" w:orient="portrait"/>
          <w:cols w:equalWidth="0" w:num="1">
            <w:col w:w="11400"/>
          </w:cols>
          <w:pgMar w:left="240" w:top="274" w:right="259" w:bottom="1440" w:gutter="0" w:footer="0" w:header="0"/>
        </w:sectPr>
      </w:pPr>
    </w:p>
    <w:bookmarkStart w:id="6" w:name="page7"/>
    <w:bookmarkEnd w:id="6"/>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declined in fiscal 2013 due to the anticipated completion of some transformation programs and a challenging operating environment, sequential trends exhibited stability throughout the year. Furthermore, we demonstrated significant progress with some of the largest service providers in Europe and we are well placed to compete for new opportunities as they arise”, said Eli Gelman, chief executive officer of Amdocs Management Limited.</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Gelman continued, “We have continued to secure new project awards which broaden and extend our customer relationships. In Europe, we signed a five year extension to an existing managed services agreement with Elisa, which included an expansion of scope to cover legacy billing and third-party mediation systems. Additionally, Montenegro’s Crnogorski Telekom, an affiliate of Deutsche Telekom, selected Amdocs to consolidate and modernize its Business Support Systems (BSS). In the emerging markets, True Corporation, the only quad-play provider in Thailand, awarded Amdocs a five-year extension to provide ongoing support and development of True’s convergent billing platform.”</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Gelman said, “We are continuing to use M&amp;A as a vehicle to execute on our strategy, allocating capital towards companies with leadership positions in new growth markets. Today we signed a definitive agreement to acquire Celcite, a leading provider of network management and self-optimizing network (SON) solutions. Combined with the acquisition of Actix, which closed in the fourth quarter, we are expanding on our existing portfolio of network software to address specific carrier pain points such as network congestion. With these transactions, we expect to leverage Amdocs’ strong reputation for innovation and delivery excellence to expand upon the early successes of Actix and Celcite in the network software optimization marketplace.”</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Gelman concluded, “Looking into fiscal 2014, we will continue to closely monitor macro and industry specific risks, including the lingering uncertainties resulting from recent consolidation activity in North America. Overall, we now expect to grow our revenues 4% to 8% in fiscal 2014, reflecting stable growth in our core business and the announced acquisitions that support our long-term strategy. Demonstrating our confidence in the future success of Amdocs, our board has approved an increase in our quarterly cash dividend to $0.155 per share to be paid in April 2014, subject to shareholder approval. This dividend represents a significant increase of 19% over the current dividend rate and further underscores our commitment to enhancing long-term shareholder value.”</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Discussion of Fourth Fiscal Quarter Results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Free cash flow was $205 million for the quarter, comprised of cash flow from operations of $232 million less $27 million in net capital expenditures and other.</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$2.87 billion at the end of the fourth quarter of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2013 Results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fiscal year ended September 30, 2013, revenue increased by 3.0% to $3.3 billion. Fiscal 2013 net income on a non-GAAP basis was $476.5 million, or $2.92 per diluted share (excluding amortization of purchased intangible assets and other acquisition related costs, and equity-based compensation expenses of $64.1 million, net of related tax effects), compared to non-GAAP net income of $460.0 million, or $2.71 per diluted share, in fiscal 2012 (excluding amortization of purchased intangible assets and other acquisition related costs, gain on sale of investment and equity-based compensation expenses of $68.6 million, net of related tax effects). The Company’s GAAP net income in fiscal 2013 was $412.4 million, or $2.53 per diluted share, compared to GAAP net income of $391.4 million, or $2.31 per diluted share, in fiscal 2012.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expects that revenue for the first quarter of fiscal 2014 will be approximately $845-$875 million. Diluted earnings per share on a non-GAAP basis for the first fiscal quarter are expected to be $0.72-$0.78, excluding amortization of purchased intangible assets and other acquisition-related costs and approximately $0.06-$0.07 per share of equity-based compensation expense, net of related tax effects. Amdocs estimates GAAP diluted earnings per share for the first fiscal quarter will be $0.58-$0.66.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5, 2013, the Board approved the Company’s next quarterly cash dividend payment of $0.13 per share and set December 31, 2013 as the record date for determining the shareholders entitled to receive the dividend, which is payable on January 17, 2014. The</w:t>
      </w:r>
    </w:p>
    <w:p>
      <w:pPr>
        <w:sectPr>
          <w:pgSz w:w="11900" w:h="16838" w:orient="portrait"/>
          <w:cols w:equalWidth="0" w:num="1">
            <w:col w:w="11420"/>
          </w:cols>
          <w:pgMar w:left="240" w:top="270"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also approved an increase in the Company’s quarterly cash dividend payment to $0.155, which would be payable on April 17, 2014. The increase in the dividend payment is subject to shareholder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Amdocs will host a conference call on November 5, 2013 at 5:00 p.m. Eastern Time to discuss the Company’s fourth fiscal quarter results. The call will be carried live on the Internet via the Amdocs website, www.amdocs.com.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net, non-GAAP income taxes,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 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w:t>
      </w:r>
    </w:p>
    <w:p>
      <w:pPr>
        <w:sectPr>
          <w:pgSz w:w="11900" w:h="16838" w:orient="portrait"/>
          <w:cols w:equalWidth="0" w:num="1">
            <w:col w:w="11420"/>
          </w:cols>
          <w:pgMar w:left="240" w:top="274" w:right="239" w:bottom="1440" w:gutter="0" w:footer="0" w:header="0"/>
        </w:sectPr>
      </w:pPr>
    </w:p>
    <w:bookmarkStart w:id="9" w:name="page10"/>
    <w:bookmarkEnd w:id="9"/>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$3.3 billion in fiscal 2013, Amdocs and its 20,000 employees serve customers in more than 70 countries.</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2012 filed on December 11, 2012 and our Form 6-K furnished for the first quarter of fiscal 2013 on February 12, 2013, for the second quarter of fiscal 2013 on May 16, 2013 and for the third quarter of fiscal 2013 on August 12,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360"/>
          </w:cols>
          <w:pgMar w:left="240" w:top="27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License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23,966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81,613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120,443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823,045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798,162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3,126,460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845,225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822,128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3,345,854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3,246,903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Cost of license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545,235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528,998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2,164,450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2,081,945</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61,264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61,548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242,063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104,814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424,671</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52,229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722,349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708,627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2,804,431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122,876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113,501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121,392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113,617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50,153</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161,268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163,468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168,275</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164,689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845,225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822,128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3,345,854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3,246,903</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141,367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136,673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560,302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538,130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103,385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115,684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459,998</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163,326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164,689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169,437</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 2013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left="554"/>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545,235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61,264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105,035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8"/>
                <w:szCs w:val="18"/>
                <w:color w:val="auto"/>
              </w:rPr>
              <w:t>(10,052)</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722,349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703,858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122,876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36,498</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(4,060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$ 103,385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3"/>
              </w:rPr>
              <w:t>September 30, 2012</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left="554"/>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528,998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523,733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61,548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104,814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8"/>
                <w:szCs w:val="18"/>
                <w:color w:val="auto"/>
              </w:rPr>
              <w:t>(12,726)</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708,627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(12,726)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113,501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21,105</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98,021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(5,509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$ 115,684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wp:posOffset>
            </wp:positionV>
            <wp:extent cx="3816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ind w:left="770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gridSpan w:val="6"/>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3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1"/>
              </w:rPr>
              <w:t>Equity based</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GAAP</w:t>
            </w:r>
          </w:p>
        </w:tc>
        <w:tc>
          <w:tcPr>
            <w:tcW w:w="340" w:type="dxa"/>
            <w:vAlign w:val="bottom"/>
          </w:tcPr>
          <w:p>
            <w:pPr>
              <w:spacing w:after="0"/>
              <w:rPr>
                <w:sz w:val="12"/>
                <w:szCs w:val="12"/>
                <w:color w:val="auto"/>
              </w:rPr>
            </w:pPr>
          </w:p>
        </w:tc>
        <w:tc>
          <w:tcPr>
            <w:tcW w:w="11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8"/>
              </w:rPr>
              <w:t>intangible assets</w:t>
            </w:r>
          </w:p>
        </w:tc>
        <w:tc>
          <w:tcPr>
            <w:tcW w:w="340" w:type="dxa"/>
            <w:vAlign w:val="bottom"/>
          </w:tcPr>
          <w:p>
            <w:pPr>
              <w:spacing w:after="0"/>
              <w:rPr>
                <w:sz w:val="12"/>
                <w:szCs w:val="12"/>
                <w:color w:val="auto"/>
              </w:rPr>
            </w:pPr>
          </w:p>
        </w:tc>
        <w:tc>
          <w:tcPr>
            <w:tcW w:w="128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 w:type="dxa"/>
            <w:vAlign w:val="bottom"/>
          </w:tcPr>
          <w:p>
            <w:pPr>
              <w:spacing w:after="0"/>
              <w:rPr>
                <w:sz w:val="12"/>
                <w:szCs w:val="12"/>
                <w:color w:val="auto"/>
              </w:rPr>
            </w:pPr>
          </w:p>
        </w:tc>
        <w:tc>
          <w:tcPr>
            <w:tcW w:w="10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6"/>
          </w:tcPr>
          <w:p>
            <w:pPr>
              <w:ind w:left="200"/>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expense</w:t>
            </w:r>
          </w:p>
        </w:tc>
        <w:tc>
          <w:tcPr>
            <w:tcW w:w="2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2,602</w:t>
            </w: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2,164,450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(18,284)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2,146,166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240,266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w w:val="87"/>
              </w:rPr>
              <w:t>(3,805)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(18,251)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w w:val="96"/>
              </w:rPr>
              <w:t>Amortization of purchased intangible assets and 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38,410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(38,410)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2,864,302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(38,410)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(40,340)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2,785,552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481,552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38,410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40,340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63,038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  412,439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38,410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40,340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(14,650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w w:val="90"/>
              </w:rPr>
              <w:t>Twelve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4"/>
                <w:szCs w:val="14"/>
                <w:b w:val="1"/>
                <w:bCs w:val="1"/>
                <w:color w:val="auto"/>
                <w:w w:val="91"/>
              </w:rPr>
              <w:t>September 30, 2012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9"/>
          </w:tcPr>
          <w:p>
            <w:pPr>
              <w:jc w:val="center"/>
              <w:ind w:right="540"/>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00" w:type="dxa"/>
            <w:vAlign w:val="bottom"/>
          </w:tcPr>
          <w:p>
            <w:pPr>
              <w:spacing w:after="0"/>
              <w:rPr>
                <w:sz w:val="10"/>
                <w:szCs w:val="10"/>
                <w:color w:val="auto"/>
              </w:rPr>
            </w:pPr>
          </w:p>
        </w:tc>
        <w:tc>
          <w:tcPr>
            <w:tcW w:w="980" w:type="dxa"/>
            <w:vAlign w:val="bottom"/>
            <w:gridSpan w:val="5"/>
            <w:vMerge w:val="restart"/>
          </w:tcPr>
          <w:p>
            <w:pPr>
              <w:jc w:val="right"/>
              <w:ind w:right="87"/>
              <w:spacing w:after="0"/>
              <w:rPr>
                <w:sz w:val="20"/>
                <w:szCs w:val="20"/>
                <w:color w:val="auto"/>
              </w:rPr>
            </w:pPr>
            <w:r>
              <w:rPr>
                <w:rFonts w:ascii="Arial" w:cs="Arial" w:eastAsia="Arial" w:hAnsi="Arial"/>
                <w:sz w:val="14"/>
                <w:szCs w:val="14"/>
                <w:b w:val="1"/>
                <w:bCs w:val="1"/>
                <w:color w:val="auto"/>
                <w:w w:val="91"/>
              </w:rPr>
              <w:t>Equity based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Gain on sale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220" w:type="dxa"/>
            <w:vAlign w:val="bottom"/>
          </w:tcPr>
          <w:p>
            <w:pPr>
              <w:spacing w:after="0"/>
              <w:rPr>
                <w:sz w:val="12"/>
                <w:szCs w:val="12"/>
                <w:color w:val="auto"/>
              </w:rPr>
            </w:pP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5"/>
              </w:rPr>
              <w:t>intangible assets</w:t>
            </w:r>
          </w:p>
        </w:tc>
        <w:tc>
          <w:tcPr>
            <w:tcW w:w="20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47"/>
              <w:spacing w:after="0"/>
              <w:rPr>
                <w:sz w:val="20"/>
                <w:szCs w:val="20"/>
                <w:color w:val="auto"/>
              </w:rPr>
            </w:pPr>
            <w:r>
              <w:rPr>
                <w:rFonts w:ascii="Arial" w:cs="Arial" w:eastAsia="Arial" w:hAnsi="Arial"/>
                <w:sz w:val="14"/>
                <w:szCs w:val="14"/>
                <w:b w:val="1"/>
                <w:bCs w:val="1"/>
                <w:color w:val="auto"/>
                <w:w w:val="96"/>
              </w:rPr>
              <w:t>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investment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4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2,081,945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242,063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w w:val="96"/>
              </w:rPr>
              <w:t>Amortization of purchased intangible assets and 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52,229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(52,229)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2,804,431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442,472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50,153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87"/>
              </w:rPr>
              <w:t>20,761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43,429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(6,270)</w:t>
            </w:r>
          </w:p>
        </w:tc>
        <w:tc>
          <w:tcPr>
            <w:tcW w:w="1020" w:type="dxa"/>
            <w:vAlign w:val="bottom"/>
            <w:gridSpan w:val="6"/>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1,326,380</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receivable, net, including unbilled of $110,626 and $130,697, respectively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678,219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2,282,074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Equipment and leasehold improvements,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275,544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1,975,060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4,925,813</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683,768</w:t>
            </w:r>
          </w:p>
        </w:tc>
        <w:tc>
          <w:tcPr>
            <w:tcW w:w="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151,112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39,376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1,074,256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1,065,558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3,274,783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3,033,202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4,925,813</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2"/>
              </w:rPr>
              <w:t>Year ended September 30,</w:t>
            </w: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412,439</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$ 391,371</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140,776</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159,614</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40,339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43,429</w:t>
            </w: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(4,857)</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Gain on sale of investment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(9,172)</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3,041</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(106,551)</w:t>
            </w: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1,601</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29,384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19,734</w:t>
            </w: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(4,104)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60,200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(55,811)</w:t>
            </w: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(5,268)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14,305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670,547</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(106,724)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(122,053)</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311,677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440,145</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(386,876)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(337,989)</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(112,405)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received from sale of investment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11,172</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(8,564)</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(297,129)</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(367,061)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(484,608)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86,674</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(84,008)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(238,384)</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47,787</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879,158</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$ 879,158</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$619.2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Europe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124.1</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132.3</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845.2</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841.3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Emerging Markets Revenue</w:t>
            </w:r>
          </w:p>
        </w:tc>
        <w:tc>
          <w:tcPr>
            <w:tcW w:w="17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101.3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June 30,</w:t>
            </w:r>
          </w:p>
        </w:tc>
        <w:tc>
          <w:tcPr>
            <w:tcW w:w="3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June 30,</w:t>
            </w:r>
          </w:p>
        </w:tc>
        <w:tc>
          <w:tcPr>
            <w:tcW w:w="3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Directory</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832.9</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826.4</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2,830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2019-12-06T20:00:17Z</dcterms:created>
  <dcterms:modified xsi:type="dcterms:W3CDTF">2019-12-06T20:00:17Z</dcterms:modified>
</cp:coreProperties>
</file>