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7"/>
          <w:szCs w:val="17"/>
          <w:color w:val="auto"/>
        </w:rPr>
        <w:t>1</w:t>
      </w:r>
    </w:p>
    <w:p>
      <w:pPr>
        <w:spacing w:after="0" w:line="30"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SECURITIES AND EXCHANGE COMMISSION</w:t>
      </w:r>
    </w:p>
    <w:p>
      <w:pPr>
        <w:jc w:val="center"/>
        <w:ind w:right="2199"/>
        <w:spacing w:after="0"/>
        <w:rPr>
          <w:sz w:val="20"/>
          <w:szCs w:val="20"/>
          <w:color w:val="auto"/>
        </w:rPr>
      </w:pPr>
      <w:r>
        <w:rPr>
          <w:rFonts w:ascii="Courier New" w:cs="Courier New" w:eastAsia="Courier New" w:hAnsi="Courier New"/>
          <w:sz w:val="17"/>
          <w:szCs w:val="17"/>
          <w:color w:val="auto"/>
        </w:rPr>
        <w:t>WASHINGTON, D.C. 20549</w:t>
      </w:r>
    </w:p>
    <w:p>
      <w:pPr>
        <w:spacing w:after="0" w:line="163"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FORM 6-K</w:t>
      </w:r>
    </w:p>
    <w:p>
      <w:pPr>
        <w:spacing w:after="0" w:line="193"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REPORT OF FOREIGN PRIVATE ISSUER</w:t>
      </w:r>
    </w:p>
    <w:p>
      <w:pPr>
        <w:spacing w:after="0" w:line="30"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PURSUANT TO RULE 13A-16 OR 15D-16 OF</w:t>
      </w:r>
    </w:p>
    <w:p>
      <w:pPr>
        <w:jc w:val="center"/>
        <w:ind w:right="2099"/>
        <w:spacing w:after="0"/>
        <w:rPr>
          <w:sz w:val="20"/>
          <w:szCs w:val="20"/>
          <w:color w:val="auto"/>
        </w:rPr>
      </w:pPr>
      <w:r>
        <w:rPr>
          <w:rFonts w:ascii="Courier New" w:cs="Courier New" w:eastAsia="Courier New" w:hAnsi="Courier New"/>
          <w:sz w:val="17"/>
          <w:szCs w:val="17"/>
          <w:color w:val="auto"/>
        </w:rPr>
        <w:t>THE SECURITIES EXCHANGE ACT OF 1934</w:t>
      </w:r>
    </w:p>
    <w:p>
      <w:pPr>
        <w:spacing w:after="0" w:line="356" w:lineRule="exact"/>
        <w:rPr>
          <w:sz w:val="24"/>
          <w:szCs w:val="24"/>
          <w:color w:val="auto"/>
        </w:rPr>
      </w:pPr>
    </w:p>
    <w:p>
      <w:pPr>
        <w:ind w:left="2500"/>
        <w:spacing w:after="0"/>
        <w:rPr>
          <w:sz w:val="20"/>
          <w:szCs w:val="20"/>
          <w:color w:val="auto"/>
        </w:rPr>
      </w:pPr>
      <w:r>
        <w:rPr>
          <w:rFonts w:ascii="Courier New" w:cs="Courier New" w:eastAsia="Courier New" w:hAnsi="Courier New"/>
          <w:sz w:val="17"/>
          <w:szCs w:val="17"/>
          <w:color w:val="auto"/>
        </w:rPr>
        <w:t>For the Month of November, 1999</w:t>
      </w:r>
    </w:p>
    <w:p>
      <w:pPr>
        <w:spacing w:after="0" w:line="386" w:lineRule="exact"/>
        <w:rPr>
          <w:sz w:val="24"/>
          <w:szCs w:val="24"/>
          <w:color w:val="auto"/>
        </w:rPr>
      </w:pPr>
    </w:p>
    <w:p>
      <w:pPr>
        <w:ind w:left="3320"/>
        <w:spacing w:after="0"/>
        <w:rPr>
          <w:sz w:val="20"/>
          <w:szCs w:val="20"/>
          <w:color w:val="auto"/>
        </w:rPr>
      </w:pPr>
      <w:r>
        <w:rPr>
          <w:rFonts w:ascii="Courier New" w:cs="Courier New" w:eastAsia="Courier New" w:hAnsi="Courier New"/>
          <w:sz w:val="17"/>
          <w:szCs w:val="17"/>
          <w:color w:val="auto"/>
        </w:rPr>
        <w:t>AMDOCS LIMITED</w:t>
      </w:r>
    </w:p>
    <w:p>
      <w:pPr>
        <w:spacing w:after="0" w:line="193"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7"/>
          <w:szCs w:val="17"/>
          <w:color w:val="auto"/>
        </w:rPr>
        <w:t>Tower Hill House Le Bordage</w:t>
      </w:r>
    </w:p>
    <w:p>
      <w:pPr>
        <w:spacing w:after="0" w:line="30"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7"/>
          <w:szCs w:val="17"/>
          <w:color w:val="auto"/>
        </w:rPr>
        <w:t>St. Peter Port, Island of Guernsey, GY1 3QT Channel Islands</w:t>
      </w:r>
    </w:p>
    <w:p>
      <w:pPr>
        <w:spacing w:after="0" w:line="163"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Amdocs, Inc.</w:t>
      </w:r>
    </w:p>
    <w:p>
      <w:pPr>
        <w:spacing w:after="0" w:line="30"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7"/>
          <w:szCs w:val="17"/>
          <w:color w:val="auto"/>
        </w:rPr>
        <w:t>1390 Timberlake Manor Parkway, Chesterfield, Missouri 63017</w:t>
      </w:r>
    </w:p>
    <w:p>
      <w:pPr>
        <w:spacing w:after="0" w:line="163"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(Address of principal executive offices)</w:t>
      </w:r>
    </w:p>
    <w:p>
      <w:pPr>
        <w:spacing w:after="0" w:line="193" w:lineRule="exact"/>
        <w:rPr>
          <w:sz w:val="24"/>
          <w:szCs w:val="24"/>
          <w:color w:val="auto"/>
        </w:rPr>
      </w:pPr>
    </w:p>
    <w:p>
      <w:pPr>
        <w:ind w:right="2199"/>
        <w:spacing w:after="0" w:line="350" w:lineRule="auto"/>
        <w:rPr>
          <w:sz w:val="20"/>
          <w:szCs w:val="20"/>
          <w:color w:val="auto"/>
        </w:rPr>
      </w:pPr>
      <w:r>
        <w:rPr>
          <w:rFonts w:ascii="Courier New" w:cs="Courier New" w:eastAsia="Courier New" w:hAnsi="Courier New"/>
          <w:sz w:val="17"/>
          <w:szCs w:val="17"/>
          <w:color w:val="auto"/>
        </w:rPr>
        <w:t>(Indicate by check mark whether the registrant files or will file annual reports under cover of Form 20-F or Form 40-F.)</w:t>
      </w:r>
    </w:p>
    <w:p>
      <w:pPr>
        <w:sectPr>
          <w:pgSz w:w="11900" w:h="16838" w:orient="portrait"/>
          <w:cols w:equalWidth="0" w:num="1">
            <w:col w:w="10219"/>
          </w:cols>
          <w:pgMar w:left="240" w:top="214" w:right="1440" w:bottom="1440" w:gutter="0" w:footer="0" w:header="0"/>
        </w:sectPr>
      </w:pPr>
    </w:p>
    <w:p>
      <w:pPr>
        <w:spacing w:after="0" w:line="209" w:lineRule="exact"/>
        <w:rPr>
          <w:sz w:val="24"/>
          <w:szCs w:val="24"/>
          <w:color w:val="auto"/>
        </w:rPr>
      </w:pPr>
    </w:p>
    <w:p>
      <w:pPr>
        <w:ind w:left="2000"/>
        <w:spacing w:after="0"/>
        <w:rPr>
          <w:sz w:val="20"/>
          <w:szCs w:val="20"/>
          <w:color w:val="auto"/>
        </w:rPr>
      </w:pPr>
      <w:r>
        <w:rPr>
          <w:rFonts w:ascii="Courier New" w:cs="Courier New" w:eastAsia="Courier New" w:hAnsi="Courier New"/>
          <w:sz w:val="16"/>
          <w:szCs w:val="16"/>
          <w:color w:val="auto"/>
        </w:rPr>
        <w:t>FORM 20 F</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40 F</w:t>
      </w:r>
    </w:p>
    <w:p>
      <w:pPr>
        <w:spacing w:after="0" w:line="100" w:lineRule="exact"/>
        <w:rPr>
          <w:sz w:val="24"/>
          <w:szCs w:val="24"/>
          <w:color w:val="auto"/>
        </w:rPr>
      </w:pPr>
    </w:p>
    <w:p>
      <w:pPr>
        <w:sectPr>
          <w:pgSz w:w="11900" w:h="16838" w:orient="portrait"/>
          <w:cols w:equalWidth="0" w:num="3">
            <w:col w:w="2900" w:space="420"/>
            <w:col w:w="1480" w:space="720"/>
            <w:col w:w="4699"/>
          </w:cols>
          <w:pgMar w:left="240" w:top="214" w:right="1440" w:bottom="1440" w:gutter="0" w:footer="0" w:header="0"/>
          <w:type w:val="continuous"/>
        </w:sectPr>
      </w:pPr>
    </w:p>
    <w:p>
      <w:pPr>
        <w:ind w:left="310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1" w:lineRule="exact"/>
        <w:rPr>
          <w:sz w:val="24"/>
          <w:szCs w:val="24"/>
          <w:color w:val="auto"/>
        </w:rPr>
      </w:pPr>
    </w:p>
    <w:p>
      <w:pPr>
        <w:sectPr>
          <w:pgSz w:w="11900" w:h="16838" w:orient="portrait"/>
          <w:cols w:equalWidth="0" w:num="2">
            <w:col w:w="5800" w:space="720"/>
            <w:col w:w="3699"/>
          </w:cols>
          <w:pgMar w:left="240" w:top="214" w:right="1440" w:bottom="1440" w:gutter="0" w:footer="0" w:header="0"/>
          <w:type w:val="continuous"/>
        </w:sectPr>
      </w:pPr>
    </w:p>
    <w:p>
      <w:pPr>
        <w:spacing w:after="0" w:line="97" w:lineRule="exact"/>
        <w:rPr>
          <w:sz w:val="24"/>
          <w:szCs w:val="24"/>
          <w:color w:val="auto"/>
        </w:rPr>
      </w:pPr>
    </w:p>
    <w:p>
      <w:pPr>
        <w:ind w:right="2599"/>
        <w:spacing w:after="0" w:line="276" w:lineRule="auto"/>
        <w:rPr>
          <w:sz w:val="20"/>
          <w:szCs w:val="20"/>
          <w:color w:val="auto"/>
        </w:rPr>
      </w:pPr>
      <w:r>
        <w:rPr>
          <w:rFonts w:ascii="Courier New" w:cs="Courier New" w:eastAsia="Courier New" w:hAnsi="Courier New"/>
          <w:sz w:val="17"/>
          <w:szCs w:val="17"/>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19"/>
          </w:cols>
          <w:pgMar w:left="240" w:top="214" w:right="1440" w:bottom="1440" w:gutter="0" w:footer="0" w:header="0"/>
          <w:type w:val="continuous"/>
        </w:sectPr>
      </w:pPr>
    </w:p>
    <w:p>
      <w:pPr>
        <w:spacing w:after="0" w:line="271" w:lineRule="exact"/>
        <w:rPr>
          <w:sz w:val="24"/>
          <w:szCs w:val="24"/>
          <w:color w:val="auto"/>
        </w:rPr>
      </w:pPr>
    </w:p>
    <w:p>
      <w:pPr>
        <w:ind w:left="200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ind w:left="200"/>
        <w:spacing w:after="0"/>
        <w:rPr>
          <w:sz w:val="20"/>
          <w:szCs w:val="20"/>
          <w:color w:val="auto"/>
        </w:rPr>
      </w:pPr>
      <w:r>
        <w:rPr>
          <w:rFonts w:ascii="Courier New" w:cs="Courier New" w:eastAsia="Courier New" w:hAnsi="Courier New"/>
          <w:sz w:val="17"/>
          <w:szCs w:val="17"/>
          <w:color w:val="auto"/>
        </w:rPr>
        <w:t>X</w:t>
      </w:r>
    </w:p>
    <w:p>
      <w:pPr>
        <w:spacing w:after="0" w:line="3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4">
            <w:col w:w="2300" w:space="100"/>
            <w:col w:w="2400" w:space="720"/>
            <w:col w:w="200" w:space="100"/>
            <w:col w:w="4399"/>
          </w:cols>
          <w:pgMar w:left="240" w:top="214" w:right="1440" w:bottom="1440" w:gutter="0" w:footer="0" w:header="0"/>
          <w:type w:val="continuous"/>
        </w:sectPr>
      </w:pPr>
    </w:p>
    <w:bookmarkStart w:id="1" w:name="page2"/>
    <w:bookmarkEnd w:id="1"/>
    <w:p>
      <w:pPr>
        <w:ind w:left="300"/>
        <w:spacing w:after="0"/>
        <w:rPr>
          <w:sz w:val="20"/>
          <w:szCs w:val="20"/>
          <w:color w:val="auto"/>
        </w:rPr>
      </w:pPr>
      <w:r>
        <w:rPr>
          <w:rFonts w:ascii="Courier New" w:cs="Courier New" w:eastAsia="Courier New" w:hAnsi="Courier New"/>
          <w:sz w:val="17"/>
          <w:szCs w:val="17"/>
          <w:color w:val="auto"/>
        </w:rPr>
        <w:t>2</w:t>
      </w:r>
    </w:p>
    <w:p>
      <w:pPr>
        <w:spacing w:after="0" w:line="30"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7"/>
          <w:szCs w:val="17"/>
          <w:color w:val="auto"/>
        </w:rPr>
        <w:t>ITEM 2.</w:t>
      </w:r>
      <w:r>
        <w:rPr>
          <w:sz w:val="20"/>
          <w:szCs w:val="20"/>
          <w:color w:val="auto"/>
        </w:rPr>
        <w:tab/>
      </w:r>
      <w:r>
        <w:rPr>
          <w:rFonts w:ascii="Courier New" w:cs="Courier New" w:eastAsia="Courier New" w:hAnsi="Courier New"/>
          <w:sz w:val="16"/>
          <w:szCs w:val="16"/>
          <w:color w:val="auto"/>
        </w:rPr>
        <w:t>ACQUISITION OR DISPOSITION OF ASSETS.</w:t>
      </w:r>
    </w:p>
    <w:p>
      <w:pPr>
        <w:spacing w:after="0" w:line="163" w:lineRule="exact"/>
        <w:rPr>
          <w:sz w:val="20"/>
          <w:szCs w:val="20"/>
          <w:color w:val="auto"/>
        </w:rPr>
      </w:pPr>
    </w:p>
    <w:p>
      <w:pPr>
        <w:ind w:right="2299" w:firstLine="902"/>
        <w:spacing w:after="0" w:line="255" w:lineRule="auto"/>
        <w:rPr>
          <w:sz w:val="20"/>
          <w:szCs w:val="20"/>
          <w:color w:val="auto"/>
        </w:rPr>
      </w:pPr>
      <w:r>
        <w:rPr>
          <w:rFonts w:ascii="Courier New" w:cs="Courier New" w:eastAsia="Courier New" w:hAnsi="Courier New"/>
          <w:sz w:val="17"/>
          <w:szCs w:val="17"/>
          <w:color w:val="auto"/>
        </w:rPr>
        <w:t>On November 30, 1999, pursuant to an Agreement and Plan of Merger, dated as of September 3, 1999 (the "Merger Agreement"), among Amdocs Limited, a corporation organized under the laws of Guernsey, Channel Islands ("Amdocs"), Ivan Acquisition Corp., a Delaware corporation and a wholly-owned subsidiary of Amdocs ("Acquisition"), and International Telecommunication Data Systems, Inc., a Delaware corporation ("ITDS"), Amdocs acquired ITDS by means of a merger (the "Merger") of Acquisition with and into ITDS, with ITDS as the surviving corporation of the Merger.</w:t>
      </w:r>
    </w:p>
    <w:p>
      <w:pPr>
        <w:spacing w:after="0" w:line="98" w:lineRule="exact"/>
        <w:rPr>
          <w:sz w:val="20"/>
          <w:szCs w:val="20"/>
          <w:color w:val="auto"/>
        </w:rPr>
      </w:pPr>
    </w:p>
    <w:p>
      <w:pPr>
        <w:ind w:right="2299" w:firstLine="902"/>
        <w:spacing w:after="0" w:line="258" w:lineRule="auto"/>
        <w:rPr>
          <w:sz w:val="20"/>
          <w:szCs w:val="20"/>
          <w:color w:val="auto"/>
        </w:rPr>
      </w:pPr>
      <w:r>
        <w:rPr>
          <w:rFonts w:ascii="Courier New" w:cs="Courier New" w:eastAsia="Courier New" w:hAnsi="Courier New"/>
          <w:sz w:val="17"/>
          <w:szCs w:val="17"/>
          <w:color w:val="auto"/>
        </w:rPr>
        <w:t>Pursuant to the Merger Agreement, each outstanding share of Common Stock of ITDS was converted into the right to receive 0.3717 Ordinary Shares of Amdocs. Based on the capitalization of ITDS as of the closing date, ITDS stockholders have the right to receive approximately 6,450,700 Ordinary Shares of Amdocs. In addition, the 2,979,758 outstanding options to purchase ITDS Common Stock were converted into options to purchase approximately 1,107,621 Ordinary Shares of Amdocs.</w:t>
      </w:r>
    </w:p>
    <w:p>
      <w:pPr>
        <w:spacing w:after="0" w:line="93" w:lineRule="exact"/>
        <w:rPr>
          <w:sz w:val="20"/>
          <w:szCs w:val="20"/>
          <w:color w:val="auto"/>
        </w:rPr>
      </w:pPr>
    </w:p>
    <w:p>
      <w:pPr>
        <w:ind w:left="1800" w:right="3099" w:hanging="1803"/>
        <w:spacing w:after="0" w:line="350" w:lineRule="auto"/>
        <w:tabs>
          <w:tab w:leader="none" w:pos="1780" w:val="left"/>
        </w:tabs>
        <w:rPr>
          <w:sz w:val="20"/>
          <w:szCs w:val="20"/>
          <w:color w:val="auto"/>
        </w:rPr>
      </w:pPr>
      <w:r>
        <w:rPr>
          <w:rFonts w:ascii="Courier New" w:cs="Courier New" w:eastAsia="Courier New" w:hAnsi="Courier New"/>
          <w:sz w:val="17"/>
          <w:szCs w:val="17"/>
          <w:color w:val="auto"/>
        </w:rPr>
        <w:t>ITEM 7.</w:t>
      </w:r>
      <w:r>
        <w:rPr>
          <w:sz w:val="20"/>
          <w:szCs w:val="20"/>
          <w:color w:val="auto"/>
        </w:rPr>
        <w:tab/>
      </w:r>
      <w:r>
        <w:rPr>
          <w:rFonts w:ascii="Courier New" w:cs="Courier New" w:eastAsia="Courier New" w:hAnsi="Courier New"/>
          <w:sz w:val="17"/>
          <w:szCs w:val="17"/>
          <w:color w:val="auto"/>
        </w:rPr>
        <w:t>FINANCIAL STATEMENTS, PRO FORMA FINANCIAL INFORMATION AND EXHIBITS</w:t>
      </w:r>
    </w:p>
    <w:p>
      <w:pPr>
        <w:spacing w:after="0" w:line="17" w:lineRule="exact"/>
        <w:rPr>
          <w:sz w:val="20"/>
          <w:szCs w:val="20"/>
          <w:color w:val="auto"/>
        </w:rPr>
      </w:pPr>
    </w:p>
    <w:p>
      <w:pPr>
        <w:ind w:left="900" w:hanging="897"/>
        <w:spacing w:after="0"/>
        <w:tabs>
          <w:tab w:leader="none" w:pos="9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Statements of Businesses Acquired.</w:t>
      </w:r>
    </w:p>
    <w:p>
      <w:pPr>
        <w:spacing w:after="0" w:line="193" w:lineRule="exact"/>
        <w:rPr>
          <w:sz w:val="20"/>
          <w:szCs w:val="20"/>
          <w:color w:val="auto"/>
        </w:rPr>
      </w:pPr>
    </w:p>
    <w:p>
      <w:pPr>
        <w:ind w:right="2199" w:firstLine="902"/>
        <w:spacing w:after="0" w:line="276" w:lineRule="auto"/>
        <w:rPr>
          <w:sz w:val="20"/>
          <w:szCs w:val="20"/>
          <w:color w:val="auto"/>
        </w:rPr>
      </w:pPr>
      <w:r>
        <w:rPr>
          <w:rFonts w:ascii="Courier New" w:cs="Courier New" w:eastAsia="Courier New" w:hAnsi="Courier New"/>
          <w:sz w:val="17"/>
          <w:szCs w:val="17"/>
          <w:color w:val="auto"/>
        </w:rPr>
        <w:t>The financial statements of ITDS for the fiscal year ended December 31, 1998 included in pages F-31 to F-47 of Amendment No. 2 to Form F-3 of Amdocs (File No. 333-86609), filed with the Securities and Exchange Commission on October 4, 1999, are hereby incorporated by reference herein.</w:t>
      </w:r>
    </w:p>
    <w:p>
      <w:pPr>
        <w:spacing w:after="0" w:line="78" w:lineRule="exact"/>
        <w:rPr>
          <w:sz w:val="20"/>
          <w:szCs w:val="20"/>
          <w:color w:val="auto"/>
        </w:rPr>
      </w:pPr>
    </w:p>
    <w:p>
      <w:pPr>
        <w:ind w:right="2599" w:firstLine="902"/>
        <w:spacing w:after="0" w:line="350" w:lineRule="auto"/>
        <w:rPr>
          <w:sz w:val="20"/>
          <w:szCs w:val="20"/>
          <w:color w:val="auto"/>
        </w:rPr>
      </w:pPr>
      <w:r>
        <w:rPr>
          <w:rFonts w:ascii="Courier New" w:cs="Courier New" w:eastAsia="Courier New" w:hAnsi="Courier New"/>
          <w:sz w:val="17"/>
          <w:szCs w:val="17"/>
          <w:color w:val="auto"/>
        </w:rPr>
        <w:t>The financial statements of ITDS for the period ended September 30, 1999 are set forth below.</w:t>
      </w:r>
    </w:p>
    <w:p>
      <w:pPr>
        <w:spacing w:after="0" w:line="17" w:lineRule="exact"/>
        <w:rPr>
          <w:sz w:val="20"/>
          <w:szCs w:val="20"/>
          <w:color w:val="auto"/>
        </w:rPr>
      </w:pPr>
    </w:p>
    <w:p>
      <w:pPr>
        <w:ind w:left="900" w:hanging="897"/>
        <w:spacing w:after="0"/>
        <w:tabs>
          <w:tab w:leader="none" w:pos="9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 Forma Financial Information.</w:t>
      </w:r>
    </w:p>
    <w:p>
      <w:pPr>
        <w:spacing w:after="0" w:line="193" w:lineRule="exact"/>
        <w:rPr>
          <w:sz w:val="20"/>
          <w:szCs w:val="20"/>
          <w:color w:val="auto"/>
        </w:rPr>
      </w:pPr>
    </w:p>
    <w:p>
      <w:pPr>
        <w:ind w:right="2299" w:firstLine="902"/>
        <w:spacing w:after="0" w:line="276" w:lineRule="auto"/>
        <w:rPr>
          <w:sz w:val="20"/>
          <w:szCs w:val="20"/>
          <w:color w:val="auto"/>
        </w:rPr>
      </w:pPr>
      <w:r>
        <w:rPr>
          <w:rFonts w:ascii="Courier New" w:cs="Courier New" w:eastAsia="Courier New" w:hAnsi="Courier New"/>
          <w:sz w:val="17"/>
          <w:szCs w:val="17"/>
          <w:color w:val="auto"/>
        </w:rPr>
        <w:t>The unaudited pro forma condensed combined financial information as of September 30, 1999 and for the twelve months ended September 30, 1999 are not included in this initial report. Such financial information will be filed by amendment not later than February 14, 2000.</w:t>
      </w:r>
    </w:p>
    <w:p>
      <w:pPr>
        <w:spacing w:after="0" w:line="7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279"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3"/>
        </w:trPr>
        <w:tc>
          <w:tcPr>
            <w:tcW w:w="660" w:type="dxa"/>
            <w:vAlign w:val="bottom"/>
          </w:tcPr>
          <w:p>
            <w:pPr>
              <w:ind w:left="300"/>
              <w:spacing w:after="0"/>
              <w:rPr>
                <w:sz w:val="20"/>
                <w:szCs w:val="20"/>
                <w:color w:val="auto"/>
              </w:rPr>
            </w:pPr>
            <w:r>
              <w:rPr>
                <w:rFonts w:ascii="Courier New" w:cs="Courier New" w:eastAsia="Courier New" w:hAnsi="Courier New"/>
                <w:sz w:val="17"/>
                <w:szCs w:val="17"/>
                <w:color w:val="auto"/>
              </w:rPr>
              <w:t>3</w:t>
            </w:r>
          </w:p>
        </w:tc>
        <w:tc>
          <w:tcPr>
            <w:tcW w:w="2000" w:type="dxa"/>
            <w:vAlign w:val="bottom"/>
            <w:vMerge w:val="restart"/>
          </w:tcPr>
          <w:p>
            <w:pPr>
              <w:ind w:left="240"/>
              <w:spacing w:after="0"/>
              <w:rPr>
                <w:sz w:val="20"/>
                <w:szCs w:val="20"/>
                <w:color w:val="auto"/>
              </w:rPr>
            </w:pPr>
            <w:r>
              <w:rPr>
                <w:rFonts w:ascii="Courier New" w:cs="Courier New" w:eastAsia="Courier New" w:hAnsi="Courier New"/>
                <w:sz w:val="17"/>
                <w:szCs w:val="17"/>
                <w:color w:val="auto"/>
              </w:rPr>
              <w:t>Exhibits.</w:t>
            </w:r>
          </w:p>
        </w:tc>
        <w:tc>
          <w:tcPr>
            <w:tcW w:w="5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1"/>
        </w:trPr>
        <w:tc>
          <w:tcPr>
            <w:tcW w:w="660" w:type="dxa"/>
            <w:vAlign w:val="bottom"/>
          </w:tcPr>
          <w:p>
            <w:pPr>
              <w:spacing w:after="0"/>
              <w:rPr>
                <w:sz w:val="20"/>
                <w:szCs w:val="20"/>
                <w:color w:val="auto"/>
              </w:rPr>
            </w:pPr>
            <w:r>
              <w:rPr>
                <w:rFonts w:ascii="Courier New" w:cs="Courier New" w:eastAsia="Courier New" w:hAnsi="Courier New"/>
                <w:sz w:val="17"/>
                <w:szCs w:val="17"/>
                <w:color w:val="auto"/>
              </w:rPr>
              <w:t>(c)</w:t>
            </w:r>
          </w:p>
        </w:tc>
        <w:tc>
          <w:tcPr>
            <w:tcW w:w="2000" w:type="dxa"/>
            <w:vAlign w:val="bottom"/>
            <w:vMerge w:val="continue"/>
          </w:tcPr>
          <w:p>
            <w:pPr>
              <w:spacing w:after="0"/>
              <w:rPr>
                <w:sz w:val="24"/>
                <w:szCs w:val="24"/>
                <w:color w:val="auto"/>
              </w:rPr>
            </w:pP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0"/>
        </w:trPr>
        <w:tc>
          <w:tcPr>
            <w:tcW w:w="2660" w:type="dxa"/>
            <w:vAlign w:val="bottom"/>
            <w:gridSpan w:val="2"/>
          </w:tcPr>
          <w:p>
            <w:pPr>
              <w:spacing w:after="0"/>
              <w:rPr>
                <w:sz w:val="20"/>
                <w:szCs w:val="20"/>
                <w:color w:val="auto"/>
              </w:rPr>
            </w:pPr>
            <w:r>
              <w:rPr>
                <w:rFonts w:ascii="Courier New" w:cs="Courier New" w:eastAsia="Courier New" w:hAnsi="Courier New"/>
                <w:sz w:val="17"/>
                <w:szCs w:val="17"/>
                <w:color w:val="auto"/>
              </w:rPr>
              <w:t>EXHIBIT NO.</w:t>
            </w:r>
          </w:p>
        </w:tc>
        <w:tc>
          <w:tcPr>
            <w:tcW w:w="5360" w:type="dxa"/>
            <w:vAlign w:val="bottom"/>
          </w:tcPr>
          <w:p>
            <w:pPr>
              <w:ind w:left="860"/>
              <w:spacing w:after="0"/>
              <w:rPr>
                <w:sz w:val="20"/>
                <w:szCs w:val="20"/>
                <w:color w:val="auto"/>
              </w:rPr>
            </w:pPr>
            <w:r>
              <w:rPr>
                <w:rFonts w:ascii="Courier New" w:cs="Courier New" w:eastAsia="Courier New" w:hAnsi="Courier New"/>
                <w:sz w:val="17"/>
                <w:szCs w:val="17"/>
                <w:color w:val="auto"/>
              </w:rPr>
              <w:t>DESCRIPTION</w:t>
            </w:r>
          </w:p>
        </w:tc>
        <w:tc>
          <w:tcPr>
            <w:tcW w:w="0" w:type="dxa"/>
            <w:vAlign w:val="bottom"/>
          </w:tcPr>
          <w:p>
            <w:pPr>
              <w:spacing w:after="0"/>
              <w:rPr>
                <w:sz w:val="1"/>
                <w:szCs w:val="1"/>
                <w:color w:val="auto"/>
              </w:rPr>
            </w:pPr>
          </w:p>
        </w:tc>
      </w:tr>
      <w:tr>
        <w:trPr>
          <w:trHeight w:val="281"/>
        </w:trPr>
        <w:tc>
          <w:tcPr>
            <w:tcW w:w="2660" w:type="dxa"/>
            <w:vAlign w:val="bottom"/>
            <w:gridSpan w:val="2"/>
          </w:tcPr>
          <w:p>
            <w:pPr>
              <w:spacing w:after="0"/>
              <w:rPr>
                <w:sz w:val="20"/>
                <w:szCs w:val="20"/>
                <w:color w:val="auto"/>
              </w:rPr>
            </w:pPr>
            <w:r>
              <w:rPr>
                <w:rFonts w:ascii="Courier New" w:cs="Courier New" w:eastAsia="Courier New" w:hAnsi="Courier New"/>
                <w:sz w:val="17"/>
                <w:szCs w:val="17"/>
                <w:color w:val="auto"/>
              </w:rPr>
              <w:t>- -----------</w:t>
            </w:r>
          </w:p>
        </w:tc>
        <w:tc>
          <w:tcPr>
            <w:tcW w:w="5360" w:type="dxa"/>
            <w:vAlign w:val="bottom"/>
          </w:tcPr>
          <w:p>
            <w:pPr>
              <w:ind w:left="1060"/>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7"/>
        </w:trPr>
        <w:tc>
          <w:tcPr>
            <w:tcW w:w="660" w:type="dxa"/>
            <w:vAlign w:val="bottom"/>
          </w:tcPr>
          <w:p>
            <w:pPr>
              <w:spacing w:after="0"/>
              <w:rPr>
                <w:sz w:val="20"/>
                <w:szCs w:val="20"/>
                <w:color w:val="auto"/>
              </w:rPr>
            </w:pPr>
            <w:r>
              <w:rPr>
                <w:rFonts w:ascii="Courier New" w:cs="Courier New" w:eastAsia="Courier New" w:hAnsi="Courier New"/>
                <w:sz w:val="17"/>
                <w:szCs w:val="17"/>
                <w:color w:val="auto"/>
              </w:rPr>
              <w:t>2.1</w:t>
            </w:r>
          </w:p>
        </w:tc>
        <w:tc>
          <w:tcPr>
            <w:tcW w:w="2000" w:type="dxa"/>
            <w:vAlign w:val="bottom"/>
          </w:tcPr>
          <w:p>
            <w:pPr>
              <w:spacing w:after="0"/>
              <w:rPr>
                <w:sz w:val="24"/>
                <w:szCs w:val="24"/>
                <w:color w:val="auto"/>
              </w:rPr>
            </w:pPr>
          </w:p>
        </w:tc>
        <w:tc>
          <w:tcPr>
            <w:tcW w:w="5360" w:type="dxa"/>
            <w:vAlign w:val="bottom"/>
          </w:tcPr>
          <w:p>
            <w:pPr>
              <w:ind w:left="860"/>
              <w:spacing w:after="0"/>
              <w:rPr>
                <w:sz w:val="20"/>
                <w:szCs w:val="20"/>
                <w:color w:val="auto"/>
              </w:rPr>
            </w:pPr>
            <w:r>
              <w:rPr>
                <w:rFonts w:ascii="Courier New" w:cs="Courier New" w:eastAsia="Courier New" w:hAnsi="Courier New"/>
                <w:sz w:val="17"/>
                <w:szCs w:val="17"/>
                <w:color w:val="auto"/>
              </w:rPr>
              <w:t>Agreement and Plan of Merger, dated as of</w:t>
            </w:r>
          </w:p>
        </w:tc>
        <w:tc>
          <w:tcPr>
            <w:tcW w:w="0" w:type="dxa"/>
            <w:vAlign w:val="bottom"/>
          </w:tcPr>
          <w:p>
            <w:pPr>
              <w:spacing w:after="0"/>
              <w:rPr>
                <w:sz w:val="1"/>
                <w:szCs w:val="1"/>
                <w:color w:val="auto"/>
              </w:rPr>
            </w:pPr>
          </w:p>
        </w:tc>
      </w:tr>
      <w:tr>
        <w:trPr>
          <w:trHeight w:val="193"/>
        </w:trPr>
        <w:tc>
          <w:tcPr>
            <w:tcW w:w="6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5360" w:type="dxa"/>
            <w:vAlign w:val="bottom"/>
          </w:tcPr>
          <w:p>
            <w:pPr>
              <w:ind w:left="860"/>
              <w:spacing w:after="0"/>
              <w:rPr>
                <w:sz w:val="20"/>
                <w:szCs w:val="20"/>
                <w:color w:val="auto"/>
              </w:rPr>
            </w:pPr>
            <w:r>
              <w:rPr>
                <w:rFonts w:ascii="Courier New" w:cs="Courier New" w:eastAsia="Courier New" w:hAnsi="Courier New"/>
                <w:sz w:val="17"/>
                <w:szCs w:val="17"/>
                <w:color w:val="auto"/>
                <w:w w:val="99"/>
              </w:rPr>
              <w:t>September 3, 1999, among Amdocs, Acquisition</w:t>
            </w:r>
          </w:p>
        </w:tc>
        <w:tc>
          <w:tcPr>
            <w:tcW w:w="0" w:type="dxa"/>
            <w:vAlign w:val="bottom"/>
          </w:tcPr>
          <w:p>
            <w:pPr>
              <w:spacing w:after="0"/>
              <w:rPr>
                <w:sz w:val="1"/>
                <w:szCs w:val="1"/>
                <w:color w:val="auto"/>
              </w:rPr>
            </w:pPr>
          </w:p>
        </w:tc>
      </w:tr>
      <w:tr>
        <w:trPr>
          <w:trHeight w:val="193"/>
        </w:trPr>
        <w:tc>
          <w:tcPr>
            <w:tcW w:w="6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5360" w:type="dxa"/>
            <w:vAlign w:val="bottom"/>
          </w:tcPr>
          <w:p>
            <w:pPr>
              <w:ind w:left="860"/>
              <w:spacing w:after="0"/>
              <w:rPr>
                <w:sz w:val="20"/>
                <w:szCs w:val="20"/>
                <w:color w:val="auto"/>
              </w:rPr>
            </w:pPr>
            <w:r>
              <w:rPr>
                <w:rFonts w:ascii="Courier New" w:cs="Courier New" w:eastAsia="Courier New" w:hAnsi="Courier New"/>
                <w:sz w:val="17"/>
                <w:szCs w:val="17"/>
                <w:color w:val="auto"/>
                <w:w w:val="99"/>
              </w:rPr>
              <w:t>and ITDS (Incorporated by reference from the</w:t>
            </w:r>
          </w:p>
        </w:tc>
        <w:tc>
          <w:tcPr>
            <w:tcW w:w="0" w:type="dxa"/>
            <w:vAlign w:val="bottom"/>
          </w:tcPr>
          <w:p>
            <w:pPr>
              <w:spacing w:after="0"/>
              <w:rPr>
                <w:sz w:val="1"/>
                <w:szCs w:val="1"/>
                <w:color w:val="auto"/>
              </w:rPr>
            </w:pPr>
          </w:p>
        </w:tc>
      </w:tr>
      <w:tr>
        <w:trPr>
          <w:trHeight w:val="193"/>
        </w:trPr>
        <w:tc>
          <w:tcPr>
            <w:tcW w:w="6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5360" w:type="dxa"/>
            <w:vAlign w:val="bottom"/>
          </w:tcPr>
          <w:p>
            <w:pPr>
              <w:ind w:left="860"/>
              <w:spacing w:after="0"/>
              <w:rPr>
                <w:sz w:val="20"/>
                <w:szCs w:val="20"/>
                <w:color w:val="auto"/>
              </w:rPr>
            </w:pPr>
            <w:r>
              <w:rPr>
                <w:rFonts w:ascii="Courier New" w:cs="Courier New" w:eastAsia="Courier New" w:hAnsi="Courier New"/>
                <w:sz w:val="17"/>
                <w:szCs w:val="17"/>
                <w:color w:val="auto"/>
                <w:w w:val="99"/>
              </w:rPr>
              <w:t>Registration Statement on Form F-4 (File No.</w:t>
            </w:r>
          </w:p>
        </w:tc>
        <w:tc>
          <w:tcPr>
            <w:tcW w:w="0" w:type="dxa"/>
            <w:vAlign w:val="bottom"/>
          </w:tcPr>
          <w:p>
            <w:pPr>
              <w:spacing w:after="0"/>
              <w:rPr>
                <w:sz w:val="1"/>
                <w:szCs w:val="1"/>
                <w:color w:val="auto"/>
              </w:rPr>
            </w:pPr>
          </w:p>
        </w:tc>
      </w:tr>
      <w:tr>
        <w:trPr>
          <w:trHeight w:val="193"/>
        </w:trPr>
        <w:tc>
          <w:tcPr>
            <w:tcW w:w="6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5360" w:type="dxa"/>
            <w:vAlign w:val="bottom"/>
          </w:tcPr>
          <w:p>
            <w:pPr>
              <w:ind w:left="860"/>
              <w:spacing w:after="0"/>
              <w:rPr>
                <w:sz w:val="20"/>
                <w:szCs w:val="20"/>
                <w:color w:val="auto"/>
              </w:rPr>
            </w:pPr>
            <w:r>
              <w:rPr>
                <w:rFonts w:ascii="Courier New" w:cs="Courier New" w:eastAsia="Courier New" w:hAnsi="Courier New"/>
                <w:sz w:val="17"/>
                <w:szCs w:val="17"/>
                <w:color w:val="auto"/>
              </w:rPr>
              <w:t>333-89673) of Amdocs filed with the</w:t>
            </w:r>
          </w:p>
        </w:tc>
        <w:tc>
          <w:tcPr>
            <w:tcW w:w="0" w:type="dxa"/>
            <w:vAlign w:val="bottom"/>
          </w:tcPr>
          <w:p>
            <w:pPr>
              <w:spacing w:after="0"/>
              <w:rPr>
                <w:sz w:val="1"/>
                <w:szCs w:val="1"/>
                <w:color w:val="auto"/>
              </w:rPr>
            </w:pPr>
          </w:p>
        </w:tc>
      </w:tr>
      <w:tr>
        <w:trPr>
          <w:trHeight w:val="193"/>
        </w:trPr>
        <w:tc>
          <w:tcPr>
            <w:tcW w:w="6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5360" w:type="dxa"/>
            <w:vAlign w:val="bottom"/>
          </w:tcPr>
          <w:p>
            <w:pPr>
              <w:ind w:left="860"/>
              <w:spacing w:after="0"/>
              <w:rPr>
                <w:sz w:val="20"/>
                <w:szCs w:val="20"/>
                <w:color w:val="auto"/>
              </w:rPr>
            </w:pPr>
            <w:r>
              <w:rPr>
                <w:rFonts w:ascii="Courier New" w:cs="Courier New" w:eastAsia="Courier New" w:hAnsi="Courier New"/>
                <w:sz w:val="17"/>
                <w:szCs w:val="17"/>
                <w:color w:val="auto"/>
                <w:w w:val="97"/>
              </w:rPr>
              <w:t>Securities and Exchange Commission on October</w:t>
            </w:r>
          </w:p>
        </w:tc>
        <w:tc>
          <w:tcPr>
            <w:tcW w:w="0" w:type="dxa"/>
            <w:vAlign w:val="bottom"/>
          </w:tcPr>
          <w:p>
            <w:pPr>
              <w:spacing w:after="0"/>
              <w:rPr>
                <w:sz w:val="1"/>
                <w:szCs w:val="1"/>
                <w:color w:val="auto"/>
              </w:rPr>
            </w:pPr>
          </w:p>
        </w:tc>
      </w:tr>
      <w:tr>
        <w:trPr>
          <w:trHeight w:val="281"/>
        </w:trPr>
        <w:tc>
          <w:tcPr>
            <w:tcW w:w="6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360" w:type="dxa"/>
            <w:vAlign w:val="bottom"/>
          </w:tcPr>
          <w:p>
            <w:pPr>
              <w:ind w:left="860"/>
              <w:spacing w:after="0"/>
              <w:rPr>
                <w:sz w:val="20"/>
                <w:szCs w:val="20"/>
                <w:color w:val="auto"/>
              </w:rPr>
            </w:pPr>
            <w:r>
              <w:rPr>
                <w:rFonts w:ascii="Courier New" w:cs="Courier New" w:eastAsia="Courier New" w:hAnsi="Courier New"/>
                <w:sz w:val="17"/>
                <w:szCs w:val="17"/>
                <w:color w:val="auto"/>
              </w:rPr>
              <w:t>26, 1999).</w:t>
            </w:r>
          </w:p>
        </w:tc>
        <w:tc>
          <w:tcPr>
            <w:tcW w:w="0" w:type="dxa"/>
            <w:vAlign w:val="bottom"/>
          </w:tcPr>
          <w:p>
            <w:pPr>
              <w:spacing w:after="0"/>
              <w:rPr>
                <w:sz w:val="1"/>
                <w:szCs w:val="1"/>
                <w:color w:val="auto"/>
              </w:rPr>
            </w:pPr>
          </w:p>
        </w:tc>
      </w:tr>
      <w:tr>
        <w:trPr>
          <w:trHeight w:val="385"/>
        </w:trPr>
        <w:tc>
          <w:tcPr>
            <w:tcW w:w="660" w:type="dxa"/>
            <w:vAlign w:val="bottom"/>
          </w:tcPr>
          <w:p>
            <w:pPr>
              <w:spacing w:after="0"/>
              <w:rPr>
                <w:sz w:val="20"/>
                <w:szCs w:val="20"/>
                <w:color w:val="auto"/>
              </w:rPr>
            </w:pPr>
            <w:r>
              <w:rPr>
                <w:rFonts w:ascii="Courier New" w:cs="Courier New" w:eastAsia="Courier New" w:hAnsi="Courier New"/>
                <w:sz w:val="17"/>
                <w:szCs w:val="17"/>
                <w:color w:val="auto"/>
              </w:rPr>
              <w:t>23.1</w:t>
            </w:r>
          </w:p>
        </w:tc>
        <w:tc>
          <w:tcPr>
            <w:tcW w:w="2000" w:type="dxa"/>
            <w:vAlign w:val="bottom"/>
          </w:tcPr>
          <w:p>
            <w:pPr>
              <w:spacing w:after="0"/>
              <w:rPr>
                <w:sz w:val="24"/>
                <w:szCs w:val="24"/>
                <w:color w:val="auto"/>
              </w:rPr>
            </w:pPr>
          </w:p>
        </w:tc>
        <w:tc>
          <w:tcPr>
            <w:tcW w:w="5360" w:type="dxa"/>
            <w:vAlign w:val="bottom"/>
          </w:tcPr>
          <w:p>
            <w:pPr>
              <w:ind w:left="860"/>
              <w:spacing w:after="0"/>
              <w:rPr>
                <w:sz w:val="20"/>
                <w:szCs w:val="20"/>
                <w:color w:val="auto"/>
              </w:rPr>
            </w:pPr>
            <w:r>
              <w:rPr>
                <w:rFonts w:ascii="Courier New" w:cs="Courier New" w:eastAsia="Courier New" w:hAnsi="Courier New"/>
                <w:sz w:val="17"/>
                <w:szCs w:val="17"/>
                <w:color w:val="auto"/>
              </w:rPr>
              <w:t>Consent of Ernst &amp; Young LLP.</w:t>
            </w:r>
          </w:p>
        </w:tc>
        <w:tc>
          <w:tcPr>
            <w:tcW w:w="0" w:type="dxa"/>
            <w:vAlign w:val="bottom"/>
          </w:tcPr>
          <w:p>
            <w:pPr>
              <w:spacing w:after="0"/>
              <w:rPr>
                <w:sz w:val="1"/>
                <w:szCs w:val="1"/>
                <w:color w:val="auto"/>
              </w:rPr>
            </w:pPr>
          </w:p>
        </w:tc>
      </w:tr>
      <w:tr>
        <w:trPr>
          <w:trHeight w:val="297"/>
        </w:trPr>
        <w:tc>
          <w:tcPr>
            <w:tcW w:w="660" w:type="dxa"/>
            <w:vAlign w:val="bottom"/>
          </w:tcPr>
          <w:p>
            <w:pPr>
              <w:spacing w:after="0"/>
              <w:rPr>
                <w:sz w:val="20"/>
                <w:szCs w:val="20"/>
                <w:color w:val="auto"/>
              </w:rPr>
            </w:pPr>
            <w:r>
              <w:rPr>
                <w:rFonts w:ascii="Courier New" w:cs="Courier New" w:eastAsia="Courier New" w:hAnsi="Courier New"/>
                <w:sz w:val="17"/>
                <w:szCs w:val="17"/>
                <w:color w:val="auto"/>
              </w:rPr>
              <w:t>99.1</w:t>
            </w:r>
          </w:p>
        </w:tc>
        <w:tc>
          <w:tcPr>
            <w:tcW w:w="2000" w:type="dxa"/>
            <w:vAlign w:val="bottom"/>
          </w:tcPr>
          <w:p>
            <w:pPr>
              <w:spacing w:after="0"/>
              <w:rPr>
                <w:sz w:val="24"/>
                <w:szCs w:val="24"/>
                <w:color w:val="auto"/>
              </w:rPr>
            </w:pPr>
          </w:p>
        </w:tc>
        <w:tc>
          <w:tcPr>
            <w:tcW w:w="5360" w:type="dxa"/>
            <w:vAlign w:val="bottom"/>
          </w:tcPr>
          <w:p>
            <w:pPr>
              <w:ind w:left="860"/>
              <w:spacing w:after="0"/>
              <w:rPr>
                <w:sz w:val="20"/>
                <w:szCs w:val="20"/>
                <w:color w:val="auto"/>
              </w:rPr>
            </w:pPr>
            <w:r>
              <w:rPr>
                <w:rFonts w:ascii="Courier New" w:cs="Courier New" w:eastAsia="Courier New" w:hAnsi="Courier New"/>
                <w:sz w:val="17"/>
                <w:szCs w:val="17"/>
                <w:color w:val="auto"/>
              </w:rPr>
              <w:t>Amdocs Limited Press Release dated November</w:t>
            </w:r>
          </w:p>
        </w:tc>
        <w:tc>
          <w:tcPr>
            <w:tcW w:w="0" w:type="dxa"/>
            <w:vAlign w:val="bottom"/>
          </w:tcPr>
          <w:p>
            <w:pPr>
              <w:spacing w:after="0"/>
              <w:rPr>
                <w:sz w:val="1"/>
                <w:szCs w:val="1"/>
                <w:color w:val="auto"/>
              </w:rPr>
            </w:pPr>
          </w:p>
        </w:tc>
      </w:tr>
      <w:tr>
        <w:trPr>
          <w:trHeight w:val="281"/>
        </w:trPr>
        <w:tc>
          <w:tcPr>
            <w:tcW w:w="6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360" w:type="dxa"/>
            <w:vAlign w:val="bottom"/>
          </w:tcPr>
          <w:p>
            <w:pPr>
              <w:ind w:left="860"/>
              <w:spacing w:after="0"/>
              <w:rPr>
                <w:sz w:val="20"/>
                <w:szCs w:val="20"/>
                <w:color w:val="auto"/>
              </w:rPr>
            </w:pPr>
            <w:r>
              <w:rPr>
                <w:rFonts w:ascii="Courier New" w:cs="Courier New" w:eastAsia="Courier New" w:hAnsi="Courier New"/>
                <w:sz w:val="17"/>
                <w:szCs w:val="17"/>
                <w:color w:val="auto"/>
              </w:rPr>
              <w:t>30, 1999.</w:t>
            </w:r>
          </w:p>
        </w:tc>
        <w:tc>
          <w:tcPr>
            <w:tcW w:w="0" w:type="dxa"/>
            <w:vAlign w:val="bottom"/>
          </w:tcPr>
          <w:p>
            <w:pPr>
              <w:spacing w:after="0"/>
              <w:rPr>
                <w:sz w:val="1"/>
                <w:szCs w:val="1"/>
                <w:color w:val="auto"/>
              </w:rPr>
            </w:pPr>
          </w:p>
        </w:tc>
      </w:tr>
      <w:tr>
        <w:trPr>
          <w:trHeight w:val="771"/>
        </w:trPr>
        <w:tc>
          <w:tcPr>
            <w:tcW w:w="6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360" w:type="dxa"/>
            <w:vAlign w:val="bottom"/>
          </w:tcPr>
          <w:p>
            <w:pPr>
              <w:ind w:left="1360"/>
              <w:spacing w:after="0"/>
              <w:rPr>
                <w:sz w:val="20"/>
                <w:szCs w:val="20"/>
                <w:color w:val="auto"/>
              </w:rPr>
            </w:pPr>
            <w:r>
              <w:rPr>
                <w:rFonts w:ascii="Courier New" w:cs="Courier New" w:eastAsia="Courier New" w:hAnsi="Courier New"/>
                <w:sz w:val="17"/>
                <w:szCs w:val="17"/>
                <w:color w:val="auto"/>
              </w:rPr>
              <w:t>2</w:t>
            </w:r>
          </w:p>
        </w:tc>
        <w:tc>
          <w:tcPr>
            <w:tcW w:w="0" w:type="dxa"/>
            <w:vAlign w:val="bottom"/>
          </w:tcPr>
          <w:p>
            <w:pPr>
              <w:spacing w:after="0"/>
              <w:rPr>
                <w:sz w:val="1"/>
                <w:szCs w:val="1"/>
                <w:color w:val="auto"/>
              </w:rPr>
            </w:pPr>
          </w:p>
        </w:tc>
      </w:tr>
    </w:tbl>
    <w:p>
      <w:pPr>
        <w:sectPr>
          <w:pgSz w:w="11900" w:h="16838" w:orient="portrait"/>
          <w:cols w:equalWidth="0" w:num="1">
            <w:col w:w="10219"/>
          </w:cols>
          <w:pgMar w:left="240" w:top="279" w:right="1440" w:bottom="1440"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7"/>
          <w:szCs w:val="17"/>
          <w:color w:val="auto"/>
        </w:rPr>
        <w:t>4</w:t>
      </w:r>
    </w:p>
    <w:p>
      <w:pPr>
        <w:spacing w:after="0" w:line="30"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Financial Statements OF ITDS</w:t>
      </w:r>
    </w:p>
    <w:p>
      <w:pPr>
        <w:spacing w:after="0" w:line="163"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7"/>
          <w:szCs w:val="17"/>
          <w:color w:val="auto"/>
        </w:rPr>
        <w:t>International Telecommunication Data Systems, Inc. and Subsidiaries</w:t>
      </w:r>
    </w:p>
    <w:p>
      <w:pPr>
        <w:spacing w:after="0" w:line="193"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Consolidated Balance Sheets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8320" w:type="dxa"/>
            <w:vAlign w:val="bottom"/>
          </w:tcPr>
          <w:p>
            <w:pPr>
              <w:ind w:left="1500"/>
              <w:spacing w:after="0"/>
              <w:rPr>
                <w:sz w:val="20"/>
                <w:szCs w:val="20"/>
                <w:color w:val="auto"/>
              </w:rPr>
            </w:pPr>
            <w:r>
              <w:rPr>
                <w:rFonts w:ascii="Courier New" w:cs="Courier New" w:eastAsia="Courier New" w:hAnsi="Courier New"/>
                <w:sz w:val="17"/>
                <w:szCs w:val="17"/>
                <w:color w:val="auto"/>
              </w:rPr>
              <w:t>(In thousands, except share and per share amounts)</w:t>
            </w:r>
          </w:p>
        </w:tc>
        <w:tc>
          <w:tcPr>
            <w:tcW w:w="1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3"/>
        </w:trPr>
        <w:tc>
          <w:tcPr>
            <w:tcW w:w="8320" w:type="dxa"/>
            <w:vAlign w:val="bottom"/>
          </w:tcPr>
          <w:p>
            <w:pPr>
              <w:spacing w:after="0"/>
              <w:rPr>
                <w:sz w:val="24"/>
                <w:szCs w:val="24"/>
                <w:color w:val="auto"/>
              </w:rPr>
            </w:pPr>
          </w:p>
        </w:tc>
        <w:tc>
          <w:tcPr>
            <w:tcW w:w="18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8"/>
              </w:rPr>
              <w:t>September 30,</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December 31,</w:t>
            </w:r>
          </w:p>
        </w:tc>
        <w:tc>
          <w:tcPr>
            <w:tcW w:w="0" w:type="dxa"/>
            <w:vAlign w:val="bottom"/>
          </w:tcPr>
          <w:p>
            <w:pPr>
              <w:spacing w:after="0"/>
              <w:rPr>
                <w:sz w:val="1"/>
                <w:szCs w:val="1"/>
                <w:color w:val="auto"/>
              </w:rPr>
            </w:pPr>
          </w:p>
        </w:tc>
      </w:tr>
      <w:tr>
        <w:trPr>
          <w:trHeight w:val="193"/>
        </w:trPr>
        <w:tc>
          <w:tcPr>
            <w:tcW w:w="8320" w:type="dxa"/>
            <w:vAlign w:val="bottom"/>
          </w:tcPr>
          <w:p>
            <w:pPr>
              <w:spacing w:after="0"/>
              <w:rPr>
                <w:sz w:val="16"/>
                <w:szCs w:val="16"/>
                <w:color w:val="auto"/>
              </w:rPr>
            </w:pPr>
          </w:p>
        </w:tc>
        <w:tc>
          <w:tcPr>
            <w:tcW w:w="18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1999</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1998</w:t>
            </w:r>
          </w:p>
        </w:tc>
        <w:tc>
          <w:tcPr>
            <w:tcW w:w="0" w:type="dxa"/>
            <w:vAlign w:val="bottom"/>
          </w:tcPr>
          <w:p>
            <w:pPr>
              <w:spacing w:after="0"/>
              <w:rPr>
                <w:sz w:val="1"/>
                <w:szCs w:val="1"/>
                <w:color w:val="auto"/>
              </w:rPr>
            </w:pPr>
          </w:p>
        </w:tc>
      </w:tr>
      <w:tr>
        <w:trPr>
          <w:trHeight w:val="193"/>
        </w:trPr>
        <w:tc>
          <w:tcPr>
            <w:tcW w:w="8320" w:type="dxa"/>
            <w:vAlign w:val="bottom"/>
          </w:tcPr>
          <w:p>
            <w:pPr>
              <w:spacing w:after="0"/>
              <w:rPr>
                <w:sz w:val="16"/>
                <w:szCs w:val="16"/>
                <w:color w:val="auto"/>
              </w:rPr>
            </w:pPr>
          </w:p>
        </w:tc>
        <w:tc>
          <w:tcPr>
            <w:tcW w:w="18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8"/>
              </w:rPr>
              <w:t>-------------</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81"/>
        </w:trPr>
        <w:tc>
          <w:tcPr>
            <w:tcW w:w="8320" w:type="dxa"/>
            <w:vAlign w:val="bottom"/>
          </w:tcPr>
          <w:p>
            <w:pPr>
              <w:spacing w:after="0"/>
              <w:rPr>
                <w:sz w:val="24"/>
                <w:szCs w:val="24"/>
                <w:color w:val="auto"/>
              </w:rPr>
            </w:pPr>
          </w:p>
        </w:tc>
        <w:tc>
          <w:tcPr>
            <w:tcW w:w="18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(UNAUDITED)</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(SEE NOTE)</w:t>
            </w:r>
          </w:p>
        </w:tc>
        <w:tc>
          <w:tcPr>
            <w:tcW w:w="0" w:type="dxa"/>
            <w:vAlign w:val="bottom"/>
          </w:tcPr>
          <w:p>
            <w:pPr>
              <w:spacing w:after="0"/>
              <w:rPr>
                <w:sz w:val="1"/>
                <w:szCs w:val="1"/>
                <w:color w:val="auto"/>
              </w:rPr>
            </w:pPr>
          </w:p>
        </w:tc>
      </w:tr>
      <w:tr>
        <w:trPr>
          <w:trHeight w:val="297"/>
        </w:trPr>
        <w:tc>
          <w:tcPr>
            <w:tcW w:w="832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1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832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1800" w:type="dxa"/>
            <w:vAlign w:val="bottom"/>
            <w:vMerge w:val="restart"/>
          </w:tcPr>
          <w:p>
            <w:pPr>
              <w:jc w:val="right"/>
              <w:ind w:right="416"/>
              <w:spacing w:after="0"/>
              <w:rPr>
                <w:sz w:val="20"/>
                <w:szCs w:val="20"/>
                <w:color w:val="auto"/>
              </w:rPr>
            </w:pPr>
            <w:r>
              <w:rPr>
                <w:rFonts w:ascii="Courier New" w:cs="Courier New" w:eastAsia="Courier New" w:hAnsi="Courier New"/>
                <w:sz w:val="17"/>
                <w:szCs w:val="17"/>
                <w:color w:val="auto"/>
              </w:rPr>
              <w:t>$44,155</w:t>
            </w:r>
          </w:p>
        </w:tc>
        <w:tc>
          <w:tcPr>
            <w:tcW w:w="1400" w:type="dxa"/>
            <w:vAlign w:val="bottom"/>
            <w:vMerge w:val="restart"/>
          </w:tcPr>
          <w:p>
            <w:pPr>
              <w:jc w:val="right"/>
              <w:ind w:right="16"/>
              <w:spacing w:after="0"/>
              <w:rPr>
                <w:sz w:val="20"/>
                <w:szCs w:val="20"/>
                <w:color w:val="auto"/>
              </w:rPr>
            </w:pPr>
            <w:r>
              <w:rPr>
                <w:rFonts w:ascii="Courier New" w:cs="Courier New" w:eastAsia="Courier New" w:hAnsi="Courier New"/>
                <w:sz w:val="17"/>
                <w:szCs w:val="17"/>
                <w:color w:val="auto"/>
              </w:rPr>
              <w:t>$40,735</w:t>
            </w:r>
          </w:p>
        </w:tc>
        <w:tc>
          <w:tcPr>
            <w:tcW w:w="0" w:type="dxa"/>
            <w:vAlign w:val="bottom"/>
          </w:tcPr>
          <w:p>
            <w:pPr>
              <w:spacing w:after="0"/>
              <w:rPr>
                <w:sz w:val="1"/>
                <w:szCs w:val="1"/>
                <w:color w:val="auto"/>
              </w:rPr>
            </w:pPr>
          </w:p>
        </w:tc>
      </w:tr>
      <w:tr>
        <w:trPr>
          <w:trHeight w:val="193"/>
        </w:trPr>
        <w:tc>
          <w:tcPr>
            <w:tcW w:w="8320" w:type="dxa"/>
            <w:vAlign w:val="bottom"/>
          </w:tcPr>
          <w:p>
            <w:pPr>
              <w:ind w:left="300"/>
              <w:spacing w:after="0"/>
              <w:rPr>
                <w:sz w:val="20"/>
                <w:szCs w:val="20"/>
                <w:color w:val="auto"/>
              </w:rPr>
            </w:pPr>
            <w:r>
              <w:rPr>
                <w:rFonts w:ascii="Courier New" w:cs="Courier New" w:eastAsia="Courier New" w:hAnsi="Courier New"/>
                <w:sz w:val="17"/>
                <w:szCs w:val="17"/>
                <w:color w:val="auto"/>
              </w:rPr>
              <w:t>Cash and cash equivalents</w:t>
            </w:r>
          </w:p>
        </w:tc>
        <w:tc>
          <w:tcPr>
            <w:tcW w:w="180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320" w:type="dxa"/>
            <w:vAlign w:val="bottom"/>
          </w:tcPr>
          <w:p>
            <w:pPr>
              <w:ind w:left="300"/>
              <w:spacing w:after="0"/>
              <w:rPr>
                <w:sz w:val="20"/>
                <w:szCs w:val="20"/>
                <w:color w:val="auto"/>
              </w:rPr>
            </w:pPr>
            <w:r>
              <w:rPr>
                <w:rFonts w:ascii="Courier New" w:cs="Courier New" w:eastAsia="Courier New" w:hAnsi="Courier New"/>
                <w:sz w:val="17"/>
                <w:szCs w:val="17"/>
                <w:color w:val="auto"/>
              </w:rPr>
              <w:t>Accounts receivable, net of allowances for doubtful accounts of $2,259 and</w:t>
            </w:r>
          </w:p>
        </w:tc>
        <w:tc>
          <w:tcPr>
            <w:tcW w:w="1800" w:type="dxa"/>
            <w:vAlign w:val="bottom"/>
            <w:vMerge w:val="restart"/>
          </w:tcPr>
          <w:p>
            <w:pPr>
              <w:jc w:val="right"/>
              <w:ind w:right="416"/>
              <w:spacing w:after="0"/>
              <w:rPr>
                <w:sz w:val="20"/>
                <w:szCs w:val="20"/>
                <w:color w:val="auto"/>
              </w:rPr>
            </w:pPr>
            <w:r>
              <w:rPr>
                <w:rFonts w:ascii="Courier New" w:cs="Courier New" w:eastAsia="Courier New" w:hAnsi="Courier New"/>
                <w:sz w:val="17"/>
                <w:szCs w:val="17"/>
                <w:color w:val="auto"/>
              </w:rPr>
              <w:t>41,655</w:t>
            </w:r>
          </w:p>
        </w:tc>
        <w:tc>
          <w:tcPr>
            <w:tcW w:w="1400" w:type="dxa"/>
            <w:vAlign w:val="bottom"/>
            <w:vMerge w:val="restart"/>
          </w:tcPr>
          <w:p>
            <w:pPr>
              <w:jc w:val="right"/>
              <w:ind w:right="16"/>
              <w:spacing w:after="0"/>
              <w:rPr>
                <w:sz w:val="20"/>
                <w:szCs w:val="20"/>
                <w:color w:val="auto"/>
              </w:rPr>
            </w:pPr>
            <w:r>
              <w:rPr>
                <w:rFonts w:ascii="Courier New" w:cs="Courier New" w:eastAsia="Courier New" w:hAnsi="Courier New"/>
                <w:sz w:val="17"/>
                <w:szCs w:val="17"/>
                <w:color w:val="auto"/>
              </w:rPr>
              <w:t>34,713</w:t>
            </w:r>
          </w:p>
        </w:tc>
        <w:tc>
          <w:tcPr>
            <w:tcW w:w="0" w:type="dxa"/>
            <w:vAlign w:val="bottom"/>
          </w:tcPr>
          <w:p>
            <w:pPr>
              <w:spacing w:after="0"/>
              <w:rPr>
                <w:sz w:val="1"/>
                <w:szCs w:val="1"/>
                <w:color w:val="auto"/>
              </w:rPr>
            </w:pPr>
          </w:p>
        </w:tc>
      </w:tr>
      <w:tr>
        <w:trPr>
          <w:trHeight w:val="193"/>
        </w:trPr>
        <w:tc>
          <w:tcPr>
            <w:tcW w:w="8320" w:type="dxa"/>
            <w:vAlign w:val="bottom"/>
          </w:tcPr>
          <w:p>
            <w:pPr>
              <w:ind w:left="500"/>
              <w:spacing w:after="0"/>
              <w:rPr>
                <w:sz w:val="20"/>
                <w:szCs w:val="20"/>
                <w:color w:val="auto"/>
              </w:rPr>
            </w:pPr>
            <w:r>
              <w:rPr>
                <w:rFonts w:ascii="Courier New" w:cs="Courier New" w:eastAsia="Courier New" w:hAnsi="Courier New"/>
                <w:sz w:val="17"/>
                <w:szCs w:val="17"/>
                <w:color w:val="auto"/>
              </w:rPr>
              <w:t>$2,362, respectively</w:t>
            </w:r>
          </w:p>
        </w:tc>
        <w:tc>
          <w:tcPr>
            <w:tcW w:w="180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320" w:type="dxa"/>
            <w:vAlign w:val="bottom"/>
          </w:tcPr>
          <w:p>
            <w:pPr>
              <w:ind w:left="300"/>
              <w:spacing w:after="0"/>
              <w:rPr>
                <w:sz w:val="20"/>
                <w:szCs w:val="20"/>
                <w:color w:val="auto"/>
              </w:rPr>
            </w:pPr>
            <w:r>
              <w:rPr>
                <w:rFonts w:ascii="Courier New" w:cs="Courier New" w:eastAsia="Courier New" w:hAnsi="Courier New"/>
                <w:sz w:val="17"/>
                <w:szCs w:val="17"/>
                <w:color w:val="auto"/>
              </w:rPr>
              <w:t>Prepaid expenses and other current assets</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3,994</w:t>
            </w: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1,843</w:t>
            </w:r>
          </w:p>
        </w:tc>
        <w:tc>
          <w:tcPr>
            <w:tcW w:w="0" w:type="dxa"/>
            <w:vAlign w:val="bottom"/>
          </w:tcPr>
          <w:p>
            <w:pPr>
              <w:spacing w:after="0"/>
              <w:rPr>
                <w:sz w:val="1"/>
                <w:szCs w:val="1"/>
                <w:color w:val="auto"/>
              </w:rPr>
            </w:pPr>
          </w:p>
        </w:tc>
      </w:tr>
      <w:tr>
        <w:trPr>
          <w:trHeight w:val="193"/>
        </w:trPr>
        <w:tc>
          <w:tcPr>
            <w:tcW w:w="8320" w:type="dxa"/>
            <w:vAlign w:val="bottom"/>
          </w:tcPr>
          <w:p>
            <w:pPr>
              <w:ind w:left="300"/>
              <w:spacing w:after="0"/>
              <w:rPr>
                <w:sz w:val="20"/>
                <w:szCs w:val="20"/>
                <w:color w:val="auto"/>
              </w:rPr>
            </w:pPr>
            <w:r>
              <w:rPr>
                <w:rFonts w:ascii="Courier New" w:cs="Courier New" w:eastAsia="Courier New" w:hAnsi="Courier New"/>
                <w:sz w:val="17"/>
                <w:szCs w:val="17"/>
                <w:color w:val="auto"/>
              </w:rPr>
              <w:t>Deferred income taxes</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1,082</w:t>
            </w: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840</w:t>
            </w:r>
          </w:p>
        </w:tc>
        <w:tc>
          <w:tcPr>
            <w:tcW w:w="0" w:type="dxa"/>
            <w:vAlign w:val="bottom"/>
          </w:tcPr>
          <w:p>
            <w:pPr>
              <w:spacing w:after="0"/>
              <w:rPr>
                <w:sz w:val="1"/>
                <w:szCs w:val="1"/>
                <w:color w:val="auto"/>
              </w:rPr>
            </w:pPr>
          </w:p>
        </w:tc>
      </w:tr>
      <w:tr>
        <w:trPr>
          <w:trHeight w:val="193"/>
        </w:trPr>
        <w:tc>
          <w:tcPr>
            <w:tcW w:w="8320" w:type="dxa"/>
            <w:vAlign w:val="bottom"/>
            <w:vMerge w:val="restart"/>
          </w:tcPr>
          <w:p>
            <w:pPr>
              <w:spacing w:after="0"/>
              <w:rPr>
                <w:sz w:val="20"/>
                <w:szCs w:val="20"/>
                <w:color w:val="auto"/>
              </w:rPr>
            </w:pPr>
            <w:r>
              <w:rPr>
                <w:rFonts w:ascii="Courier New" w:cs="Courier New" w:eastAsia="Courier New" w:hAnsi="Courier New"/>
                <w:sz w:val="17"/>
                <w:szCs w:val="17"/>
                <w:color w:val="auto"/>
              </w:rPr>
              <w:t>Total current assets</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81"/>
        </w:trPr>
        <w:tc>
          <w:tcPr>
            <w:tcW w:w="8320" w:type="dxa"/>
            <w:vAlign w:val="bottom"/>
            <w:vMerge w:val="continue"/>
          </w:tcPr>
          <w:p>
            <w:pPr>
              <w:spacing w:after="0"/>
              <w:rPr>
                <w:sz w:val="24"/>
                <w:szCs w:val="24"/>
                <w:color w:val="auto"/>
              </w:rPr>
            </w:pP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90,886</w:t>
            </w: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78,131</w:t>
            </w:r>
          </w:p>
        </w:tc>
        <w:tc>
          <w:tcPr>
            <w:tcW w:w="0" w:type="dxa"/>
            <w:vAlign w:val="bottom"/>
          </w:tcPr>
          <w:p>
            <w:pPr>
              <w:spacing w:after="0"/>
              <w:rPr>
                <w:sz w:val="1"/>
                <w:szCs w:val="1"/>
                <w:color w:val="auto"/>
              </w:rPr>
            </w:pPr>
          </w:p>
        </w:tc>
      </w:tr>
      <w:tr>
        <w:trPr>
          <w:trHeight w:val="297"/>
        </w:trPr>
        <w:tc>
          <w:tcPr>
            <w:tcW w:w="8320" w:type="dxa"/>
            <w:vAlign w:val="bottom"/>
          </w:tcPr>
          <w:p>
            <w:pPr>
              <w:spacing w:after="0"/>
              <w:rPr>
                <w:sz w:val="20"/>
                <w:szCs w:val="20"/>
                <w:color w:val="auto"/>
              </w:rPr>
            </w:pPr>
            <w:r>
              <w:rPr>
                <w:rFonts w:ascii="Courier New" w:cs="Courier New" w:eastAsia="Courier New" w:hAnsi="Courier New"/>
                <w:sz w:val="17"/>
                <w:szCs w:val="17"/>
                <w:color w:val="auto"/>
              </w:rPr>
              <w:t>Property and equipment</w:t>
            </w:r>
          </w:p>
        </w:tc>
        <w:tc>
          <w:tcPr>
            <w:tcW w:w="1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8320" w:type="dxa"/>
            <w:vAlign w:val="bottom"/>
          </w:tcPr>
          <w:p>
            <w:pPr>
              <w:ind w:left="300"/>
              <w:spacing w:after="0"/>
              <w:rPr>
                <w:sz w:val="20"/>
                <w:szCs w:val="20"/>
                <w:color w:val="auto"/>
              </w:rPr>
            </w:pPr>
            <w:r>
              <w:rPr>
                <w:rFonts w:ascii="Courier New" w:cs="Courier New" w:eastAsia="Courier New" w:hAnsi="Courier New"/>
                <w:sz w:val="17"/>
                <w:szCs w:val="17"/>
                <w:color w:val="auto"/>
              </w:rPr>
              <w:t>Computers, including leased property under capital leases of $1,150 in 1999</w:t>
            </w:r>
          </w:p>
        </w:tc>
        <w:tc>
          <w:tcPr>
            <w:tcW w:w="1800" w:type="dxa"/>
            <w:vAlign w:val="bottom"/>
            <w:vMerge w:val="restart"/>
          </w:tcPr>
          <w:p>
            <w:pPr>
              <w:jc w:val="right"/>
              <w:ind w:right="416"/>
              <w:spacing w:after="0"/>
              <w:rPr>
                <w:sz w:val="20"/>
                <w:szCs w:val="20"/>
                <w:color w:val="auto"/>
              </w:rPr>
            </w:pPr>
            <w:r>
              <w:rPr>
                <w:rFonts w:ascii="Courier New" w:cs="Courier New" w:eastAsia="Courier New" w:hAnsi="Courier New"/>
                <w:sz w:val="17"/>
                <w:szCs w:val="17"/>
                <w:color w:val="auto"/>
              </w:rPr>
              <w:t>11,565</w:t>
            </w:r>
          </w:p>
        </w:tc>
        <w:tc>
          <w:tcPr>
            <w:tcW w:w="1400" w:type="dxa"/>
            <w:vAlign w:val="bottom"/>
            <w:vMerge w:val="restart"/>
          </w:tcPr>
          <w:p>
            <w:pPr>
              <w:jc w:val="right"/>
              <w:ind w:right="16"/>
              <w:spacing w:after="0"/>
              <w:rPr>
                <w:sz w:val="20"/>
                <w:szCs w:val="20"/>
                <w:color w:val="auto"/>
              </w:rPr>
            </w:pPr>
            <w:r>
              <w:rPr>
                <w:rFonts w:ascii="Courier New" w:cs="Courier New" w:eastAsia="Courier New" w:hAnsi="Courier New"/>
                <w:sz w:val="17"/>
                <w:szCs w:val="17"/>
                <w:color w:val="auto"/>
              </w:rPr>
              <w:t>9,506</w:t>
            </w:r>
          </w:p>
        </w:tc>
        <w:tc>
          <w:tcPr>
            <w:tcW w:w="0" w:type="dxa"/>
            <w:vAlign w:val="bottom"/>
          </w:tcPr>
          <w:p>
            <w:pPr>
              <w:spacing w:after="0"/>
              <w:rPr>
                <w:sz w:val="1"/>
                <w:szCs w:val="1"/>
                <w:color w:val="auto"/>
              </w:rPr>
            </w:pPr>
          </w:p>
        </w:tc>
      </w:tr>
      <w:tr>
        <w:trPr>
          <w:trHeight w:val="193"/>
        </w:trPr>
        <w:tc>
          <w:tcPr>
            <w:tcW w:w="8320" w:type="dxa"/>
            <w:vAlign w:val="bottom"/>
          </w:tcPr>
          <w:p>
            <w:pPr>
              <w:ind w:left="500"/>
              <w:spacing w:after="0"/>
              <w:rPr>
                <w:sz w:val="20"/>
                <w:szCs w:val="20"/>
                <w:color w:val="auto"/>
              </w:rPr>
            </w:pPr>
            <w:r>
              <w:rPr>
                <w:rFonts w:ascii="Courier New" w:cs="Courier New" w:eastAsia="Courier New" w:hAnsi="Courier New"/>
                <w:sz w:val="17"/>
                <w:szCs w:val="17"/>
                <w:color w:val="auto"/>
              </w:rPr>
              <w:t>and 1998</w:t>
            </w:r>
          </w:p>
        </w:tc>
        <w:tc>
          <w:tcPr>
            <w:tcW w:w="180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320" w:type="dxa"/>
            <w:vAlign w:val="bottom"/>
          </w:tcPr>
          <w:p>
            <w:pPr>
              <w:ind w:left="300"/>
              <w:spacing w:after="0"/>
              <w:rPr>
                <w:sz w:val="20"/>
                <w:szCs w:val="20"/>
                <w:color w:val="auto"/>
              </w:rPr>
            </w:pPr>
            <w:r>
              <w:rPr>
                <w:rFonts w:ascii="Courier New" w:cs="Courier New" w:eastAsia="Courier New" w:hAnsi="Courier New"/>
                <w:sz w:val="17"/>
                <w:szCs w:val="17"/>
                <w:color w:val="auto"/>
              </w:rPr>
              <w:t>Furniture and fixtures</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2,578</w:t>
            </w: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2,005</w:t>
            </w:r>
          </w:p>
        </w:tc>
        <w:tc>
          <w:tcPr>
            <w:tcW w:w="0" w:type="dxa"/>
            <w:vAlign w:val="bottom"/>
          </w:tcPr>
          <w:p>
            <w:pPr>
              <w:spacing w:after="0"/>
              <w:rPr>
                <w:sz w:val="1"/>
                <w:szCs w:val="1"/>
                <w:color w:val="auto"/>
              </w:rPr>
            </w:pPr>
          </w:p>
        </w:tc>
      </w:tr>
      <w:tr>
        <w:trPr>
          <w:trHeight w:val="193"/>
        </w:trPr>
        <w:tc>
          <w:tcPr>
            <w:tcW w:w="8320" w:type="dxa"/>
            <w:vAlign w:val="bottom"/>
          </w:tcPr>
          <w:p>
            <w:pPr>
              <w:ind w:left="300"/>
              <w:spacing w:after="0"/>
              <w:rPr>
                <w:sz w:val="20"/>
                <w:szCs w:val="20"/>
                <w:color w:val="auto"/>
              </w:rPr>
            </w:pPr>
            <w:r>
              <w:rPr>
                <w:rFonts w:ascii="Courier New" w:cs="Courier New" w:eastAsia="Courier New" w:hAnsi="Courier New"/>
                <w:sz w:val="17"/>
                <w:szCs w:val="17"/>
                <w:color w:val="auto"/>
              </w:rPr>
              <w:t>Equipment, including leased property under capital leases of $54 in 1999 and</w:t>
            </w:r>
          </w:p>
        </w:tc>
        <w:tc>
          <w:tcPr>
            <w:tcW w:w="1800" w:type="dxa"/>
            <w:vAlign w:val="bottom"/>
            <w:vMerge w:val="restart"/>
          </w:tcPr>
          <w:p>
            <w:pPr>
              <w:jc w:val="right"/>
              <w:ind w:right="416"/>
              <w:spacing w:after="0"/>
              <w:rPr>
                <w:sz w:val="20"/>
                <w:szCs w:val="20"/>
                <w:color w:val="auto"/>
              </w:rPr>
            </w:pPr>
            <w:r>
              <w:rPr>
                <w:rFonts w:ascii="Courier New" w:cs="Courier New" w:eastAsia="Courier New" w:hAnsi="Courier New"/>
                <w:sz w:val="17"/>
                <w:szCs w:val="17"/>
                <w:color w:val="auto"/>
              </w:rPr>
              <w:t>608</w:t>
            </w:r>
          </w:p>
        </w:tc>
        <w:tc>
          <w:tcPr>
            <w:tcW w:w="1400" w:type="dxa"/>
            <w:vAlign w:val="bottom"/>
            <w:vMerge w:val="restart"/>
          </w:tcPr>
          <w:p>
            <w:pPr>
              <w:jc w:val="right"/>
              <w:ind w:right="16"/>
              <w:spacing w:after="0"/>
              <w:rPr>
                <w:sz w:val="20"/>
                <w:szCs w:val="20"/>
                <w:color w:val="auto"/>
              </w:rPr>
            </w:pPr>
            <w:r>
              <w:rPr>
                <w:rFonts w:ascii="Courier New" w:cs="Courier New" w:eastAsia="Courier New" w:hAnsi="Courier New"/>
                <w:sz w:val="17"/>
                <w:szCs w:val="17"/>
                <w:color w:val="auto"/>
              </w:rPr>
              <w:t>706</w:t>
            </w:r>
          </w:p>
        </w:tc>
        <w:tc>
          <w:tcPr>
            <w:tcW w:w="0" w:type="dxa"/>
            <w:vAlign w:val="bottom"/>
          </w:tcPr>
          <w:p>
            <w:pPr>
              <w:spacing w:after="0"/>
              <w:rPr>
                <w:sz w:val="1"/>
                <w:szCs w:val="1"/>
                <w:color w:val="auto"/>
              </w:rPr>
            </w:pPr>
          </w:p>
        </w:tc>
      </w:tr>
      <w:tr>
        <w:trPr>
          <w:trHeight w:val="193"/>
        </w:trPr>
        <w:tc>
          <w:tcPr>
            <w:tcW w:w="8320" w:type="dxa"/>
            <w:vAlign w:val="bottom"/>
          </w:tcPr>
          <w:p>
            <w:pPr>
              <w:ind w:left="500"/>
              <w:spacing w:after="0"/>
              <w:rPr>
                <w:sz w:val="20"/>
                <w:szCs w:val="20"/>
                <w:color w:val="auto"/>
              </w:rPr>
            </w:pPr>
            <w:r>
              <w:rPr>
                <w:rFonts w:ascii="Courier New" w:cs="Courier New" w:eastAsia="Courier New" w:hAnsi="Courier New"/>
                <w:sz w:val="17"/>
                <w:szCs w:val="17"/>
                <w:color w:val="auto"/>
              </w:rPr>
              <w:t>1998</w:t>
            </w:r>
          </w:p>
        </w:tc>
        <w:tc>
          <w:tcPr>
            <w:tcW w:w="180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320" w:type="dxa"/>
            <w:vAlign w:val="bottom"/>
          </w:tcPr>
          <w:p>
            <w:pPr>
              <w:ind w:left="300"/>
              <w:spacing w:after="0"/>
              <w:rPr>
                <w:sz w:val="20"/>
                <w:szCs w:val="20"/>
                <w:color w:val="auto"/>
              </w:rPr>
            </w:pPr>
            <w:r>
              <w:rPr>
                <w:rFonts w:ascii="Courier New" w:cs="Courier New" w:eastAsia="Courier New" w:hAnsi="Courier New"/>
                <w:sz w:val="17"/>
                <w:szCs w:val="17"/>
                <w:color w:val="auto"/>
              </w:rPr>
              <w:t>Leasehold improvements</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1,767</w:t>
            </w: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970</w:t>
            </w:r>
          </w:p>
        </w:tc>
        <w:tc>
          <w:tcPr>
            <w:tcW w:w="0" w:type="dxa"/>
            <w:vAlign w:val="bottom"/>
          </w:tcPr>
          <w:p>
            <w:pPr>
              <w:spacing w:after="0"/>
              <w:rPr>
                <w:sz w:val="1"/>
                <w:szCs w:val="1"/>
                <w:color w:val="auto"/>
              </w:rPr>
            </w:pPr>
          </w:p>
        </w:tc>
      </w:tr>
      <w:tr>
        <w:trPr>
          <w:trHeight w:val="193"/>
        </w:trPr>
        <w:tc>
          <w:tcPr>
            <w:tcW w:w="8320" w:type="dxa"/>
            <w:vAlign w:val="bottom"/>
          </w:tcPr>
          <w:p>
            <w:pPr>
              <w:spacing w:after="0"/>
              <w:rPr>
                <w:sz w:val="16"/>
                <w:szCs w:val="16"/>
                <w:color w:val="auto"/>
              </w:rPr>
            </w:pP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3"/>
        </w:trPr>
        <w:tc>
          <w:tcPr>
            <w:tcW w:w="8320" w:type="dxa"/>
            <w:vAlign w:val="bottom"/>
            <w:vMerge w:val="restart"/>
          </w:tcPr>
          <w:p>
            <w:pPr>
              <w:ind w:left="300"/>
              <w:spacing w:after="0"/>
              <w:rPr>
                <w:sz w:val="20"/>
                <w:szCs w:val="20"/>
                <w:color w:val="auto"/>
              </w:rPr>
            </w:pPr>
            <w:r>
              <w:rPr>
                <w:rFonts w:ascii="Courier New" w:cs="Courier New" w:eastAsia="Courier New" w:hAnsi="Courier New"/>
                <w:sz w:val="17"/>
                <w:szCs w:val="17"/>
                <w:color w:val="auto"/>
              </w:rPr>
              <w:t>Less: accumulated depreciation and amortization</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16,518</w:t>
            </w: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13,187</w:t>
            </w:r>
          </w:p>
        </w:tc>
        <w:tc>
          <w:tcPr>
            <w:tcW w:w="0" w:type="dxa"/>
            <w:vAlign w:val="bottom"/>
          </w:tcPr>
          <w:p>
            <w:pPr>
              <w:spacing w:after="0"/>
              <w:rPr>
                <w:sz w:val="1"/>
                <w:szCs w:val="1"/>
                <w:color w:val="auto"/>
              </w:rPr>
            </w:pPr>
          </w:p>
        </w:tc>
      </w:tr>
      <w:tr>
        <w:trPr>
          <w:trHeight w:val="193"/>
        </w:trPr>
        <w:tc>
          <w:tcPr>
            <w:tcW w:w="8320" w:type="dxa"/>
            <w:vAlign w:val="bottom"/>
            <w:vMerge w:val="continue"/>
          </w:tcPr>
          <w:p>
            <w:pPr>
              <w:spacing w:after="0"/>
              <w:rPr>
                <w:sz w:val="16"/>
                <w:szCs w:val="16"/>
                <w:color w:val="auto"/>
              </w:rPr>
            </w:pP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8,016</w:t>
            </w: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5,450</w:t>
            </w:r>
          </w:p>
        </w:tc>
        <w:tc>
          <w:tcPr>
            <w:tcW w:w="0" w:type="dxa"/>
            <w:vAlign w:val="bottom"/>
          </w:tcPr>
          <w:p>
            <w:pPr>
              <w:spacing w:after="0"/>
              <w:rPr>
                <w:sz w:val="1"/>
                <w:szCs w:val="1"/>
                <w:color w:val="auto"/>
              </w:rPr>
            </w:pPr>
          </w:p>
        </w:tc>
      </w:tr>
      <w:tr>
        <w:trPr>
          <w:trHeight w:val="193"/>
        </w:trPr>
        <w:tc>
          <w:tcPr>
            <w:tcW w:w="8320" w:type="dxa"/>
            <w:vAlign w:val="bottom"/>
          </w:tcPr>
          <w:p>
            <w:pPr>
              <w:spacing w:after="0"/>
              <w:rPr>
                <w:sz w:val="16"/>
                <w:szCs w:val="16"/>
                <w:color w:val="auto"/>
              </w:rPr>
            </w:pP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81"/>
        </w:trPr>
        <w:tc>
          <w:tcPr>
            <w:tcW w:w="8320" w:type="dxa"/>
            <w:vAlign w:val="bottom"/>
            <w:vMerge w:val="restart"/>
          </w:tcPr>
          <w:p>
            <w:pPr>
              <w:spacing w:after="0"/>
              <w:rPr>
                <w:sz w:val="20"/>
                <w:szCs w:val="20"/>
                <w:color w:val="auto"/>
              </w:rPr>
            </w:pPr>
            <w:r>
              <w:rPr>
                <w:rFonts w:ascii="Courier New" w:cs="Courier New" w:eastAsia="Courier New" w:hAnsi="Courier New"/>
                <w:sz w:val="17"/>
                <w:szCs w:val="17"/>
                <w:color w:val="auto"/>
              </w:rPr>
              <w:t>Other assets:</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8,502</w:t>
            </w: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7,737</w:t>
            </w:r>
          </w:p>
        </w:tc>
        <w:tc>
          <w:tcPr>
            <w:tcW w:w="0" w:type="dxa"/>
            <w:vAlign w:val="bottom"/>
          </w:tcPr>
          <w:p>
            <w:pPr>
              <w:spacing w:after="0"/>
              <w:rPr>
                <w:sz w:val="1"/>
                <w:szCs w:val="1"/>
                <w:color w:val="auto"/>
              </w:rPr>
            </w:pPr>
          </w:p>
        </w:tc>
      </w:tr>
      <w:tr>
        <w:trPr>
          <w:trHeight w:val="104"/>
        </w:trPr>
        <w:tc>
          <w:tcPr>
            <w:tcW w:w="8320" w:type="dxa"/>
            <w:vAlign w:val="bottom"/>
            <w:vMerge w:val="continue"/>
          </w:tcPr>
          <w:p>
            <w:pPr>
              <w:spacing w:after="0"/>
              <w:rPr>
                <w:sz w:val="9"/>
                <w:szCs w:val="9"/>
                <w:color w:val="auto"/>
              </w:rPr>
            </w:pPr>
          </w:p>
        </w:tc>
        <w:tc>
          <w:tcPr>
            <w:tcW w:w="1800" w:type="dxa"/>
            <w:vAlign w:val="bottom"/>
            <w:vMerge w:val="restart"/>
          </w:tcPr>
          <w:p>
            <w:pPr>
              <w:jc w:val="right"/>
              <w:ind w:right="416"/>
              <w:spacing w:after="0"/>
              <w:rPr>
                <w:sz w:val="20"/>
                <w:szCs w:val="20"/>
                <w:color w:val="auto"/>
              </w:rPr>
            </w:pPr>
            <w:r>
              <w:rPr>
                <w:rFonts w:ascii="Courier New" w:cs="Courier New" w:eastAsia="Courier New" w:hAnsi="Courier New"/>
                <w:sz w:val="17"/>
                <w:szCs w:val="17"/>
                <w:color w:val="auto"/>
              </w:rPr>
              <w:t>45,664</w:t>
            </w:r>
          </w:p>
        </w:tc>
        <w:tc>
          <w:tcPr>
            <w:tcW w:w="1400" w:type="dxa"/>
            <w:vAlign w:val="bottom"/>
            <w:vMerge w:val="restart"/>
          </w:tcPr>
          <w:p>
            <w:pPr>
              <w:jc w:val="right"/>
              <w:ind w:right="16"/>
              <w:spacing w:after="0"/>
              <w:rPr>
                <w:sz w:val="20"/>
                <w:szCs w:val="20"/>
                <w:color w:val="auto"/>
              </w:rPr>
            </w:pPr>
            <w:r>
              <w:rPr>
                <w:rFonts w:ascii="Courier New" w:cs="Courier New" w:eastAsia="Courier New" w:hAnsi="Courier New"/>
                <w:sz w:val="17"/>
                <w:szCs w:val="17"/>
                <w:color w:val="auto"/>
              </w:rPr>
              <w:t>42,249</w:t>
            </w:r>
          </w:p>
        </w:tc>
        <w:tc>
          <w:tcPr>
            <w:tcW w:w="0" w:type="dxa"/>
            <w:vAlign w:val="bottom"/>
          </w:tcPr>
          <w:p>
            <w:pPr>
              <w:spacing w:after="0"/>
              <w:rPr>
                <w:sz w:val="1"/>
                <w:szCs w:val="1"/>
                <w:color w:val="auto"/>
              </w:rPr>
            </w:pPr>
          </w:p>
        </w:tc>
      </w:tr>
      <w:tr>
        <w:trPr>
          <w:trHeight w:val="193"/>
        </w:trPr>
        <w:tc>
          <w:tcPr>
            <w:tcW w:w="8320" w:type="dxa"/>
            <w:vAlign w:val="bottom"/>
          </w:tcPr>
          <w:p>
            <w:pPr>
              <w:ind w:left="300"/>
              <w:spacing w:after="0"/>
              <w:rPr>
                <w:sz w:val="20"/>
                <w:szCs w:val="20"/>
                <w:color w:val="auto"/>
              </w:rPr>
            </w:pPr>
            <w:r>
              <w:rPr>
                <w:rFonts w:ascii="Courier New" w:cs="Courier New" w:eastAsia="Courier New" w:hAnsi="Courier New"/>
                <w:sz w:val="17"/>
                <w:szCs w:val="17"/>
                <w:color w:val="auto"/>
              </w:rPr>
              <w:t>Goodwill - net of accumulated amortization of $5,603 and $3,010, respectively</w:t>
            </w:r>
          </w:p>
        </w:tc>
        <w:tc>
          <w:tcPr>
            <w:tcW w:w="180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320" w:type="dxa"/>
            <w:vAlign w:val="bottom"/>
          </w:tcPr>
          <w:p>
            <w:pPr>
              <w:ind w:left="300"/>
              <w:spacing w:after="0"/>
              <w:rPr>
                <w:sz w:val="20"/>
                <w:szCs w:val="20"/>
                <w:color w:val="auto"/>
              </w:rPr>
            </w:pPr>
            <w:r>
              <w:rPr>
                <w:rFonts w:ascii="Courier New" w:cs="Courier New" w:eastAsia="Courier New" w:hAnsi="Courier New"/>
                <w:sz w:val="17"/>
                <w:szCs w:val="17"/>
                <w:color w:val="auto"/>
              </w:rPr>
              <w:t>Product development costs-at cost, net of accumulated amortization of $10,385</w:t>
            </w:r>
          </w:p>
        </w:tc>
        <w:tc>
          <w:tcPr>
            <w:tcW w:w="1800" w:type="dxa"/>
            <w:vAlign w:val="bottom"/>
            <w:vMerge w:val="restart"/>
          </w:tcPr>
          <w:p>
            <w:pPr>
              <w:jc w:val="right"/>
              <w:ind w:right="416"/>
              <w:spacing w:after="0"/>
              <w:rPr>
                <w:sz w:val="20"/>
                <w:szCs w:val="20"/>
                <w:color w:val="auto"/>
              </w:rPr>
            </w:pPr>
            <w:r>
              <w:rPr>
                <w:rFonts w:ascii="Courier New" w:cs="Courier New" w:eastAsia="Courier New" w:hAnsi="Courier New"/>
                <w:sz w:val="17"/>
                <w:szCs w:val="17"/>
                <w:color w:val="auto"/>
              </w:rPr>
              <w:t>23,316</w:t>
            </w:r>
          </w:p>
        </w:tc>
        <w:tc>
          <w:tcPr>
            <w:tcW w:w="1400" w:type="dxa"/>
            <w:vAlign w:val="bottom"/>
            <w:vMerge w:val="restart"/>
          </w:tcPr>
          <w:p>
            <w:pPr>
              <w:jc w:val="right"/>
              <w:ind w:right="16"/>
              <w:spacing w:after="0"/>
              <w:rPr>
                <w:sz w:val="20"/>
                <w:szCs w:val="20"/>
                <w:color w:val="auto"/>
              </w:rPr>
            </w:pPr>
            <w:r>
              <w:rPr>
                <w:rFonts w:ascii="Courier New" w:cs="Courier New" w:eastAsia="Courier New" w:hAnsi="Courier New"/>
                <w:sz w:val="17"/>
                <w:szCs w:val="17"/>
                <w:color w:val="auto"/>
              </w:rPr>
              <w:t>22,511</w:t>
            </w:r>
          </w:p>
        </w:tc>
        <w:tc>
          <w:tcPr>
            <w:tcW w:w="0" w:type="dxa"/>
            <w:vAlign w:val="bottom"/>
          </w:tcPr>
          <w:p>
            <w:pPr>
              <w:spacing w:after="0"/>
              <w:rPr>
                <w:sz w:val="1"/>
                <w:szCs w:val="1"/>
                <w:color w:val="auto"/>
              </w:rPr>
            </w:pPr>
          </w:p>
        </w:tc>
      </w:tr>
      <w:tr>
        <w:trPr>
          <w:trHeight w:val="193"/>
        </w:trPr>
        <w:tc>
          <w:tcPr>
            <w:tcW w:w="8320" w:type="dxa"/>
            <w:vAlign w:val="bottom"/>
          </w:tcPr>
          <w:p>
            <w:pPr>
              <w:ind w:left="500"/>
              <w:spacing w:after="0"/>
              <w:rPr>
                <w:sz w:val="20"/>
                <w:szCs w:val="20"/>
                <w:color w:val="auto"/>
              </w:rPr>
            </w:pPr>
            <w:r>
              <w:rPr>
                <w:rFonts w:ascii="Courier New" w:cs="Courier New" w:eastAsia="Courier New" w:hAnsi="Courier New"/>
                <w:sz w:val="17"/>
                <w:szCs w:val="17"/>
                <w:color w:val="auto"/>
              </w:rPr>
              <w:t>and $5,810 respectively</w:t>
            </w:r>
          </w:p>
        </w:tc>
        <w:tc>
          <w:tcPr>
            <w:tcW w:w="180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320" w:type="dxa"/>
            <w:vAlign w:val="bottom"/>
          </w:tcPr>
          <w:p>
            <w:pPr>
              <w:ind w:left="300"/>
              <w:spacing w:after="0"/>
              <w:rPr>
                <w:sz w:val="20"/>
                <w:szCs w:val="20"/>
                <w:color w:val="auto"/>
              </w:rPr>
            </w:pPr>
            <w:r>
              <w:rPr>
                <w:rFonts w:ascii="Courier New" w:cs="Courier New" w:eastAsia="Courier New" w:hAnsi="Courier New"/>
                <w:sz w:val="17"/>
                <w:szCs w:val="17"/>
                <w:color w:val="auto"/>
              </w:rPr>
              <w:t>Deferred income taxes</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2,945</w:t>
            </w: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4,138</w:t>
            </w:r>
          </w:p>
        </w:tc>
        <w:tc>
          <w:tcPr>
            <w:tcW w:w="0" w:type="dxa"/>
            <w:vAlign w:val="bottom"/>
          </w:tcPr>
          <w:p>
            <w:pPr>
              <w:spacing w:after="0"/>
              <w:rPr>
                <w:sz w:val="1"/>
                <w:szCs w:val="1"/>
                <w:color w:val="auto"/>
              </w:rPr>
            </w:pPr>
          </w:p>
        </w:tc>
      </w:tr>
      <w:tr>
        <w:trPr>
          <w:trHeight w:val="193"/>
        </w:trPr>
        <w:tc>
          <w:tcPr>
            <w:tcW w:w="8320" w:type="dxa"/>
            <w:vAlign w:val="bottom"/>
          </w:tcPr>
          <w:p>
            <w:pPr>
              <w:ind w:left="300"/>
              <w:spacing w:after="0"/>
              <w:rPr>
                <w:sz w:val="20"/>
                <w:szCs w:val="20"/>
                <w:color w:val="auto"/>
              </w:rPr>
            </w:pPr>
            <w:r>
              <w:rPr>
                <w:rFonts w:ascii="Courier New" w:cs="Courier New" w:eastAsia="Courier New" w:hAnsi="Courier New"/>
                <w:sz w:val="17"/>
                <w:szCs w:val="17"/>
                <w:color w:val="auto"/>
              </w:rPr>
              <w:t>Other</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2,083</w:t>
            </w: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390</w:t>
            </w:r>
          </w:p>
        </w:tc>
        <w:tc>
          <w:tcPr>
            <w:tcW w:w="0" w:type="dxa"/>
            <w:vAlign w:val="bottom"/>
          </w:tcPr>
          <w:p>
            <w:pPr>
              <w:spacing w:after="0"/>
              <w:rPr>
                <w:sz w:val="1"/>
                <w:szCs w:val="1"/>
                <w:color w:val="auto"/>
              </w:rPr>
            </w:pPr>
          </w:p>
        </w:tc>
      </w:tr>
      <w:tr>
        <w:trPr>
          <w:trHeight w:val="193"/>
        </w:trPr>
        <w:tc>
          <w:tcPr>
            <w:tcW w:w="8320" w:type="dxa"/>
            <w:vAlign w:val="bottom"/>
          </w:tcPr>
          <w:p>
            <w:pPr>
              <w:spacing w:after="0"/>
              <w:rPr>
                <w:sz w:val="16"/>
                <w:szCs w:val="16"/>
                <w:color w:val="auto"/>
              </w:rPr>
            </w:pP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3"/>
        </w:trPr>
        <w:tc>
          <w:tcPr>
            <w:tcW w:w="8320" w:type="dxa"/>
            <w:vAlign w:val="bottom"/>
          </w:tcPr>
          <w:p>
            <w:pPr>
              <w:spacing w:after="0"/>
              <w:rPr>
                <w:sz w:val="16"/>
                <w:szCs w:val="16"/>
                <w:color w:val="auto"/>
              </w:rPr>
            </w:pP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74,008</w:t>
            </w: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69,288</w:t>
            </w:r>
          </w:p>
        </w:tc>
        <w:tc>
          <w:tcPr>
            <w:tcW w:w="0" w:type="dxa"/>
            <w:vAlign w:val="bottom"/>
          </w:tcPr>
          <w:p>
            <w:pPr>
              <w:spacing w:after="0"/>
              <w:rPr>
                <w:sz w:val="1"/>
                <w:szCs w:val="1"/>
                <w:color w:val="auto"/>
              </w:rPr>
            </w:pPr>
          </w:p>
        </w:tc>
      </w:tr>
      <w:tr>
        <w:trPr>
          <w:trHeight w:val="193"/>
        </w:trPr>
        <w:tc>
          <w:tcPr>
            <w:tcW w:w="8320" w:type="dxa"/>
            <w:vAlign w:val="bottom"/>
            <w:vMerge w:val="restart"/>
          </w:tcPr>
          <w:p>
            <w:pPr>
              <w:spacing w:after="0"/>
              <w:rPr>
                <w:sz w:val="20"/>
                <w:szCs w:val="20"/>
                <w:color w:val="auto"/>
              </w:rPr>
            </w:pPr>
            <w:r>
              <w:rPr>
                <w:rFonts w:ascii="Courier New" w:cs="Courier New" w:eastAsia="Courier New" w:hAnsi="Courier New"/>
                <w:sz w:val="17"/>
                <w:szCs w:val="17"/>
                <w:color w:val="auto"/>
              </w:rPr>
              <w:t>Total assets</w:t>
            </w: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3"/>
        </w:trPr>
        <w:tc>
          <w:tcPr>
            <w:tcW w:w="8320" w:type="dxa"/>
            <w:vAlign w:val="bottom"/>
            <w:vMerge w:val="continue"/>
          </w:tcPr>
          <w:p>
            <w:pPr>
              <w:spacing w:after="0"/>
              <w:rPr>
                <w:sz w:val="16"/>
                <w:szCs w:val="16"/>
                <w:color w:val="auto"/>
              </w:rPr>
            </w:pP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$173,396</w:t>
            </w: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$155,156</w:t>
            </w:r>
          </w:p>
        </w:tc>
        <w:tc>
          <w:tcPr>
            <w:tcW w:w="0" w:type="dxa"/>
            <w:vAlign w:val="bottom"/>
          </w:tcPr>
          <w:p>
            <w:pPr>
              <w:spacing w:after="0"/>
              <w:rPr>
                <w:sz w:val="1"/>
                <w:szCs w:val="1"/>
                <w:color w:val="auto"/>
              </w:rPr>
            </w:pPr>
          </w:p>
        </w:tc>
      </w:tr>
      <w:tr>
        <w:trPr>
          <w:trHeight w:val="281"/>
        </w:trPr>
        <w:tc>
          <w:tcPr>
            <w:tcW w:w="8320" w:type="dxa"/>
            <w:vAlign w:val="bottom"/>
          </w:tcPr>
          <w:p>
            <w:pPr>
              <w:spacing w:after="0"/>
              <w:rPr>
                <w:sz w:val="24"/>
                <w:szCs w:val="24"/>
                <w:color w:val="auto"/>
              </w:rPr>
            </w:pPr>
          </w:p>
        </w:tc>
        <w:tc>
          <w:tcPr>
            <w:tcW w:w="1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FINANCIAL STATEMENTS.</w:t>
      </w:r>
    </w:p>
    <w:p>
      <w:pPr>
        <w:spacing w:after="0" w:line="386"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Page 3</w:t>
      </w:r>
    </w:p>
    <w:p>
      <w:pPr>
        <w:sectPr>
          <w:pgSz w:w="11900" w:h="16838" w:orient="portrait"/>
          <w:cols w:equalWidth="0" w:num="1">
            <w:col w:w="11520"/>
          </w:cols>
          <w:pgMar w:left="240" w:top="279" w:right="139" w:bottom="1440" w:gutter="0" w:footer="0" w:header="0"/>
        </w:sectPr>
      </w:pPr>
    </w:p>
    <w:bookmarkStart w:id="4" w:name="page5"/>
    <w:bookmarkEnd w:id="4"/>
    <w:p>
      <w:pPr>
        <w:ind w:left="300"/>
        <w:spacing w:after="0"/>
        <w:rPr>
          <w:sz w:val="20"/>
          <w:szCs w:val="20"/>
          <w:color w:val="auto"/>
        </w:rPr>
      </w:pPr>
      <w:r>
        <w:rPr>
          <w:rFonts w:ascii="Courier New" w:cs="Courier New" w:eastAsia="Courier New" w:hAnsi="Courier New"/>
          <w:sz w:val="17"/>
          <w:szCs w:val="17"/>
          <w:color w:val="auto"/>
        </w:rPr>
        <w:t>5</w:t>
      </w:r>
    </w:p>
    <w:p>
      <w:pPr>
        <w:spacing w:after="0" w:line="30" w:lineRule="exact"/>
        <w:rPr>
          <w:sz w:val="20"/>
          <w:szCs w:val="20"/>
          <w:color w:val="auto"/>
        </w:rPr>
      </w:pPr>
    </w:p>
    <w:p>
      <w:pPr>
        <w:jc w:val="center"/>
        <w:ind w:left="100"/>
        <w:spacing w:after="0"/>
        <w:rPr>
          <w:sz w:val="20"/>
          <w:szCs w:val="20"/>
          <w:color w:val="auto"/>
        </w:rPr>
      </w:pPr>
      <w:r>
        <w:rPr>
          <w:rFonts w:ascii="Courier New" w:cs="Courier New" w:eastAsia="Courier New" w:hAnsi="Courier New"/>
          <w:sz w:val="17"/>
          <w:szCs w:val="17"/>
          <w:color w:val="auto"/>
        </w:rPr>
        <w:t>International Telecommunication Data Systems, Inc. and Subsidiaries</w:t>
      </w:r>
    </w:p>
    <w:p>
      <w:pPr>
        <w:spacing w:after="0" w:line="163" w:lineRule="exact"/>
        <w:rPr>
          <w:sz w:val="20"/>
          <w:szCs w:val="20"/>
          <w:color w:val="auto"/>
        </w:rPr>
      </w:pPr>
    </w:p>
    <w:p>
      <w:pPr>
        <w:jc w:val="center"/>
        <w:ind w:left="100"/>
        <w:spacing w:after="0"/>
        <w:rPr>
          <w:sz w:val="20"/>
          <w:szCs w:val="20"/>
          <w:color w:val="auto"/>
        </w:rPr>
      </w:pPr>
      <w:r>
        <w:rPr>
          <w:rFonts w:ascii="Courier New" w:cs="Courier New" w:eastAsia="Courier New" w:hAnsi="Courier New"/>
          <w:sz w:val="17"/>
          <w:szCs w:val="17"/>
          <w:color w:val="auto"/>
        </w:rPr>
        <w:t>Consolidated Balance Sheets</w:t>
      </w:r>
    </w:p>
    <w:p>
      <w:pPr>
        <w:spacing w:after="0" w:line="30"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LIABILITIES AND STOCKHOLDERS' EQUITY</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Current liabilities:</w:t>
      </w:r>
    </w:p>
    <w:p>
      <w:pPr>
        <w:ind w:left="300"/>
        <w:spacing w:after="0"/>
        <w:rPr>
          <w:sz w:val="20"/>
          <w:szCs w:val="20"/>
          <w:color w:val="auto"/>
        </w:rPr>
      </w:pPr>
      <w:r>
        <w:rPr>
          <w:rFonts w:ascii="Courier New" w:cs="Courier New" w:eastAsia="Courier New" w:hAnsi="Courier New"/>
          <w:sz w:val="17"/>
          <w:szCs w:val="17"/>
          <w:color w:val="auto"/>
        </w:rPr>
        <w:t>Accounts payable</w:t>
      </w:r>
    </w:p>
    <w:p>
      <w:pPr>
        <w:ind w:left="300"/>
        <w:spacing w:after="0"/>
        <w:rPr>
          <w:sz w:val="20"/>
          <w:szCs w:val="20"/>
          <w:color w:val="auto"/>
        </w:rPr>
      </w:pPr>
      <w:r>
        <w:rPr>
          <w:rFonts w:ascii="Courier New" w:cs="Courier New" w:eastAsia="Courier New" w:hAnsi="Courier New"/>
          <w:sz w:val="17"/>
          <w:szCs w:val="17"/>
          <w:color w:val="auto"/>
        </w:rPr>
        <w:t>Accrued expenses and income taxes payable</w:t>
      </w:r>
    </w:p>
    <w:p>
      <w:pPr>
        <w:ind w:left="300"/>
        <w:spacing w:after="0"/>
        <w:rPr>
          <w:sz w:val="20"/>
          <w:szCs w:val="20"/>
          <w:color w:val="auto"/>
        </w:rPr>
      </w:pPr>
      <w:r>
        <w:rPr>
          <w:rFonts w:ascii="Courier New" w:cs="Courier New" w:eastAsia="Courier New" w:hAnsi="Courier New"/>
          <w:sz w:val="17"/>
          <w:szCs w:val="17"/>
          <w:color w:val="auto"/>
        </w:rPr>
        <w:t>Accrued compensation</w:t>
      </w:r>
    </w:p>
    <w:p>
      <w:pPr>
        <w:ind w:left="300"/>
        <w:spacing w:after="0"/>
        <w:rPr>
          <w:sz w:val="20"/>
          <w:szCs w:val="20"/>
          <w:color w:val="auto"/>
        </w:rPr>
      </w:pPr>
      <w:r>
        <w:rPr>
          <w:rFonts w:ascii="Courier New" w:cs="Courier New" w:eastAsia="Courier New" w:hAnsi="Courier New"/>
          <w:sz w:val="17"/>
          <w:szCs w:val="17"/>
          <w:color w:val="auto"/>
        </w:rPr>
        <w:t>Customer advances and deferred revenue</w:t>
      </w:r>
    </w:p>
    <w:p>
      <w:pPr>
        <w:ind w:left="300"/>
        <w:spacing w:after="0"/>
        <w:rPr>
          <w:sz w:val="20"/>
          <w:szCs w:val="20"/>
          <w:color w:val="auto"/>
        </w:rPr>
      </w:pPr>
      <w:r>
        <w:rPr>
          <w:rFonts w:ascii="Courier New" w:cs="Courier New" w:eastAsia="Courier New" w:hAnsi="Courier New"/>
          <w:sz w:val="17"/>
          <w:szCs w:val="17"/>
          <w:color w:val="auto"/>
        </w:rPr>
        <w:t>Current maturities of capital lease obligations</w:t>
      </w:r>
    </w:p>
    <w:p>
      <w:pPr>
        <w:ind w:left="300"/>
        <w:spacing w:after="0"/>
        <w:rPr>
          <w:sz w:val="20"/>
          <w:szCs w:val="20"/>
          <w:color w:val="auto"/>
        </w:rPr>
      </w:pPr>
      <w:r>
        <w:rPr>
          <w:rFonts w:ascii="Courier New" w:cs="Courier New" w:eastAsia="Courier New" w:hAnsi="Courier New"/>
          <w:sz w:val="17"/>
          <w:szCs w:val="17"/>
          <w:color w:val="auto"/>
        </w:rPr>
        <w:t>Other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Total current liabilities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Capital lease obligations</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STOCKHOLDERS' EQUITY</w:t>
      </w:r>
    </w:p>
    <w:p>
      <w:pPr>
        <w:spacing w:after="0" w:line="3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Common Stock, $.01 par value; 40,000,000 shares authorized, 17,498,063</w:t>
      </w:r>
    </w:p>
    <w:p>
      <w:pPr>
        <w:ind w:left="500"/>
        <w:spacing w:after="0"/>
        <w:rPr>
          <w:sz w:val="20"/>
          <w:szCs w:val="20"/>
          <w:color w:val="auto"/>
        </w:rPr>
      </w:pPr>
      <w:r>
        <w:rPr>
          <w:rFonts w:ascii="Courier New" w:cs="Courier New" w:eastAsia="Courier New" w:hAnsi="Courier New"/>
          <w:sz w:val="17"/>
          <w:szCs w:val="17"/>
          <w:color w:val="auto"/>
        </w:rPr>
        <w:t>and 17,313,231 shares issued at September 30, 1999 and December 31, 1998,</w:t>
      </w:r>
    </w:p>
    <w:p>
      <w:pPr>
        <w:ind w:left="500"/>
        <w:spacing w:after="0"/>
        <w:rPr>
          <w:sz w:val="20"/>
          <w:szCs w:val="20"/>
          <w:color w:val="auto"/>
        </w:rPr>
      </w:pPr>
      <w:r>
        <w:rPr>
          <w:rFonts w:ascii="Courier New" w:cs="Courier New" w:eastAsia="Courier New" w:hAnsi="Courier New"/>
          <w:sz w:val="17"/>
          <w:szCs w:val="17"/>
          <w:color w:val="auto"/>
        </w:rPr>
        <w:t>respectively</w:t>
      </w:r>
    </w:p>
    <w:p>
      <w:pPr>
        <w:ind w:left="300"/>
        <w:spacing w:after="0"/>
        <w:rPr>
          <w:sz w:val="20"/>
          <w:szCs w:val="20"/>
          <w:color w:val="auto"/>
        </w:rPr>
      </w:pPr>
      <w:r>
        <w:rPr>
          <w:rFonts w:ascii="Courier New" w:cs="Courier New" w:eastAsia="Courier New" w:hAnsi="Courier New"/>
          <w:sz w:val="17"/>
          <w:szCs w:val="17"/>
          <w:color w:val="auto"/>
        </w:rPr>
        <w:t>Treasury stock, 177,000 shares at September 30, 1999, at cost</w:t>
      </w:r>
    </w:p>
    <w:p>
      <w:pPr>
        <w:ind w:left="300"/>
        <w:spacing w:after="0"/>
        <w:rPr>
          <w:sz w:val="20"/>
          <w:szCs w:val="20"/>
          <w:color w:val="auto"/>
        </w:rPr>
      </w:pPr>
      <w:r>
        <w:rPr>
          <w:rFonts w:ascii="Courier New" w:cs="Courier New" w:eastAsia="Courier New" w:hAnsi="Courier New"/>
          <w:sz w:val="17"/>
          <w:szCs w:val="17"/>
          <w:color w:val="auto"/>
        </w:rPr>
        <w:t>Additional paid-in capital</w:t>
      </w:r>
    </w:p>
    <w:p>
      <w:pPr>
        <w:ind w:left="300"/>
        <w:spacing w:after="0"/>
        <w:rPr>
          <w:sz w:val="20"/>
          <w:szCs w:val="20"/>
          <w:color w:val="auto"/>
        </w:rPr>
      </w:pPr>
      <w:r>
        <w:rPr>
          <w:rFonts w:ascii="Courier New" w:cs="Courier New" w:eastAsia="Courier New" w:hAnsi="Courier New"/>
          <w:sz w:val="17"/>
          <w:szCs w:val="17"/>
          <w:color w:val="auto"/>
        </w:rPr>
        <w:t>Retained earnings (deficit)</w:t>
      </w:r>
    </w:p>
    <w:p>
      <w:pPr>
        <w:ind w:left="300"/>
        <w:spacing w:after="0"/>
        <w:rPr>
          <w:sz w:val="20"/>
          <w:szCs w:val="20"/>
          <w:color w:val="auto"/>
        </w:rPr>
      </w:pPr>
      <w:r>
        <w:rPr>
          <w:rFonts w:ascii="Courier New" w:cs="Courier New" w:eastAsia="Courier New" w:hAnsi="Courier New"/>
          <w:sz w:val="17"/>
          <w:szCs w:val="17"/>
          <w:color w:val="auto"/>
        </w:rPr>
        <w:t>Unearned compensation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Total stockholders' equity</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Total liabilities and stockholders' equity</w:t>
      </w:r>
    </w:p>
    <w:p>
      <w:pPr>
        <w:spacing w:after="0" w:line="200" w:lineRule="exact"/>
        <w:rPr>
          <w:sz w:val="20"/>
          <w:szCs w:val="20"/>
          <w:color w:val="auto"/>
        </w:rPr>
      </w:pPr>
    </w:p>
    <w:p>
      <w:pPr>
        <w:spacing w:after="0" w:line="378" w:lineRule="exact"/>
        <w:rPr>
          <w:sz w:val="20"/>
          <w:szCs w:val="20"/>
          <w:color w:val="auto"/>
        </w:rPr>
      </w:pPr>
    </w:p>
    <w:p>
      <w:pPr>
        <w:ind w:left="900" w:hanging="899"/>
        <w:spacing w:after="0" w:line="276" w:lineRule="auto"/>
        <w:tabs>
          <w:tab w:leader="none" w:pos="880" w:val="left"/>
        </w:tabs>
        <w:rPr>
          <w:sz w:val="20"/>
          <w:szCs w:val="20"/>
          <w:color w:val="auto"/>
        </w:rPr>
      </w:pPr>
      <w:r>
        <w:rPr>
          <w:rFonts w:ascii="Courier New" w:cs="Courier New" w:eastAsia="Courier New" w:hAnsi="Courier New"/>
          <w:sz w:val="17"/>
          <w:szCs w:val="17"/>
          <w:color w:val="auto"/>
        </w:rPr>
        <w:t>Note:</w:t>
      </w:r>
      <w:r>
        <w:rPr>
          <w:sz w:val="20"/>
          <w:szCs w:val="20"/>
          <w:color w:val="auto"/>
        </w:rPr>
        <w:tab/>
      </w:r>
      <w:r>
        <w:rPr>
          <w:rFonts w:ascii="Courier New" w:cs="Courier New" w:eastAsia="Courier New" w:hAnsi="Courier New"/>
          <w:sz w:val="17"/>
          <w:szCs w:val="17"/>
          <w:color w:val="auto"/>
        </w:rPr>
        <w:t>The balance sheet at December 31, 1998 has been derived from the audited financial statements at that date but does not include all of the information and footnotes required by generally accepted accounting principles for complete financial statements.</w:t>
      </w:r>
    </w:p>
    <w:p>
      <w:pPr>
        <w:spacing w:after="0" w:line="78"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1600" w:type="dxa"/>
            <w:vAlign w:val="bottom"/>
          </w:tcPr>
          <w:p>
            <w:pPr>
              <w:spacing w:after="0"/>
              <w:rPr>
                <w:sz w:val="20"/>
                <w:szCs w:val="20"/>
                <w:color w:val="auto"/>
              </w:rPr>
            </w:pPr>
            <w:r>
              <w:rPr>
                <w:rFonts w:ascii="Courier New" w:cs="Courier New" w:eastAsia="Courier New" w:hAnsi="Courier New"/>
                <w:sz w:val="17"/>
                <w:szCs w:val="17"/>
                <w:color w:val="auto"/>
              </w:rPr>
              <w:t>September 30,</w:t>
            </w:r>
          </w:p>
        </w:tc>
        <w:tc>
          <w:tcPr>
            <w:tcW w:w="1500" w:type="dxa"/>
            <w:vAlign w:val="bottom"/>
          </w:tcPr>
          <w:p>
            <w:pPr>
              <w:jc w:val="center"/>
              <w:ind w:left="216"/>
              <w:spacing w:after="0"/>
              <w:rPr>
                <w:sz w:val="20"/>
                <w:szCs w:val="20"/>
                <w:color w:val="auto"/>
              </w:rPr>
            </w:pPr>
            <w:r>
              <w:rPr>
                <w:rFonts w:ascii="Courier New" w:cs="Courier New" w:eastAsia="Courier New" w:hAnsi="Courier New"/>
                <w:sz w:val="17"/>
                <w:szCs w:val="17"/>
                <w:color w:val="auto"/>
                <w:w w:val="98"/>
              </w:rPr>
              <w:t>December 31,</w:t>
            </w:r>
          </w:p>
        </w:tc>
        <w:tc>
          <w:tcPr>
            <w:tcW w:w="0" w:type="dxa"/>
            <w:vAlign w:val="bottom"/>
          </w:tcPr>
          <w:p>
            <w:pPr>
              <w:spacing w:after="0"/>
              <w:rPr>
                <w:sz w:val="1"/>
                <w:szCs w:val="1"/>
                <w:color w:val="auto"/>
              </w:rPr>
            </w:pPr>
          </w:p>
        </w:tc>
      </w:tr>
      <w:tr>
        <w:trPr>
          <w:trHeight w:val="193"/>
        </w:trPr>
        <w:tc>
          <w:tcPr>
            <w:tcW w:w="1600" w:type="dxa"/>
            <w:vAlign w:val="bottom"/>
          </w:tcPr>
          <w:p>
            <w:pPr>
              <w:jc w:val="right"/>
              <w:ind w:right="721"/>
              <w:spacing w:after="0"/>
              <w:rPr>
                <w:sz w:val="20"/>
                <w:szCs w:val="20"/>
                <w:color w:val="auto"/>
              </w:rPr>
            </w:pPr>
            <w:r>
              <w:rPr>
                <w:rFonts w:ascii="Courier New" w:cs="Courier New" w:eastAsia="Courier New" w:hAnsi="Courier New"/>
                <w:sz w:val="17"/>
                <w:szCs w:val="17"/>
                <w:color w:val="auto"/>
              </w:rPr>
              <w:t>1999</w:t>
            </w:r>
          </w:p>
        </w:tc>
        <w:tc>
          <w:tcPr>
            <w:tcW w:w="1500" w:type="dxa"/>
            <w:vAlign w:val="bottom"/>
          </w:tcPr>
          <w:p>
            <w:pPr>
              <w:jc w:val="center"/>
              <w:ind w:left="216"/>
              <w:spacing w:after="0"/>
              <w:rPr>
                <w:sz w:val="20"/>
                <w:szCs w:val="20"/>
                <w:color w:val="auto"/>
              </w:rPr>
            </w:pPr>
            <w:r>
              <w:rPr>
                <w:rFonts w:ascii="Courier New" w:cs="Courier New" w:eastAsia="Courier New" w:hAnsi="Courier New"/>
                <w:sz w:val="17"/>
                <w:szCs w:val="17"/>
                <w:color w:val="auto"/>
                <w:w w:val="97"/>
              </w:rPr>
              <w:t>1998</w:t>
            </w:r>
          </w:p>
        </w:tc>
        <w:tc>
          <w:tcPr>
            <w:tcW w:w="0" w:type="dxa"/>
            <w:vAlign w:val="bottom"/>
          </w:tcPr>
          <w:p>
            <w:pPr>
              <w:spacing w:after="0"/>
              <w:rPr>
                <w:sz w:val="1"/>
                <w:szCs w:val="1"/>
                <w:color w:val="auto"/>
              </w:rPr>
            </w:pPr>
          </w:p>
        </w:tc>
      </w:tr>
      <w:tr>
        <w:trPr>
          <w:trHeight w:val="193"/>
        </w:trPr>
        <w:tc>
          <w:tcPr>
            <w:tcW w:w="1600" w:type="dxa"/>
            <w:vAlign w:val="bottom"/>
            <w:vMerge w:val="restart"/>
          </w:tcPr>
          <w:p>
            <w:pPr>
              <w:spacing w:after="0"/>
              <w:rPr>
                <w:sz w:val="20"/>
                <w:szCs w:val="20"/>
                <w:color w:val="auto"/>
              </w:rPr>
            </w:pPr>
            <w:r>
              <w:rPr>
                <w:rFonts w:ascii="Courier New" w:cs="Courier New" w:eastAsia="Courier New" w:hAnsi="Courier New"/>
                <w:sz w:val="14"/>
                <w:szCs w:val="14"/>
                <w:color w:val="auto"/>
                <w:w w:val="70"/>
              </w:rPr>
              <w:t>-------------</w:t>
            </w:r>
            <w:r>
              <w:rPr>
                <w:rFonts w:ascii="Courier New" w:cs="Courier New" w:eastAsia="Courier New" w:hAnsi="Courier New"/>
                <w:sz w:val="26"/>
                <w:szCs w:val="26"/>
                <w:color w:val="auto"/>
                <w:w w:val="70"/>
                <w:vertAlign w:val="subscript"/>
              </w:rPr>
              <w:t>(UNAUDITED)</w:t>
            </w:r>
          </w:p>
        </w:tc>
        <w:tc>
          <w:tcPr>
            <w:tcW w:w="1500" w:type="dxa"/>
            <w:vAlign w:val="bottom"/>
          </w:tcPr>
          <w:p>
            <w:pPr>
              <w:jc w:val="center"/>
              <w:ind w:left="216"/>
              <w:spacing w:after="0"/>
              <w:rPr>
                <w:sz w:val="20"/>
                <w:szCs w:val="20"/>
                <w:color w:val="auto"/>
              </w:rPr>
            </w:pPr>
            <w:r>
              <w:rPr>
                <w:rFonts w:ascii="Courier New" w:cs="Courier New" w:eastAsia="Courier New" w:hAnsi="Courier New"/>
                <w:sz w:val="17"/>
                <w:szCs w:val="17"/>
                <w:color w:val="auto"/>
                <w:w w:val="98"/>
              </w:rPr>
              <w:t>------------</w:t>
            </w:r>
          </w:p>
        </w:tc>
        <w:tc>
          <w:tcPr>
            <w:tcW w:w="0" w:type="dxa"/>
            <w:vAlign w:val="bottom"/>
          </w:tcPr>
          <w:p>
            <w:pPr>
              <w:spacing w:after="0"/>
              <w:rPr>
                <w:sz w:val="1"/>
                <w:szCs w:val="1"/>
                <w:color w:val="auto"/>
              </w:rPr>
            </w:pPr>
          </w:p>
        </w:tc>
      </w:tr>
      <w:tr>
        <w:trPr>
          <w:trHeight w:val="297"/>
        </w:trPr>
        <w:tc>
          <w:tcPr>
            <w:tcW w:w="1600" w:type="dxa"/>
            <w:vAlign w:val="bottom"/>
            <w:vMerge w:val="continue"/>
          </w:tcPr>
          <w:p>
            <w:pPr>
              <w:spacing w:after="0"/>
              <w:rPr>
                <w:sz w:val="24"/>
                <w:szCs w:val="24"/>
                <w:color w:val="auto"/>
              </w:rPr>
            </w:pPr>
          </w:p>
        </w:tc>
        <w:tc>
          <w:tcPr>
            <w:tcW w:w="1500" w:type="dxa"/>
            <w:vAlign w:val="bottom"/>
          </w:tcPr>
          <w:p>
            <w:pPr>
              <w:jc w:val="center"/>
              <w:ind w:left="216"/>
              <w:spacing w:after="0"/>
              <w:rPr>
                <w:sz w:val="20"/>
                <w:szCs w:val="20"/>
                <w:color w:val="auto"/>
              </w:rPr>
            </w:pPr>
            <w:r>
              <w:rPr>
                <w:rFonts w:ascii="Courier New" w:cs="Courier New" w:eastAsia="Courier New" w:hAnsi="Courier New"/>
                <w:sz w:val="17"/>
                <w:szCs w:val="17"/>
                <w:color w:val="auto"/>
                <w:w w:val="97"/>
              </w:rPr>
              <w:t>(SEE NOTE)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300" w:type="dxa"/>
        <w:tblCellMar>
          <w:top w:w="0" w:type="dxa"/>
          <w:left w:w="0" w:type="dxa"/>
          <w:bottom w:w="0" w:type="dxa"/>
          <w:right w:w="0" w:type="dxa"/>
        </w:tblCellMar>
      </w:tblPr>
      <w:tr>
        <w:trPr>
          <w:trHeight w:val="193"/>
        </w:trPr>
        <w:tc>
          <w:tcPr>
            <w:tcW w:w="13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$12,726</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$10,921</w:t>
            </w:r>
          </w:p>
        </w:tc>
      </w:tr>
      <w:tr>
        <w:trPr>
          <w:trHeight w:val="193"/>
        </w:trPr>
        <w:tc>
          <w:tcPr>
            <w:tcW w:w="13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4,239</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2,919</w:t>
            </w:r>
          </w:p>
        </w:tc>
      </w:tr>
      <w:tr>
        <w:trPr>
          <w:trHeight w:val="193"/>
        </w:trPr>
        <w:tc>
          <w:tcPr>
            <w:tcW w:w="13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3,036</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3,026</w:t>
            </w:r>
          </w:p>
        </w:tc>
      </w:tr>
      <w:tr>
        <w:trPr>
          <w:trHeight w:val="193"/>
        </w:trPr>
        <w:tc>
          <w:tcPr>
            <w:tcW w:w="13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6,671</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3,862</w:t>
            </w:r>
          </w:p>
        </w:tc>
      </w:tr>
      <w:tr>
        <w:trPr>
          <w:trHeight w:val="193"/>
        </w:trPr>
        <w:tc>
          <w:tcPr>
            <w:tcW w:w="13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12</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74</w:t>
            </w:r>
          </w:p>
        </w:tc>
      </w:tr>
      <w:tr>
        <w:trPr>
          <w:trHeight w:val="193"/>
        </w:trPr>
        <w:tc>
          <w:tcPr>
            <w:tcW w:w="13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504</w:t>
            </w:r>
          </w:p>
        </w:tc>
      </w:tr>
      <w:tr>
        <w:trPr>
          <w:trHeight w:val="193"/>
        </w:trPr>
        <w:tc>
          <w:tcPr>
            <w:tcW w:w="1300" w:type="dxa"/>
            <w:vAlign w:val="bottom"/>
          </w:tcPr>
          <w:p>
            <w:pPr>
              <w:jc w:val="right"/>
              <w:ind w:right="416"/>
              <w:spacing w:after="0"/>
              <w:rPr>
                <w:sz w:val="20"/>
                <w:szCs w:val="20"/>
                <w:color w:val="auto"/>
              </w:rPr>
            </w:pPr>
            <w:r>
              <w:rPr>
                <w:rFonts w:ascii="Courier New" w:cs="Courier New" w:eastAsia="Courier New" w:hAnsi="Courier New"/>
                <w:sz w:val="17"/>
                <w:szCs w:val="17"/>
                <w:color w:val="auto"/>
                <w:w w:val="95"/>
              </w:rPr>
              <w:t>--------</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81"/>
        </w:trPr>
        <w:tc>
          <w:tcPr>
            <w:tcW w:w="13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26,684</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21,306</w:t>
            </w:r>
          </w:p>
        </w:tc>
      </w:tr>
      <w:tr>
        <w:trPr>
          <w:trHeight w:val="385"/>
        </w:trPr>
        <w:tc>
          <w:tcPr>
            <w:tcW w:w="13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17</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400" w:type="dxa"/>
        <w:tblCellMar>
          <w:top w:w="0" w:type="dxa"/>
          <w:left w:w="0" w:type="dxa"/>
          <w:bottom w:w="0" w:type="dxa"/>
          <w:right w:w="0" w:type="dxa"/>
        </w:tblCellMar>
      </w:tblPr>
      <w:tr>
        <w:trPr>
          <w:trHeight w:val="193"/>
        </w:trPr>
        <w:tc>
          <w:tcPr>
            <w:tcW w:w="13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175</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173</w:t>
            </w:r>
          </w:p>
        </w:tc>
      </w:tr>
      <w:tr>
        <w:trPr>
          <w:trHeight w:val="193"/>
        </w:trPr>
        <w:tc>
          <w:tcPr>
            <w:tcW w:w="13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(1,931)</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1300" w:type="dxa"/>
            <w:vAlign w:val="bottom"/>
          </w:tcPr>
          <w:p>
            <w:pPr>
              <w:jc w:val="right"/>
              <w:ind w:right="516"/>
              <w:spacing w:after="0"/>
              <w:rPr>
                <w:sz w:val="20"/>
                <w:szCs w:val="20"/>
                <w:color w:val="auto"/>
              </w:rPr>
            </w:pPr>
            <w:r>
              <w:rPr>
                <w:rFonts w:ascii="Courier New" w:cs="Courier New" w:eastAsia="Courier New" w:hAnsi="Courier New"/>
                <w:sz w:val="17"/>
                <w:szCs w:val="17"/>
                <w:color w:val="auto"/>
                <w:w w:val="95"/>
              </w:rPr>
              <w:t>143,718</w:t>
            </w:r>
          </w:p>
        </w:tc>
        <w:tc>
          <w:tcPr>
            <w:tcW w:w="1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141,662</w:t>
            </w:r>
          </w:p>
        </w:tc>
      </w:tr>
      <w:tr>
        <w:trPr>
          <w:trHeight w:val="223"/>
        </w:trPr>
        <w:tc>
          <w:tcPr>
            <w:tcW w:w="13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4,754</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(7,952)</w:t>
            </w:r>
          </w:p>
        </w:tc>
      </w:tr>
    </w:tbl>
    <w:p>
      <w:pPr>
        <w:ind w:left="2600" w:hanging="1797"/>
        <w:spacing w:after="0"/>
        <w:tabs>
          <w:tab w:leader="none" w:pos="26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(58)</w:t>
      </w: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r>
        <w:rPr>
          <w:rFonts w:ascii="Courier New" w:cs="Courier New" w:eastAsia="Courier New" w:hAnsi="Courier New"/>
          <w:sz w:val="16"/>
          <w:szCs w:val="16"/>
          <w:color w:val="auto"/>
        </w:rPr>
        <w:t>--------</w:t>
      </w:r>
    </w:p>
    <w:p>
      <w:pPr>
        <w:ind w:left="4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146,695</w:t>
      </w:r>
      <w:r>
        <w:rPr>
          <w:rFonts w:ascii="Courier New" w:cs="Courier New" w:eastAsia="Courier New" w:hAnsi="Courier New"/>
          <w:sz w:val="16"/>
          <w:szCs w:val="16"/>
          <w:color w:val="auto"/>
        </w:rPr>
        <w:t>133,825</w:t>
      </w: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r>
        <w:rPr>
          <w:rFonts w:ascii="Courier New" w:cs="Courier New" w:eastAsia="Courier New" w:hAnsi="Courier New"/>
          <w:sz w:val="16"/>
          <w:szCs w:val="16"/>
          <w:color w:val="auto"/>
        </w:rPr>
        <w:t>--------</w:t>
      </w: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$173,396</w:t>
      </w:r>
      <w:r>
        <w:rPr>
          <w:rFonts w:ascii="Courier New" w:cs="Courier New" w:eastAsia="Courier New" w:hAnsi="Courier New"/>
          <w:sz w:val="16"/>
          <w:szCs w:val="16"/>
          <w:color w:val="auto"/>
        </w:rPr>
        <w:t>$155,156</w:t>
      </w: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r>
        <w:rPr>
          <w:rFonts w:ascii="Courier New" w:cs="Courier New" w:eastAsia="Courier New" w:hAnsi="Courier New"/>
          <w:sz w:val="16"/>
          <w:szCs w:val="16"/>
          <w:color w:val="auto"/>
        </w:rPr>
        <w:t>========</w:t>
      </w:r>
    </w:p>
    <w:p>
      <w:pPr>
        <w:sectPr>
          <w:pgSz w:w="11900" w:h="16838" w:orient="portrait"/>
          <w:cols w:equalWidth="0" w:num="2">
            <w:col w:w="8020" w:space="300"/>
            <w:col w:w="3100"/>
          </w:cols>
          <w:pgMar w:left="240" w:top="279" w:right="239" w:bottom="1440" w:gutter="0" w:footer="0" w:header="0"/>
        </w:sectPr>
      </w:pPr>
    </w:p>
    <w:bookmarkStart w:id="5" w:name="page6"/>
    <w:bookmarkEnd w:id="5"/>
    <w:p>
      <w:pPr>
        <w:ind w:left="300"/>
        <w:spacing w:after="0"/>
        <w:rPr>
          <w:sz w:val="20"/>
          <w:szCs w:val="20"/>
          <w:color w:val="auto"/>
        </w:rPr>
      </w:pPr>
      <w:r>
        <w:rPr>
          <w:rFonts w:ascii="Courier New" w:cs="Courier New" w:eastAsia="Courier New" w:hAnsi="Courier New"/>
          <w:sz w:val="17"/>
          <w:szCs w:val="17"/>
          <w:color w:val="auto"/>
        </w:rPr>
        <w:t>6</w:t>
      </w:r>
    </w:p>
    <w:p>
      <w:pPr>
        <w:spacing w:after="0" w:line="30"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7"/>
          <w:szCs w:val="17"/>
          <w:color w:val="auto"/>
        </w:rPr>
        <w:t>International Telecommunication Data Systems, Inc. and Subsidiaries</w:t>
      </w:r>
    </w:p>
    <w:p>
      <w:pPr>
        <w:spacing w:after="0" w:line="163"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Consolidated Statements of Operations</w:t>
      </w:r>
    </w:p>
    <w:p>
      <w:pPr>
        <w:spacing w:after="0" w:line="30"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(In thousands, except per share amounts)</w:t>
      </w:r>
    </w:p>
    <w:p>
      <w:pPr>
        <w:ind w:left="3520"/>
        <w:spacing w:after="0"/>
        <w:rPr>
          <w:sz w:val="20"/>
          <w:szCs w:val="20"/>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60" w:type="dxa"/>
            <w:vAlign w:val="bottom"/>
            <w:gridSpan w:val="3"/>
          </w:tcPr>
          <w:p>
            <w:pPr>
              <w:jc w:val="right"/>
              <w:ind w:right="216"/>
              <w:spacing w:after="0"/>
              <w:rPr>
                <w:sz w:val="20"/>
                <w:szCs w:val="20"/>
                <w:color w:val="auto"/>
              </w:rPr>
            </w:pPr>
            <w:r>
              <w:rPr>
                <w:rFonts w:ascii="Courier New" w:cs="Courier New" w:eastAsia="Courier New" w:hAnsi="Courier New"/>
                <w:sz w:val="17"/>
                <w:szCs w:val="17"/>
                <w:color w:val="auto"/>
              </w:rPr>
              <w:t>Three months ended</w:t>
            </w:r>
          </w:p>
        </w:tc>
        <w:tc>
          <w:tcPr>
            <w:tcW w:w="30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Nine months</w:t>
            </w:r>
          </w:p>
        </w:tc>
        <w:tc>
          <w:tcPr>
            <w:tcW w:w="800" w:type="dxa"/>
            <w:vAlign w:val="bottom"/>
          </w:tcPr>
          <w:p>
            <w:pPr>
              <w:ind w:left="100"/>
              <w:spacing w:after="0"/>
              <w:rPr>
                <w:sz w:val="20"/>
                <w:szCs w:val="20"/>
                <w:color w:val="auto"/>
              </w:rPr>
            </w:pPr>
            <w:r>
              <w:rPr>
                <w:rFonts w:ascii="Courier New" w:cs="Courier New" w:eastAsia="Courier New" w:hAnsi="Courier New"/>
                <w:sz w:val="17"/>
                <w:szCs w:val="17"/>
                <w:color w:val="auto"/>
              </w:rPr>
              <w:t>ended</w:t>
            </w:r>
          </w:p>
        </w:tc>
        <w:tc>
          <w:tcPr>
            <w:tcW w:w="0" w:type="dxa"/>
            <w:vAlign w:val="bottom"/>
          </w:tcPr>
          <w:p>
            <w:pPr>
              <w:spacing w:after="0"/>
              <w:rPr>
                <w:sz w:val="1"/>
                <w:szCs w:val="1"/>
                <w:color w:val="auto"/>
              </w:rPr>
            </w:pPr>
          </w:p>
        </w:tc>
      </w:tr>
      <w:tr>
        <w:trPr>
          <w:trHeight w:val="193"/>
        </w:trPr>
        <w:tc>
          <w:tcPr>
            <w:tcW w:w="6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60" w:type="dxa"/>
            <w:vAlign w:val="bottom"/>
            <w:gridSpan w:val="3"/>
          </w:tcPr>
          <w:p>
            <w:pPr>
              <w:jc w:val="right"/>
              <w:ind w:right="516"/>
              <w:spacing w:after="0"/>
              <w:rPr>
                <w:sz w:val="20"/>
                <w:szCs w:val="20"/>
                <w:color w:val="auto"/>
              </w:rPr>
            </w:pPr>
            <w:r>
              <w:rPr>
                <w:rFonts w:ascii="Courier New" w:cs="Courier New" w:eastAsia="Courier New" w:hAnsi="Courier New"/>
                <w:sz w:val="17"/>
                <w:szCs w:val="17"/>
                <w:color w:val="auto"/>
              </w:rPr>
              <w:t>September 30,</w:t>
            </w:r>
          </w:p>
        </w:tc>
        <w:tc>
          <w:tcPr>
            <w:tcW w:w="300" w:type="dxa"/>
            <w:vAlign w:val="bottom"/>
          </w:tcPr>
          <w:p>
            <w:pPr>
              <w:spacing w:after="0"/>
              <w:rPr>
                <w:sz w:val="16"/>
                <w:szCs w:val="16"/>
                <w:color w:val="auto"/>
              </w:rPr>
            </w:pPr>
          </w:p>
        </w:tc>
        <w:tc>
          <w:tcPr>
            <w:tcW w:w="2100" w:type="dxa"/>
            <w:vAlign w:val="bottom"/>
            <w:gridSpan w:val="3"/>
          </w:tcPr>
          <w:p>
            <w:pPr>
              <w:jc w:val="right"/>
              <w:ind w:right="316"/>
              <w:spacing w:after="0"/>
              <w:rPr>
                <w:sz w:val="20"/>
                <w:szCs w:val="20"/>
                <w:color w:val="auto"/>
              </w:rPr>
            </w:pPr>
            <w:r>
              <w:rPr>
                <w:rFonts w:ascii="Courier New" w:cs="Courier New" w:eastAsia="Courier New" w:hAnsi="Courier New"/>
                <w:sz w:val="17"/>
                <w:szCs w:val="17"/>
                <w:color w:val="auto"/>
              </w:rPr>
              <w:t>September 30,</w:t>
            </w:r>
          </w:p>
        </w:tc>
        <w:tc>
          <w:tcPr>
            <w:tcW w:w="0" w:type="dxa"/>
            <w:vAlign w:val="bottom"/>
          </w:tcPr>
          <w:p>
            <w:pPr>
              <w:spacing w:after="0"/>
              <w:rPr>
                <w:sz w:val="1"/>
                <w:szCs w:val="1"/>
                <w:color w:val="auto"/>
              </w:rPr>
            </w:pPr>
          </w:p>
        </w:tc>
      </w:tr>
      <w:tr>
        <w:trPr>
          <w:trHeight w:val="193"/>
        </w:trPr>
        <w:tc>
          <w:tcPr>
            <w:tcW w:w="6560" w:type="dxa"/>
            <w:vAlign w:val="bottom"/>
          </w:tcPr>
          <w:p>
            <w:pPr>
              <w:spacing w:after="0"/>
              <w:rPr>
                <w:sz w:val="16"/>
                <w:szCs w:val="16"/>
                <w:color w:val="auto"/>
              </w:rPr>
            </w:pPr>
          </w:p>
        </w:tc>
        <w:tc>
          <w:tcPr>
            <w:tcW w:w="2560" w:type="dxa"/>
            <w:vAlign w:val="bottom"/>
            <w:gridSpan w:val="4"/>
          </w:tcPr>
          <w:p>
            <w:pPr>
              <w:ind w:left="260"/>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2100" w:type="dxa"/>
            <w:vAlign w:val="bottom"/>
            <w:gridSpan w:val="3"/>
          </w:tcPr>
          <w:p>
            <w:pPr>
              <w:ind w:left="100"/>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81"/>
        </w:trPr>
        <w:tc>
          <w:tcPr>
            <w:tcW w:w="6560" w:type="dxa"/>
            <w:vAlign w:val="bottom"/>
          </w:tcPr>
          <w:p>
            <w:pPr>
              <w:spacing w:after="0"/>
              <w:rPr>
                <w:sz w:val="24"/>
                <w:szCs w:val="24"/>
                <w:color w:val="auto"/>
              </w:rPr>
            </w:pPr>
          </w:p>
        </w:tc>
        <w:tc>
          <w:tcPr>
            <w:tcW w:w="136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1999</w:t>
            </w:r>
          </w:p>
        </w:tc>
        <w:tc>
          <w:tcPr>
            <w:tcW w:w="360" w:type="dxa"/>
            <w:vAlign w:val="bottom"/>
          </w:tcPr>
          <w:p>
            <w:pPr>
              <w:spacing w:after="0"/>
              <w:rPr>
                <w:sz w:val="24"/>
                <w:szCs w:val="24"/>
                <w:color w:val="auto"/>
              </w:rPr>
            </w:pPr>
          </w:p>
        </w:tc>
        <w:tc>
          <w:tcPr>
            <w:tcW w:w="8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1998</w:t>
            </w:r>
          </w:p>
        </w:tc>
        <w:tc>
          <w:tcPr>
            <w:tcW w:w="300" w:type="dxa"/>
            <w:vAlign w:val="bottom"/>
          </w:tcPr>
          <w:p>
            <w:pPr>
              <w:spacing w:after="0"/>
              <w:rPr>
                <w:sz w:val="24"/>
                <w:szCs w:val="24"/>
                <w:color w:val="auto"/>
              </w:rPr>
            </w:pPr>
          </w:p>
        </w:tc>
        <w:tc>
          <w:tcPr>
            <w:tcW w:w="960" w:type="dxa"/>
            <w:vAlign w:val="bottom"/>
          </w:tcPr>
          <w:p>
            <w:pPr>
              <w:ind w:left="100"/>
              <w:spacing w:after="0"/>
              <w:rPr>
                <w:sz w:val="20"/>
                <w:szCs w:val="20"/>
                <w:color w:val="auto"/>
              </w:rPr>
            </w:pPr>
            <w:r>
              <w:rPr>
                <w:rFonts w:ascii="Courier New" w:cs="Courier New" w:eastAsia="Courier New" w:hAnsi="Courier New"/>
                <w:sz w:val="17"/>
                <w:szCs w:val="17"/>
                <w:color w:val="auto"/>
              </w:rPr>
              <w:t>1999</w:t>
            </w:r>
          </w:p>
        </w:tc>
        <w:tc>
          <w:tcPr>
            <w:tcW w:w="340" w:type="dxa"/>
            <w:vAlign w:val="bottom"/>
          </w:tcPr>
          <w:p>
            <w:pPr>
              <w:spacing w:after="0"/>
              <w:rPr>
                <w:sz w:val="24"/>
                <w:szCs w:val="24"/>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7"/>
                <w:szCs w:val="17"/>
                <w:color w:val="auto"/>
              </w:rPr>
              <w:t>1998</w:t>
            </w:r>
          </w:p>
        </w:tc>
        <w:tc>
          <w:tcPr>
            <w:tcW w:w="0" w:type="dxa"/>
            <w:vAlign w:val="bottom"/>
          </w:tcPr>
          <w:p>
            <w:pPr>
              <w:spacing w:after="0"/>
              <w:rPr>
                <w:sz w:val="1"/>
                <w:szCs w:val="1"/>
                <w:color w:val="auto"/>
              </w:rPr>
            </w:pPr>
          </w:p>
        </w:tc>
      </w:tr>
      <w:tr>
        <w:trPr>
          <w:trHeight w:val="490"/>
        </w:trPr>
        <w:tc>
          <w:tcPr>
            <w:tcW w:w="6560" w:type="dxa"/>
            <w:vAlign w:val="bottom"/>
          </w:tcPr>
          <w:p>
            <w:pPr>
              <w:spacing w:after="0"/>
              <w:rPr>
                <w:sz w:val="20"/>
                <w:szCs w:val="20"/>
                <w:color w:val="auto"/>
              </w:rPr>
            </w:pPr>
            <w:r>
              <w:rPr>
                <w:rFonts w:ascii="Courier New" w:cs="Courier New" w:eastAsia="Courier New" w:hAnsi="Courier New"/>
                <w:sz w:val="17"/>
                <w:szCs w:val="17"/>
                <w:color w:val="auto"/>
              </w:rPr>
              <w:t>Revenue</w:t>
            </w:r>
          </w:p>
        </w:tc>
        <w:tc>
          <w:tcPr>
            <w:tcW w:w="13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$ 37,266</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$ 28,832</w:t>
            </w:r>
          </w:p>
        </w:tc>
        <w:tc>
          <w:tcPr>
            <w:tcW w:w="126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$ 105,889</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82,198</w:t>
            </w:r>
          </w:p>
        </w:tc>
        <w:tc>
          <w:tcPr>
            <w:tcW w:w="0" w:type="dxa"/>
            <w:vAlign w:val="bottom"/>
          </w:tcPr>
          <w:p>
            <w:pPr>
              <w:spacing w:after="0"/>
              <w:rPr>
                <w:sz w:val="1"/>
                <w:szCs w:val="1"/>
                <w:color w:val="auto"/>
              </w:rPr>
            </w:pPr>
          </w:p>
        </w:tc>
      </w:tr>
      <w:tr>
        <w:trPr>
          <w:trHeight w:val="193"/>
        </w:trPr>
        <w:tc>
          <w:tcPr>
            <w:tcW w:w="6560" w:type="dxa"/>
            <w:vAlign w:val="bottom"/>
          </w:tcPr>
          <w:p>
            <w:pPr>
              <w:spacing w:after="0"/>
              <w:rPr>
                <w:sz w:val="20"/>
                <w:szCs w:val="20"/>
                <w:color w:val="auto"/>
              </w:rPr>
            </w:pPr>
            <w:r>
              <w:rPr>
                <w:rFonts w:ascii="Courier New" w:cs="Courier New" w:eastAsia="Courier New" w:hAnsi="Courier New"/>
                <w:sz w:val="17"/>
                <w:szCs w:val="17"/>
                <w:color w:val="auto"/>
              </w:rPr>
              <w:t>Costs and expenses:</w:t>
            </w:r>
          </w:p>
        </w:tc>
        <w:tc>
          <w:tcPr>
            <w:tcW w:w="400" w:type="dxa"/>
            <w:vAlign w:val="bottom"/>
          </w:tcPr>
          <w:p>
            <w:pPr>
              <w:spacing w:after="0"/>
              <w:rPr>
                <w:sz w:val="16"/>
                <w:szCs w:val="16"/>
                <w:color w:val="auto"/>
              </w:rPr>
            </w:pPr>
          </w:p>
        </w:tc>
        <w:tc>
          <w:tcPr>
            <w:tcW w:w="960" w:type="dxa"/>
            <w:vAlign w:val="bottom"/>
            <w:vMerge w:val="restart"/>
          </w:tcPr>
          <w:p>
            <w:pPr>
              <w:jc w:val="right"/>
              <w:ind w:right="216"/>
              <w:spacing w:after="0"/>
              <w:rPr>
                <w:sz w:val="20"/>
                <w:szCs w:val="20"/>
                <w:color w:val="auto"/>
              </w:rPr>
            </w:pPr>
            <w:r>
              <w:rPr>
                <w:rFonts w:ascii="Courier New" w:cs="Courier New" w:eastAsia="Courier New" w:hAnsi="Courier New"/>
                <w:sz w:val="17"/>
                <w:szCs w:val="17"/>
                <w:color w:val="auto"/>
              </w:rPr>
              <w:t>14,538</w:t>
            </w:r>
          </w:p>
        </w:tc>
        <w:tc>
          <w:tcPr>
            <w:tcW w:w="360" w:type="dxa"/>
            <w:vAlign w:val="bottom"/>
          </w:tcPr>
          <w:p>
            <w:pPr>
              <w:spacing w:after="0"/>
              <w:rPr>
                <w:sz w:val="16"/>
                <w:szCs w:val="16"/>
                <w:color w:val="auto"/>
              </w:rPr>
            </w:pPr>
          </w:p>
        </w:tc>
        <w:tc>
          <w:tcPr>
            <w:tcW w:w="840" w:type="dxa"/>
            <w:vAlign w:val="bottom"/>
            <w:vMerge w:val="restart"/>
          </w:tcPr>
          <w:p>
            <w:pPr>
              <w:jc w:val="right"/>
              <w:ind w:right="116"/>
              <w:spacing w:after="0"/>
              <w:rPr>
                <w:sz w:val="20"/>
                <w:szCs w:val="20"/>
                <w:color w:val="auto"/>
              </w:rPr>
            </w:pPr>
            <w:r>
              <w:rPr>
                <w:rFonts w:ascii="Courier New" w:cs="Courier New" w:eastAsia="Courier New" w:hAnsi="Courier New"/>
                <w:sz w:val="17"/>
                <w:szCs w:val="17"/>
                <w:color w:val="auto"/>
              </w:rPr>
              <w:t>10,789</w:t>
            </w:r>
          </w:p>
        </w:tc>
        <w:tc>
          <w:tcPr>
            <w:tcW w:w="300" w:type="dxa"/>
            <w:vAlign w:val="bottom"/>
          </w:tcPr>
          <w:p>
            <w:pPr>
              <w:spacing w:after="0"/>
              <w:rPr>
                <w:sz w:val="16"/>
                <w:szCs w:val="16"/>
                <w:color w:val="auto"/>
              </w:rPr>
            </w:pPr>
          </w:p>
        </w:tc>
        <w:tc>
          <w:tcPr>
            <w:tcW w:w="960" w:type="dxa"/>
            <w:vAlign w:val="bottom"/>
            <w:vMerge w:val="restart"/>
          </w:tcPr>
          <w:p>
            <w:pPr>
              <w:jc w:val="right"/>
              <w:ind w:right="176"/>
              <w:spacing w:after="0"/>
              <w:rPr>
                <w:sz w:val="20"/>
                <w:szCs w:val="20"/>
                <w:color w:val="auto"/>
              </w:rPr>
            </w:pPr>
            <w:r>
              <w:rPr>
                <w:rFonts w:ascii="Courier New" w:cs="Courier New" w:eastAsia="Courier New" w:hAnsi="Courier New"/>
                <w:sz w:val="17"/>
                <w:szCs w:val="17"/>
                <w:color w:val="auto"/>
              </w:rPr>
              <w:t>40,638</w:t>
            </w:r>
          </w:p>
        </w:tc>
        <w:tc>
          <w:tcPr>
            <w:tcW w:w="340" w:type="dxa"/>
            <w:vAlign w:val="bottom"/>
          </w:tcPr>
          <w:p>
            <w:pPr>
              <w:spacing w:after="0"/>
              <w:rPr>
                <w:sz w:val="16"/>
                <w:szCs w:val="16"/>
                <w:color w:val="auto"/>
              </w:rPr>
            </w:pPr>
          </w:p>
        </w:tc>
        <w:tc>
          <w:tcPr>
            <w:tcW w:w="800" w:type="dxa"/>
            <w:vAlign w:val="bottom"/>
            <w:vMerge w:val="restart"/>
          </w:tcPr>
          <w:p>
            <w:pPr>
              <w:jc w:val="right"/>
              <w:ind w:right="16"/>
              <w:spacing w:after="0"/>
              <w:rPr>
                <w:sz w:val="20"/>
                <w:szCs w:val="20"/>
                <w:color w:val="auto"/>
              </w:rPr>
            </w:pPr>
            <w:r>
              <w:rPr>
                <w:rFonts w:ascii="Courier New" w:cs="Courier New" w:eastAsia="Courier New" w:hAnsi="Courier New"/>
                <w:sz w:val="17"/>
                <w:szCs w:val="17"/>
                <w:color w:val="auto"/>
              </w:rPr>
              <w:t>31,571</w:t>
            </w:r>
          </w:p>
        </w:tc>
        <w:tc>
          <w:tcPr>
            <w:tcW w:w="0" w:type="dxa"/>
            <w:vAlign w:val="bottom"/>
          </w:tcPr>
          <w:p>
            <w:pPr>
              <w:spacing w:after="0"/>
              <w:rPr>
                <w:sz w:val="1"/>
                <w:szCs w:val="1"/>
                <w:color w:val="auto"/>
              </w:rPr>
            </w:pPr>
          </w:p>
        </w:tc>
      </w:tr>
      <w:tr>
        <w:trPr>
          <w:trHeight w:val="193"/>
        </w:trPr>
        <w:tc>
          <w:tcPr>
            <w:tcW w:w="6560" w:type="dxa"/>
            <w:vAlign w:val="bottom"/>
          </w:tcPr>
          <w:p>
            <w:pPr>
              <w:ind w:left="300"/>
              <w:spacing w:after="0"/>
              <w:rPr>
                <w:sz w:val="20"/>
                <w:szCs w:val="20"/>
                <w:color w:val="auto"/>
              </w:rPr>
            </w:pPr>
            <w:r>
              <w:rPr>
                <w:rFonts w:ascii="Courier New" w:cs="Courier New" w:eastAsia="Courier New" w:hAnsi="Courier New"/>
                <w:sz w:val="17"/>
                <w:szCs w:val="17"/>
                <w:color w:val="auto"/>
              </w:rPr>
              <w:t>Operating expenses</w:t>
            </w:r>
          </w:p>
        </w:tc>
        <w:tc>
          <w:tcPr>
            <w:tcW w:w="4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560" w:type="dxa"/>
            <w:vAlign w:val="bottom"/>
          </w:tcPr>
          <w:p>
            <w:pPr>
              <w:ind w:left="300"/>
              <w:spacing w:after="0"/>
              <w:rPr>
                <w:sz w:val="20"/>
                <w:szCs w:val="20"/>
                <w:color w:val="auto"/>
              </w:rPr>
            </w:pPr>
            <w:r>
              <w:rPr>
                <w:rFonts w:ascii="Courier New" w:cs="Courier New" w:eastAsia="Courier New" w:hAnsi="Courier New"/>
                <w:sz w:val="17"/>
                <w:szCs w:val="17"/>
                <w:color w:val="auto"/>
              </w:rPr>
              <w:t>General, administrative and selling expenses</w:t>
            </w:r>
          </w:p>
        </w:tc>
        <w:tc>
          <w:tcPr>
            <w:tcW w:w="400" w:type="dxa"/>
            <w:vAlign w:val="bottom"/>
          </w:tcPr>
          <w:p>
            <w:pPr>
              <w:spacing w:after="0"/>
              <w:rPr>
                <w:sz w:val="16"/>
                <w:szCs w:val="16"/>
                <w:color w:val="auto"/>
              </w:rPr>
            </w:pPr>
          </w:p>
        </w:tc>
        <w:tc>
          <w:tcPr>
            <w:tcW w:w="9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5,815</w:t>
            </w:r>
          </w:p>
        </w:tc>
        <w:tc>
          <w:tcPr>
            <w:tcW w:w="360" w:type="dxa"/>
            <w:vAlign w:val="bottom"/>
          </w:tcPr>
          <w:p>
            <w:pPr>
              <w:spacing w:after="0"/>
              <w:rPr>
                <w:sz w:val="16"/>
                <w:szCs w:val="16"/>
                <w:color w:val="auto"/>
              </w:rPr>
            </w:pPr>
          </w:p>
        </w:tc>
        <w:tc>
          <w:tcPr>
            <w:tcW w:w="8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5,177</w:t>
            </w:r>
          </w:p>
        </w:tc>
        <w:tc>
          <w:tcPr>
            <w:tcW w:w="30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17,238</w:t>
            </w:r>
          </w:p>
        </w:tc>
        <w:tc>
          <w:tcPr>
            <w:tcW w:w="3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15,138</w:t>
            </w:r>
          </w:p>
        </w:tc>
        <w:tc>
          <w:tcPr>
            <w:tcW w:w="0" w:type="dxa"/>
            <w:vAlign w:val="bottom"/>
          </w:tcPr>
          <w:p>
            <w:pPr>
              <w:spacing w:after="0"/>
              <w:rPr>
                <w:sz w:val="1"/>
                <w:szCs w:val="1"/>
                <w:color w:val="auto"/>
              </w:rPr>
            </w:pPr>
          </w:p>
        </w:tc>
      </w:tr>
      <w:tr>
        <w:trPr>
          <w:trHeight w:val="193"/>
        </w:trPr>
        <w:tc>
          <w:tcPr>
            <w:tcW w:w="6560" w:type="dxa"/>
            <w:vAlign w:val="bottom"/>
          </w:tcPr>
          <w:p>
            <w:pPr>
              <w:ind w:left="300"/>
              <w:spacing w:after="0"/>
              <w:rPr>
                <w:sz w:val="20"/>
                <w:szCs w:val="20"/>
                <w:color w:val="auto"/>
              </w:rPr>
            </w:pPr>
            <w:r>
              <w:rPr>
                <w:rFonts w:ascii="Courier New" w:cs="Courier New" w:eastAsia="Courier New" w:hAnsi="Courier New"/>
                <w:sz w:val="17"/>
                <w:szCs w:val="17"/>
                <w:color w:val="auto"/>
              </w:rPr>
              <w:t>Depreciation and amortization</w:t>
            </w:r>
          </w:p>
        </w:tc>
        <w:tc>
          <w:tcPr>
            <w:tcW w:w="400" w:type="dxa"/>
            <w:vAlign w:val="bottom"/>
          </w:tcPr>
          <w:p>
            <w:pPr>
              <w:spacing w:after="0"/>
              <w:rPr>
                <w:sz w:val="16"/>
                <w:szCs w:val="16"/>
                <w:color w:val="auto"/>
              </w:rPr>
            </w:pPr>
          </w:p>
        </w:tc>
        <w:tc>
          <w:tcPr>
            <w:tcW w:w="9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3,544</w:t>
            </w:r>
          </w:p>
        </w:tc>
        <w:tc>
          <w:tcPr>
            <w:tcW w:w="360" w:type="dxa"/>
            <w:vAlign w:val="bottom"/>
          </w:tcPr>
          <w:p>
            <w:pPr>
              <w:spacing w:after="0"/>
              <w:rPr>
                <w:sz w:val="16"/>
                <w:szCs w:val="16"/>
                <w:color w:val="auto"/>
              </w:rPr>
            </w:pPr>
          </w:p>
        </w:tc>
        <w:tc>
          <w:tcPr>
            <w:tcW w:w="8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2,795</w:t>
            </w:r>
          </w:p>
        </w:tc>
        <w:tc>
          <w:tcPr>
            <w:tcW w:w="30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9,987</w:t>
            </w:r>
          </w:p>
        </w:tc>
        <w:tc>
          <w:tcPr>
            <w:tcW w:w="3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7,903</w:t>
            </w:r>
          </w:p>
        </w:tc>
        <w:tc>
          <w:tcPr>
            <w:tcW w:w="0" w:type="dxa"/>
            <w:vAlign w:val="bottom"/>
          </w:tcPr>
          <w:p>
            <w:pPr>
              <w:spacing w:after="0"/>
              <w:rPr>
                <w:sz w:val="1"/>
                <w:szCs w:val="1"/>
                <w:color w:val="auto"/>
              </w:rPr>
            </w:pPr>
          </w:p>
        </w:tc>
      </w:tr>
      <w:tr>
        <w:trPr>
          <w:trHeight w:val="193"/>
        </w:trPr>
        <w:tc>
          <w:tcPr>
            <w:tcW w:w="6560" w:type="dxa"/>
            <w:vAlign w:val="bottom"/>
          </w:tcPr>
          <w:p>
            <w:pPr>
              <w:ind w:left="300"/>
              <w:spacing w:after="0"/>
              <w:rPr>
                <w:sz w:val="20"/>
                <w:szCs w:val="20"/>
                <w:color w:val="auto"/>
              </w:rPr>
            </w:pPr>
            <w:r>
              <w:rPr>
                <w:rFonts w:ascii="Courier New" w:cs="Courier New" w:eastAsia="Courier New" w:hAnsi="Courier New"/>
                <w:sz w:val="17"/>
                <w:szCs w:val="17"/>
                <w:color w:val="auto"/>
              </w:rPr>
              <w:t>Systems development and programming costs</w:t>
            </w:r>
          </w:p>
        </w:tc>
        <w:tc>
          <w:tcPr>
            <w:tcW w:w="400" w:type="dxa"/>
            <w:vAlign w:val="bottom"/>
          </w:tcPr>
          <w:p>
            <w:pPr>
              <w:spacing w:after="0"/>
              <w:rPr>
                <w:sz w:val="16"/>
                <w:szCs w:val="16"/>
                <w:color w:val="auto"/>
              </w:rPr>
            </w:pPr>
          </w:p>
        </w:tc>
        <w:tc>
          <w:tcPr>
            <w:tcW w:w="9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6,211</w:t>
            </w:r>
          </w:p>
        </w:tc>
        <w:tc>
          <w:tcPr>
            <w:tcW w:w="360" w:type="dxa"/>
            <w:vAlign w:val="bottom"/>
          </w:tcPr>
          <w:p>
            <w:pPr>
              <w:spacing w:after="0"/>
              <w:rPr>
                <w:sz w:val="16"/>
                <w:szCs w:val="16"/>
                <w:color w:val="auto"/>
              </w:rPr>
            </w:pPr>
          </w:p>
        </w:tc>
        <w:tc>
          <w:tcPr>
            <w:tcW w:w="8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4,068</w:t>
            </w:r>
          </w:p>
        </w:tc>
        <w:tc>
          <w:tcPr>
            <w:tcW w:w="30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17,099</w:t>
            </w:r>
          </w:p>
        </w:tc>
        <w:tc>
          <w:tcPr>
            <w:tcW w:w="3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11,386</w:t>
            </w:r>
          </w:p>
        </w:tc>
        <w:tc>
          <w:tcPr>
            <w:tcW w:w="0" w:type="dxa"/>
            <w:vAlign w:val="bottom"/>
          </w:tcPr>
          <w:p>
            <w:pPr>
              <w:spacing w:after="0"/>
              <w:rPr>
                <w:sz w:val="1"/>
                <w:szCs w:val="1"/>
                <w:color w:val="auto"/>
              </w:rPr>
            </w:pPr>
          </w:p>
        </w:tc>
      </w:tr>
      <w:tr>
        <w:trPr>
          <w:trHeight w:val="193"/>
        </w:trPr>
        <w:tc>
          <w:tcPr>
            <w:tcW w:w="6560" w:type="dxa"/>
            <w:vAlign w:val="bottom"/>
          </w:tcPr>
          <w:p>
            <w:pPr>
              <w:ind w:left="300"/>
              <w:spacing w:after="0"/>
              <w:rPr>
                <w:sz w:val="20"/>
                <w:szCs w:val="20"/>
                <w:color w:val="auto"/>
              </w:rPr>
            </w:pPr>
            <w:r>
              <w:rPr>
                <w:rFonts w:ascii="Courier New" w:cs="Courier New" w:eastAsia="Courier New" w:hAnsi="Courier New"/>
                <w:sz w:val="17"/>
                <w:szCs w:val="17"/>
                <w:color w:val="auto"/>
              </w:rPr>
              <w:t>Merger related costs</w:t>
            </w:r>
          </w:p>
        </w:tc>
        <w:tc>
          <w:tcPr>
            <w:tcW w:w="400" w:type="dxa"/>
            <w:vAlign w:val="bottom"/>
          </w:tcPr>
          <w:p>
            <w:pPr>
              <w:spacing w:after="0"/>
              <w:rPr>
                <w:sz w:val="16"/>
                <w:szCs w:val="16"/>
                <w:color w:val="auto"/>
              </w:rPr>
            </w:pPr>
          </w:p>
        </w:tc>
        <w:tc>
          <w:tcPr>
            <w:tcW w:w="9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1,163</w:t>
            </w:r>
          </w:p>
        </w:tc>
        <w:tc>
          <w:tcPr>
            <w:tcW w:w="360" w:type="dxa"/>
            <w:vAlign w:val="bottom"/>
          </w:tcPr>
          <w:p>
            <w:pPr>
              <w:spacing w:after="0"/>
              <w:rPr>
                <w:sz w:val="16"/>
                <w:szCs w:val="16"/>
                <w:color w:val="auto"/>
              </w:rPr>
            </w:pPr>
          </w:p>
        </w:tc>
        <w:tc>
          <w:tcPr>
            <w:tcW w:w="8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1,163</w:t>
            </w:r>
          </w:p>
        </w:tc>
        <w:tc>
          <w:tcPr>
            <w:tcW w:w="3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3"/>
        </w:trPr>
        <w:tc>
          <w:tcPr>
            <w:tcW w:w="6560" w:type="dxa"/>
            <w:vAlign w:val="bottom"/>
          </w:tcPr>
          <w:p>
            <w:pPr>
              <w:ind w:left="300"/>
              <w:spacing w:after="0"/>
              <w:rPr>
                <w:sz w:val="20"/>
                <w:szCs w:val="20"/>
                <w:color w:val="auto"/>
              </w:rPr>
            </w:pPr>
            <w:r>
              <w:rPr>
                <w:rFonts w:ascii="Courier New" w:cs="Courier New" w:eastAsia="Courier New" w:hAnsi="Courier New"/>
                <w:sz w:val="17"/>
                <w:szCs w:val="17"/>
                <w:color w:val="auto"/>
              </w:rPr>
              <w:t>Personnel and indirect acquisition costs</w:t>
            </w:r>
          </w:p>
        </w:tc>
        <w:tc>
          <w:tcPr>
            <w:tcW w:w="400" w:type="dxa"/>
            <w:vAlign w:val="bottom"/>
          </w:tcPr>
          <w:p>
            <w:pPr>
              <w:spacing w:after="0"/>
              <w:rPr>
                <w:sz w:val="16"/>
                <w:szCs w:val="16"/>
                <w:color w:val="auto"/>
              </w:rPr>
            </w:pPr>
          </w:p>
        </w:tc>
        <w:tc>
          <w:tcPr>
            <w:tcW w:w="9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8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4,713</w:t>
            </w:r>
          </w:p>
        </w:tc>
        <w:tc>
          <w:tcPr>
            <w:tcW w:w="0" w:type="dxa"/>
            <w:vAlign w:val="bottom"/>
          </w:tcPr>
          <w:p>
            <w:pPr>
              <w:spacing w:after="0"/>
              <w:rPr>
                <w:sz w:val="1"/>
                <w:szCs w:val="1"/>
                <w:color w:val="auto"/>
              </w:rPr>
            </w:pPr>
          </w:p>
        </w:tc>
      </w:tr>
      <w:tr>
        <w:trPr>
          <w:trHeight w:val="193"/>
        </w:trPr>
        <w:tc>
          <w:tcPr>
            <w:tcW w:w="6560" w:type="dxa"/>
            <w:vAlign w:val="bottom"/>
          </w:tcPr>
          <w:p>
            <w:pPr>
              <w:ind w:left="300"/>
              <w:spacing w:after="0"/>
              <w:rPr>
                <w:sz w:val="20"/>
                <w:szCs w:val="20"/>
                <w:color w:val="auto"/>
              </w:rPr>
            </w:pPr>
            <w:r>
              <w:rPr>
                <w:rFonts w:ascii="Courier New" w:cs="Courier New" w:eastAsia="Courier New" w:hAnsi="Courier New"/>
                <w:sz w:val="17"/>
                <w:szCs w:val="17"/>
                <w:color w:val="auto"/>
              </w:rPr>
              <w:t>In-process research and development</w:t>
            </w:r>
          </w:p>
        </w:tc>
        <w:tc>
          <w:tcPr>
            <w:tcW w:w="400" w:type="dxa"/>
            <w:vAlign w:val="bottom"/>
          </w:tcPr>
          <w:p>
            <w:pPr>
              <w:spacing w:after="0"/>
              <w:rPr>
                <w:sz w:val="16"/>
                <w:szCs w:val="16"/>
                <w:color w:val="auto"/>
              </w:rPr>
            </w:pPr>
          </w:p>
        </w:tc>
        <w:tc>
          <w:tcPr>
            <w:tcW w:w="9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8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20,800</w:t>
            </w:r>
          </w:p>
        </w:tc>
        <w:tc>
          <w:tcPr>
            <w:tcW w:w="0" w:type="dxa"/>
            <w:vAlign w:val="bottom"/>
          </w:tcPr>
          <w:p>
            <w:pPr>
              <w:spacing w:after="0"/>
              <w:rPr>
                <w:sz w:val="1"/>
                <w:szCs w:val="1"/>
                <w:color w:val="auto"/>
              </w:rPr>
            </w:pPr>
          </w:p>
        </w:tc>
      </w:tr>
      <w:tr>
        <w:trPr>
          <w:trHeight w:val="193"/>
        </w:trPr>
        <w:tc>
          <w:tcPr>
            <w:tcW w:w="6560" w:type="dxa"/>
            <w:vAlign w:val="bottom"/>
          </w:tcPr>
          <w:p>
            <w:pPr>
              <w:spacing w:after="0"/>
              <w:rPr>
                <w:sz w:val="16"/>
                <w:szCs w:val="16"/>
                <w:color w:val="auto"/>
              </w:rPr>
            </w:pPr>
          </w:p>
        </w:tc>
        <w:tc>
          <w:tcPr>
            <w:tcW w:w="13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3"/>
        </w:trPr>
        <w:tc>
          <w:tcPr>
            <w:tcW w:w="6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31,271</w:t>
            </w:r>
          </w:p>
        </w:tc>
        <w:tc>
          <w:tcPr>
            <w:tcW w:w="360" w:type="dxa"/>
            <w:vAlign w:val="bottom"/>
          </w:tcPr>
          <w:p>
            <w:pPr>
              <w:spacing w:after="0"/>
              <w:rPr>
                <w:sz w:val="16"/>
                <w:szCs w:val="16"/>
                <w:color w:val="auto"/>
              </w:rPr>
            </w:pPr>
          </w:p>
        </w:tc>
        <w:tc>
          <w:tcPr>
            <w:tcW w:w="8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22,829</w:t>
            </w:r>
          </w:p>
        </w:tc>
        <w:tc>
          <w:tcPr>
            <w:tcW w:w="30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86,125</w:t>
            </w:r>
          </w:p>
        </w:tc>
        <w:tc>
          <w:tcPr>
            <w:tcW w:w="3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91,511</w:t>
            </w:r>
          </w:p>
        </w:tc>
        <w:tc>
          <w:tcPr>
            <w:tcW w:w="0" w:type="dxa"/>
            <w:vAlign w:val="bottom"/>
          </w:tcPr>
          <w:p>
            <w:pPr>
              <w:spacing w:after="0"/>
              <w:rPr>
                <w:sz w:val="1"/>
                <w:szCs w:val="1"/>
                <w:color w:val="auto"/>
              </w:rPr>
            </w:pPr>
          </w:p>
        </w:tc>
      </w:tr>
      <w:tr>
        <w:trPr>
          <w:trHeight w:val="193"/>
        </w:trPr>
        <w:tc>
          <w:tcPr>
            <w:tcW w:w="6560" w:type="dxa"/>
            <w:vAlign w:val="bottom"/>
            <w:vMerge w:val="restart"/>
          </w:tcPr>
          <w:p>
            <w:pPr>
              <w:spacing w:after="0"/>
              <w:rPr>
                <w:sz w:val="20"/>
                <w:szCs w:val="20"/>
                <w:color w:val="auto"/>
              </w:rPr>
            </w:pPr>
            <w:r>
              <w:rPr>
                <w:rFonts w:ascii="Courier New" w:cs="Courier New" w:eastAsia="Courier New" w:hAnsi="Courier New"/>
                <w:sz w:val="17"/>
                <w:szCs w:val="17"/>
                <w:color w:val="auto"/>
              </w:rPr>
              <w:t>Operating income (loss)</w:t>
            </w:r>
          </w:p>
        </w:tc>
        <w:tc>
          <w:tcPr>
            <w:tcW w:w="13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3"/>
        </w:trPr>
        <w:tc>
          <w:tcPr>
            <w:tcW w:w="656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5,995</w:t>
            </w:r>
          </w:p>
        </w:tc>
        <w:tc>
          <w:tcPr>
            <w:tcW w:w="360" w:type="dxa"/>
            <w:vAlign w:val="bottom"/>
          </w:tcPr>
          <w:p>
            <w:pPr>
              <w:spacing w:after="0"/>
              <w:rPr>
                <w:sz w:val="16"/>
                <w:szCs w:val="16"/>
                <w:color w:val="auto"/>
              </w:rPr>
            </w:pPr>
          </w:p>
        </w:tc>
        <w:tc>
          <w:tcPr>
            <w:tcW w:w="8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6,003</w:t>
            </w:r>
          </w:p>
        </w:tc>
        <w:tc>
          <w:tcPr>
            <w:tcW w:w="30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19,764</w:t>
            </w: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(9,313)</w:t>
            </w:r>
          </w:p>
        </w:tc>
        <w:tc>
          <w:tcPr>
            <w:tcW w:w="0" w:type="dxa"/>
            <w:vAlign w:val="bottom"/>
          </w:tcPr>
          <w:p>
            <w:pPr>
              <w:spacing w:after="0"/>
              <w:rPr>
                <w:sz w:val="1"/>
                <w:szCs w:val="1"/>
                <w:color w:val="auto"/>
              </w:rPr>
            </w:pPr>
          </w:p>
        </w:tc>
      </w:tr>
      <w:tr>
        <w:trPr>
          <w:trHeight w:val="193"/>
        </w:trPr>
        <w:tc>
          <w:tcPr>
            <w:tcW w:w="6560" w:type="dxa"/>
            <w:vAlign w:val="bottom"/>
          </w:tcPr>
          <w:p>
            <w:pPr>
              <w:spacing w:after="0"/>
              <w:rPr>
                <w:sz w:val="20"/>
                <w:szCs w:val="20"/>
                <w:color w:val="auto"/>
              </w:rPr>
            </w:pPr>
            <w:r>
              <w:rPr>
                <w:rFonts w:ascii="Courier New" w:cs="Courier New" w:eastAsia="Courier New" w:hAnsi="Courier New"/>
                <w:sz w:val="17"/>
                <w:szCs w:val="17"/>
                <w:color w:val="auto"/>
              </w:rPr>
              <w:t>Foreign currency loss</w:t>
            </w:r>
          </w:p>
        </w:tc>
        <w:tc>
          <w:tcPr>
            <w:tcW w:w="400" w:type="dxa"/>
            <w:vAlign w:val="bottom"/>
          </w:tcPr>
          <w:p>
            <w:pPr>
              <w:spacing w:after="0"/>
              <w:rPr>
                <w:sz w:val="16"/>
                <w:szCs w:val="16"/>
                <w:color w:val="auto"/>
              </w:rPr>
            </w:pP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(41)</w:t>
            </w:r>
          </w:p>
        </w:tc>
        <w:tc>
          <w:tcPr>
            <w:tcW w:w="360" w:type="dxa"/>
            <w:vAlign w:val="bottom"/>
          </w:tcPr>
          <w:p>
            <w:pPr>
              <w:spacing w:after="0"/>
              <w:rPr>
                <w:sz w:val="16"/>
                <w:szCs w:val="16"/>
                <w:color w:val="auto"/>
              </w:rPr>
            </w:pPr>
          </w:p>
        </w:tc>
        <w:tc>
          <w:tcPr>
            <w:tcW w:w="8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9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(341)</w:t>
            </w:r>
          </w:p>
        </w:tc>
        <w:tc>
          <w:tcPr>
            <w:tcW w:w="3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3"/>
        </w:trPr>
        <w:tc>
          <w:tcPr>
            <w:tcW w:w="6560" w:type="dxa"/>
            <w:vAlign w:val="bottom"/>
          </w:tcPr>
          <w:p>
            <w:pPr>
              <w:spacing w:after="0"/>
              <w:rPr>
                <w:sz w:val="20"/>
                <w:szCs w:val="20"/>
                <w:color w:val="auto"/>
              </w:rPr>
            </w:pPr>
            <w:r>
              <w:rPr>
                <w:rFonts w:ascii="Courier New" w:cs="Courier New" w:eastAsia="Courier New" w:hAnsi="Courier New"/>
                <w:sz w:val="17"/>
                <w:szCs w:val="17"/>
                <w:color w:val="auto"/>
              </w:rPr>
              <w:t>Other income</w:t>
            </w:r>
          </w:p>
        </w:tc>
        <w:tc>
          <w:tcPr>
            <w:tcW w:w="400" w:type="dxa"/>
            <w:vAlign w:val="bottom"/>
          </w:tcPr>
          <w:p>
            <w:pPr>
              <w:spacing w:after="0"/>
              <w:rPr>
                <w:sz w:val="16"/>
                <w:szCs w:val="16"/>
                <w:color w:val="auto"/>
              </w:rPr>
            </w:pPr>
          </w:p>
        </w:tc>
        <w:tc>
          <w:tcPr>
            <w:tcW w:w="9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639</w:t>
            </w:r>
          </w:p>
        </w:tc>
        <w:tc>
          <w:tcPr>
            <w:tcW w:w="360" w:type="dxa"/>
            <w:vAlign w:val="bottom"/>
          </w:tcPr>
          <w:p>
            <w:pPr>
              <w:spacing w:after="0"/>
              <w:rPr>
                <w:sz w:val="16"/>
                <w:szCs w:val="16"/>
                <w:color w:val="auto"/>
              </w:rPr>
            </w:pPr>
          </w:p>
        </w:tc>
        <w:tc>
          <w:tcPr>
            <w:tcW w:w="8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524</w:t>
            </w:r>
          </w:p>
        </w:tc>
        <w:tc>
          <w:tcPr>
            <w:tcW w:w="30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1,552</w:t>
            </w:r>
          </w:p>
        </w:tc>
        <w:tc>
          <w:tcPr>
            <w:tcW w:w="3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952</w:t>
            </w:r>
          </w:p>
        </w:tc>
        <w:tc>
          <w:tcPr>
            <w:tcW w:w="0" w:type="dxa"/>
            <w:vAlign w:val="bottom"/>
          </w:tcPr>
          <w:p>
            <w:pPr>
              <w:spacing w:after="0"/>
              <w:rPr>
                <w:sz w:val="1"/>
                <w:szCs w:val="1"/>
                <w:color w:val="auto"/>
              </w:rPr>
            </w:pPr>
          </w:p>
        </w:tc>
      </w:tr>
      <w:tr>
        <w:trPr>
          <w:trHeight w:val="193"/>
        </w:trPr>
        <w:tc>
          <w:tcPr>
            <w:tcW w:w="6560" w:type="dxa"/>
            <w:vAlign w:val="bottom"/>
          </w:tcPr>
          <w:p>
            <w:pPr>
              <w:spacing w:after="0"/>
              <w:rPr>
                <w:sz w:val="20"/>
                <w:szCs w:val="20"/>
                <w:color w:val="auto"/>
              </w:rPr>
            </w:pPr>
            <w:r>
              <w:rPr>
                <w:rFonts w:ascii="Courier New" w:cs="Courier New" w:eastAsia="Courier New" w:hAnsi="Courier New"/>
                <w:sz w:val="17"/>
                <w:szCs w:val="17"/>
                <w:color w:val="auto"/>
              </w:rPr>
              <w:t>Interest expense</w:t>
            </w:r>
          </w:p>
        </w:tc>
        <w:tc>
          <w:tcPr>
            <w:tcW w:w="400" w:type="dxa"/>
            <w:vAlign w:val="bottom"/>
          </w:tcPr>
          <w:p>
            <w:pPr>
              <w:spacing w:after="0"/>
              <w:rPr>
                <w:sz w:val="16"/>
                <w:szCs w:val="16"/>
                <w:color w:val="auto"/>
              </w:rPr>
            </w:pP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(32)</w:t>
            </w:r>
          </w:p>
        </w:tc>
        <w:tc>
          <w:tcPr>
            <w:tcW w:w="36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(47)</w:t>
            </w:r>
          </w:p>
        </w:tc>
        <w:tc>
          <w:tcPr>
            <w:tcW w:w="300" w:type="dxa"/>
            <w:vAlign w:val="bottom"/>
          </w:tcPr>
          <w:p>
            <w:pPr>
              <w:spacing w:after="0"/>
              <w:rPr>
                <w:sz w:val="16"/>
                <w:szCs w:val="16"/>
                <w:color w:val="auto"/>
              </w:rPr>
            </w:pPr>
          </w:p>
        </w:tc>
        <w:tc>
          <w:tcPr>
            <w:tcW w:w="9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(85)</w:t>
            </w: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(2,696)</w:t>
            </w:r>
          </w:p>
        </w:tc>
        <w:tc>
          <w:tcPr>
            <w:tcW w:w="0" w:type="dxa"/>
            <w:vAlign w:val="bottom"/>
          </w:tcPr>
          <w:p>
            <w:pPr>
              <w:spacing w:after="0"/>
              <w:rPr>
                <w:sz w:val="1"/>
                <w:szCs w:val="1"/>
                <w:color w:val="auto"/>
              </w:rPr>
            </w:pPr>
          </w:p>
        </w:tc>
      </w:tr>
      <w:tr>
        <w:trPr>
          <w:trHeight w:val="193"/>
        </w:trPr>
        <w:tc>
          <w:tcPr>
            <w:tcW w:w="6560" w:type="dxa"/>
            <w:vAlign w:val="bottom"/>
            <w:vMerge w:val="restart"/>
          </w:tcPr>
          <w:p>
            <w:pPr>
              <w:spacing w:after="0"/>
              <w:rPr>
                <w:sz w:val="20"/>
                <w:szCs w:val="20"/>
                <w:color w:val="auto"/>
              </w:rPr>
            </w:pPr>
            <w:r>
              <w:rPr>
                <w:rFonts w:ascii="Courier New" w:cs="Courier New" w:eastAsia="Courier New" w:hAnsi="Courier New"/>
                <w:sz w:val="17"/>
                <w:szCs w:val="17"/>
                <w:color w:val="auto"/>
              </w:rPr>
              <w:t>Income (loss) before income tax expense (benefit) and</w:t>
            </w:r>
          </w:p>
        </w:tc>
        <w:tc>
          <w:tcPr>
            <w:tcW w:w="13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3"/>
        </w:trPr>
        <w:tc>
          <w:tcPr>
            <w:tcW w:w="656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6,561</w:t>
            </w:r>
          </w:p>
        </w:tc>
        <w:tc>
          <w:tcPr>
            <w:tcW w:w="360" w:type="dxa"/>
            <w:vAlign w:val="bottom"/>
          </w:tcPr>
          <w:p>
            <w:pPr>
              <w:spacing w:after="0"/>
              <w:rPr>
                <w:sz w:val="16"/>
                <w:szCs w:val="16"/>
                <w:color w:val="auto"/>
              </w:rPr>
            </w:pPr>
          </w:p>
        </w:tc>
        <w:tc>
          <w:tcPr>
            <w:tcW w:w="8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6,480</w:t>
            </w:r>
          </w:p>
        </w:tc>
        <w:tc>
          <w:tcPr>
            <w:tcW w:w="30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20,890</w:t>
            </w: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w w:val="95"/>
              </w:rPr>
              <w:t>(11,057)</w:t>
            </w:r>
          </w:p>
        </w:tc>
        <w:tc>
          <w:tcPr>
            <w:tcW w:w="0" w:type="dxa"/>
            <w:vAlign w:val="bottom"/>
          </w:tcPr>
          <w:p>
            <w:pPr>
              <w:spacing w:after="0"/>
              <w:rPr>
                <w:sz w:val="1"/>
                <w:szCs w:val="1"/>
                <w:color w:val="auto"/>
              </w:rPr>
            </w:pPr>
          </w:p>
        </w:tc>
      </w:tr>
      <w:tr>
        <w:trPr>
          <w:trHeight w:val="193"/>
        </w:trPr>
        <w:tc>
          <w:tcPr>
            <w:tcW w:w="6560" w:type="dxa"/>
            <w:vAlign w:val="bottom"/>
          </w:tcPr>
          <w:p>
            <w:pPr>
              <w:ind w:left="300"/>
              <w:spacing w:after="0"/>
              <w:rPr>
                <w:sz w:val="20"/>
                <w:szCs w:val="20"/>
                <w:color w:val="auto"/>
              </w:rPr>
            </w:pPr>
            <w:r>
              <w:rPr>
                <w:rFonts w:ascii="Courier New" w:cs="Courier New" w:eastAsia="Courier New" w:hAnsi="Courier New"/>
                <w:sz w:val="17"/>
                <w:szCs w:val="17"/>
                <w:color w:val="auto"/>
              </w:rPr>
              <w:t>extraordinary item</w:t>
            </w:r>
          </w:p>
        </w:tc>
        <w:tc>
          <w:tcPr>
            <w:tcW w:w="400" w:type="dxa"/>
            <w:vAlign w:val="bottom"/>
          </w:tcPr>
          <w:p>
            <w:pPr>
              <w:spacing w:after="0"/>
              <w:rPr>
                <w:sz w:val="16"/>
                <w:szCs w:val="16"/>
                <w:color w:val="auto"/>
              </w:rPr>
            </w:pPr>
          </w:p>
        </w:tc>
        <w:tc>
          <w:tcPr>
            <w:tcW w:w="960" w:type="dxa"/>
            <w:vAlign w:val="bottom"/>
            <w:vMerge w:val="restart"/>
          </w:tcPr>
          <w:p>
            <w:pPr>
              <w:jc w:val="right"/>
              <w:ind w:right="216"/>
              <w:spacing w:after="0"/>
              <w:rPr>
                <w:sz w:val="20"/>
                <w:szCs w:val="20"/>
                <w:color w:val="auto"/>
              </w:rPr>
            </w:pPr>
            <w:r>
              <w:rPr>
                <w:rFonts w:ascii="Courier New" w:cs="Courier New" w:eastAsia="Courier New" w:hAnsi="Courier New"/>
                <w:sz w:val="17"/>
                <w:szCs w:val="17"/>
                <w:color w:val="auto"/>
              </w:rPr>
              <w:t>2,569</w:t>
            </w:r>
          </w:p>
        </w:tc>
        <w:tc>
          <w:tcPr>
            <w:tcW w:w="360" w:type="dxa"/>
            <w:vAlign w:val="bottom"/>
          </w:tcPr>
          <w:p>
            <w:pPr>
              <w:spacing w:after="0"/>
              <w:rPr>
                <w:sz w:val="16"/>
                <w:szCs w:val="16"/>
                <w:color w:val="auto"/>
              </w:rPr>
            </w:pPr>
          </w:p>
        </w:tc>
        <w:tc>
          <w:tcPr>
            <w:tcW w:w="840" w:type="dxa"/>
            <w:vAlign w:val="bottom"/>
            <w:vMerge w:val="restart"/>
          </w:tcPr>
          <w:p>
            <w:pPr>
              <w:jc w:val="right"/>
              <w:ind w:right="116"/>
              <w:spacing w:after="0"/>
              <w:rPr>
                <w:sz w:val="20"/>
                <w:szCs w:val="20"/>
                <w:color w:val="auto"/>
              </w:rPr>
            </w:pPr>
            <w:r>
              <w:rPr>
                <w:rFonts w:ascii="Courier New" w:cs="Courier New" w:eastAsia="Courier New" w:hAnsi="Courier New"/>
                <w:sz w:val="17"/>
                <w:szCs w:val="17"/>
                <w:color w:val="auto"/>
              </w:rPr>
              <w:t>2,603</w:t>
            </w:r>
          </w:p>
        </w:tc>
        <w:tc>
          <w:tcPr>
            <w:tcW w:w="300" w:type="dxa"/>
            <w:vAlign w:val="bottom"/>
          </w:tcPr>
          <w:p>
            <w:pPr>
              <w:spacing w:after="0"/>
              <w:rPr>
                <w:sz w:val="16"/>
                <w:szCs w:val="16"/>
                <w:color w:val="auto"/>
              </w:rPr>
            </w:pPr>
          </w:p>
        </w:tc>
        <w:tc>
          <w:tcPr>
            <w:tcW w:w="960" w:type="dxa"/>
            <w:vAlign w:val="bottom"/>
            <w:vMerge w:val="restart"/>
          </w:tcPr>
          <w:p>
            <w:pPr>
              <w:jc w:val="right"/>
              <w:ind w:right="176"/>
              <w:spacing w:after="0"/>
              <w:rPr>
                <w:sz w:val="20"/>
                <w:szCs w:val="20"/>
                <w:color w:val="auto"/>
              </w:rPr>
            </w:pPr>
            <w:r>
              <w:rPr>
                <w:rFonts w:ascii="Courier New" w:cs="Courier New" w:eastAsia="Courier New" w:hAnsi="Courier New"/>
                <w:sz w:val="17"/>
                <w:szCs w:val="17"/>
                <w:color w:val="auto"/>
              </w:rPr>
              <w:t>8,184</w:t>
            </w:r>
          </w:p>
        </w:tc>
        <w:tc>
          <w:tcPr>
            <w:tcW w:w="34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(3,861)</w:t>
            </w:r>
          </w:p>
        </w:tc>
        <w:tc>
          <w:tcPr>
            <w:tcW w:w="0" w:type="dxa"/>
            <w:vAlign w:val="bottom"/>
          </w:tcPr>
          <w:p>
            <w:pPr>
              <w:spacing w:after="0"/>
              <w:rPr>
                <w:sz w:val="1"/>
                <w:szCs w:val="1"/>
                <w:color w:val="auto"/>
              </w:rPr>
            </w:pPr>
          </w:p>
        </w:tc>
      </w:tr>
      <w:tr>
        <w:trPr>
          <w:trHeight w:val="193"/>
        </w:trPr>
        <w:tc>
          <w:tcPr>
            <w:tcW w:w="6560" w:type="dxa"/>
            <w:vAlign w:val="bottom"/>
          </w:tcPr>
          <w:p>
            <w:pPr>
              <w:spacing w:after="0"/>
              <w:rPr>
                <w:sz w:val="20"/>
                <w:szCs w:val="20"/>
                <w:color w:val="auto"/>
              </w:rPr>
            </w:pPr>
            <w:r>
              <w:rPr>
                <w:rFonts w:ascii="Courier New" w:cs="Courier New" w:eastAsia="Courier New" w:hAnsi="Courier New"/>
                <w:sz w:val="17"/>
                <w:szCs w:val="17"/>
                <w:color w:val="auto"/>
              </w:rPr>
              <w:t>Income tax expense (benefit)</w:t>
            </w:r>
          </w:p>
        </w:tc>
        <w:tc>
          <w:tcPr>
            <w:tcW w:w="4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560" w:type="dxa"/>
            <w:vAlign w:val="bottom"/>
            <w:vMerge w:val="restart"/>
          </w:tcPr>
          <w:p>
            <w:pPr>
              <w:spacing w:after="0"/>
              <w:rPr>
                <w:sz w:val="20"/>
                <w:szCs w:val="20"/>
                <w:color w:val="auto"/>
              </w:rPr>
            </w:pPr>
            <w:r>
              <w:rPr>
                <w:rFonts w:ascii="Courier New" w:cs="Courier New" w:eastAsia="Courier New" w:hAnsi="Courier New"/>
                <w:sz w:val="17"/>
                <w:szCs w:val="17"/>
                <w:color w:val="auto"/>
              </w:rPr>
              <w:t>Income (loss) before extraordinary item</w:t>
            </w:r>
          </w:p>
        </w:tc>
        <w:tc>
          <w:tcPr>
            <w:tcW w:w="13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81"/>
        </w:trPr>
        <w:tc>
          <w:tcPr>
            <w:tcW w:w="65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3,992</w:t>
            </w:r>
          </w:p>
        </w:tc>
        <w:tc>
          <w:tcPr>
            <w:tcW w:w="360" w:type="dxa"/>
            <w:vAlign w:val="bottom"/>
          </w:tcPr>
          <w:p>
            <w:pPr>
              <w:spacing w:after="0"/>
              <w:rPr>
                <w:sz w:val="24"/>
                <w:szCs w:val="24"/>
                <w:color w:val="auto"/>
              </w:rPr>
            </w:pPr>
          </w:p>
        </w:tc>
        <w:tc>
          <w:tcPr>
            <w:tcW w:w="8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3,877</w:t>
            </w:r>
          </w:p>
        </w:tc>
        <w:tc>
          <w:tcPr>
            <w:tcW w:w="300" w:type="dxa"/>
            <w:vAlign w:val="bottom"/>
          </w:tcPr>
          <w:p>
            <w:pPr>
              <w:spacing w:after="0"/>
              <w:rPr>
                <w:sz w:val="24"/>
                <w:szCs w:val="24"/>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12,706</w:t>
            </w: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(7,196)</w:t>
            </w:r>
          </w:p>
        </w:tc>
        <w:tc>
          <w:tcPr>
            <w:tcW w:w="0" w:type="dxa"/>
            <w:vAlign w:val="bottom"/>
          </w:tcPr>
          <w:p>
            <w:pPr>
              <w:spacing w:after="0"/>
              <w:rPr>
                <w:sz w:val="1"/>
                <w:szCs w:val="1"/>
                <w:color w:val="auto"/>
              </w:rPr>
            </w:pPr>
          </w:p>
        </w:tc>
      </w:tr>
      <w:tr>
        <w:trPr>
          <w:trHeight w:val="297"/>
        </w:trPr>
        <w:tc>
          <w:tcPr>
            <w:tcW w:w="6560" w:type="dxa"/>
            <w:vAlign w:val="bottom"/>
          </w:tcPr>
          <w:p>
            <w:pPr>
              <w:spacing w:after="0"/>
              <w:rPr>
                <w:sz w:val="20"/>
                <w:szCs w:val="20"/>
                <w:color w:val="auto"/>
              </w:rPr>
            </w:pPr>
            <w:r>
              <w:rPr>
                <w:rFonts w:ascii="Courier New" w:cs="Courier New" w:eastAsia="Courier New" w:hAnsi="Courier New"/>
                <w:sz w:val="17"/>
                <w:szCs w:val="17"/>
                <w:color w:val="auto"/>
              </w:rPr>
              <w:t>Extraordinary loss (net of $562 tax benefit)</w:t>
            </w:r>
          </w:p>
        </w:tc>
        <w:tc>
          <w:tcPr>
            <w:tcW w:w="400" w:type="dxa"/>
            <w:vAlign w:val="bottom"/>
          </w:tcPr>
          <w:p>
            <w:pPr>
              <w:spacing w:after="0"/>
              <w:rPr>
                <w:sz w:val="24"/>
                <w:szCs w:val="24"/>
                <w:color w:val="auto"/>
              </w:rPr>
            </w:pPr>
          </w:p>
        </w:tc>
        <w:tc>
          <w:tcPr>
            <w:tcW w:w="9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24"/>
                <w:szCs w:val="24"/>
                <w:color w:val="auto"/>
              </w:rPr>
            </w:pPr>
          </w:p>
        </w:tc>
        <w:tc>
          <w:tcPr>
            <w:tcW w:w="8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24"/>
                <w:szCs w:val="24"/>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(826)</w:t>
            </w:r>
          </w:p>
        </w:tc>
        <w:tc>
          <w:tcPr>
            <w:tcW w:w="0" w:type="dxa"/>
            <w:vAlign w:val="bottom"/>
          </w:tcPr>
          <w:p>
            <w:pPr>
              <w:spacing w:after="0"/>
              <w:rPr>
                <w:sz w:val="1"/>
                <w:szCs w:val="1"/>
                <w:color w:val="auto"/>
              </w:rPr>
            </w:pPr>
          </w:p>
        </w:tc>
      </w:tr>
      <w:tr>
        <w:trPr>
          <w:trHeight w:val="193"/>
        </w:trPr>
        <w:tc>
          <w:tcPr>
            <w:tcW w:w="6560" w:type="dxa"/>
            <w:vAlign w:val="bottom"/>
            <w:vMerge w:val="restart"/>
          </w:tcPr>
          <w:p>
            <w:pPr>
              <w:spacing w:after="0"/>
              <w:rPr>
                <w:sz w:val="20"/>
                <w:szCs w:val="20"/>
                <w:color w:val="auto"/>
              </w:rPr>
            </w:pPr>
            <w:r>
              <w:rPr>
                <w:rFonts w:ascii="Courier New" w:cs="Courier New" w:eastAsia="Courier New" w:hAnsi="Courier New"/>
                <w:sz w:val="17"/>
                <w:szCs w:val="17"/>
                <w:color w:val="auto"/>
              </w:rPr>
              <w:t>Net Income (loss)</w:t>
            </w:r>
          </w:p>
        </w:tc>
        <w:tc>
          <w:tcPr>
            <w:tcW w:w="13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3"/>
        </w:trPr>
        <w:tc>
          <w:tcPr>
            <w:tcW w:w="6560" w:type="dxa"/>
            <w:vAlign w:val="bottom"/>
            <w:vMerge w:val="continue"/>
          </w:tcPr>
          <w:p>
            <w:pPr>
              <w:spacing w:after="0"/>
              <w:rPr>
                <w:sz w:val="16"/>
                <w:szCs w:val="16"/>
                <w:color w:val="auto"/>
              </w:rPr>
            </w:pPr>
          </w:p>
        </w:tc>
        <w:tc>
          <w:tcPr>
            <w:tcW w:w="40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3,992</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3,877</w:t>
            </w:r>
          </w:p>
        </w:tc>
        <w:tc>
          <w:tcPr>
            <w:tcW w:w="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12,706</w:t>
            </w:r>
          </w:p>
        </w:tc>
        <w:tc>
          <w:tcPr>
            <w:tcW w:w="3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(8,022)</w:t>
            </w:r>
          </w:p>
        </w:tc>
        <w:tc>
          <w:tcPr>
            <w:tcW w:w="0" w:type="dxa"/>
            <w:vAlign w:val="bottom"/>
          </w:tcPr>
          <w:p>
            <w:pPr>
              <w:spacing w:after="0"/>
              <w:rPr>
                <w:sz w:val="1"/>
                <w:szCs w:val="1"/>
                <w:color w:val="auto"/>
              </w:rPr>
            </w:pPr>
          </w:p>
        </w:tc>
      </w:tr>
      <w:tr>
        <w:trPr>
          <w:trHeight w:val="281"/>
        </w:trPr>
        <w:tc>
          <w:tcPr>
            <w:tcW w:w="6560" w:type="dxa"/>
            <w:vAlign w:val="bottom"/>
          </w:tcPr>
          <w:p>
            <w:pPr>
              <w:spacing w:after="0"/>
              <w:rPr>
                <w:sz w:val="24"/>
                <w:szCs w:val="24"/>
                <w:color w:val="auto"/>
              </w:rPr>
            </w:pPr>
          </w:p>
        </w:tc>
        <w:tc>
          <w:tcPr>
            <w:tcW w:w="13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7"/>
        </w:trPr>
        <w:tc>
          <w:tcPr>
            <w:tcW w:w="6560" w:type="dxa"/>
            <w:vAlign w:val="bottom"/>
          </w:tcPr>
          <w:p>
            <w:pPr>
              <w:spacing w:after="0"/>
              <w:rPr>
                <w:sz w:val="20"/>
                <w:szCs w:val="20"/>
                <w:color w:val="auto"/>
              </w:rPr>
            </w:pPr>
            <w:r>
              <w:rPr>
                <w:rFonts w:ascii="Courier New" w:cs="Courier New" w:eastAsia="Courier New" w:hAnsi="Courier New"/>
                <w:sz w:val="17"/>
                <w:szCs w:val="17"/>
                <w:color w:val="auto"/>
              </w:rPr>
              <w:t>Income (loss) per common share - basic:</w:t>
            </w:r>
          </w:p>
        </w:tc>
        <w:tc>
          <w:tcPr>
            <w:tcW w:w="400" w:type="dxa"/>
            <w:vAlign w:val="bottom"/>
            <w:vMerge w:val="restart"/>
          </w:tcPr>
          <w:p>
            <w:pPr>
              <w:ind w:left="260"/>
              <w:spacing w:after="0"/>
              <w:rPr>
                <w:sz w:val="20"/>
                <w:szCs w:val="20"/>
                <w:color w:val="auto"/>
              </w:rPr>
            </w:pPr>
            <w:r>
              <w:rPr>
                <w:rFonts w:ascii="Courier New" w:cs="Courier New" w:eastAsia="Courier New" w:hAnsi="Courier New"/>
                <w:sz w:val="17"/>
                <w:szCs w:val="17"/>
                <w:color w:val="auto"/>
              </w:rPr>
              <w:t>$</w:t>
            </w:r>
          </w:p>
        </w:tc>
        <w:tc>
          <w:tcPr>
            <w:tcW w:w="960" w:type="dxa"/>
            <w:vAlign w:val="bottom"/>
            <w:vMerge w:val="restart"/>
          </w:tcPr>
          <w:p>
            <w:pPr>
              <w:jc w:val="right"/>
              <w:ind w:right="216"/>
              <w:spacing w:after="0"/>
              <w:rPr>
                <w:sz w:val="20"/>
                <w:szCs w:val="20"/>
                <w:color w:val="auto"/>
              </w:rPr>
            </w:pPr>
            <w:r>
              <w:rPr>
                <w:rFonts w:ascii="Courier New" w:cs="Courier New" w:eastAsia="Courier New" w:hAnsi="Courier New"/>
                <w:sz w:val="17"/>
                <w:szCs w:val="17"/>
                <w:color w:val="auto"/>
              </w:rPr>
              <w:t>0.23</w:t>
            </w:r>
          </w:p>
        </w:tc>
        <w:tc>
          <w:tcPr>
            <w:tcW w:w="3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vMerge w:val="restart"/>
          </w:tcPr>
          <w:p>
            <w:pPr>
              <w:jc w:val="right"/>
              <w:ind w:right="116"/>
              <w:spacing w:after="0"/>
              <w:rPr>
                <w:sz w:val="20"/>
                <w:szCs w:val="20"/>
                <w:color w:val="auto"/>
              </w:rPr>
            </w:pPr>
            <w:r>
              <w:rPr>
                <w:rFonts w:ascii="Courier New" w:cs="Courier New" w:eastAsia="Courier New" w:hAnsi="Courier New"/>
                <w:sz w:val="17"/>
                <w:szCs w:val="17"/>
                <w:color w:val="auto"/>
              </w:rPr>
              <w:t>0.22</w:t>
            </w:r>
          </w:p>
        </w:tc>
        <w:tc>
          <w:tcPr>
            <w:tcW w:w="300" w:type="dxa"/>
            <w:vAlign w:val="bottom"/>
            <w:vMerge w:val="restart"/>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60" w:type="dxa"/>
            <w:vAlign w:val="bottom"/>
            <w:vMerge w:val="restart"/>
          </w:tcPr>
          <w:p>
            <w:pPr>
              <w:jc w:val="right"/>
              <w:ind w:right="176"/>
              <w:spacing w:after="0"/>
              <w:rPr>
                <w:sz w:val="20"/>
                <w:szCs w:val="20"/>
                <w:color w:val="auto"/>
              </w:rPr>
            </w:pPr>
            <w:r>
              <w:rPr>
                <w:rFonts w:ascii="Courier New" w:cs="Courier New" w:eastAsia="Courier New" w:hAnsi="Courier New"/>
                <w:sz w:val="17"/>
                <w:szCs w:val="17"/>
                <w:color w:val="auto"/>
              </w:rPr>
              <w:t>0.73</w:t>
            </w:r>
          </w:p>
        </w:tc>
        <w:tc>
          <w:tcPr>
            <w:tcW w:w="340" w:type="dxa"/>
            <w:vAlign w:val="bottom"/>
            <w:vMerge w:val="restart"/>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(0.48)</w:t>
            </w:r>
          </w:p>
        </w:tc>
        <w:tc>
          <w:tcPr>
            <w:tcW w:w="0" w:type="dxa"/>
            <w:vAlign w:val="bottom"/>
          </w:tcPr>
          <w:p>
            <w:pPr>
              <w:spacing w:after="0"/>
              <w:rPr>
                <w:sz w:val="1"/>
                <w:szCs w:val="1"/>
                <w:color w:val="auto"/>
              </w:rPr>
            </w:pPr>
          </w:p>
        </w:tc>
      </w:tr>
      <w:tr>
        <w:trPr>
          <w:trHeight w:val="193"/>
        </w:trPr>
        <w:tc>
          <w:tcPr>
            <w:tcW w:w="6560" w:type="dxa"/>
            <w:vAlign w:val="bottom"/>
          </w:tcPr>
          <w:p>
            <w:pPr>
              <w:spacing w:after="0"/>
              <w:rPr>
                <w:sz w:val="20"/>
                <w:szCs w:val="20"/>
                <w:color w:val="auto"/>
              </w:rPr>
            </w:pPr>
            <w:r>
              <w:rPr>
                <w:rFonts w:ascii="Courier New" w:cs="Courier New" w:eastAsia="Courier New" w:hAnsi="Courier New"/>
                <w:sz w:val="17"/>
                <w:szCs w:val="17"/>
                <w:color w:val="auto"/>
              </w:rPr>
              <w:t>Income (loss) before extraordinary item</w:t>
            </w:r>
          </w:p>
        </w:tc>
        <w:tc>
          <w:tcPr>
            <w:tcW w:w="4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560" w:type="dxa"/>
            <w:vAlign w:val="bottom"/>
          </w:tcPr>
          <w:p>
            <w:pPr>
              <w:spacing w:after="0"/>
              <w:rPr>
                <w:sz w:val="20"/>
                <w:szCs w:val="20"/>
                <w:color w:val="auto"/>
              </w:rPr>
            </w:pPr>
            <w:r>
              <w:rPr>
                <w:rFonts w:ascii="Courier New" w:cs="Courier New" w:eastAsia="Courier New" w:hAnsi="Courier New"/>
                <w:sz w:val="17"/>
                <w:szCs w:val="17"/>
                <w:color w:val="auto"/>
              </w:rPr>
              <w:t>Extraordinary loss</w:t>
            </w:r>
          </w:p>
        </w:tc>
        <w:tc>
          <w:tcPr>
            <w:tcW w:w="400" w:type="dxa"/>
            <w:vAlign w:val="bottom"/>
          </w:tcPr>
          <w:p>
            <w:pPr>
              <w:spacing w:after="0"/>
              <w:rPr>
                <w:sz w:val="16"/>
                <w:szCs w:val="16"/>
                <w:color w:val="auto"/>
              </w:rPr>
            </w:pPr>
          </w:p>
        </w:tc>
        <w:tc>
          <w:tcPr>
            <w:tcW w:w="9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8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9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(0.05)</w:t>
            </w:r>
          </w:p>
        </w:tc>
        <w:tc>
          <w:tcPr>
            <w:tcW w:w="0" w:type="dxa"/>
            <w:vAlign w:val="bottom"/>
          </w:tcPr>
          <w:p>
            <w:pPr>
              <w:spacing w:after="0"/>
              <w:rPr>
                <w:sz w:val="1"/>
                <w:szCs w:val="1"/>
                <w:color w:val="auto"/>
              </w:rPr>
            </w:pPr>
          </w:p>
        </w:tc>
      </w:tr>
      <w:tr>
        <w:trPr>
          <w:trHeight w:val="193"/>
        </w:trPr>
        <w:tc>
          <w:tcPr>
            <w:tcW w:w="6560" w:type="dxa"/>
            <w:vAlign w:val="bottom"/>
            <w:vMerge w:val="restart"/>
          </w:tcPr>
          <w:p>
            <w:pPr>
              <w:spacing w:after="0"/>
              <w:rPr>
                <w:sz w:val="20"/>
                <w:szCs w:val="20"/>
                <w:color w:val="auto"/>
              </w:rPr>
            </w:pPr>
            <w:r>
              <w:rPr>
                <w:rFonts w:ascii="Courier New" w:cs="Courier New" w:eastAsia="Courier New" w:hAnsi="Courier New"/>
                <w:sz w:val="17"/>
                <w:szCs w:val="17"/>
                <w:color w:val="auto"/>
              </w:rPr>
              <w:t>Net Income (loss)</w:t>
            </w:r>
          </w:p>
        </w:tc>
        <w:tc>
          <w:tcPr>
            <w:tcW w:w="13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3"/>
        </w:trPr>
        <w:tc>
          <w:tcPr>
            <w:tcW w:w="6560" w:type="dxa"/>
            <w:vAlign w:val="bottom"/>
            <w:vMerge w:val="continue"/>
          </w:tcPr>
          <w:p>
            <w:pPr>
              <w:spacing w:after="0"/>
              <w:rPr>
                <w:sz w:val="16"/>
                <w:szCs w:val="16"/>
                <w:color w:val="auto"/>
              </w:rPr>
            </w:pPr>
          </w:p>
        </w:tc>
        <w:tc>
          <w:tcPr>
            <w:tcW w:w="40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0.23</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0.22</w:t>
            </w:r>
          </w:p>
        </w:tc>
        <w:tc>
          <w:tcPr>
            <w:tcW w:w="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0.73</w:t>
            </w:r>
          </w:p>
        </w:tc>
        <w:tc>
          <w:tcPr>
            <w:tcW w:w="3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(0.53)</w:t>
            </w:r>
          </w:p>
        </w:tc>
        <w:tc>
          <w:tcPr>
            <w:tcW w:w="0" w:type="dxa"/>
            <w:vAlign w:val="bottom"/>
          </w:tcPr>
          <w:p>
            <w:pPr>
              <w:spacing w:after="0"/>
              <w:rPr>
                <w:sz w:val="1"/>
                <w:szCs w:val="1"/>
                <w:color w:val="auto"/>
              </w:rPr>
            </w:pPr>
          </w:p>
        </w:tc>
      </w:tr>
      <w:tr>
        <w:trPr>
          <w:trHeight w:val="281"/>
        </w:trPr>
        <w:tc>
          <w:tcPr>
            <w:tcW w:w="6560" w:type="dxa"/>
            <w:vAlign w:val="bottom"/>
          </w:tcPr>
          <w:p>
            <w:pPr>
              <w:spacing w:after="0"/>
              <w:rPr>
                <w:sz w:val="24"/>
                <w:szCs w:val="24"/>
                <w:color w:val="auto"/>
              </w:rPr>
            </w:pPr>
          </w:p>
        </w:tc>
        <w:tc>
          <w:tcPr>
            <w:tcW w:w="13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85"/>
        </w:trPr>
        <w:tc>
          <w:tcPr>
            <w:tcW w:w="6560" w:type="dxa"/>
            <w:vAlign w:val="bottom"/>
          </w:tcPr>
          <w:p>
            <w:pPr>
              <w:spacing w:after="0"/>
              <w:rPr>
                <w:sz w:val="20"/>
                <w:szCs w:val="20"/>
                <w:color w:val="auto"/>
              </w:rPr>
            </w:pPr>
            <w:r>
              <w:rPr>
                <w:rFonts w:ascii="Courier New" w:cs="Courier New" w:eastAsia="Courier New" w:hAnsi="Courier New"/>
                <w:sz w:val="17"/>
                <w:szCs w:val="17"/>
                <w:color w:val="auto"/>
              </w:rPr>
              <w:t>Shares used in computing basic income (loss) per common share</w:t>
            </w:r>
          </w:p>
        </w:tc>
        <w:tc>
          <w:tcPr>
            <w:tcW w:w="400" w:type="dxa"/>
            <w:vAlign w:val="bottom"/>
          </w:tcPr>
          <w:p>
            <w:pPr>
              <w:spacing w:after="0"/>
              <w:rPr>
                <w:sz w:val="24"/>
                <w:szCs w:val="24"/>
                <w:color w:val="auto"/>
              </w:rPr>
            </w:pPr>
          </w:p>
        </w:tc>
        <w:tc>
          <w:tcPr>
            <w:tcW w:w="9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17,326</w:t>
            </w:r>
          </w:p>
        </w:tc>
        <w:tc>
          <w:tcPr>
            <w:tcW w:w="360" w:type="dxa"/>
            <w:vAlign w:val="bottom"/>
          </w:tcPr>
          <w:p>
            <w:pPr>
              <w:spacing w:after="0"/>
              <w:rPr>
                <w:sz w:val="24"/>
                <w:szCs w:val="24"/>
                <w:color w:val="auto"/>
              </w:rPr>
            </w:pPr>
          </w:p>
        </w:tc>
        <w:tc>
          <w:tcPr>
            <w:tcW w:w="8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17,253</w:t>
            </w:r>
          </w:p>
        </w:tc>
        <w:tc>
          <w:tcPr>
            <w:tcW w:w="300" w:type="dxa"/>
            <w:vAlign w:val="bottom"/>
          </w:tcPr>
          <w:p>
            <w:pPr>
              <w:spacing w:after="0"/>
              <w:rPr>
                <w:sz w:val="24"/>
                <w:szCs w:val="24"/>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17,318</w:t>
            </w:r>
          </w:p>
        </w:tc>
        <w:tc>
          <w:tcPr>
            <w:tcW w:w="340" w:type="dxa"/>
            <w:vAlign w:val="bottom"/>
          </w:tcPr>
          <w:p>
            <w:pPr>
              <w:spacing w:after="0"/>
              <w:rPr>
                <w:sz w:val="24"/>
                <w:szCs w:val="24"/>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15,038</w:t>
            </w:r>
          </w:p>
        </w:tc>
        <w:tc>
          <w:tcPr>
            <w:tcW w:w="0" w:type="dxa"/>
            <w:vAlign w:val="bottom"/>
          </w:tcPr>
          <w:p>
            <w:pPr>
              <w:spacing w:after="0"/>
              <w:rPr>
                <w:sz w:val="1"/>
                <w:szCs w:val="1"/>
                <w:color w:val="auto"/>
              </w:rPr>
            </w:pPr>
          </w:p>
        </w:tc>
      </w:tr>
      <w:tr>
        <w:trPr>
          <w:trHeight w:val="297"/>
        </w:trPr>
        <w:tc>
          <w:tcPr>
            <w:tcW w:w="6560" w:type="dxa"/>
            <w:vAlign w:val="bottom"/>
          </w:tcPr>
          <w:p>
            <w:pPr>
              <w:spacing w:after="0"/>
              <w:rPr>
                <w:sz w:val="20"/>
                <w:szCs w:val="20"/>
                <w:color w:val="auto"/>
              </w:rPr>
            </w:pPr>
            <w:r>
              <w:rPr>
                <w:rFonts w:ascii="Courier New" w:cs="Courier New" w:eastAsia="Courier New" w:hAnsi="Courier New"/>
                <w:sz w:val="17"/>
                <w:szCs w:val="17"/>
                <w:color w:val="auto"/>
              </w:rPr>
              <w:t>Income (loss) per common share - diluted:</w:t>
            </w:r>
          </w:p>
        </w:tc>
        <w:tc>
          <w:tcPr>
            <w:tcW w:w="400" w:type="dxa"/>
            <w:vAlign w:val="bottom"/>
            <w:vMerge w:val="restart"/>
          </w:tcPr>
          <w:p>
            <w:pPr>
              <w:ind w:left="260"/>
              <w:spacing w:after="0"/>
              <w:rPr>
                <w:sz w:val="20"/>
                <w:szCs w:val="20"/>
                <w:color w:val="auto"/>
              </w:rPr>
            </w:pPr>
            <w:r>
              <w:rPr>
                <w:rFonts w:ascii="Courier New" w:cs="Courier New" w:eastAsia="Courier New" w:hAnsi="Courier New"/>
                <w:sz w:val="17"/>
                <w:szCs w:val="17"/>
                <w:color w:val="auto"/>
              </w:rPr>
              <w:t>$</w:t>
            </w:r>
          </w:p>
        </w:tc>
        <w:tc>
          <w:tcPr>
            <w:tcW w:w="960" w:type="dxa"/>
            <w:vAlign w:val="bottom"/>
            <w:vMerge w:val="restart"/>
          </w:tcPr>
          <w:p>
            <w:pPr>
              <w:jc w:val="right"/>
              <w:ind w:right="216"/>
              <w:spacing w:after="0"/>
              <w:rPr>
                <w:sz w:val="20"/>
                <w:szCs w:val="20"/>
                <w:color w:val="auto"/>
              </w:rPr>
            </w:pPr>
            <w:r>
              <w:rPr>
                <w:rFonts w:ascii="Courier New" w:cs="Courier New" w:eastAsia="Courier New" w:hAnsi="Courier New"/>
                <w:sz w:val="17"/>
                <w:szCs w:val="17"/>
                <w:color w:val="auto"/>
              </w:rPr>
              <w:t>0.23</w:t>
            </w:r>
          </w:p>
        </w:tc>
        <w:tc>
          <w:tcPr>
            <w:tcW w:w="3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vMerge w:val="restart"/>
          </w:tcPr>
          <w:p>
            <w:pPr>
              <w:jc w:val="right"/>
              <w:ind w:right="116"/>
              <w:spacing w:after="0"/>
              <w:rPr>
                <w:sz w:val="20"/>
                <w:szCs w:val="20"/>
                <w:color w:val="auto"/>
              </w:rPr>
            </w:pPr>
            <w:r>
              <w:rPr>
                <w:rFonts w:ascii="Courier New" w:cs="Courier New" w:eastAsia="Courier New" w:hAnsi="Courier New"/>
                <w:sz w:val="17"/>
                <w:szCs w:val="17"/>
                <w:color w:val="auto"/>
              </w:rPr>
              <w:t>0.21</w:t>
            </w:r>
          </w:p>
        </w:tc>
        <w:tc>
          <w:tcPr>
            <w:tcW w:w="300" w:type="dxa"/>
            <w:vAlign w:val="bottom"/>
            <w:vMerge w:val="restart"/>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60" w:type="dxa"/>
            <w:vAlign w:val="bottom"/>
            <w:vMerge w:val="restart"/>
          </w:tcPr>
          <w:p>
            <w:pPr>
              <w:jc w:val="right"/>
              <w:ind w:right="176"/>
              <w:spacing w:after="0"/>
              <w:rPr>
                <w:sz w:val="20"/>
                <w:szCs w:val="20"/>
                <w:color w:val="auto"/>
              </w:rPr>
            </w:pPr>
            <w:r>
              <w:rPr>
                <w:rFonts w:ascii="Courier New" w:cs="Courier New" w:eastAsia="Courier New" w:hAnsi="Courier New"/>
                <w:sz w:val="17"/>
                <w:szCs w:val="17"/>
                <w:color w:val="auto"/>
              </w:rPr>
              <w:t>0.72</w:t>
            </w:r>
          </w:p>
        </w:tc>
        <w:tc>
          <w:tcPr>
            <w:tcW w:w="340" w:type="dxa"/>
            <w:vAlign w:val="bottom"/>
            <w:vMerge w:val="restart"/>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(0.48)</w:t>
            </w:r>
          </w:p>
        </w:tc>
        <w:tc>
          <w:tcPr>
            <w:tcW w:w="0" w:type="dxa"/>
            <w:vAlign w:val="bottom"/>
          </w:tcPr>
          <w:p>
            <w:pPr>
              <w:spacing w:after="0"/>
              <w:rPr>
                <w:sz w:val="1"/>
                <w:szCs w:val="1"/>
                <w:color w:val="auto"/>
              </w:rPr>
            </w:pPr>
          </w:p>
        </w:tc>
      </w:tr>
      <w:tr>
        <w:trPr>
          <w:trHeight w:val="193"/>
        </w:trPr>
        <w:tc>
          <w:tcPr>
            <w:tcW w:w="6560" w:type="dxa"/>
            <w:vAlign w:val="bottom"/>
          </w:tcPr>
          <w:p>
            <w:pPr>
              <w:spacing w:after="0"/>
              <w:rPr>
                <w:sz w:val="20"/>
                <w:szCs w:val="20"/>
                <w:color w:val="auto"/>
              </w:rPr>
            </w:pPr>
            <w:r>
              <w:rPr>
                <w:rFonts w:ascii="Courier New" w:cs="Courier New" w:eastAsia="Courier New" w:hAnsi="Courier New"/>
                <w:sz w:val="17"/>
                <w:szCs w:val="17"/>
                <w:color w:val="auto"/>
              </w:rPr>
              <w:t>Income (loss) before extraordinary item</w:t>
            </w:r>
          </w:p>
        </w:tc>
        <w:tc>
          <w:tcPr>
            <w:tcW w:w="4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560" w:type="dxa"/>
            <w:vAlign w:val="bottom"/>
          </w:tcPr>
          <w:p>
            <w:pPr>
              <w:spacing w:after="0"/>
              <w:rPr>
                <w:sz w:val="20"/>
                <w:szCs w:val="20"/>
                <w:color w:val="auto"/>
              </w:rPr>
            </w:pPr>
            <w:r>
              <w:rPr>
                <w:rFonts w:ascii="Courier New" w:cs="Courier New" w:eastAsia="Courier New" w:hAnsi="Courier New"/>
                <w:sz w:val="17"/>
                <w:szCs w:val="17"/>
                <w:color w:val="auto"/>
              </w:rPr>
              <w:t>Extraordinary loss</w:t>
            </w:r>
          </w:p>
        </w:tc>
        <w:tc>
          <w:tcPr>
            <w:tcW w:w="400" w:type="dxa"/>
            <w:vAlign w:val="bottom"/>
          </w:tcPr>
          <w:p>
            <w:pPr>
              <w:spacing w:after="0"/>
              <w:rPr>
                <w:sz w:val="16"/>
                <w:szCs w:val="16"/>
                <w:color w:val="auto"/>
              </w:rPr>
            </w:pPr>
          </w:p>
        </w:tc>
        <w:tc>
          <w:tcPr>
            <w:tcW w:w="9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8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9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(0.05)</w:t>
            </w:r>
          </w:p>
        </w:tc>
        <w:tc>
          <w:tcPr>
            <w:tcW w:w="0" w:type="dxa"/>
            <w:vAlign w:val="bottom"/>
          </w:tcPr>
          <w:p>
            <w:pPr>
              <w:spacing w:after="0"/>
              <w:rPr>
                <w:sz w:val="1"/>
                <w:szCs w:val="1"/>
                <w:color w:val="auto"/>
              </w:rPr>
            </w:pPr>
          </w:p>
        </w:tc>
      </w:tr>
      <w:tr>
        <w:trPr>
          <w:trHeight w:val="193"/>
        </w:trPr>
        <w:tc>
          <w:tcPr>
            <w:tcW w:w="6560" w:type="dxa"/>
            <w:vAlign w:val="bottom"/>
            <w:vMerge w:val="restart"/>
          </w:tcPr>
          <w:p>
            <w:pPr>
              <w:spacing w:after="0"/>
              <w:rPr>
                <w:sz w:val="20"/>
                <w:szCs w:val="20"/>
                <w:color w:val="auto"/>
              </w:rPr>
            </w:pPr>
            <w:r>
              <w:rPr>
                <w:rFonts w:ascii="Courier New" w:cs="Courier New" w:eastAsia="Courier New" w:hAnsi="Courier New"/>
                <w:sz w:val="17"/>
                <w:szCs w:val="17"/>
                <w:color w:val="auto"/>
              </w:rPr>
              <w:t>Net Income (loss)</w:t>
            </w:r>
          </w:p>
        </w:tc>
        <w:tc>
          <w:tcPr>
            <w:tcW w:w="13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3"/>
        </w:trPr>
        <w:tc>
          <w:tcPr>
            <w:tcW w:w="6560" w:type="dxa"/>
            <w:vAlign w:val="bottom"/>
            <w:vMerge w:val="continue"/>
          </w:tcPr>
          <w:p>
            <w:pPr>
              <w:spacing w:after="0"/>
              <w:rPr>
                <w:sz w:val="16"/>
                <w:szCs w:val="16"/>
                <w:color w:val="auto"/>
              </w:rPr>
            </w:pPr>
          </w:p>
        </w:tc>
        <w:tc>
          <w:tcPr>
            <w:tcW w:w="40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0.23</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0.21</w:t>
            </w:r>
          </w:p>
        </w:tc>
        <w:tc>
          <w:tcPr>
            <w:tcW w:w="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0.72</w:t>
            </w:r>
          </w:p>
        </w:tc>
        <w:tc>
          <w:tcPr>
            <w:tcW w:w="3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(0.53)</w:t>
            </w:r>
          </w:p>
        </w:tc>
        <w:tc>
          <w:tcPr>
            <w:tcW w:w="0" w:type="dxa"/>
            <w:vAlign w:val="bottom"/>
          </w:tcPr>
          <w:p>
            <w:pPr>
              <w:spacing w:after="0"/>
              <w:rPr>
                <w:sz w:val="1"/>
                <w:szCs w:val="1"/>
                <w:color w:val="auto"/>
              </w:rPr>
            </w:pPr>
          </w:p>
        </w:tc>
      </w:tr>
      <w:tr>
        <w:trPr>
          <w:trHeight w:val="193"/>
        </w:trPr>
        <w:tc>
          <w:tcPr>
            <w:tcW w:w="6560" w:type="dxa"/>
            <w:vAlign w:val="bottom"/>
            <w:vMerge w:val="restart"/>
          </w:tcPr>
          <w:p>
            <w:pPr>
              <w:spacing w:after="0"/>
              <w:rPr>
                <w:sz w:val="20"/>
                <w:szCs w:val="20"/>
                <w:color w:val="auto"/>
              </w:rPr>
            </w:pPr>
            <w:r>
              <w:rPr>
                <w:rFonts w:ascii="Courier New" w:cs="Courier New" w:eastAsia="Courier New" w:hAnsi="Courier New"/>
                <w:sz w:val="17"/>
                <w:szCs w:val="17"/>
                <w:color w:val="auto"/>
              </w:rPr>
              <w:t>Shares used in computing diluted income (loss) per common share</w:t>
            </w:r>
          </w:p>
        </w:tc>
        <w:tc>
          <w:tcPr>
            <w:tcW w:w="13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81"/>
        </w:trPr>
        <w:tc>
          <w:tcPr>
            <w:tcW w:w="65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17,444</w:t>
            </w:r>
          </w:p>
        </w:tc>
        <w:tc>
          <w:tcPr>
            <w:tcW w:w="360" w:type="dxa"/>
            <w:vAlign w:val="bottom"/>
          </w:tcPr>
          <w:p>
            <w:pPr>
              <w:spacing w:after="0"/>
              <w:rPr>
                <w:sz w:val="24"/>
                <w:szCs w:val="24"/>
                <w:color w:val="auto"/>
              </w:rPr>
            </w:pPr>
          </w:p>
        </w:tc>
        <w:tc>
          <w:tcPr>
            <w:tcW w:w="8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18,205</w:t>
            </w:r>
          </w:p>
        </w:tc>
        <w:tc>
          <w:tcPr>
            <w:tcW w:w="300" w:type="dxa"/>
            <w:vAlign w:val="bottom"/>
          </w:tcPr>
          <w:p>
            <w:pPr>
              <w:spacing w:after="0"/>
              <w:rPr>
                <w:sz w:val="24"/>
                <w:szCs w:val="24"/>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17,599</w:t>
            </w:r>
          </w:p>
        </w:tc>
        <w:tc>
          <w:tcPr>
            <w:tcW w:w="340" w:type="dxa"/>
            <w:vAlign w:val="bottom"/>
          </w:tcPr>
          <w:p>
            <w:pPr>
              <w:spacing w:after="0"/>
              <w:rPr>
                <w:sz w:val="24"/>
                <w:szCs w:val="24"/>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15,038</w:t>
            </w: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FINANCIAL STATEMENTS.</w:t>
      </w:r>
    </w:p>
    <w:p>
      <w:pPr>
        <w:spacing w:after="0" w:line="193"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1520"/>
          </w:cols>
          <w:pgMar w:left="240" w:top="279" w:right="139" w:bottom="1440" w:gutter="0" w:footer="0" w:header="0"/>
        </w:sectPr>
      </w:pPr>
    </w:p>
    <w:bookmarkStart w:id="6" w:name="page7"/>
    <w:bookmarkEnd w:id="6"/>
    <w:p>
      <w:pPr>
        <w:ind w:left="300"/>
        <w:spacing w:after="0"/>
        <w:rPr>
          <w:sz w:val="20"/>
          <w:szCs w:val="20"/>
          <w:color w:val="auto"/>
        </w:rPr>
      </w:pPr>
      <w:r>
        <w:rPr>
          <w:rFonts w:ascii="Courier New" w:cs="Courier New" w:eastAsia="Courier New" w:hAnsi="Courier New"/>
          <w:sz w:val="17"/>
          <w:szCs w:val="17"/>
          <w:color w:val="auto"/>
        </w:rPr>
        <w:t>7</w:t>
      </w:r>
    </w:p>
    <w:p>
      <w:pPr>
        <w:spacing w:after="0" w:line="30" w:lineRule="exact"/>
        <w:rPr>
          <w:sz w:val="20"/>
          <w:szCs w:val="20"/>
          <w:color w:val="auto"/>
        </w:rPr>
      </w:pPr>
    </w:p>
    <w:p>
      <w:pPr>
        <w:jc w:val="center"/>
        <w:ind w:right="3300"/>
        <w:spacing w:after="0"/>
        <w:rPr>
          <w:sz w:val="20"/>
          <w:szCs w:val="20"/>
          <w:color w:val="auto"/>
        </w:rPr>
      </w:pPr>
      <w:r>
        <w:rPr>
          <w:rFonts w:ascii="Courier New" w:cs="Courier New" w:eastAsia="Courier New" w:hAnsi="Courier New"/>
          <w:sz w:val="17"/>
          <w:szCs w:val="17"/>
          <w:color w:val="auto"/>
        </w:rPr>
        <w:t>International Telecommunication Data Systems, Inc. and Subsidiaries</w:t>
      </w:r>
    </w:p>
    <w:p>
      <w:pPr>
        <w:spacing w:after="0" w:line="163" w:lineRule="exact"/>
        <w:rPr>
          <w:sz w:val="20"/>
          <w:szCs w:val="20"/>
          <w:color w:val="auto"/>
        </w:rPr>
      </w:pPr>
    </w:p>
    <w:p>
      <w:pPr>
        <w:jc w:val="center"/>
        <w:ind w:right="3300"/>
        <w:spacing w:after="0"/>
        <w:rPr>
          <w:sz w:val="20"/>
          <w:szCs w:val="20"/>
          <w:color w:val="auto"/>
        </w:rPr>
      </w:pPr>
      <w:r>
        <w:rPr>
          <w:rFonts w:ascii="Courier New" w:cs="Courier New" w:eastAsia="Courier New" w:hAnsi="Courier New"/>
          <w:sz w:val="17"/>
          <w:szCs w:val="17"/>
          <w:color w:val="auto"/>
        </w:rPr>
        <w:t>Consolidated Statements of Cash Flows</w:t>
      </w:r>
    </w:p>
    <w:p>
      <w:pPr>
        <w:spacing w:after="0" w:line="30"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7"/>
          <w:szCs w:val="17"/>
          <w:color w:val="auto"/>
        </w:rPr>
        <w:t>(In thousands)</w:t>
      </w:r>
    </w:p>
    <w:tbl>
      <w:tblPr>
        <w:tblLayout w:type="fixed"/>
        <w:tblInd w:w="0" w:type="dxa"/>
        <w:tblCellMar>
          <w:top w:w="0" w:type="dxa"/>
          <w:left w:w="0" w:type="dxa"/>
          <w:bottom w:w="0" w:type="dxa"/>
          <w:right w:w="0" w:type="dxa"/>
        </w:tblCellMar>
      </w:tblPr>
      <w:tr>
        <w:trPr>
          <w:trHeight w:val="281"/>
        </w:trPr>
        <w:tc>
          <w:tcPr>
            <w:tcW w:w="8320" w:type="dxa"/>
            <w:vAlign w:val="bottom"/>
          </w:tcPr>
          <w:p>
            <w:pPr>
              <w:ind w:left="3520"/>
              <w:spacing w:after="0"/>
              <w:rPr>
                <w:sz w:val="20"/>
                <w:szCs w:val="20"/>
                <w:color w:val="auto"/>
              </w:rPr>
            </w:pPr>
            <w:r>
              <w:rPr>
                <w:rFonts w:ascii="Courier New" w:cs="Courier New" w:eastAsia="Courier New" w:hAnsi="Courier New"/>
                <w:sz w:val="17"/>
                <w:szCs w:val="17"/>
                <w:color w:val="auto"/>
              </w:rPr>
              <w:t>(Unaudited)</w:t>
            </w: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3"/>
        </w:trPr>
        <w:tc>
          <w:tcPr>
            <w:tcW w:w="8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0" w:type="dxa"/>
            <w:vAlign w:val="bottom"/>
            <w:gridSpan w:val="3"/>
          </w:tcPr>
          <w:p>
            <w:pPr>
              <w:jc w:val="right"/>
              <w:ind w:right="616"/>
              <w:spacing w:after="0"/>
              <w:rPr>
                <w:sz w:val="20"/>
                <w:szCs w:val="20"/>
                <w:color w:val="auto"/>
              </w:rPr>
            </w:pPr>
            <w:r>
              <w:rPr>
                <w:rFonts w:ascii="Courier New" w:cs="Courier New" w:eastAsia="Courier New" w:hAnsi="Courier New"/>
                <w:sz w:val="17"/>
                <w:szCs w:val="17"/>
                <w:color w:val="auto"/>
              </w:rPr>
              <w:t>NINE MONTHS ENDED</w:t>
            </w:r>
          </w:p>
        </w:tc>
        <w:tc>
          <w:tcPr>
            <w:tcW w:w="0" w:type="dxa"/>
            <w:vAlign w:val="bottom"/>
          </w:tcPr>
          <w:p>
            <w:pPr>
              <w:spacing w:after="0"/>
              <w:rPr>
                <w:sz w:val="1"/>
                <w:szCs w:val="1"/>
                <w:color w:val="auto"/>
              </w:rPr>
            </w:pPr>
          </w:p>
        </w:tc>
      </w:tr>
      <w:tr>
        <w:trPr>
          <w:trHeight w:val="193"/>
        </w:trPr>
        <w:tc>
          <w:tcPr>
            <w:tcW w:w="8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SEPTEMBER 30,</w:t>
            </w:r>
          </w:p>
        </w:tc>
        <w:tc>
          <w:tcPr>
            <w:tcW w:w="840" w:type="dxa"/>
            <w:vAlign w:val="bottom"/>
            <w:vMerge w:val="restart"/>
          </w:tcPr>
          <w:p>
            <w:pPr>
              <w:jc w:val="right"/>
              <w:ind w:right="316"/>
              <w:spacing w:after="0"/>
              <w:rPr>
                <w:sz w:val="20"/>
                <w:szCs w:val="20"/>
                <w:color w:val="auto"/>
              </w:rPr>
            </w:pPr>
            <w:r>
              <w:rPr>
                <w:rFonts w:ascii="Courier New" w:cs="Courier New" w:eastAsia="Courier New" w:hAnsi="Courier New"/>
                <w:sz w:val="17"/>
                <w:szCs w:val="17"/>
                <w:color w:val="auto"/>
              </w:rPr>
              <w:t>1998</w:t>
            </w:r>
          </w:p>
        </w:tc>
        <w:tc>
          <w:tcPr>
            <w:tcW w:w="0" w:type="dxa"/>
            <w:vAlign w:val="bottom"/>
          </w:tcPr>
          <w:p>
            <w:pPr>
              <w:spacing w:after="0"/>
              <w:rPr>
                <w:sz w:val="1"/>
                <w:szCs w:val="1"/>
                <w:color w:val="auto"/>
              </w:rPr>
            </w:pPr>
          </w:p>
        </w:tc>
      </w:tr>
      <w:tr>
        <w:trPr>
          <w:trHeight w:val="193"/>
        </w:trPr>
        <w:tc>
          <w:tcPr>
            <w:tcW w:w="8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jc w:val="right"/>
              <w:ind w:right="716"/>
              <w:spacing w:after="0"/>
              <w:rPr>
                <w:sz w:val="20"/>
                <w:szCs w:val="20"/>
                <w:color w:val="auto"/>
              </w:rPr>
            </w:pPr>
            <w:r>
              <w:rPr>
                <w:rFonts w:ascii="Courier New" w:cs="Courier New" w:eastAsia="Courier New" w:hAnsi="Courier New"/>
                <w:sz w:val="17"/>
                <w:szCs w:val="17"/>
                <w:color w:val="auto"/>
                <w:w w:val="93"/>
              </w:rPr>
              <w:t>1999</w:t>
            </w:r>
          </w:p>
        </w:tc>
        <w:tc>
          <w:tcPr>
            <w:tcW w:w="5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1"/>
        </w:trPr>
        <w:tc>
          <w:tcPr>
            <w:tcW w:w="8320" w:type="dxa"/>
            <w:vAlign w:val="bottom"/>
          </w:tcPr>
          <w:p>
            <w:pPr>
              <w:spacing w:after="0"/>
              <w:rPr>
                <w:sz w:val="24"/>
                <w:szCs w:val="24"/>
                <w:color w:val="auto"/>
              </w:rPr>
            </w:pPr>
          </w:p>
        </w:tc>
        <w:tc>
          <w:tcPr>
            <w:tcW w:w="3100" w:type="dxa"/>
            <w:vAlign w:val="bottom"/>
            <w:gridSpan w:val="4"/>
          </w:tcPr>
          <w:p>
            <w:pPr>
              <w:ind w:left="300"/>
              <w:spacing w:after="0"/>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297"/>
        </w:trPr>
        <w:tc>
          <w:tcPr>
            <w:tcW w:w="8320" w:type="dxa"/>
            <w:vAlign w:val="bottom"/>
          </w:tcPr>
          <w:p>
            <w:pPr>
              <w:spacing w:after="0"/>
              <w:rPr>
                <w:sz w:val="20"/>
                <w:szCs w:val="20"/>
                <w:color w:val="auto"/>
              </w:rPr>
            </w:pPr>
            <w:r>
              <w:rPr>
                <w:rFonts w:ascii="Courier New" w:cs="Courier New" w:eastAsia="Courier New" w:hAnsi="Courier New"/>
                <w:sz w:val="17"/>
                <w:szCs w:val="17"/>
                <w:color w:val="auto"/>
              </w:rPr>
              <w:t>OPERATING ACTIVITIES</w:t>
            </w:r>
          </w:p>
        </w:tc>
        <w:tc>
          <w:tcPr>
            <w:tcW w:w="500" w:type="dxa"/>
            <w:vAlign w:val="bottom"/>
            <w:vMerge w:val="restart"/>
          </w:tcPr>
          <w:p>
            <w:pPr>
              <w:ind w:left="300"/>
              <w:spacing w:after="0"/>
              <w:rPr>
                <w:sz w:val="20"/>
                <w:szCs w:val="20"/>
                <w:color w:val="auto"/>
              </w:rPr>
            </w:pPr>
            <w:r>
              <w:rPr>
                <w:rFonts w:ascii="Courier New" w:cs="Courier New" w:eastAsia="Courier New" w:hAnsi="Courier New"/>
                <w:sz w:val="17"/>
                <w:szCs w:val="17"/>
                <w:color w:val="auto"/>
              </w:rPr>
              <w:t>$</w:t>
            </w:r>
          </w:p>
        </w:tc>
        <w:tc>
          <w:tcPr>
            <w:tcW w:w="1200" w:type="dxa"/>
            <w:vAlign w:val="bottom"/>
            <w:vMerge w:val="restart"/>
          </w:tcPr>
          <w:p>
            <w:pPr>
              <w:jc w:val="right"/>
              <w:ind w:right="416"/>
              <w:spacing w:after="0"/>
              <w:rPr>
                <w:sz w:val="20"/>
                <w:szCs w:val="20"/>
                <w:color w:val="auto"/>
              </w:rPr>
            </w:pPr>
            <w:r>
              <w:rPr>
                <w:rFonts w:ascii="Courier New" w:cs="Courier New" w:eastAsia="Courier New" w:hAnsi="Courier New"/>
                <w:sz w:val="17"/>
                <w:szCs w:val="17"/>
                <w:color w:val="auto"/>
              </w:rPr>
              <w:t>12,706</w:t>
            </w:r>
          </w:p>
        </w:tc>
        <w:tc>
          <w:tcPr>
            <w:tcW w:w="5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(8,022)</w:t>
            </w:r>
          </w:p>
        </w:tc>
        <w:tc>
          <w:tcPr>
            <w:tcW w:w="0" w:type="dxa"/>
            <w:vAlign w:val="bottom"/>
          </w:tcPr>
          <w:p>
            <w:pPr>
              <w:spacing w:after="0"/>
              <w:rPr>
                <w:sz w:val="1"/>
                <w:szCs w:val="1"/>
                <w:color w:val="auto"/>
              </w:rPr>
            </w:pPr>
          </w:p>
        </w:tc>
      </w:tr>
      <w:tr>
        <w:trPr>
          <w:trHeight w:val="193"/>
        </w:trPr>
        <w:tc>
          <w:tcPr>
            <w:tcW w:w="8320" w:type="dxa"/>
            <w:vAlign w:val="bottom"/>
          </w:tcPr>
          <w:p>
            <w:pPr>
              <w:spacing w:after="0"/>
              <w:rPr>
                <w:sz w:val="20"/>
                <w:szCs w:val="20"/>
                <w:color w:val="auto"/>
              </w:rPr>
            </w:pPr>
            <w:r>
              <w:rPr>
                <w:rFonts w:ascii="Courier New" w:cs="Courier New" w:eastAsia="Courier New" w:hAnsi="Courier New"/>
                <w:sz w:val="17"/>
                <w:szCs w:val="17"/>
                <w:color w:val="auto"/>
              </w:rPr>
              <w:t>Net income (loss)</w:t>
            </w:r>
          </w:p>
        </w:tc>
        <w:tc>
          <w:tcPr>
            <w:tcW w:w="50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320" w:type="dxa"/>
            <w:vAlign w:val="bottom"/>
          </w:tcPr>
          <w:p>
            <w:pPr>
              <w:spacing w:after="0"/>
              <w:rPr>
                <w:sz w:val="20"/>
                <w:szCs w:val="20"/>
                <w:color w:val="auto"/>
              </w:rPr>
            </w:pPr>
            <w:r>
              <w:rPr>
                <w:rFonts w:ascii="Courier New" w:cs="Courier New" w:eastAsia="Courier New" w:hAnsi="Courier New"/>
                <w:sz w:val="17"/>
                <w:szCs w:val="17"/>
                <w:color w:val="auto"/>
              </w:rPr>
              <w:t>Adjustments to reconcile net income (loss) before extraordinary loss to net cash</w:t>
            </w:r>
          </w:p>
        </w:tc>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320" w:type="dxa"/>
            <w:vAlign w:val="bottom"/>
          </w:tcPr>
          <w:p>
            <w:pPr>
              <w:ind w:left="200"/>
              <w:spacing w:after="0"/>
              <w:rPr>
                <w:sz w:val="20"/>
                <w:szCs w:val="20"/>
                <w:color w:val="auto"/>
              </w:rPr>
            </w:pPr>
            <w:r>
              <w:rPr>
                <w:rFonts w:ascii="Courier New" w:cs="Courier New" w:eastAsia="Courier New" w:hAnsi="Courier New"/>
                <w:sz w:val="17"/>
                <w:szCs w:val="17"/>
                <w:color w:val="auto"/>
              </w:rPr>
              <w:t>provided by operating activities:</w:t>
            </w:r>
          </w:p>
        </w:tc>
        <w:tc>
          <w:tcPr>
            <w:tcW w:w="500" w:type="dxa"/>
            <w:vAlign w:val="bottom"/>
          </w:tcPr>
          <w:p>
            <w:pPr>
              <w:spacing w:after="0"/>
              <w:rPr>
                <w:sz w:val="16"/>
                <w:szCs w:val="16"/>
                <w:color w:val="auto"/>
              </w:rPr>
            </w:pPr>
          </w:p>
        </w:tc>
        <w:tc>
          <w:tcPr>
            <w:tcW w:w="1200" w:type="dxa"/>
            <w:vAlign w:val="bottom"/>
            <w:vMerge w:val="restart"/>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spacing w:after="0"/>
              <w:rPr>
                <w:sz w:val="16"/>
                <w:szCs w:val="16"/>
                <w:color w:val="auto"/>
              </w:rPr>
            </w:pPr>
          </w:p>
        </w:tc>
        <w:tc>
          <w:tcPr>
            <w:tcW w:w="840" w:type="dxa"/>
            <w:vAlign w:val="bottom"/>
            <w:vMerge w:val="restart"/>
          </w:tcPr>
          <w:p>
            <w:pPr>
              <w:jc w:val="right"/>
              <w:ind w:right="16"/>
              <w:spacing w:after="0"/>
              <w:rPr>
                <w:sz w:val="20"/>
                <w:szCs w:val="20"/>
                <w:color w:val="auto"/>
              </w:rPr>
            </w:pPr>
            <w:r>
              <w:rPr>
                <w:rFonts w:ascii="Courier New" w:cs="Courier New" w:eastAsia="Courier New" w:hAnsi="Courier New"/>
                <w:sz w:val="17"/>
                <w:szCs w:val="17"/>
                <w:color w:val="auto"/>
              </w:rPr>
              <w:t>20,800</w:t>
            </w:r>
          </w:p>
        </w:tc>
        <w:tc>
          <w:tcPr>
            <w:tcW w:w="0" w:type="dxa"/>
            <w:vAlign w:val="bottom"/>
          </w:tcPr>
          <w:p>
            <w:pPr>
              <w:spacing w:after="0"/>
              <w:rPr>
                <w:sz w:val="1"/>
                <w:szCs w:val="1"/>
                <w:color w:val="auto"/>
              </w:rPr>
            </w:pPr>
          </w:p>
        </w:tc>
      </w:tr>
      <w:tr>
        <w:trPr>
          <w:trHeight w:val="193"/>
        </w:trPr>
        <w:tc>
          <w:tcPr>
            <w:tcW w:w="8320" w:type="dxa"/>
            <w:vAlign w:val="bottom"/>
          </w:tcPr>
          <w:p>
            <w:pPr>
              <w:ind w:left="400"/>
              <w:spacing w:after="0"/>
              <w:rPr>
                <w:sz w:val="20"/>
                <w:szCs w:val="20"/>
                <w:color w:val="auto"/>
              </w:rPr>
            </w:pPr>
            <w:r>
              <w:rPr>
                <w:rFonts w:ascii="Courier New" w:cs="Courier New" w:eastAsia="Courier New" w:hAnsi="Courier New"/>
                <w:sz w:val="17"/>
                <w:szCs w:val="17"/>
                <w:color w:val="auto"/>
              </w:rPr>
              <w:t>Write off of in-process research and development</w:t>
            </w:r>
          </w:p>
        </w:tc>
        <w:tc>
          <w:tcPr>
            <w:tcW w:w="5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320" w:type="dxa"/>
            <w:vAlign w:val="bottom"/>
          </w:tcPr>
          <w:p>
            <w:pPr>
              <w:ind w:left="400"/>
              <w:spacing w:after="0"/>
              <w:rPr>
                <w:sz w:val="20"/>
                <w:szCs w:val="20"/>
                <w:color w:val="auto"/>
              </w:rPr>
            </w:pPr>
            <w:r>
              <w:rPr>
                <w:rFonts w:ascii="Courier New" w:cs="Courier New" w:eastAsia="Courier New" w:hAnsi="Courier New"/>
                <w:sz w:val="17"/>
                <w:szCs w:val="17"/>
                <w:color w:val="auto"/>
              </w:rPr>
              <w:t>Depreciation and amortization</w:t>
            </w:r>
          </w:p>
        </w:tc>
        <w:tc>
          <w:tcPr>
            <w:tcW w:w="500" w:type="dxa"/>
            <w:vAlign w:val="bottom"/>
          </w:tcPr>
          <w:p>
            <w:pPr>
              <w:spacing w:after="0"/>
              <w:rPr>
                <w:sz w:val="16"/>
                <w:szCs w:val="16"/>
                <w:color w:val="auto"/>
              </w:rPr>
            </w:pP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9,987</w:t>
            </w:r>
          </w:p>
        </w:tc>
        <w:tc>
          <w:tcPr>
            <w:tcW w:w="56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8,004</w:t>
            </w:r>
          </w:p>
        </w:tc>
        <w:tc>
          <w:tcPr>
            <w:tcW w:w="0" w:type="dxa"/>
            <w:vAlign w:val="bottom"/>
          </w:tcPr>
          <w:p>
            <w:pPr>
              <w:spacing w:after="0"/>
              <w:rPr>
                <w:sz w:val="1"/>
                <w:szCs w:val="1"/>
                <w:color w:val="auto"/>
              </w:rPr>
            </w:pPr>
          </w:p>
        </w:tc>
      </w:tr>
      <w:tr>
        <w:trPr>
          <w:trHeight w:val="193"/>
        </w:trPr>
        <w:tc>
          <w:tcPr>
            <w:tcW w:w="8320" w:type="dxa"/>
            <w:vAlign w:val="bottom"/>
          </w:tcPr>
          <w:p>
            <w:pPr>
              <w:ind w:left="400"/>
              <w:spacing w:after="0"/>
              <w:rPr>
                <w:sz w:val="20"/>
                <w:szCs w:val="20"/>
                <w:color w:val="auto"/>
              </w:rPr>
            </w:pPr>
            <w:r>
              <w:rPr>
                <w:rFonts w:ascii="Courier New" w:cs="Courier New" w:eastAsia="Courier New" w:hAnsi="Courier New"/>
                <w:sz w:val="17"/>
                <w:szCs w:val="17"/>
                <w:color w:val="auto"/>
              </w:rPr>
              <w:t>Deferred income taxes</w:t>
            </w:r>
          </w:p>
        </w:tc>
        <w:tc>
          <w:tcPr>
            <w:tcW w:w="500" w:type="dxa"/>
            <w:vAlign w:val="bottom"/>
          </w:tcPr>
          <w:p>
            <w:pPr>
              <w:spacing w:after="0"/>
              <w:rPr>
                <w:sz w:val="16"/>
                <w:szCs w:val="16"/>
                <w:color w:val="auto"/>
              </w:rPr>
            </w:pP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952</w:t>
            </w:r>
          </w:p>
        </w:tc>
        <w:tc>
          <w:tcPr>
            <w:tcW w:w="5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(7,064)</w:t>
            </w:r>
          </w:p>
        </w:tc>
        <w:tc>
          <w:tcPr>
            <w:tcW w:w="0" w:type="dxa"/>
            <w:vAlign w:val="bottom"/>
          </w:tcPr>
          <w:p>
            <w:pPr>
              <w:spacing w:after="0"/>
              <w:rPr>
                <w:sz w:val="1"/>
                <w:szCs w:val="1"/>
                <w:color w:val="auto"/>
              </w:rPr>
            </w:pPr>
          </w:p>
        </w:tc>
      </w:tr>
      <w:tr>
        <w:trPr>
          <w:trHeight w:val="193"/>
        </w:trPr>
        <w:tc>
          <w:tcPr>
            <w:tcW w:w="8320" w:type="dxa"/>
            <w:vAlign w:val="bottom"/>
          </w:tcPr>
          <w:p>
            <w:pPr>
              <w:ind w:left="400"/>
              <w:spacing w:after="0"/>
              <w:rPr>
                <w:sz w:val="20"/>
                <w:szCs w:val="20"/>
                <w:color w:val="auto"/>
              </w:rPr>
            </w:pPr>
            <w:r>
              <w:rPr>
                <w:rFonts w:ascii="Courier New" w:cs="Courier New" w:eastAsia="Courier New" w:hAnsi="Courier New"/>
                <w:sz w:val="17"/>
                <w:szCs w:val="17"/>
                <w:color w:val="auto"/>
              </w:rPr>
              <w:t>Amortization of unearned compensation</w:t>
            </w:r>
          </w:p>
        </w:tc>
        <w:tc>
          <w:tcPr>
            <w:tcW w:w="500" w:type="dxa"/>
            <w:vAlign w:val="bottom"/>
          </w:tcPr>
          <w:p>
            <w:pPr>
              <w:spacing w:after="0"/>
              <w:rPr>
                <w:sz w:val="16"/>
                <w:szCs w:val="16"/>
                <w:color w:val="auto"/>
              </w:rPr>
            </w:pP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37</w:t>
            </w:r>
          </w:p>
        </w:tc>
        <w:tc>
          <w:tcPr>
            <w:tcW w:w="56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161</w:t>
            </w:r>
          </w:p>
        </w:tc>
        <w:tc>
          <w:tcPr>
            <w:tcW w:w="0" w:type="dxa"/>
            <w:vAlign w:val="bottom"/>
          </w:tcPr>
          <w:p>
            <w:pPr>
              <w:spacing w:after="0"/>
              <w:rPr>
                <w:sz w:val="1"/>
                <w:szCs w:val="1"/>
                <w:color w:val="auto"/>
              </w:rPr>
            </w:pPr>
          </w:p>
        </w:tc>
      </w:tr>
      <w:tr>
        <w:trPr>
          <w:trHeight w:val="193"/>
        </w:trPr>
        <w:tc>
          <w:tcPr>
            <w:tcW w:w="8320" w:type="dxa"/>
            <w:vAlign w:val="bottom"/>
          </w:tcPr>
          <w:p>
            <w:pPr>
              <w:ind w:left="400"/>
              <w:spacing w:after="0"/>
              <w:rPr>
                <w:sz w:val="20"/>
                <w:szCs w:val="20"/>
                <w:color w:val="auto"/>
              </w:rPr>
            </w:pPr>
            <w:r>
              <w:rPr>
                <w:rFonts w:ascii="Courier New" w:cs="Courier New" w:eastAsia="Courier New" w:hAnsi="Courier New"/>
                <w:sz w:val="17"/>
                <w:szCs w:val="17"/>
                <w:color w:val="auto"/>
              </w:rPr>
              <w:t>Change in operating assets and liabilities:</w:t>
            </w:r>
          </w:p>
        </w:tc>
        <w:tc>
          <w:tcPr>
            <w:tcW w:w="500" w:type="dxa"/>
            <w:vAlign w:val="bottom"/>
          </w:tcPr>
          <w:p>
            <w:pPr>
              <w:spacing w:after="0"/>
              <w:rPr>
                <w:sz w:val="16"/>
                <w:szCs w:val="16"/>
                <w:color w:val="auto"/>
              </w:rPr>
            </w:pPr>
          </w:p>
        </w:tc>
        <w:tc>
          <w:tcPr>
            <w:tcW w:w="1200" w:type="dxa"/>
            <w:vAlign w:val="bottom"/>
            <w:vMerge w:val="restart"/>
          </w:tcPr>
          <w:p>
            <w:pPr>
              <w:jc w:val="right"/>
              <w:ind w:right="316"/>
              <w:spacing w:after="0"/>
              <w:rPr>
                <w:sz w:val="20"/>
                <w:szCs w:val="20"/>
                <w:color w:val="auto"/>
              </w:rPr>
            </w:pPr>
            <w:r>
              <w:rPr>
                <w:rFonts w:ascii="Courier New" w:cs="Courier New" w:eastAsia="Courier New" w:hAnsi="Courier New"/>
                <w:sz w:val="17"/>
                <w:szCs w:val="17"/>
                <w:color w:val="auto"/>
              </w:rPr>
              <w:t>(6,941)</w:t>
            </w:r>
          </w:p>
        </w:tc>
        <w:tc>
          <w:tcPr>
            <w:tcW w:w="56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(16,326)</w:t>
            </w:r>
          </w:p>
        </w:tc>
        <w:tc>
          <w:tcPr>
            <w:tcW w:w="0" w:type="dxa"/>
            <w:vAlign w:val="bottom"/>
          </w:tcPr>
          <w:p>
            <w:pPr>
              <w:spacing w:after="0"/>
              <w:rPr>
                <w:sz w:val="1"/>
                <w:szCs w:val="1"/>
                <w:color w:val="auto"/>
              </w:rPr>
            </w:pPr>
          </w:p>
        </w:tc>
      </w:tr>
      <w:tr>
        <w:trPr>
          <w:trHeight w:val="193"/>
        </w:trPr>
        <w:tc>
          <w:tcPr>
            <w:tcW w:w="8320" w:type="dxa"/>
            <w:vAlign w:val="bottom"/>
          </w:tcPr>
          <w:p>
            <w:pPr>
              <w:ind w:left="600"/>
              <w:spacing w:after="0"/>
              <w:rPr>
                <w:sz w:val="20"/>
                <w:szCs w:val="20"/>
                <w:color w:val="auto"/>
              </w:rPr>
            </w:pPr>
            <w:r>
              <w:rPr>
                <w:rFonts w:ascii="Courier New" w:cs="Courier New" w:eastAsia="Courier New" w:hAnsi="Courier New"/>
                <w:sz w:val="17"/>
                <w:szCs w:val="17"/>
                <w:color w:val="auto"/>
              </w:rPr>
              <w:t>Accounts receivable</w:t>
            </w:r>
          </w:p>
        </w:tc>
        <w:tc>
          <w:tcPr>
            <w:tcW w:w="5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320" w:type="dxa"/>
            <w:vAlign w:val="bottom"/>
          </w:tcPr>
          <w:p>
            <w:pPr>
              <w:ind w:left="600"/>
              <w:spacing w:after="0"/>
              <w:rPr>
                <w:sz w:val="20"/>
                <w:szCs w:val="20"/>
                <w:color w:val="auto"/>
              </w:rPr>
            </w:pPr>
            <w:r>
              <w:rPr>
                <w:rFonts w:ascii="Courier New" w:cs="Courier New" w:eastAsia="Courier New" w:hAnsi="Courier New"/>
                <w:sz w:val="17"/>
                <w:szCs w:val="17"/>
                <w:color w:val="auto"/>
              </w:rPr>
              <w:t>Prepaid expenses</w:t>
            </w:r>
          </w:p>
        </w:tc>
        <w:tc>
          <w:tcPr>
            <w:tcW w:w="50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(2,152)</w:t>
            </w:r>
          </w:p>
        </w:tc>
        <w:tc>
          <w:tcPr>
            <w:tcW w:w="5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(96)</w:t>
            </w:r>
          </w:p>
        </w:tc>
        <w:tc>
          <w:tcPr>
            <w:tcW w:w="0" w:type="dxa"/>
            <w:vAlign w:val="bottom"/>
          </w:tcPr>
          <w:p>
            <w:pPr>
              <w:spacing w:after="0"/>
              <w:rPr>
                <w:sz w:val="1"/>
                <w:szCs w:val="1"/>
                <w:color w:val="auto"/>
              </w:rPr>
            </w:pPr>
          </w:p>
        </w:tc>
      </w:tr>
      <w:tr>
        <w:trPr>
          <w:trHeight w:val="193"/>
        </w:trPr>
        <w:tc>
          <w:tcPr>
            <w:tcW w:w="8320" w:type="dxa"/>
            <w:vAlign w:val="bottom"/>
          </w:tcPr>
          <w:p>
            <w:pPr>
              <w:ind w:left="600"/>
              <w:spacing w:after="0"/>
              <w:rPr>
                <w:sz w:val="20"/>
                <w:szCs w:val="20"/>
                <w:color w:val="auto"/>
              </w:rPr>
            </w:pPr>
            <w:r>
              <w:rPr>
                <w:rFonts w:ascii="Courier New" w:cs="Courier New" w:eastAsia="Courier New" w:hAnsi="Courier New"/>
                <w:sz w:val="17"/>
                <w:szCs w:val="17"/>
                <w:color w:val="auto"/>
              </w:rPr>
              <w:t>Customer advances and deferred revenue</w:t>
            </w:r>
          </w:p>
        </w:tc>
        <w:tc>
          <w:tcPr>
            <w:tcW w:w="500" w:type="dxa"/>
            <w:vAlign w:val="bottom"/>
          </w:tcPr>
          <w:p>
            <w:pPr>
              <w:spacing w:after="0"/>
              <w:rPr>
                <w:sz w:val="16"/>
                <w:szCs w:val="16"/>
                <w:color w:val="auto"/>
              </w:rPr>
            </w:pP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2,809</w:t>
            </w:r>
          </w:p>
        </w:tc>
        <w:tc>
          <w:tcPr>
            <w:tcW w:w="56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1,601</w:t>
            </w:r>
          </w:p>
        </w:tc>
        <w:tc>
          <w:tcPr>
            <w:tcW w:w="0" w:type="dxa"/>
            <w:vAlign w:val="bottom"/>
          </w:tcPr>
          <w:p>
            <w:pPr>
              <w:spacing w:after="0"/>
              <w:rPr>
                <w:sz w:val="1"/>
                <w:szCs w:val="1"/>
                <w:color w:val="auto"/>
              </w:rPr>
            </w:pPr>
          </w:p>
        </w:tc>
      </w:tr>
      <w:tr>
        <w:trPr>
          <w:trHeight w:val="193"/>
        </w:trPr>
        <w:tc>
          <w:tcPr>
            <w:tcW w:w="8320" w:type="dxa"/>
            <w:vAlign w:val="bottom"/>
          </w:tcPr>
          <w:p>
            <w:pPr>
              <w:ind w:left="600"/>
              <w:spacing w:after="0"/>
              <w:rPr>
                <w:sz w:val="20"/>
                <w:szCs w:val="20"/>
                <w:color w:val="auto"/>
              </w:rPr>
            </w:pPr>
            <w:r>
              <w:rPr>
                <w:rFonts w:ascii="Courier New" w:cs="Courier New" w:eastAsia="Courier New" w:hAnsi="Courier New"/>
                <w:sz w:val="17"/>
                <w:szCs w:val="17"/>
                <w:color w:val="auto"/>
              </w:rPr>
              <w:t>Accounts payable, accrued expenses and accrued compensation</w:t>
            </w:r>
          </w:p>
        </w:tc>
        <w:tc>
          <w:tcPr>
            <w:tcW w:w="500" w:type="dxa"/>
            <w:vAlign w:val="bottom"/>
          </w:tcPr>
          <w:p>
            <w:pPr>
              <w:spacing w:after="0"/>
              <w:rPr>
                <w:sz w:val="16"/>
                <w:szCs w:val="16"/>
                <w:color w:val="auto"/>
              </w:rPr>
            </w:pP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2,631</w:t>
            </w:r>
          </w:p>
        </w:tc>
        <w:tc>
          <w:tcPr>
            <w:tcW w:w="56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5,561</w:t>
            </w:r>
          </w:p>
        </w:tc>
        <w:tc>
          <w:tcPr>
            <w:tcW w:w="0" w:type="dxa"/>
            <w:vAlign w:val="bottom"/>
          </w:tcPr>
          <w:p>
            <w:pPr>
              <w:spacing w:after="0"/>
              <w:rPr>
                <w:sz w:val="1"/>
                <w:szCs w:val="1"/>
                <w:color w:val="auto"/>
              </w:rPr>
            </w:pPr>
          </w:p>
        </w:tc>
      </w:tr>
      <w:tr>
        <w:trPr>
          <w:trHeight w:val="193"/>
        </w:trPr>
        <w:tc>
          <w:tcPr>
            <w:tcW w:w="8320" w:type="dxa"/>
            <w:vAlign w:val="bottom"/>
          </w:tcPr>
          <w:p>
            <w:pPr>
              <w:ind w:left="600"/>
              <w:spacing w:after="0"/>
              <w:rPr>
                <w:sz w:val="20"/>
                <w:szCs w:val="20"/>
                <w:color w:val="auto"/>
              </w:rPr>
            </w:pPr>
            <w:r>
              <w:rPr>
                <w:rFonts w:ascii="Courier New" w:cs="Courier New" w:eastAsia="Courier New" w:hAnsi="Courier New"/>
                <w:sz w:val="17"/>
                <w:szCs w:val="17"/>
                <w:color w:val="auto"/>
              </w:rPr>
              <w:t>Other assets and liabilities, net</w:t>
            </w:r>
          </w:p>
        </w:tc>
        <w:tc>
          <w:tcPr>
            <w:tcW w:w="500" w:type="dxa"/>
            <w:vAlign w:val="bottom"/>
          </w:tcPr>
          <w:p>
            <w:pPr>
              <w:spacing w:after="0"/>
              <w:rPr>
                <w:sz w:val="16"/>
                <w:szCs w:val="16"/>
                <w:color w:val="auto"/>
              </w:rPr>
            </w:pP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45</w:t>
            </w:r>
          </w:p>
        </w:tc>
        <w:tc>
          <w:tcPr>
            <w:tcW w:w="56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2,353</w:t>
            </w:r>
          </w:p>
        </w:tc>
        <w:tc>
          <w:tcPr>
            <w:tcW w:w="0" w:type="dxa"/>
            <w:vAlign w:val="bottom"/>
          </w:tcPr>
          <w:p>
            <w:pPr>
              <w:spacing w:after="0"/>
              <w:rPr>
                <w:sz w:val="1"/>
                <w:szCs w:val="1"/>
                <w:color w:val="auto"/>
              </w:rPr>
            </w:pPr>
          </w:p>
        </w:tc>
      </w:tr>
      <w:tr>
        <w:trPr>
          <w:trHeight w:val="281"/>
        </w:trPr>
        <w:tc>
          <w:tcPr>
            <w:tcW w:w="8320" w:type="dxa"/>
            <w:vAlign w:val="bottom"/>
          </w:tcPr>
          <w:p>
            <w:pPr>
              <w:spacing w:after="0"/>
              <w:rPr>
                <w:sz w:val="24"/>
                <w:szCs w:val="24"/>
                <w:color w:val="auto"/>
              </w:rPr>
            </w:pPr>
          </w:p>
        </w:tc>
        <w:tc>
          <w:tcPr>
            <w:tcW w:w="170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85"/>
        </w:trPr>
        <w:tc>
          <w:tcPr>
            <w:tcW w:w="8320" w:type="dxa"/>
            <w:vAlign w:val="bottom"/>
          </w:tcPr>
          <w:p>
            <w:pPr>
              <w:spacing w:after="0"/>
              <w:rPr>
                <w:sz w:val="20"/>
                <w:szCs w:val="20"/>
                <w:color w:val="auto"/>
              </w:rPr>
            </w:pPr>
            <w:r>
              <w:rPr>
                <w:rFonts w:ascii="Courier New" w:cs="Courier New" w:eastAsia="Courier New" w:hAnsi="Courier New"/>
                <w:sz w:val="17"/>
                <w:szCs w:val="17"/>
                <w:color w:val="auto"/>
              </w:rPr>
              <w:t>Net cash provided by operating activities</w:t>
            </w:r>
          </w:p>
        </w:tc>
        <w:tc>
          <w:tcPr>
            <w:tcW w:w="500" w:type="dxa"/>
            <w:vAlign w:val="bottom"/>
          </w:tcPr>
          <w:p>
            <w:pPr>
              <w:spacing w:after="0"/>
              <w:rPr>
                <w:sz w:val="24"/>
                <w:szCs w:val="24"/>
                <w:color w:val="auto"/>
              </w:rPr>
            </w:pP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20,074</w:t>
            </w:r>
          </w:p>
        </w:tc>
        <w:tc>
          <w:tcPr>
            <w:tcW w:w="560" w:type="dxa"/>
            <w:vAlign w:val="bottom"/>
          </w:tcPr>
          <w:p>
            <w:pPr>
              <w:spacing w:after="0"/>
              <w:rPr>
                <w:sz w:val="24"/>
                <w:szCs w:val="24"/>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6,972</w:t>
            </w:r>
          </w:p>
        </w:tc>
        <w:tc>
          <w:tcPr>
            <w:tcW w:w="0" w:type="dxa"/>
            <w:vAlign w:val="bottom"/>
          </w:tcPr>
          <w:p>
            <w:pPr>
              <w:spacing w:after="0"/>
              <w:rPr>
                <w:sz w:val="1"/>
                <w:szCs w:val="1"/>
                <w:color w:val="auto"/>
              </w:rPr>
            </w:pPr>
          </w:p>
        </w:tc>
      </w:tr>
      <w:tr>
        <w:trPr>
          <w:trHeight w:val="297"/>
        </w:trPr>
        <w:tc>
          <w:tcPr>
            <w:tcW w:w="8320" w:type="dxa"/>
            <w:vAlign w:val="bottom"/>
          </w:tcPr>
          <w:p>
            <w:pPr>
              <w:spacing w:after="0"/>
              <w:rPr>
                <w:sz w:val="20"/>
                <w:szCs w:val="20"/>
                <w:color w:val="auto"/>
              </w:rPr>
            </w:pPr>
            <w:r>
              <w:rPr>
                <w:rFonts w:ascii="Courier New" w:cs="Courier New" w:eastAsia="Courier New" w:hAnsi="Courier New"/>
                <w:sz w:val="17"/>
                <w:szCs w:val="17"/>
                <w:color w:val="auto"/>
              </w:rPr>
              <w:t>INVESTING ACTIVITIES</w:t>
            </w:r>
          </w:p>
        </w:tc>
        <w:tc>
          <w:tcPr>
            <w:tcW w:w="500" w:type="dxa"/>
            <w:vAlign w:val="bottom"/>
          </w:tcPr>
          <w:p>
            <w:pPr>
              <w:spacing w:after="0"/>
              <w:rPr>
                <w:sz w:val="24"/>
                <w:szCs w:val="24"/>
                <w:color w:val="auto"/>
              </w:rPr>
            </w:pPr>
          </w:p>
        </w:tc>
        <w:tc>
          <w:tcPr>
            <w:tcW w:w="1200" w:type="dxa"/>
            <w:vAlign w:val="bottom"/>
            <w:vMerge w:val="restart"/>
          </w:tcPr>
          <w:p>
            <w:pPr>
              <w:jc w:val="right"/>
              <w:ind w:right="316"/>
              <w:spacing w:after="0"/>
              <w:rPr>
                <w:sz w:val="20"/>
                <w:szCs w:val="20"/>
                <w:color w:val="auto"/>
              </w:rPr>
            </w:pPr>
            <w:r>
              <w:rPr>
                <w:rFonts w:ascii="Courier New" w:cs="Courier New" w:eastAsia="Courier New" w:hAnsi="Courier New"/>
                <w:sz w:val="17"/>
                <w:szCs w:val="17"/>
                <w:color w:val="auto"/>
              </w:rPr>
              <w:t>(3,331)</w:t>
            </w:r>
          </w:p>
        </w:tc>
        <w:tc>
          <w:tcPr>
            <w:tcW w:w="56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(2,709)</w:t>
            </w:r>
          </w:p>
        </w:tc>
        <w:tc>
          <w:tcPr>
            <w:tcW w:w="0" w:type="dxa"/>
            <w:vAlign w:val="bottom"/>
          </w:tcPr>
          <w:p>
            <w:pPr>
              <w:spacing w:after="0"/>
              <w:rPr>
                <w:sz w:val="1"/>
                <w:szCs w:val="1"/>
                <w:color w:val="auto"/>
              </w:rPr>
            </w:pPr>
          </w:p>
        </w:tc>
      </w:tr>
      <w:tr>
        <w:trPr>
          <w:trHeight w:val="193"/>
        </w:trPr>
        <w:tc>
          <w:tcPr>
            <w:tcW w:w="8320" w:type="dxa"/>
            <w:vAlign w:val="bottom"/>
          </w:tcPr>
          <w:p>
            <w:pPr>
              <w:spacing w:after="0"/>
              <w:rPr>
                <w:sz w:val="20"/>
                <w:szCs w:val="20"/>
                <w:color w:val="auto"/>
              </w:rPr>
            </w:pPr>
            <w:r>
              <w:rPr>
                <w:rFonts w:ascii="Courier New" w:cs="Courier New" w:eastAsia="Courier New" w:hAnsi="Courier New"/>
                <w:sz w:val="17"/>
                <w:szCs w:val="17"/>
                <w:color w:val="auto"/>
              </w:rPr>
              <w:t>Capital expenditures</w:t>
            </w:r>
          </w:p>
        </w:tc>
        <w:tc>
          <w:tcPr>
            <w:tcW w:w="5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320" w:type="dxa"/>
            <w:vAlign w:val="bottom"/>
          </w:tcPr>
          <w:p>
            <w:pPr>
              <w:spacing w:after="0"/>
              <w:rPr>
                <w:sz w:val="20"/>
                <w:szCs w:val="20"/>
                <w:color w:val="auto"/>
              </w:rPr>
            </w:pPr>
            <w:r>
              <w:rPr>
                <w:rFonts w:ascii="Courier New" w:cs="Courier New" w:eastAsia="Courier New" w:hAnsi="Courier New"/>
                <w:sz w:val="17"/>
                <w:szCs w:val="17"/>
                <w:color w:val="auto"/>
              </w:rPr>
              <w:t>Investment in software/business alliance</w:t>
            </w:r>
          </w:p>
        </w:tc>
        <w:tc>
          <w:tcPr>
            <w:tcW w:w="50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(2,000)</w:t>
            </w:r>
          </w:p>
        </w:tc>
        <w:tc>
          <w:tcPr>
            <w:tcW w:w="56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3"/>
        </w:trPr>
        <w:tc>
          <w:tcPr>
            <w:tcW w:w="8320" w:type="dxa"/>
            <w:vAlign w:val="bottom"/>
          </w:tcPr>
          <w:p>
            <w:pPr>
              <w:spacing w:after="0"/>
              <w:rPr>
                <w:sz w:val="20"/>
                <w:szCs w:val="20"/>
                <w:color w:val="auto"/>
              </w:rPr>
            </w:pPr>
            <w:r>
              <w:rPr>
                <w:rFonts w:ascii="Courier New" w:cs="Courier New" w:eastAsia="Courier New" w:hAnsi="Courier New"/>
                <w:sz w:val="17"/>
                <w:szCs w:val="17"/>
                <w:color w:val="auto"/>
              </w:rPr>
              <w:t>Purchase of Intelicom</w:t>
            </w:r>
          </w:p>
        </w:tc>
        <w:tc>
          <w:tcPr>
            <w:tcW w:w="50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(6,000)</w:t>
            </w:r>
          </w:p>
        </w:tc>
        <w:tc>
          <w:tcPr>
            <w:tcW w:w="5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(73,832)</w:t>
            </w:r>
          </w:p>
        </w:tc>
        <w:tc>
          <w:tcPr>
            <w:tcW w:w="0" w:type="dxa"/>
            <w:vAlign w:val="bottom"/>
          </w:tcPr>
          <w:p>
            <w:pPr>
              <w:spacing w:after="0"/>
              <w:rPr>
                <w:sz w:val="1"/>
                <w:szCs w:val="1"/>
                <w:color w:val="auto"/>
              </w:rPr>
            </w:pPr>
          </w:p>
        </w:tc>
      </w:tr>
      <w:tr>
        <w:trPr>
          <w:trHeight w:val="193"/>
        </w:trPr>
        <w:tc>
          <w:tcPr>
            <w:tcW w:w="8320" w:type="dxa"/>
            <w:vAlign w:val="bottom"/>
          </w:tcPr>
          <w:p>
            <w:pPr>
              <w:spacing w:after="0"/>
              <w:rPr>
                <w:sz w:val="20"/>
                <w:szCs w:val="20"/>
                <w:color w:val="auto"/>
              </w:rPr>
            </w:pPr>
            <w:r>
              <w:rPr>
                <w:rFonts w:ascii="Courier New" w:cs="Courier New" w:eastAsia="Courier New" w:hAnsi="Courier New"/>
                <w:sz w:val="17"/>
                <w:szCs w:val="17"/>
                <w:color w:val="auto"/>
              </w:rPr>
              <w:t>Product development costs</w:t>
            </w:r>
          </w:p>
        </w:tc>
        <w:tc>
          <w:tcPr>
            <w:tcW w:w="50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(5,380)</w:t>
            </w:r>
          </w:p>
        </w:tc>
        <w:tc>
          <w:tcPr>
            <w:tcW w:w="5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(5,295)</w:t>
            </w:r>
          </w:p>
        </w:tc>
        <w:tc>
          <w:tcPr>
            <w:tcW w:w="0" w:type="dxa"/>
            <w:vAlign w:val="bottom"/>
          </w:tcPr>
          <w:p>
            <w:pPr>
              <w:spacing w:after="0"/>
              <w:rPr>
                <w:sz w:val="1"/>
                <w:szCs w:val="1"/>
                <w:color w:val="auto"/>
              </w:rPr>
            </w:pPr>
          </w:p>
        </w:tc>
      </w:tr>
      <w:tr>
        <w:trPr>
          <w:trHeight w:val="281"/>
        </w:trPr>
        <w:tc>
          <w:tcPr>
            <w:tcW w:w="8320" w:type="dxa"/>
            <w:vAlign w:val="bottom"/>
          </w:tcPr>
          <w:p>
            <w:pPr>
              <w:spacing w:after="0"/>
              <w:rPr>
                <w:sz w:val="24"/>
                <w:szCs w:val="24"/>
                <w:color w:val="auto"/>
              </w:rPr>
            </w:pPr>
          </w:p>
        </w:tc>
        <w:tc>
          <w:tcPr>
            <w:tcW w:w="170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85"/>
        </w:trPr>
        <w:tc>
          <w:tcPr>
            <w:tcW w:w="8320" w:type="dxa"/>
            <w:vAlign w:val="bottom"/>
          </w:tcPr>
          <w:p>
            <w:pPr>
              <w:spacing w:after="0"/>
              <w:rPr>
                <w:sz w:val="20"/>
                <w:szCs w:val="20"/>
                <w:color w:val="auto"/>
              </w:rPr>
            </w:pPr>
            <w:r>
              <w:rPr>
                <w:rFonts w:ascii="Courier New" w:cs="Courier New" w:eastAsia="Courier New" w:hAnsi="Courier New"/>
                <w:sz w:val="17"/>
                <w:szCs w:val="17"/>
                <w:color w:val="auto"/>
              </w:rPr>
              <w:t>Net cash used for investing activities</w:t>
            </w:r>
          </w:p>
        </w:tc>
        <w:tc>
          <w:tcPr>
            <w:tcW w:w="500" w:type="dxa"/>
            <w:vAlign w:val="bottom"/>
          </w:tcPr>
          <w:p>
            <w:pPr>
              <w:spacing w:after="0"/>
              <w:rPr>
                <w:sz w:val="24"/>
                <w:szCs w:val="24"/>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5"/>
              </w:rPr>
              <w:t>(16,711)</w:t>
            </w:r>
          </w:p>
        </w:tc>
        <w:tc>
          <w:tcPr>
            <w:tcW w:w="5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(81,836)</w:t>
            </w:r>
          </w:p>
        </w:tc>
        <w:tc>
          <w:tcPr>
            <w:tcW w:w="0" w:type="dxa"/>
            <w:vAlign w:val="bottom"/>
          </w:tcPr>
          <w:p>
            <w:pPr>
              <w:spacing w:after="0"/>
              <w:rPr>
                <w:sz w:val="1"/>
                <w:szCs w:val="1"/>
                <w:color w:val="auto"/>
              </w:rPr>
            </w:pPr>
          </w:p>
        </w:tc>
      </w:tr>
      <w:tr>
        <w:trPr>
          <w:trHeight w:val="297"/>
        </w:trPr>
        <w:tc>
          <w:tcPr>
            <w:tcW w:w="8320" w:type="dxa"/>
            <w:vAlign w:val="bottom"/>
          </w:tcPr>
          <w:p>
            <w:pPr>
              <w:spacing w:after="0"/>
              <w:rPr>
                <w:sz w:val="20"/>
                <w:szCs w:val="20"/>
                <w:color w:val="auto"/>
              </w:rPr>
            </w:pPr>
            <w:r>
              <w:rPr>
                <w:rFonts w:ascii="Courier New" w:cs="Courier New" w:eastAsia="Courier New" w:hAnsi="Courier New"/>
                <w:sz w:val="17"/>
                <w:szCs w:val="17"/>
                <w:color w:val="auto"/>
              </w:rPr>
              <w:t>FINANCING ACTIVITIES</w:t>
            </w:r>
          </w:p>
        </w:tc>
        <w:tc>
          <w:tcPr>
            <w:tcW w:w="500" w:type="dxa"/>
            <w:vAlign w:val="bottom"/>
          </w:tcPr>
          <w:p>
            <w:pPr>
              <w:spacing w:after="0"/>
              <w:rPr>
                <w:sz w:val="24"/>
                <w:szCs w:val="24"/>
                <w:color w:val="auto"/>
              </w:rPr>
            </w:pPr>
          </w:p>
        </w:tc>
        <w:tc>
          <w:tcPr>
            <w:tcW w:w="1200" w:type="dxa"/>
            <w:vAlign w:val="bottom"/>
            <w:vMerge w:val="restart"/>
          </w:tcPr>
          <w:p>
            <w:pPr>
              <w:jc w:val="right"/>
              <w:ind w:right="316"/>
              <w:spacing w:after="0"/>
              <w:rPr>
                <w:sz w:val="20"/>
                <w:szCs w:val="20"/>
                <w:color w:val="auto"/>
              </w:rPr>
            </w:pPr>
            <w:r>
              <w:rPr>
                <w:rFonts w:ascii="Courier New" w:cs="Courier New" w:eastAsia="Courier New" w:hAnsi="Courier New"/>
                <w:sz w:val="17"/>
                <w:szCs w:val="17"/>
                <w:color w:val="auto"/>
              </w:rPr>
              <w:t>(70)</w:t>
            </w:r>
          </w:p>
        </w:tc>
        <w:tc>
          <w:tcPr>
            <w:tcW w:w="56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(70,177)</w:t>
            </w:r>
          </w:p>
        </w:tc>
        <w:tc>
          <w:tcPr>
            <w:tcW w:w="0" w:type="dxa"/>
            <w:vAlign w:val="bottom"/>
          </w:tcPr>
          <w:p>
            <w:pPr>
              <w:spacing w:after="0"/>
              <w:rPr>
                <w:sz w:val="1"/>
                <w:szCs w:val="1"/>
                <w:color w:val="auto"/>
              </w:rPr>
            </w:pPr>
          </w:p>
        </w:tc>
      </w:tr>
      <w:tr>
        <w:trPr>
          <w:trHeight w:val="193"/>
        </w:trPr>
        <w:tc>
          <w:tcPr>
            <w:tcW w:w="8320" w:type="dxa"/>
            <w:vAlign w:val="bottom"/>
          </w:tcPr>
          <w:p>
            <w:pPr>
              <w:spacing w:after="0"/>
              <w:rPr>
                <w:sz w:val="20"/>
                <w:szCs w:val="20"/>
                <w:color w:val="auto"/>
              </w:rPr>
            </w:pPr>
            <w:r>
              <w:rPr>
                <w:rFonts w:ascii="Courier New" w:cs="Courier New" w:eastAsia="Courier New" w:hAnsi="Courier New"/>
                <w:sz w:val="17"/>
                <w:szCs w:val="17"/>
                <w:color w:val="auto"/>
              </w:rPr>
              <w:t>Principal payment of long-term debt</w:t>
            </w:r>
          </w:p>
        </w:tc>
        <w:tc>
          <w:tcPr>
            <w:tcW w:w="5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320" w:type="dxa"/>
            <w:vAlign w:val="bottom"/>
          </w:tcPr>
          <w:p>
            <w:pPr>
              <w:spacing w:after="0"/>
              <w:rPr>
                <w:sz w:val="20"/>
                <w:szCs w:val="20"/>
                <w:color w:val="auto"/>
              </w:rPr>
            </w:pPr>
            <w:r>
              <w:rPr>
                <w:rFonts w:ascii="Courier New" w:cs="Courier New" w:eastAsia="Courier New" w:hAnsi="Courier New"/>
                <w:sz w:val="17"/>
                <w:szCs w:val="17"/>
                <w:color w:val="auto"/>
              </w:rPr>
              <w:t>Proceeds from long term debt</w:t>
            </w:r>
          </w:p>
        </w:tc>
        <w:tc>
          <w:tcPr>
            <w:tcW w:w="500" w:type="dxa"/>
            <w:vAlign w:val="bottom"/>
          </w:tcPr>
          <w:p>
            <w:pPr>
              <w:spacing w:after="0"/>
              <w:rPr>
                <w:sz w:val="16"/>
                <w:szCs w:val="16"/>
                <w:color w:val="auto"/>
              </w:rPr>
            </w:pP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70,000</w:t>
            </w:r>
          </w:p>
        </w:tc>
        <w:tc>
          <w:tcPr>
            <w:tcW w:w="0" w:type="dxa"/>
            <w:vAlign w:val="bottom"/>
          </w:tcPr>
          <w:p>
            <w:pPr>
              <w:spacing w:after="0"/>
              <w:rPr>
                <w:sz w:val="1"/>
                <w:szCs w:val="1"/>
                <w:color w:val="auto"/>
              </w:rPr>
            </w:pPr>
          </w:p>
        </w:tc>
      </w:tr>
      <w:tr>
        <w:trPr>
          <w:trHeight w:val="193"/>
        </w:trPr>
        <w:tc>
          <w:tcPr>
            <w:tcW w:w="8320" w:type="dxa"/>
            <w:vAlign w:val="bottom"/>
          </w:tcPr>
          <w:p>
            <w:pPr>
              <w:spacing w:after="0"/>
              <w:rPr>
                <w:sz w:val="20"/>
                <w:szCs w:val="20"/>
                <w:color w:val="auto"/>
              </w:rPr>
            </w:pPr>
            <w:r>
              <w:rPr>
                <w:rFonts w:ascii="Courier New" w:cs="Courier New" w:eastAsia="Courier New" w:hAnsi="Courier New"/>
                <w:sz w:val="17"/>
                <w:szCs w:val="17"/>
                <w:color w:val="auto"/>
              </w:rPr>
              <w:t>Treasury stock</w:t>
            </w:r>
          </w:p>
        </w:tc>
        <w:tc>
          <w:tcPr>
            <w:tcW w:w="500" w:type="dxa"/>
            <w:vAlign w:val="bottom"/>
          </w:tcPr>
          <w:p>
            <w:pPr>
              <w:spacing w:after="0"/>
              <w:rPr>
                <w:sz w:val="16"/>
                <w:szCs w:val="16"/>
                <w:color w:val="auto"/>
              </w:rPr>
            </w:pP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(1,931)</w:t>
            </w:r>
          </w:p>
        </w:tc>
        <w:tc>
          <w:tcPr>
            <w:tcW w:w="56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3"/>
        </w:trPr>
        <w:tc>
          <w:tcPr>
            <w:tcW w:w="8320" w:type="dxa"/>
            <w:vAlign w:val="bottom"/>
          </w:tcPr>
          <w:p>
            <w:pPr>
              <w:spacing w:after="0"/>
              <w:rPr>
                <w:sz w:val="20"/>
                <w:szCs w:val="20"/>
                <w:color w:val="auto"/>
              </w:rPr>
            </w:pPr>
            <w:r>
              <w:rPr>
                <w:rFonts w:ascii="Courier New" w:cs="Courier New" w:eastAsia="Courier New" w:hAnsi="Courier New"/>
                <w:sz w:val="17"/>
                <w:szCs w:val="17"/>
                <w:color w:val="auto"/>
              </w:rPr>
              <w:t>Proceeds from sale of common stock</w:t>
            </w:r>
          </w:p>
        </w:tc>
        <w:tc>
          <w:tcPr>
            <w:tcW w:w="500" w:type="dxa"/>
            <w:vAlign w:val="bottom"/>
          </w:tcPr>
          <w:p>
            <w:pPr>
              <w:spacing w:after="0"/>
              <w:rPr>
                <w:sz w:val="16"/>
                <w:szCs w:val="16"/>
                <w:color w:val="auto"/>
              </w:rPr>
            </w:pP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1,716</w:t>
            </w:r>
          </w:p>
        </w:tc>
        <w:tc>
          <w:tcPr>
            <w:tcW w:w="56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84,817</w:t>
            </w:r>
          </w:p>
        </w:tc>
        <w:tc>
          <w:tcPr>
            <w:tcW w:w="0" w:type="dxa"/>
            <w:vAlign w:val="bottom"/>
          </w:tcPr>
          <w:p>
            <w:pPr>
              <w:spacing w:after="0"/>
              <w:rPr>
                <w:sz w:val="1"/>
                <w:szCs w:val="1"/>
                <w:color w:val="auto"/>
              </w:rPr>
            </w:pPr>
          </w:p>
        </w:tc>
      </w:tr>
      <w:tr>
        <w:trPr>
          <w:trHeight w:val="193"/>
        </w:trPr>
        <w:tc>
          <w:tcPr>
            <w:tcW w:w="8320" w:type="dxa"/>
            <w:vAlign w:val="bottom"/>
          </w:tcPr>
          <w:p>
            <w:pPr>
              <w:spacing w:after="0"/>
              <w:rPr>
                <w:sz w:val="20"/>
                <w:szCs w:val="20"/>
                <w:color w:val="auto"/>
              </w:rPr>
            </w:pPr>
            <w:r>
              <w:rPr>
                <w:rFonts w:ascii="Courier New" w:cs="Courier New" w:eastAsia="Courier New" w:hAnsi="Courier New"/>
                <w:sz w:val="17"/>
                <w:szCs w:val="17"/>
                <w:color w:val="auto"/>
              </w:rPr>
              <w:t>Financing fee related to acquisition</w:t>
            </w:r>
          </w:p>
        </w:tc>
        <w:tc>
          <w:tcPr>
            <w:tcW w:w="500" w:type="dxa"/>
            <w:vAlign w:val="bottom"/>
          </w:tcPr>
          <w:p>
            <w:pPr>
              <w:spacing w:after="0"/>
              <w:rPr>
                <w:sz w:val="16"/>
                <w:szCs w:val="16"/>
                <w:color w:val="auto"/>
              </w:rPr>
            </w:pP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(1,483)</w:t>
            </w:r>
          </w:p>
        </w:tc>
        <w:tc>
          <w:tcPr>
            <w:tcW w:w="0" w:type="dxa"/>
            <w:vAlign w:val="bottom"/>
          </w:tcPr>
          <w:p>
            <w:pPr>
              <w:spacing w:after="0"/>
              <w:rPr>
                <w:sz w:val="1"/>
                <w:szCs w:val="1"/>
                <w:color w:val="auto"/>
              </w:rPr>
            </w:pPr>
          </w:p>
        </w:tc>
      </w:tr>
      <w:tr>
        <w:trPr>
          <w:trHeight w:val="193"/>
        </w:trPr>
        <w:tc>
          <w:tcPr>
            <w:tcW w:w="8320" w:type="dxa"/>
            <w:vAlign w:val="bottom"/>
          </w:tcPr>
          <w:p>
            <w:pPr>
              <w:spacing w:after="0"/>
              <w:rPr>
                <w:sz w:val="20"/>
                <w:szCs w:val="20"/>
                <w:color w:val="auto"/>
              </w:rPr>
            </w:pPr>
            <w:r>
              <w:rPr>
                <w:rFonts w:ascii="Courier New" w:cs="Courier New" w:eastAsia="Courier New" w:hAnsi="Courier New"/>
                <w:sz w:val="17"/>
                <w:szCs w:val="17"/>
                <w:color w:val="auto"/>
              </w:rPr>
              <w:t>Tax benefit associated with stock options</w:t>
            </w:r>
          </w:p>
        </w:tc>
        <w:tc>
          <w:tcPr>
            <w:tcW w:w="500" w:type="dxa"/>
            <w:vAlign w:val="bottom"/>
          </w:tcPr>
          <w:p>
            <w:pPr>
              <w:spacing w:after="0"/>
              <w:rPr>
                <w:sz w:val="16"/>
                <w:szCs w:val="16"/>
                <w:color w:val="auto"/>
              </w:rPr>
            </w:pP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342</w:t>
            </w:r>
          </w:p>
        </w:tc>
        <w:tc>
          <w:tcPr>
            <w:tcW w:w="56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1,666</w:t>
            </w:r>
          </w:p>
        </w:tc>
        <w:tc>
          <w:tcPr>
            <w:tcW w:w="0" w:type="dxa"/>
            <w:vAlign w:val="bottom"/>
          </w:tcPr>
          <w:p>
            <w:pPr>
              <w:spacing w:after="0"/>
              <w:rPr>
                <w:sz w:val="1"/>
                <w:szCs w:val="1"/>
                <w:color w:val="auto"/>
              </w:rPr>
            </w:pPr>
          </w:p>
        </w:tc>
      </w:tr>
      <w:tr>
        <w:trPr>
          <w:trHeight w:val="281"/>
        </w:trPr>
        <w:tc>
          <w:tcPr>
            <w:tcW w:w="8320" w:type="dxa"/>
            <w:vAlign w:val="bottom"/>
          </w:tcPr>
          <w:p>
            <w:pPr>
              <w:spacing w:after="0"/>
              <w:rPr>
                <w:sz w:val="24"/>
                <w:szCs w:val="24"/>
                <w:color w:val="auto"/>
              </w:rPr>
            </w:pPr>
          </w:p>
        </w:tc>
        <w:tc>
          <w:tcPr>
            <w:tcW w:w="170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85"/>
        </w:trPr>
        <w:tc>
          <w:tcPr>
            <w:tcW w:w="8320" w:type="dxa"/>
            <w:vAlign w:val="bottom"/>
          </w:tcPr>
          <w:p>
            <w:pPr>
              <w:spacing w:after="0"/>
              <w:rPr>
                <w:sz w:val="20"/>
                <w:szCs w:val="20"/>
                <w:color w:val="auto"/>
              </w:rPr>
            </w:pPr>
            <w:r>
              <w:rPr>
                <w:rFonts w:ascii="Courier New" w:cs="Courier New" w:eastAsia="Courier New" w:hAnsi="Courier New"/>
                <w:sz w:val="17"/>
                <w:szCs w:val="17"/>
                <w:color w:val="auto"/>
              </w:rPr>
              <w:t>Net cash provided by financing activities</w:t>
            </w:r>
          </w:p>
        </w:tc>
        <w:tc>
          <w:tcPr>
            <w:tcW w:w="500" w:type="dxa"/>
            <w:vAlign w:val="bottom"/>
          </w:tcPr>
          <w:p>
            <w:pPr>
              <w:spacing w:after="0"/>
              <w:rPr>
                <w:sz w:val="24"/>
                <w:szCs w:val="24"/>
                <w:color w:val="auto"/>
              </w:rPr>
            </w:pP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57</w:t>
            </w:r>
          </w:p>
        </w:tc>
        <w:tc>
          <w:tcPr>
            <w:tcW w:w="560" w:type="dxa"/>
            <w:vAlign w:val="bottom"/>
          </w:tcPr>
          <w:p>
            <w:pPr>
              <w:spacing w:after="0"/>
              <w:rPr>
                <w:sz w:val="24"/>
                <w:szCs w:val="24"/>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84,823</w:t>
            </w:r>
          </w:p>
        </w:tc>
        <w:tc>
          <w:tcPr>
            <w:tcW w:w="0" w:type="dxa"/>
            <w:vAlign w:val="bottom"/>
          </w:tcPr>
          <w:p>
            <w:pPr>
              <w:spacing w:after="0"/>
              <w:rPr>
                <w:sz w:val="1"/>
                <w:szCs w:val="1"/>
                <w:color w:val="auto"/>
              </w:rPr>
            </w:pPr>
          </w:p>
        </w:tc>
      </w:tr>
      <w:tr>
        <w:trPr>
          <w:trHeight w:val="297"/>
        </w:trPr>
        <w:tc>
          <w:tcPr>
            <w:tcW w:w="8320" w:type="dxa"/>
            <w:vAlign w:val="bottom"/>
          </w:tcPr>
          <w:p>
            <w:pPr>
              <w:spacing w:after="0"/>
              <w:rPr>
                <w:sz w:val="20"/>
                <w:szCs w:val="20"/>
                <w:color w:val="auto"/>
              </w:rPr>
            </w:pPr>
            <w:r>
              <w:rPr>
                <w:rFonts w:ascii="Courier New" w:cs="Courier New" w:eastAsia="Courier New" w:hAnsi="Courier New"/>
                <w:sz w:val="17"/>
                <w:szCs w:val="17"/>
                <w:color w:val="auto"/>
              </w:rPr>
              <w:t>Net increase in cash and cash equivalents</w:t>
            </w:r>
          </w:p>
        </w:tc>
        <w:tc>
          <w:tcPr>
            <w:tcW w:w="500" w:type="dxa"/>
            <w:vAlign w:val="bottom"/>
          </w:tcPr>
          <w:p>
            <w:pPr>
              <w:spacing w:after="0"/>
              <w:rPr>
                <w:sz w:val="24"/>
                <w:szCs w:val="24"/>
                <w:color w:val="auto"/>
              </w:rPr>
            </w:pP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3,420</w:t>
            </w:r>
          </w:p>
        </w:tc>
        <w:tc>
          <w:tcPr>
            <w:tcW w:w="560" w:type="dxa"/>
            <w:vAlign w:val="bottom"/>
          </w:tcPr>
          <w:p>
            <w:pPr>
              <w:spacing w:after="0"/>
              <w:rPr>
                <w:sz w:val="24"/>
                <w:szCs w:val="24"/>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9,959</w:t>
            </w:r>
          </w:p>
        </w:tc>
        <w:tc>
          <w:tcPr>
            <w:tcW w:w="0" w:type="dxa"/>
            <w:vAlign w:val="bottom"/>
          </w:tcPr>
          <w:p>
            <w:pPr>
              <w:spacing w:after="0"/>
              <w:rPr>
                <w:sz w:val="1"/>
                <w:szCs w:val="1"/>
                <w:color w:val="auto"/>
              </w:rPr>
            </w:pPr>
          </w:p>
        </w:tc>
      </w:tr>
      <w:tr>
        <w:trPr>
          <w:trHeight w:val="193"/>
        </w:trPr>
        <w:tc>
          <w:tcPr>
            <w:tcW w:w="8320" w:type="dxa"/>
            <w:vAlign w:val="bottom"/>
          </w:tcPr>
          <w:p>
            <w:pPr>
              <w:spacing w:after="0"/>
              <w:rPr>
                <w:sz w:val="20"/>
                <w:szCs w:val="20"/>
                <w:color w:val="auto"/>
              </w:rPr>
            </w:pPr>
            <w:r>
              <w:rPr>
                <w:rFonts w:ascii="Courier New" w:cs="Courier New" w:eastAsia="Courier New" w:hAnsi="Courier New"/>
                <w:sz w:val="17"/>
                <w:szCs w:val="17"/>
                <w:color w:val="auto"/>
              </w:rPr>
              <w:t>Cash and cash equivalents at beginning of period</w:t>
            </w:r>
          </w:p>
        </w:tc>
        <w:tc>
          <w:tcPr>
            <w:tcW w:w="500" w:type="dxa"/>
            <w:vAlign w:val="bottom"/>
          </w:tcPr>
          <w:p>
            <w:pPr>
              <w:spacing w:after="0"/>
              <w:rPr>
                <w:sz w:val="16"/>
                <w:szCs w:val="16"/>
                <w:color w:val="auto"/>
              </w:rPr>
            </w:pP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40,735</w:t>
            </w:r>
          </w:p>
        </w:tc>
        <w:tc>
          <w:tcPr>
            <w:tcW w:w="56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28,967</w:t>
            </w:r>
          </w:p>
        </w:tc>
        <w:tc>
          <w:tcPr>
            <w:tcW w:w="0" w:type="dxa"/>
            <w:vAlign w:val="bottom"/>
          </w:tcPr>
          <w:p>
            <w:pPr>
              <w:spacing w:after="0"/>
              <w:rPr>
                <w:sz w:val="1"/>
                <w:szCs w:val="1"/>
                <w:color w:val="auto"/>
              </w:rPr>
            </w:pPr>
          </w:p>
        </w:tc>
      </w:tr>
      <w:tr>
        <w:trPr>
          <w:trHeight w:val="281"/>
        </w:trPr>
        <w:tc>
          <w:tcPr>
            <w:tcW w:w="8320" w:type="dxa"/>
            <w:vAlign w:val="bottom"/>
          </w:tcPr>
          <w:p>
            <w:pPr>
              <w:spacing w:after="0"/>
              <w:rPr>
                <w:sz w:val="24"/>
                <w:szCs w:val="24"/>
                <w:color w:val="auto"/>
              </w:rPr>
            </w:pPr>
          </w:p>
        </w:tc>
        <w:tc>
          <w:tcPr>
            <w:tcW w:w="170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7"/>
        </w:trPr>
        <w:tc>
          <w:tcPr>
            <w:tcW w:w="8320" w:type="dxa"/>
            <w:vAlign w:val="bottom"/>
          </w:tcPr>
          <w:p>
            <w:pPr>
              <w:spacing w:after="0"/>
              <w:rPr>
                <w:sz w:val="20"/>
                <w:szCs w:val="20"/>
                <w:color w:val="auto"/>
              </w:rPr>
            </w:pPr>
            <w:r>
              <w:rPr>
                <w:rFonts w:ascii="Courier New" w:cs="Courier New" w:eastAsia="Courier New" w:hAnsi="Courier New"/>
                <w:sz w:val="17"/>
                <w:szCs w:val="17"/>
                <w:color w:val="auto"/>
              </w:rPr>
              <w:t>Cash and cash equivalents at end of period</w:t>
            </w:r>
          </w:p>
        </w:tc>
        <w:tc>
          <w:tcPr>
            <w:tcW w:w="170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$ 44,155</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38,926</w:t>
            </w:r>
          </w:p>
        </w:tc>
        <w:tc>
          <w:tcPr>
            <w:tcW w:w="0" w:type="dxa"/>
            <w:vAlign w:val="bottom"/>
          </w:tcPr>
          <w:p>
            <w:pPr>
              <w:spacing w:after="0"/>
              <w:rPr>
                <w:sz w:val="1"/>
                <w:szCs w:val="1"/>
                <w:color w:val="auto"/>
              </w:rPr>
            </w:pPr>
          </w:p>
        </w:tc>
      </w:tr>
      <w:tr>
        <w:trPr>
          <w:trHeight w:val="281"/>
        </w:trPr>
        <w:tc>
          <w:tcPr>
            <w:tcW w:w="8320" w:type="dxa"/>
            <w:vAlign w:val="bottom"/>
            <w:vMerge w:val="restart"/>
          </w:tcPr>
          <w:p>
            <w:pPr>
              <w:spacing w:after="0"/>
              <w:rPr>
                <w:sz w:val="20"/>
                <w:szCs w:val="20"/>
                <w:color w:val="auto"/>
              </w:rPr>
            </w:pPr>
            <w:r>
              <w:rPr>
                <w:rFonts w:ascii="Courier New" w:cs="Courier New" w:eastAsia="Courier New" w:hAnsi="Courier New"/>
                <w:sz w:val="17"/>
                <w:szCs w:val="17"/>
                <w:color w:val="auto"/>
              </w:rPr>
              <w:t>SUPPLEMENTAL DISCLOSURES OF CASH FLOW INFORMATION:</w:t>
            </w:r>
          </w:p>
        </w:tc>
        <w:tc>
          <w:tcPr>
            <w:tcW w:w="170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4"/>
        </w:trPr>
        <w:tc>
          <w:tcPr>
            <w:tcW w:w="8320" w:type="dxa"/>
            <w:vAlign w:val="bottom"/>
            <w:vMerge w:val="continue"/>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vMerge w:val="restart"/>
          </w:tcPr>
          <w:p>
            <w:pPr>
              <w:jc w:val="right"/>
              <w:ind w:right="416"/>
              <w:spacing w:after="0"/>
              <w:rPr>
                <w:sz w:val="20"/>
                <w:szCs w:val="20"/>
                <w:color w:val="auto"/>
              </w:rPr>
            </w:pPr>
            <w:r>
              <w:rPr>
                <w:rFonts w:ascii="Courier New" w:cs="Courier New" w:eastAsia="Courier New" w:hAnsi="Courier New"/>
                <w:sz w:val="17"/>
                <w:szCs w:val="17"/>
                <w:color w:val="auto"/>
              </w:rPr>
              <w:t>85</w:t>
            </w:r>
          </w:p>
        </w:tc>
        <w:tc>
          <w:tcPr>
            <w:tcW w:w="5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vMerge w:val="restart"/>
          </w:tcPr>
          <w:p>
            <w:pPr>
              <w:jc w:val="right"/>
              <w:ind w:right="16"/>
              <w:spacing w:after="0"/>
              <w:rPr>
                <w:sz w:val="20"/>
                <w:szCs w:val="20"/>
                <w:color w:val="auto"/>
              </w:rPr>
            </w:pPr>
            <w:r>
              <w:rPr>
                <w:rFonts w:ascii="Courier New" w:cs="Courier New" w:eastAsia="Courier New" w:hAnsi="Courier New"/>
                <w:sz w:val="17"/>
                <w:szCs w:val="17"/>
                <w:color w:val="auto"/>
              </w:rPr>
              <w:t>2,695</w:t>
            </w:r>
          </w:p>
        </w:tc>
        <w:tc>
          <w:tcPr>
            <w:tcW w:w="0" w:type="dxa"/>
            <w:vAlign w:val="bottom"/>
          </w:tcPr>
          <w:p>
            <w:pPr>
              <w:spacing w:after="0"/>
              <w:rPr>
                <w:sz w:val="1"/>
                <w:szCs w:val="1"/>
                <w:color w:val="auto"/>
              </w:rPr>
            </w:pPr>
          </w:p>
        </w:tc>
      </w:tr>
      <w:tr>
        <w:trPr>
          <w:trHeight w:val="193"/>
        </w:trPr>
        <w:tc>
          <w:tcPr>
            <w:tcW w:w="8320" w:type="dxa"/>
            <w:vAlign w:val="bottom"/>
          </w:tcPr>
          <w:p>
            <w:pPr>
              <w:spacing w:after="0"/>
              <w:rPr>
                <w:sz w:val="20"/>
                <w:szCs w:val="20"/>
                <w:color w:val="auto"/>
              </w:rPr>
            </w:pPr>
            <w:r>
              <w:rPr>
                <w:rFonts w:ascii="Courier New" w:cs="Courier New" w:eastAsia="Courier New" w:hAnsi="Courier New"/>
                <w:sz w:val="17"/>
                <w:szCs w:val="17"/>
                <w:color w:val="auto"/>
              </w:rPr>
              <w:t>Cash paid during the period for interest</w:t>
            </w:r>
          </w:p>
        </w:tc>
        <w:tc>
          <w:tcPr>
            <w:tcW w:w="50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1"/>
        </w:trPr>
        <w:tc>
          <w:tcPr>
            <w:tcW w:w="8320" w:type="dxa"/>
            <w:vAlign w:val="bottom"/>
          </w:tcPr>
          <w:p>
            <w:pPr>
              <w:spacing w:after="0"/>
              <w:rPr>
                <w:sz w:val="20"/>
                <w:szCs w:val="20"/>
                <w:color w:val="auto"/>
              </w:rPr>
            </w:pPr>
            <w:r>
              <w:rPr>
                <w:rFonts w:ascii="Courier New" w:cs="Courier New" w:eastAsia="Courier New" w:hAnsi="Courier New"/>
                <w:sz w:val="17"/>
                <w:szCs w:val="17"/>
                <w:color w:val="auto"/>
              </w:rPr>
              <w:t>Cash paid during the period for taxes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5,790</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1,220</w:t>
            </w:r>
          </w:p>
        </w:tc>
        <w:tc>
          <w:tcPr>
            <w:tcW w:w="0" w:type="dxa"/>
            <w:vAlign w:val="bottom"/>
          </w:tcPr>
          <w:p>
            <w:pPr>
              <w:spacing w:after="0"/>
              <w:rPr>
                <w:sz w:val="1"/>
                <w:szCs w:val="1"/>
                <w:color w:val="auto"/>
              </w:rPr>
            </w:pPr>
          </w:p>
        </w:tc>
      </w:tr>
    </w:tbl>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SUPPLEMENTAL DISCLOSURE OF NONCASH INVESTING AND</w:t>
      </w:r>
    </w:p>
    <w:p>
      <w:pPr>
        <w:spacing w:after="0" w:line="3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FINANCIAL ACTIVITIES:</w:t>
      </w:r>
    </w:p>
    <w:p>
      <w:pPr>
        <w:ind w:right="3700"/>
        <w:spacing w:after="0" w:line="276" w:lineRule="auto"/>
        <w:rPr>
          <w:sz w:val="20"/>
          <w:szCs w:val="20"/>
          <w:color w:val="auto"/>
        </w:rPr>
      </w:pPr>
      <w:r>
        <w:rPr>
          <w:rFonts w:ascii="Courier New" w:cs="Courier New" w:eastAsia="Courier New" w:hAnsi="Courier New"/>
          <w:sz w:val="17"/>
          <w:szCs w:val="17"/>
          <w:color w:val="auto"/>
        </w:rPr>
        <w:t>In 1998, the Company issued 606,673 shares of its common stock, valued at $10 million, to CSC as partial financing of the acquisition of ITDS Intelicom Services, Inc.</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FINANCIAL STATEMENTS.</w:t>
      </w:r>
    </w:p>
    <w:p>
      <w:pPr>
        <w:sectPr>
          <w:pgSz w:w="11900" w:h="16838" w:orient="portrait"/>
          <w:cols w:equalWidth="0" w:num="1">
            <w:col w:w="11420"/>
          </w:cols>
          <w:pgMar w:left="240" w:top="279" w:right="239" w:bottom="1440" w:gutter="0" w:footer="0" w:header="0"/>
        </w:sectPr>
      </w:pPr>
    </w:p>
    <w:p>
      <w:pPr>
        <w:spacing w:after="0" w:line="19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1420"/>
          </w:cols>
          <w:pgMar w:left="240" w:top="279" w:right="239" w:bottom="1440" w:gutter="0" w:footer="0" w:header="0"/>
          <w:type w:val="continuous"/>
        </w:sectPr>
      </w:pPr>
    </w:p>
    <w:bookmarkStart w:id="7" w:name="page8"/>
    <w:bookmarkEnd w:id="7"/>
    <w:p>
      <w:pPr>
        <w:ind w:left="300"/>
        <w:spacing w:after="0"/>
        <w:rPr>
          <w:sz w:val="20"/>
          <w:szCs w:val="20"/>
          <w:color w:val="auto"/>
        </w:rPr>
      </w:pPr>
      <w:r>
        <w:rPr>
          <w:rFonts w:ascii="Courier New" w:cs="Courier New" w:eastAsia="Courier New" w:hAnsi="Courier New"/>
          <w:sz w:val="17"/>
          <w:szCs w:val="17"/>
          <w:color w:val="auto"/>
        </w:rPr>
        <w:t>8</w:t>
      </w:r>
    </w:p>
    <w:p>
      <w:pPr>
        <w:spacing w:after="0" w:line="19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International Telecommunication Data Systems, Inc. and Subsidiaries</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193"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(Unaudited)</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BASIS OF PRESENTATION</w:t>
      </w:r>
    </w:p>
    <w:p>
      <w:pPr>
        <w:spacing w:after="0" w:line="193" w:lineRule="exact"/>
        <w:rPr>
          <w:sz w:val="20"/>
          <w:szCs w:val="20"/>
          <w:color w:val="auto"/>
        </w:rPr>
      </w:pPr>
    </w:p>
    <w:p>
      <w:pPr>
        <w:ind w:right="2199"/>
        <w:spacing w:after="0" w:line="266" w:lineRule="auto"/>
        <w:rPr>
          <w:sz w:val="20"/>
          <w:szCs w:val="20"/>
          <w:color w:val="auto"/>
        </w:rPr>
      </w:pPr>
      <w:r>
        <w:rPr>
          <w:rFonts w:ascii="Courier New" w:cs="Courier New" w:eastAsia="Courier New" w:hAnsi="Courier New"/>
          <w:sz w:val="16"/>
          <w:szCs w:val="16"/>
          <w:color w:val="auto"/>
        </w:rPr>
        <w:t>The accompanying unaudited condensed consolidated financial statements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Operating results for the three month and nine month periods ended September 30, 1999 are not necessarily indicative of the results that may be expected for the year ended December 31, 1999. For further information, refer to the financial statements and footnotes thereto included in the International Telecommunication Data Systems, Inc. (the "Company" or "ITDS") Annual Report on Form 10K for the year ended December 31, 1998.</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CONSOLIDATION</w:t>
      </w:r>
    </w:p>
    <w:p>
      <w:pPr>
        <w:spacing w:after="0" w:line="193" w:lineRule="exact"/>
        <w:rPr>
          <w:sz w:val="20"/>
          <w:szCs w:val="20"/>
          <w:color w:val="auto"/>
        </w:rPr>
      </w:pPr>
    </w:p>
    <w:p>
      <w:pPr>
        <w:ind w:right="2499"/>
        <w:spacing w:after="0" w:line="295" w:lineRule="auto"/>
        <w:rPr>
          <w:sz w:val="20"/>
          <w:szCs w:val="20"/>
          <w:color w:val="auto"/>
        </w:rPr>
      </w:pPr>
      <w:r>
        <w:rPr>
          <w:rFonts w:ascii="Courier New" w:cs="Courier New" w:eastAsia="Courier New" w:hAnsi="Courier New"/>
          <w:sz w:val="17"/>
          <w:szCs w:val="17"/>
          <w:color w:val="auto"/>
        </w:rPr>
        <w:t>The consolidated financial statements include the accounts of the Company and its wholly-owned subsidiaries. All significant intercompany accounts and transactions have been eliminated.</w:t>
      </w:r>
    </w:p>
    <w:p>
      <w:pPr>
        <w:spacing w:after="0" w:line="61" w:lineRule="exact"/>
        <w:rPr>
          <w:sz w:val="20"/>
          <w:szCs w:val="20"/>
          <w:color w:val="auto"/>
        </w:rPr>
      </w:pPr>
    </w:p>
    <w:p>
      <w:pPr>
        <w:ind w:right="2199"/>
        <w:spacing w:after="0" w:line="244" w:lineRule="auto"/>
        <w:rPr>
          <w:sz w:val="20"/>
          <w:szCs w:val="20"/>
          <w:color w:val="auto"/>
        </w:rPr>
      </w:pPr>
      <w:r>
        <w:rPr>
          <w:rFonts w:ascii="Courier New" w:cs="Courier New" w:eastAsia="Courier New" w:hAnsi="Courier New"/>
          <w:sz w:val="17"/>
          <w:szCs w:val="17"/>
          <w:color w:val="auto"/>
        </w:rPr>
        <w:t>On January 2, 1998, the Company acquired a subsidiary of Computer Sciences Corporation ("CSC"), a provider of billing and customer care software, by acquiring all of the outstanding Capital Stock of CSC Intelicom Inc. (now known as ITDS Intelicom Services, Inc.) ("Intelicom"). This acquisition was accounted for using the purchase method of accounting. The purchase price, after working capital adjustments of approximately $14.2 million, aggregated $83.7 million, before direct costs of approximately $1.2 million and consisted of 606,673 shares of Common Stock of the Company valued at $10 million (before registration costs of $100,000) and $73.8 million in cash. In addition, the Company made a $6 million payment in January 1999, which was contingent upon certain performance factors. The assets acquired and liabilities assumed were recorded at their estimated fair value on the date of acquisition and the purchase price in excess of the fair market value of the assets acquired of approximately $45.3 million is being amortized over 15 years. The additional $6 million payment is being amortized over the remaining life of the original goodwill, 14 years. In connection with the acquisition the Company received current assets of $5.9 million, product development costs of $16.6 million, and other non-current assets of $3 million and assumed accrued liabilities of $7.9 million. In addition, purchased research and development costs of $20.8 million, and personnel and indirect acquisition costs of $4.2 million, (principally hiring and temporary staff of $1.3 million, special bonuses paid to company's employees and management of $2.3 million and systems and other costs of $600,000) associated with the Intelicom acquisition have been expensed in 1998. The operations of Intelicom are included with the Company's financial statements since the date of acquisition.</w:t>
      </w:r>
    </w:p>
    <w:p>
      <w:pPr>
        <w:spacing w:after="0" w:line="11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USE OF ESTIMATES</w:t>
      </w:r>
    </w:p>
    <w:p>
      <w:pPr>
        <w:spacing w:after="0" w:line="193" w:lineRule="exact"/>
        <w:rPr>
          <w:sz w:val="20"/>
          <w:szCs w:val="20"/>
          <w:color w:val="auto"/>
        </w:rPr>
      </w:pPr>
    </w:p>
    <w:p>
      <w:pPr>
        <w:ind w:right="2199"/>
        <w:spacing w:after="0" w:line="276" w:lineRule="auto"/>
        <w:rPr>
          <w:sz w:val="20"/>
          <w:szCs w:val="20"/>
          <w:color w:val="auto"/>
        </w:rPr>
      </w:pPr>
      <w:r>
        <w:rPr>
          <w:rFonts w:ascii="Courier New" w:cs="Courier New" w:eastAsia="Courier New" w:hAnsi="Courier New"/>
          <w:sz w:val="17"/>
          <w:szCs w:val="17"/>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COMPREHENSIVE INCOME</w:t>
      </w:r>
    </w:p>
    <w:p>
      <w:pPr>
        <w:spacing w:after="0" w:line="193" w:lineRule="exact"/>
        <w:rPr>
          <w:sz w:val="20"/>
          <w:szCs w:val="20"/>
          <w:color w:val="auto"/>
        </w:rPr>
      </w:pPr>
    </w:p>
    <w:p>
      <w:pPr>
        <w:ind w:right="2299"/>
        <w:spacing w:after="0" w:line="350" w:lineRule="auto"/>
        <w:rPr>
          <w:sz w:val="20"/>
          <w:szCs w:val="20"/>
          <w:color w:val="auto"/>
        </w:rPr>
      </w:pPr>
      <w:r>
        <w:rPr>
          <w:rFonts w:ascii="Courier New" w:cs="Courier New" w:eastAsia="Courier New" w:hAnsi="Courier New"/>
          <w:sz w:val="17"/>
          <w:szCs w:val="17"/>
          <w:color w:val="auto"/>
        </w:rPr>
        <w:t>For the three and nine months ended September 30,1999 and 1998, the Company had no other comprehensive income.</w:t>
      </w:r>
    </w:p>
    <w:p>
      <w:pPr>
        <w:sectPr>
          <w:pgSz w:w="11900" w:h="16838" w:orient="portrait"/>
          <w:cols w:equalWidth="0" w:num="1">
            <w:col w:w="10219"/>
          </w:cols>
          <w:pgMar w:left="240" w:top="279" w:right="1440" w:bottom="1440" w:gutter="0" w:footer="0" w:header="0"/>
        </w:sectPr>
      </w:pPr>
    </w:p>
    <w:p>
      <w:pPr>
        <w:spacing w:after="0" w:line="20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79" w:right="1440" w:bottom="1440" w:gutter="0" w:footer="0" w:header="0"/>
          <w:type w:val="continuous"/>
        </w:sectPr>
      </w:pPr>
    </w:p>
    <w:bookmarkStart w:id="8" w:name="page9"/>
    <w:bookmarkEnd w:id="8"/>
    <w:p>
      <w:pPr>
        <w:ind w:left="300"/>
        <w:spacing w:after="0"/>
        <w:rPr>
          <w:sz w:val="20"/>
          <w:szCs w:val="20"/>
          <w:color w:val="auto"/>
        </w:rPr>
      </w:pPr>
      <w:r>
        <w:rPr>
          <w:rFonts w:ascii="Courier New" w:cs="Courier New" w:eastAsia="Courier New" w:hAnsi="Courier New"/>
          <w:sz w:val="17"/>
          <w:szCs w:val="17"/>
          <w:color w:val="auto"/>
        </w:rPr>
        <w:t>9</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 STRATEGIC BUSINESS ALLIANCE</w:t>
      </w:r>
    </w:p>
    <w:p>
      <w:pPr>
        <w:spacing w:after="0" w:line="163" w:lineRule="exact"/>
        <w:rPr>
          <w:sz w:val="20"/>
          <w:szCs w:val="20"/>
          <w:color w:val="auto"/>
        </w:rPr>
      </w:pPr>
    </w:p>
    <w:p>
      <w:pPr>
        <w:ind w:right="2700"/>
        <w:spacing w:after="0" w:line="253" w:lineRule="auto"/>
        <w:rPr>
          <w:sz w:val="20"/>
          <w:szCs w:val="20"/>
          <w:color w:val="auto"/>
        </w:rPr>
      </w:pPr>
      <w:r>
        <w:rPr>
          <w:rFonts w:ascii="Courier New" w:cs="Courier New" w:eastAsia="Courier New" w:hAnsi="Courier New"/>
          <w:sz w:val="17"/>
          <w:szCs w:val="17"/>
          <w:color w:val="auto"/>
        </w:rPr>
        <w:t>On February 9, 1999, the Company announced it has formed a strategic business alliance with Novazen, Inc. to include Novazen's Internet-based billing and customer care software in ITDS' proprietary suite of products and services. In addition to other distribution rights, the alliance gives ITDS the exclusive right to provide its clients with Novazen's advanced Internet-based billing and customer communication software. This software will function with all of ITDS' proprietary service bureau products and services, which already offer wireless service providers with customer acquisition, billing, customer care and process control.</w:t>
      </w:r>
    </w:p>
    <w:p>
      <w:pPr>
        <w:spacing w:after="0" w:line="100" w:lineRule="exact"/>
        <w:rPr>
          <w:sz w:val="20"/>
          <w:szCs w:val="20"/>
          <w:color w:val="auto"/>
        </w:rPr>
      </w:pPr>
    </w:p>
    <w:p>
      <w:pPr>
        <w:ind w:right="2600"/>
        <w:spacing w:after="0" w:line="267" w:lineRule="auto"/>
        <w:rPr>
          <w:sz w:val="20"/>
          <w:szCs w:val="20"/>
          <w:color w:val="auto"/>
        </w:rPr>
      </w:pPr>
      <w:r>
        <w:rPr>
          <w:rFonts w:ascii="Courier New" w:cs="Courier New" w:eastAsia="Courier New" w:hAnsi="Courier New"/>
          <w:sz w:val="17"/>
          <w:szCs w:val="17"/>
          <w:color w:val="auto"/>
        </w:rPr>
        <w:t>As part of the transaction, a payment of $2 million was made principally to secure certain software rights. An ownership interest in Novazen was also received. The software rights, including all enhancement and modification to the software, are being amortized over a four year period. The Company's ownership interest in Novazen is being accounted for under the cost method.</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 INCOME TAX</w:t>
      </w:r>
    </w:p>
    <w:p>
      <w:pPr>
        <w:spacing w:after="0" w:line="193" w:lineRule="exact"/>
        <w:rPr>
          <w:sz w:val="20"/>
          <w:szCs w:val="20"/>
          <w:color w:val="auto"/>
        </w:rPr>
      </w:pPr>
    </w:p>
    <w:p>
      <w:pPr>
        <w:ind w:right="2600"/>
        <w:spacing w:after="0" w:line="267" w:lineRule="auto"/>
        <w:rPr>
          <w:sz w:val="20"/>
          <w:szCs w:val="20"/>
          <w:color w:val="auto"/>
        </w:rPr>
      </w:pPr>
      <w:r>
        <w:rPr>
          <w:rFonts w:ascii="Courier New" w:cs="Courier New" w:eastAsia="Courier New" w:hAnsi="Courier New"/>
          <w:sz w:val="17"/>
          <w:szCs w:val="17"/>
          <w:color w:val="auto"/>
        </w:rPr>
        <w:t>Income tax provisions for interim periods, other than unusual items, are based on estimated effective annual income tax rates. The Company recognizes deferred tax assets and liabilities for the expected future tax consequences of temporary differences between the tax bases, projected state tax rates and financial reporting bases of assets and liabilities.</w:t>
      </w:r>
    </w:p>
    <w:p>
      <w:pPr>
        <w:spacing w:after="0" w:line="85" w:lineRule="exact"/>
        <w:rPr>
          <w:sz w:val="20"/>
          <w:szCs w:val="20"/>
          <w:color w:val="auto"/>
        </w:rPr>
      </w:pPr>
    </w:p>
    <w:p>
      <w:pPr>
        <w:jc w:val="both"/>
        <w:ind w:right="2600"/>
        <w:spacing w:after="0" w:line="321" w:lineRule="auto"/>
        <w:rPr>
          <w:sz w:val="20"/>
          <w:szCs w:val="20"/>
          <w:color w:val="auto"/>
        </w:rPr>
      </w:pPr>
      <w:r>
        <w:rPr>
          <w:rFonts w:ascii="Courier New" w:cs="Courier New" w:eastAsia="Courier New" w:hAnsi="Courier New"/>
          <w:sz w:val="16"/>
          <w:szCs w:val="16"/>
          <w:color w:val="auto"/>
        </w:rPr>
        <w:t>The differences between the effective tax rate and the federal statutory rate is primarily a result of state income taxes and in 1998 the tax benefit anticipated from the nonrecurring costs associated with the Intelicom acquisition.</w:t>
      </w:r>
    </w:p>
    <w:p>
      <w:pPr>
        <w:spacing w:after="0" w:line="4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 EARNINGS PER SHARE</w:t>
      </w:r>
    </w:p>
    <w:p>
      <w:pPr>
        <w:spacing w:after="0" w:line="193" w:lineRule="exact"/>
        <w:rPr>
          <w:sz w:val="20"/>
          <w:szCs w:val="20"/>
          <w:color w:val="auto"/>
        </w:rPr>
      </w:pPr>
    </w:p>
    <w:p>
      <w:pPr>
        <w:ind w:right="2600"/>
        <w:spacing w:after="0" w:line="281" w:lineRule="auto"/>
        <w:rPr>
          <w:sz w:val="20"/>
          <w:szCs w:val="20"/>
          <w:color w:val="auto"/>
        </w:rPr>
      </w:pPr>
      <w:r>
        <w:rPr>
          <w:rFonts w:ascii="Courier New" w:cs="Courier New" w:eastAsia="Courier New" w:hAnsi="Courier New"/>
          <w:sz w:val="16"/>
          <w:szCs w:val="16"/>
          <w:color w:val="auto"/>
        </w:rPr>
        <w:t>In February 1997, the Financial Accounting Standards Board ("FASB") issued Statement of Financial Accounting Standards ("SFAS") No. 128, EARNINGS PER SHARE "SFAS 128", which revises the methodology of calculating earnings per share. The Company adopted SFAS 128 in the fourth quarter of 1997. In accordance with SFAS 128, all common stock equivalents that have a dilutive effect on earnings per share are included in the calculation for dilutive income per share.</w:t>
      </w:r>
    </w:p>
    <w:p>
      <w:pPr>
        <w:spacing w:after="0" w:line="76" w:lineRule="exact"/>
        <w:rPr>
          <w:sz w:val="20"/>
          <w:szCs w:val="20"/>
          <w:color w:val="auto"/>
        </w:rPr>
      </w:pPr>
    </w:p>
    <w:p>
      <w:pPr>
        <w:ind w:right="2600"/>
        <w:spacing w:after="0" w:line="350" w:lineRule="auto"/>
        <w:rPr>
          <w:sz w:val="20"/>
          <w:szCs w:val="20"/>
          <w:color w:val="auto"/>
        </w:rPr>
      </w:pPr>
      <w:r>
        <w:rPr>
          <w:rFonts w:ascii="Courier New" w:cs="Courier New" w:eastAsia="Courier New" w:hAnsi="Courier New"/>
          <w:sz w:val="17"/>
          <w:szCs w:val="17"/>
          <w:color w:val="auto"/>
        </w:rPr>
        <w:t>The following table sets forth the computation of basic and diluted earnings per share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w w:val="96"/>
              </w:rPr>
              <w:t>Three Months</w:t>
            </w:r>
          </w:p>
        </w:tc>
        <w:tc>
          <w:tcPr>
            <w:tcW w:w="116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Ended</w:t>
            </w:r>
          </w:p>
        </w:tc>
        <w:tc>
          <w:tcPr>
            <w:tcW w:w="400" w:type="dxa"/>
            <w:vAlign w:val="bottom"/>
          </w:tcPr>
          <w:p>
            <w:pPr>
              <w:spacing w:after="0"/>
              <w:rPr>
                <w:sz w:val="16"/>
                <w:szCs w:val="16"/>
                <w:color w:val="auto"/>
              </w:rPr>
            </w:pPr>
          </w:p>
        </w:tc>
        <w:tc>
          <w:tcPr>
            <w:tcW w:w="2200" w:type="dxa"/>
            <w:vAlign w:val="bottom"/>
            <w:gridSpan w:val="3"/>
          </w:tcPr>
          <w:p>
            <w:pPr>
              <w:spacing w:after="0"/>
              <w:rPr>
                <w:sz w:val="20"/>
                <w:szCs w:val="20"/>
                <w:color w:val="auto"/>
              </w:rPr>
            </w:pPr>
            <w:r>
              <w:rPr>
                <w:rFonts w:ascii="Courier New" w:cs="Courier New" w:eastAsia="Courier New" w:hAnsi="Courier New"/>
                <w:sz w:val="17"/>
                <w:szCs w:val="17"/>
                <w:color w:val="auto"/>
              </w:rPr>
              <w:t>Nine Months Ended</w:t>
            </w:r>
          </w:p>
        </w:tc>
        <w:tc>
          <w:tcPr>
            <w:tcW w:w="0" w:type="dxa"/>
            <w:vAlign w:val="bottom"/>
          </w:tcPr>
          <w:p>
            <w:pPr>
              <w:spacing w:after="0"/>
              <w:rPr>
                <w:sz w:val="1"/>
                <w:szCs w:val="1"/>
                <w:color w:val="auto"/>
              </w:rPr>
            </w:pPr>
          </w:p>
        </w:tc>
      </w:tr>
      <w:tr>
        <w:trPr>
          <w:trHeight w:val="193"/>
        </w:trPr>
        <w:tc>
          <w:tcPr>
            <w:tcW w:w="5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September</w:t>
            </w:r>
          </w:p>
        </w:tc>
        <w:tc>
          <w:tcPr>
            <w:tcW w:w="260" w:type="dxa"/>
            <w:vAlign w:val="bottom"/>
          </w:tcPr>
          <w:p>
            <w:pPr>
              <w:ind w:left="60"/>
              <w:spacing w:after="0"/>
              <w:rPr>
                <w:sz w:val="20"/>
                <w:szCs w:val="20"/>
                <w:color w:val="auto"/>
              </w:rPr>
            </w:pPr>
            <w:r>
              <w:rPr>
                <w:rFonts w:ascii="Courier New" w:cs="Courier New" w:eastAsia="Courier New" w:hAnsi="Courier New"/>
                <w:sz w:val="17"/>
                <w:szCs w:val="17"/>
                <w:color w:val="auto"/>
                <w:w w:val="87"/>
              </w:rPr>
              <w:t>30</w:t>
            </w: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September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0" w:type="dxa"/>
            <w:vAlign w:val="bottom"/>
            <w:gridSpan w:val="3"/>
          </w:tcPr>
          <w:p>
            <w:pPr>
              <w:jc w:val="right"/>
              <w:ind w:right="516"/>
              <w:spacing w:after="0"/>
              <w:rPr>
                <w:sz w:val="20"/>
                <w:szCs w:val="20"/>
                <w:color w:val="auto"/>
              </w:rPr>
            </w:pPr>
            <w:r>
              <w:rPr>
                <w:rFonts w:ascii="Courier New" w:cs="Courier New" w:eastAsia="Courier New" w:hAnsi="Courier New"/>
                <w:sz w:val="17"/>
                <w:szCs w:val="17"/>
                <w:color w:val="auto"/>
                <w:w w:val="96"/>
              </w:rPr>
              <w:t>------------------</w:t>
            </w:r>
          </w:p>
        </w:tc>
        <w:tc>
          <w:tcPr>
            <w:tcW w:w="2600" w:type="dxa"/>
            <w:vAlign w:val="bottom"/>
            <w:gridSpan w:val="4"/>
          </w:tcPr>
          <w:p>
            <w:pPr>
              <w:ind w:left="300"/>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81"/>
        </w:trPr>
        <w:tc>
          <w:tcPr>
            <w:tcW w:w="5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jc w:val="right"/>
              <w:ind w:right="656"/>
              <w:spacing w:after="0"/>
              <w:rPr>
                <w:sz w:val="20"/>
                <w:szCs w:val="20"/>
                <w:color w:val="auto"/>
              </w:rPr>
            </w:pPr>
            <w:r>
              <w:rPr>
                <w:rFonts w:ascii="Courier New" w:cs="Courier New" w:eastAsia="Courier New" w:hAnsi="Courier New"/>
                <w:sz w:val="17"/>
                <w:szCs w:val="17"/>
                <w:color w:val="auto"/>
              </w:rPr>
              <w:t>1999</w:t>
            </w:r>
          </w:p>
        </w:tc>
        <w:tc>
          <w:tcPr>
            <w:tcW w:w="11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1998</w:t>
            </w:r>
          </w:p>
        </w:tc>
        <w:tc>
          <w:tcPr>
            <w:tcW w:w="4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Courier New" w:cs="Courier New" w:eastAsia="Courier New" w:hAnsi="Courier New"/>
                <w:sz w:val="17"/>
                <w:szCs w:val="17"/>
                <w:color w:val="auto"/>
              </w:rPr>
              <w:t>1999</w:t>
            </w:r>
          </w:p>
        </w:tc>
        <w:tc>
          <w:tcPr>
            <w:tcW w:w="400" w:type="dxa"/>
            <w:vAlign w:val="bottom"/>
          </w:tcPr>
          <w:p>
            <w:pPr>
              <w:spacing w:after="0"/>
              <w:rPr>
                <w:sz w:val="24"/>
                <w:szCs w:val="24"/>
                <w:color w:val="auto"/>
              </w:rPr>
            </w:pPr>
          </w:p>
        </w:tc>
        <w:tc>
          <w:tcPr>
            <w:tcW w:w="8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3"/>
              </w:rPr>
              <w:t>1998</w:t>
            </w:r>
          </w:p>
        </w:tc>
        <w:tc>
          <w:tcPr>
            <w:tcW w:w="0" w:type="dxa"/>
            <w:vAlign w:val="bottom"/>
          </w:tcPr>
          <w:p>
            <w:pPr>
              <w:spacing w:after="0"/>
              <w:rPr>
                <w:sz w:val="1"/>
                <w:szCs w:val="1"/>
                <w:color w:val="auto"/>
              </w:rPr>
            </w:pPr>
          </w:p>
        </w:tc>
      </w:tr>
      <w:tr>
        <w:trPr>
          <w:trHeight w:val="385"/>
        </w:trPr>
        <w:tc>
          <w:tcPr>
            <w:tcW w:w="5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In thousands, except per share data</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60" w:type="dxa"/>
            <w:vAlign w:val="bottom"/>
          </w:tcPr>
          <w:p>
            <w:pPr>
              <w:spacing w:after="0"/>
              <w:rPr>
                <w:sz w:val="20"/>
                <w:szCs w:val="20"/>
                <w:color w:val="auto"/>
              </w:rPr>
            </w:pPr>
            <w:r>
              <w:rPr>
                <w:rFonts w:ascii="Courier New" w:cs="Courier New" w:eastAsia="Courier New" w:hAnsi="Courier New"/>
                <w:sz w:val="17"/>
                <w:szCs w:val="17"/>
                <w:color w:val="auto"/>
              </w:rPr>
              <w:t>BASIC:</w:t>
            </w:r>
          </w:p>
        </w:tc>
        <w:tc>
          <w:tcPr>
            <w:tcW w:w="5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vMerge w:val="restart"/>
          </w:tcPr>
          <w:p>
            <w:pPr>
              <w:jc w:val="right"/>
              <w:ind w:right="456"/>
              <w:spacing w:after="0"/>
              <w:rPr>
                <w:sz w:val="20"/>
                <w:szCs w:val="20"/>
                <w:color w:val="auto"/>
              </w:rPr>
            </w:pPr>
            <w:r>
              <w:rPr>
                <w:rFonts w:ascii="Courier New" w:cs="Courier New" w:eastAsia="Courier New" w:hAnsi="Courier New"/>
                <w:sz w:val="17"/>
                <w:szCs w:val="17"/>
                <w:color w:val="auto"/>
              </w:rPr>
              <w:t>3,992</w:t>
            </w:r>
          </w:p>
        </w:tc>
        <w:tc>
          <w:tcPr>
            <w:tcW w:w="260" w:type="dxa"/>
            <w:vAlign w:val="bottom"/>
            <w:vMerge w:val="restart"/>
          </w:tcPr>
          <w:p>
            <w:pPr>
              <w:ind w:left="60"/>
              <w:spacing w:after="0"/>
              <w:rPr>
                <w:sz w:val="20"/>
                <w:szCs w:val="20"/>
                <w:color w:val="auto"/>
              </w:rPr>
            </w:pPr>
            <w:r>
              <w:rPr>
                <w:rFonts w:ascii="Courier New" w:cs="Courier New" w:eastAsia="Courier New" w:hAnsi="Courier New"/>
                <w:sz w:val="17"/>
                <w:szCs w:val="17"/>
                <w:color w:val="auto"/>
              </w:rPr>
              <w:t>$</w:t>
            </w:r>
          </w:p>
        </w:tc>
        <w:tc>
          <w:tcPr>
            <w:tcW w:w="900" w:type="dxa"/>
            <w:vAlign w:val="bottom"/>
            <w:vMerge w:val="restart"/>
          </w:tcPr>
          <w:p>
            <w:pPr>
              <w:jc w:val="right"/>
              <w:ind w:right="216"/>
              <w:spacing w:after="0"/>
              <w:rPr>
                <w:sz w:val="20"/>
                <w:szCs w:val="20"/>
                <w:color w:val="auto"/>
              </w:rPr>
            </w:pPr>
            <w:r>
              <w:rPr>
                <w:rFonts w:ascii="Courier New" w:cs="Courier New" w:eastAsia="Courier New" w:hAnsi="Courier New"/>
                <w:sz w:val="17"/>
                <w:szCs w:val="17"/>
                <w:color w:val="auto"/>
              </w:rPr>
              <w:t>3,877</w:t>
            </w:r>
          </w:p>
        </w:tc>
        <w:tc>
          <w:tcPr>
            <w:tcW w:w="1400" w:type="dxa"/>
            <w:vAlign w:val="bottom"/>
            <w:gridSpan w:val="2"/>
            <w:vMerge w:val="restart"/>
          </w:tcPr>
          <w:p>
            <w:pPr>
              <w:jc w:val="right"/>
              <w:ind w:right="216"/>
              <w:spacing w:after="0"/>
              <w:rPr>
                <w:sz w:val="20"/>
                <w:szCs w:val="20"/>
                <w:color w:val="auto"/>
              </w:rPr>
            </w:pPr>
            <w:r>
              <w:rPr>
                <w:rFonts w:ascii="Courier New" w:cs="Courier New" w:eastAsia="Courier New" w:hAnsi="Courier New"/>
                <w:sz w:val="17"/>
                <w:szCs w:val="17"/>
                <w:color w:val="auto"/>
              </w:rPr>
              <w:t>$ 12,706</w:t>
            </w:r>
          </w:p>
        </w:tc>
        <w:tc>
          <w:tcPr>
            <w:tcW w:w="1200" w:type="dxa"/>
            <w:vAlign w:val="bottom"/>
            <w:gridSpan w:val="2"/>
            <w:vMerge w:val="restart"/>
          </w:tcPr>
          <w:p>
            <w:pPr>
              <w:jc w:val="right"/>
              <w:spacing w:after="0"/>
              <w:rPr>
                <w:sz w:val="20"/>
                <w:szCs w:val="20"/>
                <w:color w:val="auto"/>
              </w:rPr>
            </w:pPr>
            <w:r>
              <w:rPr>
                <w:rFonts w:ascii="Courier New" w:cs="Courier New" w:eastAsia="Courier New" w:hAnsi="Courier New"/>
                <w:sz w:val="17"/>
                <w:szCs w:val="17"/>
                <w:color w:val="auto"/>
              </w:rPr>
              <w:t>$ (8,022)</w:t>
            </w:r>
          </w:p>
        </w:tc>
        <w:tc>
          <w:tcPr>
            <w:tcW w:w="0" w:type="dxa"/>
            <w:vAlign w:val="bottom"/>
          </w:tcPr>
          <w:p>
            <w:pPr>
              <w:spacing w:after="0"/>
              <w:rPr>
                <w:sz w:val="1"/>
                <w:szCs w:val="1"/>
                <w:color w:val="auto"/>
              </w:rPr>
            </w:pPr>
          </w:p>
        </w:tc>
      </w:tr>
      <w:tr>
        <w:trPr>
          <w:trHeight w:val="193"/>
        </w:trPr>
        <w:tc>
          <w:tcPr>
            <w:tcW w:w="5060" w:type="dxa"/>
            <w:vAlign w:val="bottom"/>
          </w:tcPr>
          <w:p>
            <w:pPr>
              <w:spacing w:after="0"/>
              <w:rPr>
                <w:sz w:val="20"/>
                <w:szCs w:val="20"/>
                <w:color w:val="auto"/>
              </w:rPr>
            </w:pPr>
            <w:r>
              <w:rPr>
                <w:rFonts w:ascii="Courier New" w:cs="Courier New" w:eastAsia="Courier New" w:hAnsi="Courier New"/>
                <w:sz w:val="17"/>
                <w:szCs w:val="17"/>
                <w:color w:val="auto"/>
              </w:rPr>
              <w:t>Net income (loss)</w:t>
            </w:r>
          </w:p>
        </w:tc>
        <w:tc>
          <w:tcPr>
            <w:tcW w:w="56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060" w:type="dxa"/>
            <w:vAlign w:val="bottom"/>
            <w:vMerge w:val="restart"/>
          </w:tcPr>
          <w:p>
            <w:pPr>
              <w:spacing w:after="0"/>
              <w:rPr>
                <w:sz w:val="20"/>
                <w:szCs w:val="20"/>
                <w:color w:val="auto"/>
              </w:rPr>
            </w:pPr>
            <w:r>
              <w:rPr>
                <w:rFonts w:ascii="Courier New" w:cs="Courier New" w:eastAsia="Courier New" w:hAnsi="Courier New"/>
                <w:sz w:val="17"/>
                <w:szCs w:val="17"/>
                <w:color w:val="auto"/>
              </w:rPr>
              <w:t>Average shares outstanding</w:t>
            </w:r>
          </w:p>
        </w:tc>
        <w:tc>
          <w:tcPr>
            <w:tcW w:w="1800" w:type="dxa"/>
            <w:vAlign w:val="bottom"/>
            <w:gridSpan w:val="2"/>
          </w:tcPr>
          <w:p>
            <w:pPr>
              <w:jc w:val="right"/>
              <w:ind w:right="456"/>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3"/>
        </w:trPr>
        <w:tc>
          <w:tcPr>
            <w:tcW w:w="506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17,326</w:t>
            </w:r>
          </w:p>
        </w:tc>
        <w:tc>
          <w:tcPr>
            <w:tcW w:w="26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17,253</w:t>
            </w:r>
          </w:p>
        </w:tc>
        <w:tc>
          <w:tcPr>
            <w:tcW w:w="4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17,318</w:t>
            </w:r>
          </w:p>
        </w:tc>
        <w:tc>
          <w:tcPr>
            <w:tcW w:w="4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15,038</w:t>
            </w:r>
          </w:p>
        </w:tc>
        <w:tc>
          <w:tcPr>
            <w:tcW w:w="0" w:type="dxa"/>
            <w:vAlign w:val="bottom"/>
          </w:tcPr>
          <w:p>
            <w:pPr>
              <w:spacing w:after="0"/>
              <w:rPr>
                <w:sz w:val="1"/>
                <w:szCs w:val="1"/>
                <w:color w:val="auto"/>
              </w:rPr>
            </w:pPr>
          </w:p>
        </w:tc>
      </w:tr>
      <w:tr>
        <w:trPr>
          <w:trHeight w:val="281"/>
        </w:trPr>
        <w:tc>
          <w:tcPr>
            <w:tcW w:w="5060" w:type="dxa"/>
            <w:vAlign w:val="bottom"/>
          </w:tcPr>
          <w:p>
            <w:pPr>
              <w:spacing w:after="0"/>
              <w:rPr>
                <w:sz w:val="24"/>
                <w:szCs w:val="24"/>
                <w:color w:val="auto"/>
              </w:rPr>
            </w:pPr>
          </w:p>
        </w:tc>
        <w:tc>
          <w:tcPr>
            <w:tcW w:w="1800" w:type="dxa"/>
            <w:vAlign w:val="bottom"/>
            <w:gridSpan w:val="2"/>
          </w:tcPr>
          <w:p>
            <w:pPr>
              <w:jc w:val="right"/>
              <w:ind w:right="456"/>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7"/>
        </w:trPr>
        <w:tc>
          <w:tcPr>
            <w:tcW w:w="5060" w:type="dxa"/>
            <w:vAlign w:val="bottom"/>
          </w:tcPr>
          <w:p>
            <w:pPr>
              <w:spacing w:after="0"/>
              <w:rPr>
                <w:sz w:val="20"/>
                <w:szCs w:val="20"/>
                <w:color w:val="auto"/>
              </w:rPr>
            </w:pPr>
            <w:r>
              <w:rPr>
                <w:rFonts w:ascii="Courier New" w:cs="Courier New" w:eastAsia="Courier New" w:hAnsi="Courier New"/>
                <w:sz w:val="17"/>
                <w:szCs w:val="17"/>
                <w:color w:val="auto"/>
              </w:rPr>
              <w:t>Income (loss) before extraordinary item</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0.23</w:t>
            </w:r>
          </w:p>
        </w:tc>
        <w:tc>
          <w:tcPr>
            <w:tcW w:w="2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0.21</w:t>
            </w:r>
          </w:p>
        </w:tc>
        <w:tc>
          <w:tcPr>
            <w:tcW w:w="400" w:type="dxa"/>
            <w:vAlign w:val="bottom"/>
          </w:tcPr>
          <w:p>
            <w:pPr>
              <w:ind w:left="300"/>
              <w:spacing w:after="0"/>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0.73</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(0.48)</w:t>
            </w:r>
          </w:p>
        </w:tc>
        <w:tc>
          <w:tcPr>
            <w:tcW w:w="0" w:type="dxa"/>
            <w:vAlign w:val="bottom"/>
          </w:tcPr>
          <w:p>
            <w:pPr>
              <w:spacing w:after="0"/>
              <w:rPr>
                <w:sz w:val="1"/>
                <w:szCs w:val="1"/>
                <w:color w:val="auto"/>
              </w:rPr>
            </w:pPr>
          </w:p>
        </w:tc>
      </w:tr>
      <w:tr>
        <w:trPr>
          <w:trHeight w:val="193"/>
        </w:trPr>
        <w:tc>
          <w:tcPr>
            <w:tcW w:w="5060" w:type="dxa"/>
            <w:vAlign w:val="bottom"/>
          </w:tcPr>
          <w:p>
            <w:pPr>
              <w:spacing w:after="0"/>
              <w:rPr>
                <w:sz w:val="20"/>
                <w:szCs w:val="20"/>
                <w:color w:val="auto"/>
              </w:rPr>
            </w:pPr>
            <w:r>
              <w:rPr>
                <w:rFonts w:ascii="Courier New" w:cs="Courier New" w:eastAsia="Courier New" w:hAnsi="Courier New"/>
                <w:sz w:val="17"/>
                <w:szCs w:val="17"/>
                <w:color w:val="auto"/>
              </w:rPr>
              <w:t>Extraordinary loss</w:t>
            </w:r>
          </w:p>
        </w:tc>
        <w:tc>
          <w:tcPr>
            <w:tcW w:w="560" w:type="dxa"/>
            <w:vAlign w:val="bottom"/>
          </w:tcPr>
          <w:p>
            <w:pPr>
              <w:spacing w:after="0"/>
              <w:rPr>
                <w:sz w:val="16"/>
                <w:szCs w:val="16"/>
                <w:color w:val="auto"/>
              </w:rPr>
            </w:pPr>
          </w:p>
        </w:tc>
        <w:tc>
          <w:tcPr>
            <w:tcW w:w="124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(0.05)</w:t>
            </w:r>
          </w:p>
        </w:tc>
        <w:tc>
          <w:tcPr>
            <w:tcW w:w="0" w:type="dxa"/>
            <w:vAlign w:val="bottom"/>
          </w:tcPr>
          <w:p>
            <w:pPr>
              <w:spacing w:after="0"/>
              <w:rPr>
                <w:sz w:val="1"/>
                <w:szCs w:val="1"/>
                <w:color w:val="auto"/>
              </w:rPr>
            </w:pPr>
          </w:p>
        </w:tc>
      </w:tr>
      <w:tr>
        <w:trPr>
          <w:trHeight w:val="193"/>
        </w:trPr>
        <w:tc>
          <w:tcPr>
            <w:tcW w:w="5060" w:type="dxa"/>
            <w:vAlign w:val="bottom"/>
            <w:vMerge w:val="restart"/>
          </w:tcPr>
          <w:p>
            <w:pPr>
              <w:spacing w:after="0"/>
              <w:rPr>
                <w:sz w:val="20"/>
                <w:szCs w:val="20"/>
                <w:color w:val="auto"/>
              </w:rPr>
            </w:pPr>
            <w:r>
              <w:rPr>
                <w:rFonts w:ascii="Courier New" w:cs="Courier New" w:eastAsia="Courier New" w:hAnsi="Courier New"/>
                <w:sz w:val="17"/>
                <w:szCs w:val="17"/>
                <w:color w:val="auto"/>
              </w:rPr>
              <w:t>Net Income (loss)</w:t>
            </w:r>
          </w:p>
        </w:tc>
        <w:tc>
          <w:tcPr>
            <w:tcW w:w="1800" w:type="dxa"/>
            <w:vAlign w:val="bottom"/>
            <w:gridSpan w:val="2"/>
          </w:tcPr>
          <w:p>
            <w:pPr>
              <w:jc w:val="right"/>
              <w:ind w:right="456"/>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3"/>
        </w:trPr>
        <w:tc>
          <w:tcPr>
            <w:tcW w:w="5060" w:type="dxa"/>
            <w:vAlign w:val="bottom"/>
            <w:vMerge w:val="continue"/>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0.23</w:t>
            </w:r>
          </w:p>
        </w:tc>
        <w:tc>
          <w:tcPr>
            <w:tcW w:w="2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0.21</w:t>
            </w:r>
          </w:p>
        </w:tc>
        <w:tc>
          <w:tcPr>
            <w:tcW w:w="400" w:type="dxa"/>
            <w:vAlign w:val="bottom"/>
          </w:tcPr>
          <w:p>
            <w:pPr>
              <w:ind w:left="300"/>
              <w:spacing w:after="0"/>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0.73</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(0.53)</w:t>
            </w:r>
          </w:p>
        </w:tc>
        <w:tc>
          <w:tcPr>
            <w:tcW w:w="0" w:type="dxa"/>
            <w:vAlign w:val="bottom"/>
          </w:tcPr>
          <w:p>
            <w:pPr>
              <w:spacing w:after="0"/>
              <w:rPr>
                <w:sz w:val="1"/>
                <w:szCs w:val="1"/>
                <w:color w:val="auto"/>
              </w:rPr>
            </w:pPr>
          </w:p>
        </w:tc>
      </w:tr>
      <w:tr>
        <w:trPr>
          <w:trHeight w:val="281"/>
        </w:trPr>
        <w:tc>
          <w:tcPr>
            <w:tcW w:w="5060" w:type="dxa"/>
            <w:vAlign w:val="bottom"/>
          </w:tcPr>
          <w:p>
            <w:pPr>
              <w:spacing w:after="0"/>
              <w:rPr>
                <w:sz w:val="24"/>
                <w:szCs w:val="24"/>
                <w:color w:val="auto"/>
              </w:rPr>
            </w:pPr>
          </w:p>
        </w:tc>
        <w:tc>
          <w:tcPr>
            <w:tcW w:w="1800" w:type="dxa"/>
            <w:vAlign w:val="bottom"/>
            <w:gridSpan w:val="2"/>
          </w:tcPr>
          <w:p>
            <w:pPr>
              <w:jc w:val="right"/>
              <w:ind w:right="456"/>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7"/>
        </w:trPr>
        <w:tc>
          <w:tcPr>
            <w:tcW w:w="5060" w:type="dxa"/>
            <w:vAlign w:val="bottom"/>
          </w:tcPr>
          <w:p>
            <w:pPr>
              <w:spacing w:after="0"/>
              <w:rPr>
                <w:sz w:val="20"/>
                <w:szCs w:val="20"/>
                <w:color w:val="auto"/>
              </w:rPr>
            </w:pPr>
            <w:r>
              <w:rPr>
                <w:rFonts w:ascii="Courier New" w:cs="Courier New" w:eastAsia="Courier New" w:hAnsi="Courier New"/>
                <w:sz w:val="17"/>
                <w:szCs w:val="17"/>
                <w:color w:val="auto"/>
              </w:rPr>
              <w:t>DILUTED:</w:t>
            </w:r>
          </w:p>
        </w:tc>
        <w:tc>
          <w:tcPr>
            <w:tcW w:w="5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vMerge w:val="restart"/>
          </w:tcPr>
          <w:p>
            <w:pPr>
              <w:jc w:val="right"/>
              <w:ind w:right="456"/>
              <w:spacing w:after="0"/>
              <w:rPr>
                <w:sz w:val="20"/>
                <w:szCs w:val="20"/>
                <w:color w:val="auto"/>
              </w:rPr>
            </w:pPr>
            <w:r>
              <w:rPr>
                <w:rFonts w:ascii="Courier New" w:cs="Courier New" w:eastAsia="Courier New" w:hAnsi="Courier New"/>
                <w:sz w:val="17"/>
                <w:szCs w:val="17"/>
                <w:color w:val="auto"/>
              </w:rPr>
              <w:t>3,992</w:t>
            </w:r>
          </w:p>
        </w:tc>
        <w:tc>
          <w:tcPr>
            <w:tcW w:w="260" w:type="dxa"/>
            <w:vAlign w:val="bottom"/>
            <w:vMerge w:val="restart"/>
          </w:tcPr>
          <w:p>
            <w:pPr>
              <w:ind w:left="60"/>
              <w:spacing w:after="0"/>
              <w:rPr>
                <w:sz w:val="20"/>
                <w:szCs w:val="20"/>
                <w:color w:val="auto"/>
              </w:rPr>
            </w:pPr>
            <w:r>
              <w:rPr>
                <w:rFonts w:ascii="Courier New" w:cs="Courier New" w:eastAsia="Courier New" w:hAnsi="Courier New"/>
                <w:sz w:val="17"/>
                <w:szCs w:val="17"/>
                <w:color w:val="auto"/>
              </w:rPr>
              <w:t>$</w:t>
            </w:r>
          </w:p>
        </w:tc>
        <w:tc>
          <w:tcPr>
            <w:tcW w:w="900" w:type="dxa"/>
            <w:vAlign w:val="bottom"/>
            <w:vMerge w:val="restart"/>
          </w:tcPr>
          <w:p>
            <w:pPr>
              <w:jc w:val="right"/>
              <w:ind w:right="216"/>
              <w:spacing w:after="0"/>
              <w:rPr>
                <w:sz w:val="20"/>
                <w:szCs w:val="20"/>
                <w:color w:val="auto"/>
              </w:rPr>
            </w:pPr>
            <w:r>
              <w:rPr>
                <w:rFonts w:ascii="Courier New" w:cs="Courier New" w:eastAsia="Courier New" w:hAnsi="Courier New"/>
                <w:sz w:val="17"/>
                <w:szCs w:val="17"/>
                <w:color w:val="auto"/>
              </w:rPr>
              <w:t>3,877</w:t>
            </w:r>
          </w:p>
        </w:tc>
        <w:tc>
          <w:tcPr>
            <w:tcW w:w="1400" w:type="dxa"/>
            <w:vAlign w:val="bottom"/>
            <w:gridSpan w:val="2"/>
            <w:vMerge w:val="restart"/>
          </w:tcPr>
          <w:p>
            <w:pPr>
              <w:jc w:val="right"/>
              <w:ind w:right="216"/>
              <w:spacing w:after="0"/>
              <w:rPr>
                <w:sz w:val="20"/>
                <w:szCs w:val="20"/>
                <w:color w:val="auto"/>
              </w:rPr>
            </w:pPr>
            <w:r>
              <w:rPr>
                <w:rFonts w:ascii="Courier New" w:cs="Courier New" w:eastAsia="Courier New" w:hAnsi="Courier New"/>
                <w:sz w:val="17"/>
                <w:szCs w:val="17"/>
                <w:color w:val="auto"/>
              </w:rPr>
              <w:t>$ 12,706</w:t>
            </w:r>
          </w:p>
        </w:tc>
        <w:tc>
          <w:tcPr>
            <w:tcW w:w="1200" w:type="dxa"/>
            <w:vAlign w:val="bottom"/>
            <w:gridSpan w:val="2"/>
            <w:vMerge w:val="restart"/>
          </w:tcPr>
          <w:p>
            <w:pPr>
              <w:jc w:val="right"/>
              <w:spacing w:after="0"/>
              <w:rPr>
                <w:sz w:val="20"/>
                <w:szCs w:val="20"/>
                <w:color w:val="auto"/>
              </w:rPr>
            </w:pPr>
            <w:r>
              <w:rPr>
                <w:rFonts w:ascii="Courier New" w:cs="Courier New" w:eastAsia="Courier New" w:hAnsi="Courier New"/>
                <w:sz w:val="17"/>
                <w:szCs w:val="17"/>
                <w:color w:val="auto"/>
              </w:rPr>
              <w:t>$ (8,022)</w:t>
            </w:r>
          </w:p>
        </w:tc>
        <w:tc>
          <w:tcPr>
            <w:tcW w:w="0" w:type="dxa"/>
            <w:vAlign w:val="bottom"/>
          </w:tcPr>
          <w:p>
            <w:pPr>
              <w:spacing w:after="0"/>
              <w:rPr>
                <w:sz w:val="1"/>
                <w:szCs w:val="1"/>
                <w:color w:val="auto"/>
              </w:rPr>
            </w:pPr>
          </w:p>
        </w:tc>
      </w:tr>
      <w:tr>
        <w:trPr>
          <w:trHeight w:val="193"/>
        </w:trPr>
        <w:tc>
          <w:tcPr>
            <w:tcW w:w="5060" w:type="dxa"/>
            <w:vAlign w:val="bottom"/>
          </w:tcPr>
          <w:p>
            <w:pPr>
              <w:spacing w:after="0"/>
              <w:rPr>
                <w:sz w:val="20"/>
                <w:szCs w:val="20"/>
                <w:color w:val="auto"/>
              </w:rPr>
            </w:pPr>
            <w:r>
              <w:rPr>
                <w:rFonts w:ascii="Courier New" w:cs="Courier New" w:eastAsia="Courier New" w:hAnsi="Courier New"/>
                <w:sz w:val="17"/>
                <w:szCs w:val="17"/>
                <w:color w:val="auto"/>
              </w:rPr>
              <w:t>Net income (loss)</w:t>
            </w:r>
          </w:p>
        </w:tc>
        <w:tc>
          <w:tcPr>
            <w:tcW w:w="56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1"/>
        </w:trPr>
        <w:tc>
          <w:tcPr>
            <w:tcW w:w="5060" w:type="dxa"/>
            <w:vAlign w:val="bottom"/>
          </w:tcPr>
          <w:p>
            <w:pPr>
              <w:spacing w:after="0"/>
              <w:rPr>
                <w:sz w:val="24"/>
                <w:szCs w:val="24"/>
                <w:color w:val="auto"/>
              </w:rPr>
            </w:pPr>
          </w:p>
        </w:tc>
        <w:tc>
          <w:tcPr>
            <w:tcW w:w="1800" w:type="dxa"/>
            <w:vAlign w:val="bottom"/>
            <w:gridSpan w:val="2"/>
          </w:tcPr>
          <w:p>
            <w:pPr>
              <w:jc w:val="right"/>
              <w:ind w:right="456"/>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7"/>
        </w:trPr>
        <w:tc>
          <w:tcPr>
            <w:tcW w:w="5060" w:type="dxa"/>
            <w:vAlign w:val="bottom"/>
          </w:tcPr>
          <w:p>
            <w:pPr>
              <w:spacing w:after="0"/>
              <w:rPr>
                <w:sz w:val="20"/>
                <w:szCs w:val="20"/>
                <w:color w:val="auto"/>
              </w:rPr>
            </w:pPr>
            <w:r>
              <w:rPr>
                <w:rFonts w:ascii="Courier New" w:cs="Courier New" w:eastAsia="Courier New" w:hAnsi="Courier New"/>
                <w:sz w:val="17"/>
                <w:szCs w:val="17"/>
                <w:color w:val="auto"/>
              </w:rPr>
              <w:t>Average shares outstanding</w:t>
            </w:r>
          </w:p>
        </w:tc>
        <w:tc>
          <w:tcPr>
            <w:tcW w:w="560" w:type="dxa"/>
            <w:vAlign w:val="bottom"/>
          </w:tcPr>
          <w:p>
            <w:pPr>
              <w:spacing w:after="0"/>
              <w:rPr>
                <w:sz w:val="24"/>
                <w:szCs w:val="24"/>
                <w:color w:val="auto"/>
              </w:rPr>
            </w:pPr>
          </w:p>
        </w:tc>
        <w:tc>
          <w:tcPr>
            <w:tcW w:w="124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17,326</w:t>
            </w:r>
          </w:p>
        </w:tc>
        <w:tc>
          <w:tcPr>
            <w:tcW w:w="260" w:type="dxa"/>
            <w:vAlign w:val="bottom"/>
          </w:tcPr>
          <w:p>
            <w:pPr>
              <w:spacing w:after="0"/>
              <w:rPr>
                <w:sz w:val="24"/>
                <w:szCs w:val="24"/>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17,253</w:t>
            </w:r>
          </w:p>
        </w:tc>
        <w:tc>
          <w:tcPr>
            <w:tcW w:w="400" w:type="dxa"/>
            <w:vAlign w:val="bottom"/>
          </w:tcPr>
          <w:p>
            <w:pPr>
              <w:spacing w:after="0"/>
              <w:rPr>
                <w:sz w:val="24"/>
                <w:szCs w:val="24"/>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17,318</w:t>
            </w:r>
          </w:p>
        </w:tc>
        <w:tc>
          <w:tcPr>
            <w:tcW w:w="400" w:type="dxa"/>
            <w:vAlign w:val="bottom"/>
          </w:tcPr>
          <w:p>
            <w:pPr>
              <w:spacing w:after="0"/>
              <w:rPr>
                <w:sz w:val="24"/>
                <w:szCs w:val="24"/>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15,038</w:t>
            </w:r>
          </w:p>
        </w:tc>
        <w:tc>
          <w:tcPr>
            <w:tcW w:w="0" w:type="dxa"/>
            <w:vAlign w:val="bottom"/>
          </w:tcPr>
          <w:p>
            <w:pPr>
              <w:spacing w:after="0"/>
              <w:rPr>
                <w:sz w:val="1"/>
                <w:szCs w:val="1"/>
                <w:color w:val="auto"/>
              </w:rPr>
            </w:pPr>
          </w:p>
        </w:tc>
      </w:tr>
      <w:tr>
        <w:trPr>
          <w:trHeight w:val="193"/>
        </w:trPr>
        <w:tc>
          <w:tcPr>
            <w:tcW w:w="5060" w:type="dxa"/>
            <w:vAlign w:val="bottom"/>
          </w:tcPr>
          <w:p>
            <w:pPr>
              <w:spacing w:after="0"/>
              <w:rPr>
                <w:sz w:val="20"/>
                <w:szCs w:val="20"/>
                <w:color w:val="auto"/>
              </w:rPr>
            </w:pPr>
            <w:r>
              <w:rPr>
                <w:rFonts w:ascii="Courier New" w:cs="Courier New" w:eastAsia="Courier New" w:hAnsi="Courier New"/>
                <w:sz w:val="17"/>
                <w:szCs w:val="17"/>
                <w:color w:val="auto"/>
              </w:rPr>
              <w:t>Net effect of dilutive stock options-based  on</w:t>
            </w:r>
          </w:p>
        </w:tc>
        <w:tc>
          <w:tcPr>
            <w:tcW w:w="560" w:type="dxa"/>
            <w:vAlign w:val="bottom"/>
          </w:tcPr>
          <w:p>
            <w:pPr>
              <w:spacing w:after="0"/>
              <w:rPr>
                <w:sz w:val="16"/>
                <w:szCs w:val="16"/>
                <w:color w:val="auto"/>
              </w:rPr>
            </w:pPr>
          </w:p>
        </w:tc>
        <w:tc>
          <w:tcPr>
            <w:tcW w:w="124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118</w:t>
            </w:r>
          </w:p>
        </w:tc>
        <w:tc>
          <w:tcPr>
            <w:tcW w:w="26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952</w:t>
            </w:r>
          </w:p>
        </w:tc>
        <w:tc>
          <w:tcPr>
            <w:tcW w:w="4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281</w:t>
            </w:r>
          </w:p>
        </w:tc>
        <w:tc>
          <w:tcPr>
            <w:tcW w:w="400" w:type="dxa"/>
            <w:vAlign w:val="bottom"/>
          </w:tcPr>
          <w:p>
            <w:pPr>
              <w:spacing w:after="0"/>
              <w:rPr>
                <w:sz w:val="16"/>
                <w:szCs w:val="16"/>
                <w:color w:val="auto"/>
              </w:rPr>
            </w:pP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81"/>
        </w:trPr>
        <w:tc>
          <w:tcPr>
            <w:tcW w:w="5060" w:type="dxa"/>
            <w:vAlign w:val="bottom"/>
          </w:tcPr>
          <w:p>
            <w:pPr>
              <w:spacing w:after="0"/>
              <w:rPr>
                <w:sz w:val="20"/>
                <w:szCs w:val="20"/>
                <w:color w:val="auto"/>
              </w:rPr>
            </w:pPr>
            <w:r>
              <w:rPr>
                <w:rFonts w:ascii="Courier New" w:cs="Courier New" w:eastAsia="Courier New" w:hAnsi="Courier New"/>
                <w:sz w:val="17"/>
                <w:szCs w:val="17"/>
                <w:color w:val="auto"/>
              </w:rPr>
              <w:t>the treasury stock method</w:t>
            </w:r>
          </w:p>
        </w:tc>
        <w:tc>
          <w:tcPr>
            <w:tcW w:w="1800" w:type="dxa"/>
            <w:vAlign w:val="bottom"/>
            <w:gridSpan w:val="2"/>
            <w:vMerge w:val="restart"/>
          </w:tcPr>
          <w:p>
            <w:pPr>
              <w:jc w:val="right"/>
              <w:ind w:right="456"/>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vMerge w:val="restart"/>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vMerge w:val="restart"/>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vMerge w:val="restart"/>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4"/>
        </w:trPr>
        <w:tc>
          <w:tcPr>
            <w:tcW w:w="5060" w:type="dxa"/>
            <w:vAlign w:val="bottom"/>
            <w:vMerge w:val="restart"/>
          </w:tcPr>
          <w:p>
            <w:pPr>
              <w:spacing w:after="0"/>
              <w:rPr>
                <w:sz w:val="20"/>
                <w:szCs w:val="20"/>
                <w:color w:val="auto"/>
              </w:rPr>
            </w:pPr>
            <w:r>
              <w:rPr>
                <w:rFonts w:ascii="Courier New" w:cs="Courier New" w:eastAsia="Courier New" w:hAnsi="Courier New"/>
                <w:sz w:val="17"/>
                <w:szCs w:val="17"/>
                <w:color w:val="auto"/>
              </w:rPr>
              <w:t>Totals</w:t>
            </w:r>
          </w:p>
        </w:tc>
        <w:tc>
          <w:tcPr>
            <w:tcW w:w="180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506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17,444</w:t>
            </w:r>
          </w:p>
        </w:tc>
        <w:tc>
          <w:tcPr>
            <w:tcW w:w="26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18,205</w:t>
            </w:r>
          </w:p>
        </w:tc>
        <w:tc>
          <w:tcPr>
            <w:tcW w:w="4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17,599</w:t>
            </w:r>
          </w:p>
        </w:tc>
        <w:tc>
          <w:tcPr>
            <w:tcW w:w="4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15,038</w:t>
            </w:r>
          </w:p>
        </w:tc>
        <w:tc>
          <w:tcPr>
            <w:tcW w:w="0" w:type="dxa"/>
            <w:vAlign w:val="bottom"/>
          </w:tcPr>
          <w:p>
            <w:pPr>
              <w:spacing w:after="0"/>
              <w:rPr>
                <w:sz w:val="1"/>
                <w:szCs w:val="1"/>
                <w:color w:val="auto"/>
              </w:rPr>
            </w:pPr>
          </w:p>
        </w:tc>
      </w:tr>
      <w:tr>
        <w:trPr>
          <w:trHeight w:val="193"/>
        </w:trPr>
        <w:tc>
          <w:tcPr>
            <w:tcW w:w="5060" w:type="dxa"/>
            <w:vAlign w:val="bottom"/>
            <w:vMerge w:val="restart"/>
          </w:tcPr>
          <w:p>
            <w:pPr>
              <w:spacing w:after="0"/>
              <w:rPr>
                <w:sz w:val="20"/>
                <w:szCs w:val="20"/>
                <w:color w:val="auto"/>
              </w:rPr>
            </w:pPr>
            <w:r>
              <w:rPr>
                <w:rFonts w:ascii="Courier New" w:cs="Courier New" w:eastAsia="Courier New" w:hAnsi="Courier New"/>
                <w:sz w:val="17"/>
                <w:szCs w:val="17"/>
                <w:color w:val="auto"/>
              </w:rPr>
              <w:t>Income (loss) before extraordinary item</w:t>
            </w:r>
          </w:p>
        </w:tc>
        <w:tc>
          <w:tcPr>
            <w:tcW w:w="1800" w:type="dxa"/>
            <w:vAlign w:val="bottom"/>
            <w:gridSpan w:val="2"/>
          </w:tcPr>
          <w:p>
            <w:pPr>
              <w:jc w:val="right"/>
              <w:ind w:right="456"/>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3"/>
        </w:trPr>
        <w:tc>
          <w:tcPr>
            <w:tcW w:w="5060" w:type="dxa"/>
            <w:vAlign w:val="bottom"/>
            <w:vMerge w:val="continue"/>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0.23</w:t>
            </w:r>
          </w:p>
        </w:tc>
        <w:tc>
          <w:tcPr>
            <w:tcW w:w="2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0.21</w:t>
            </w:r>
          </w:p>
        </w:tc>
        <w:tc>
          <w:tcPr>
            <w:tcW w:w="400" w:type="dxa"/>
            <w:vAlign w:val="bottom"/>
          </w:tcPr>
          <w:p>
            <w:pPr>
              <w:ind w:left="300"/>
              <w:spacing w:after="0"/>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0.72</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(0.48)</w:t>
            </w:r>
          </w:p>
        </w:tc>
        <w:tc>
          <w:tcPr>
            <w:tcW w:w="0" w:type="dxa"/>
            <w:vAlign w:val="bottom"/>
          </w:tcPr>
          <w:p>
            <w:pPr>
              <w:spacing w:after="0"/>
              <w:rPr>
                <w:sz w:val="1"/>
                <w:szCs w:val="1"/>
                <w:color w:val="auto"/>
              </w:rPr>
            </w:pPr>
          </w:p>
        </w:tc>
      </w:tr>
      <w:tr>
        <w:trPr>
          <w:trHeight w:val="193"/>
        </w:trPr>
        <w:tc>
          <w:tcPr>
            <w:tcW w:w="5060" w:type="dxa"/>
            <w:vAlign w:val="bottom"/>
          </w:tcPr>
          <w:p>
            <w:pPr>
              <w:spacing w:after="0"/>
              <w:rPr>
                <w:sz w:val="20"/>
                <w:szCs w:val="20"/>
                <w:color w:val="auto"/>
              </w:rPr>
            </w:pPr>
            <w:r>
              <w:rPr>
                <w:rFonts w:ascii="Courier New" w:cs="Courier New" w:eastAsia="Courier New" w:hAnsi="Courier New"/>
                <w:sz w:val="17"/>
                <w:szCs w:val="17"/>
                <w:color w:val="auto"/>
              </w:rPr>
              <w:t>Extraordinary loss</w:t>
            </w:r>
          </w:p>
        </w:tc>
        <w:tc>
          <w:tcPr>
            <w:tcW w:w="560" w:type="dxa"/>
            <w:vAlign w:val="bottom"/>
          </w:tcPr>
          <w:p>
            <w:pPr>
              <w:spacing w:after="0"/>
              <w:rPr>
                <w:sz w:val="16"/>
                <w:szCs w:val="16"/>
                <w:color w:val="auto"/>
              </w:rPr>
            </w:pPr>
          </w:p>
        </w:tc>
        <w:tc>
          <w:tcPr>
            <w:tcW w:w="124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9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(0.05)</w:t>
            </w:r>
          </w:p>
        </w:tc>
        <w:tc>
          <w:tcPr>
            <w:tcW w:w="0" w:type="dxa"/>
            <w:vAlign w:val="bottom"/>
          </w:tcPr>
          <w:p>
            <w:pPr>
              <w:spacing w:after="0"/>
              <w:rPr>
                <w:sz w:val="1"/>
                <w:szCs w:val="1"/>
                <w:color w:val="auto"/>
              </w:rPr>
            </w:pPr>
          </w:p>
        </w:tc>
      </w:tr>
      <w:tr>
        <w:trPr>
          <w:trHeight w:val="193"/>
        </w:trPr>
        <w:tc>
          <w:tcPr>
            <w:tcW w:w="5060" w:type="dxa"/>
            <w:vAlign w:val="bottom"/>
            <w:vMerge w:val="restart"/>
          </w:tcPr>
          <w:p>
            <w:pPr>
              <w:spacing w:after="0"/>
              <w:rPr>
                <w:sz w:val="20"/>
                <w:szCs w:val="20"/>
                <w:color w:val="auto"/>
              </w:rPr>
            </w:pPr>
            <w:r>
              <w:rPr>
                <w:rFonts w:ascii="Courier New" w:cs="Courier New" w:eastAsia="Courier New" w:hAnsi="Courier New"/>
                <w:sz w:val="17"/>
                <w:szCs w:val="17"/>
                <w:color w:val="auto"/>
              </w:rPr>
              <w:t>Net Income (loss)</w:t>
            </w:r>
          </w:p>
        </w:tc>
        <w:tc>
          <w:tcPr>
            <w:tcW w:w="1800" w:type="dxa"/>
            <w:vAlign w:val="bottom"/>
            <w:gridSpan w:val="2"/>
          </w:tcPr>
          <w:p>
            <w:pPr>
              <w:jc w:val="right"/>
              <w:ind w:right="456"/>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3"/>
        </w:trPr>
        <w:tc>
          <w:tcPr>
            <w:tcW w:w="5060" w:type="dxa"/>
            <w:vAlign w:val="bottom"/>
            <w:vMerge w:val="continue"/>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0.23</w:t>
            </w:r>
          </w:p>
        </w:tc>
        <w:tc>
          <w:tcPr>
            <w:tcW w:w="2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0.21</w:t>
            </w:r>
          </w:p>
        </w:tc>
        <w:tc>
          <w:tcPr>
            <w:tcW w:w="400" w:type="dxa"/>
            <w:vAlign w:val="bottom"/>
          </w:tcPr>
          <w:p>
            <w:pPr>
              <w:ind w:left="300"/>
              <w:spacing w:after="0"/>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0.72</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(0.53)</w:t>
            </w:r>
          </w:p>
        </w:tc>
        <w:tc>
          <w:tcPr>
            <w:tcW w:w="0" w:type="dxa"/>
            <w:vAlign w:val="bottom"/>
          </w:tcPr>
          <w:p>
            <w:pPr>
              <w:spacing w:after="0"/>
              <w:rPr>
                <w:sz w:val="1"/>
                <w:szCs w:val="1"/>
                <w:color w:val="auto"/>
              </w:rPr>
            </w:pPr>
          </w:p>
        </w:tc>
      </w:tr>
      <w:tr>
        <w:trPr>
          <w:trHeight w:val="281"/>
        </w:trPr>
        <w:tc>
          <w:tcPr>
            <w:tcW w:w="5060" w:type="dxa"/>
            <w:vAlign w:val="bottom"/>
          </w:tcPr>
          <w:p>
            <w:pPr>
              <w:spacing w:after="0"/>
              <w:rPr>
                <w:sz w:val="24"/>
                <w:szCs w:val="24"/>
                <w:color w:val="auto"/>
              </w:rPr>
            </w:pPr>
          </w:p>
        </w:tc>
        <w:tc>
          <w:tcPr>
            <w:tcW w:w="1800" w:type="dxa"/>
            <w:vAlign w:val="bottom"/>
            <w:gridSpan w:val="2"/>
          </w:tcPr>
          <w:p>
            <w:pPr>
              <w:jc w:val="right"/>
              <w:ind w:right="456"/>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ectPr>
          <w:pgSz w:w="11900" w:h="16838" w:orient="portrait"/>
          <w:cols w:equalWidth="0" w:num="1">
            <w:col w:w="10620"/>
          </w:cols>
          <w:pgMar w:left="240" w:top="279" w:right="1039" w:bottom="102" w:gutter="0" w:footer="0" w:header="0"/>
        </w:sectPr>
      </w:pPr>
    </w:p>
    <w:bookmarkStart w:id="9" w:name="page10"/>
    <w:bookmarkEnd w:id="9"/>
    <w:p>
      <w:pPr>
        <w:ind w:left="25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019"/>
          </w:cols>
          <w:pgMar w:left="1440" w:top="304" w:right="1440" w:bottom="1440" w:gutter="0" w:footer="0" w:header="0"/>
        </w:sectPr>
      </w:pPr>
    </w:p>
    <w:bookmarkStart w:id="10" w:name="page11"/>
    <w:bookmarkEnd w:id="10"/>
    <w:p>
      <w:pPr>
        <w:ind w:left="300"/>
        <w:spacing w:after="0"/>
        <w:rPr>
          <w:sz w:val="20"/>
          <w:szCs w:val="20"/>
          <w:color w:val="auto"/>
        </w:rPr>
      </w:pPr>
      <w:r>
        <w:rPr>
          <w:rFonts w:ascii="Courier New" w:cs="Courier New" w:eastAsia="Courier New" w:hAnsi="Courier New"/>
          <w:sz w:val="17"/>
          <w:szCs w:val="17"/>
          <w:color w:val="auto"/>
        </w:rPr>
        <w:t>10</w:t>
      </w:r>
    </w:p>
    <w:p>
      <w:pPr>
        <w:spacing w:after="0" w:line="30"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International Telecommunication Data Systems, Inc. and Subsidiaries</w:t>
      </w:r>
    </w:p>
    <w:p>
      <w:pPr>
        <w:spacing w:after="0" w:line="16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193"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(Unaudited)</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 OFFICER, DIRECTOR AND EMPLOYEE LOANS</w:t>
      </w:r>
    </w:p>
    <w:p>
      <w:pPr>
        <w:spacing w:after="0" w:line="193" w:lineRule="exact"/>
        <w:rPr>
          <w:sz w:val="20"/>
          <w:szCs w:val="20"/>
          <w:color w:val="auto"/>
        </w:rPr>
      </w:pPr>
    </w:p>
    <w:p>
      <w:pPr>
        <w:ind w:right="2299"/>
        <w:spacing w:after="0" w:line="276" w:lineRule="auto"/>
        <w:rPr>
          <w:sz w:val="20"/>
          <w:szCs w:val="20"/>
          <w:color w:val="auto"/>
        </w:rPr>
      </w:pPr>
      <w:r>
        <w:rPr>
          <w:rFonts w:ascii="Courier New" w:cs="Courier New" w:eastAsia="Courier New" w:hAnsi="Courier New"/>
          <w:sz w:val="17"/>
          <w:szCs w:val="17"/>
          <w:color w:val="auto"/>
        </w:rPr>
        <w:t>For the period ended September 30, 1999 and December 31, 1998, prepaid expenses and other current assets and other long-term assets included loans and advances to certain officers, directors and employees of the Company, of approximately $560,913 and $374,750, respectively.</w:t>
      </w: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 RECENT DEVELOPMENTS</w:t>
      </w:r>
    </w:p>
    <w:p>
      <w:pPr>
        <w:spacing w:after="0" w:line="193" w:lineRule="exact"/>
        <w:rPr>
          <w:sz w:val="20"/>
          <w:szCs w:val="20"/>
          <w:color w:val="auto"/>
        </w:rPr>
      </w:pPr>
    </w:p>
    <w:p>
      <w:pPr>
        <w:ind w:right="2199"/>
        <w:spacing w:after="0" w:line="249" w:lineRule="auto"/>
        <w:rPr>
          <w:sz w:val="20"/>
          <w:szCs w:val="20"/>
          <w:color w:val="auto"/>
        </w:rPr>
      </w:pPr>
      <w:r>
        <w:rPr>
          <w:rFonts w:ascii="Courier New" w:cs="Courier New" w:eastAsia="Courier New" w:hAnsi="Courier New"/>
          <w:sz w:val="17"/>
          <w:szCs w:val="17"/>
          <w:color w:val="auto"/>
        </w:rPr>
        <w:t>On September 3, 1999, the Company entered into an agreement with Amdocs, Ltd. pursuant to which Amdocs, Ltd. will acquire all of the outstanding shares of ITDS in a stock-for-stock merger transaction. Amdocs, Ltd. will account for this transaction under the purchase method of accounting. In the merger, each ITDS common share will be exchanged for a number of Amdocs, Ltd. ordinary shares equal to $10.50 divided by the trading value of an Amdocs, Ltd. ordinary share so long as the trading value of an Amdocs, Ltd. ordinary share is between $22.81 and $28.25. The trading value will be determined by taking the average of the closing prices for an Amdocs, Ltd. ordinary share over the ten trading days ending two business days before the closing date. In no event will the exchange ratio be less than 0.3717 or more than 0.4603. Closing of the merger is subject to the approval of ITDS' shareholders, as well as certain other customary closing conditions.</w:t>
      </w:r>
    </w:p>
    <w:p>
      <w:pPr>
        <w:spacing w:after="0" w:line="1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 LEGAL PROCEEDINGS</w:t>
      </w:r>
    </w:p>
    <w:p>
      <w:pPr>
        <w:spacing w:after="0" w:line="193" w:lineRule="exact"/>
        <w:rPr>
          <w:sz w:val="20"/>
          <w:szCs w:val="20"/>
          <w:color w:val="auto"/>
        </w:rPr>
      </w:pPr>
    </w:p>
    <w:p>
      <w:pPr>
        <w:ind w:right="2399"/>
        <w:spacing w:after="0" w:line="258" w:lineRule="auto"/>
        <w:rPr>
          <w:sz w:val="20"/>
          <w:szCs w:val="20"/>
          <w:color w:val="auto"/>
        </w:rPr>
      </w:pPr>
      <w:r>
        <w:rPr>
          <w:rFonts w:ascii="Courier New" w:cs="Courier New" w:eastAsia="Courier New" w:hAnsi="Courier New"/>
          <w:sz w:val="17"/>
          <w:szCs w:val="17"/>
          <w:color w:val="auto"/>
        </w:rPr>
        <w:t>Intelicom, a wholly-owned subsidiary of the Company acquired in January 1998 from Computer Sciences Corporation ("CSC") is party to litigation and has been threatened with litigation in connection with the operation of its business prior to its acquisition by the Company. Pursuant to the terms of the acquisition, CSC and certain of its affiliates are obligated to defend and indemnify the Company against obligations arising out of such litigation or threatened litigation.</w:t>
      </w:r>
    </w:p>
    <w:p>
      <w:pPr>
        <w:spacing w:after="0" w:line="93" w:lineRule="exact"/>
        <w:rPr>
          <w:sz w:val="20"/>
          <w:szCs w:val="20"/>
          <w:color w:val="auto"/>
        </w:rPr>
      </w:pPr>
    </w:p>
    <w:p>
      <w:pPr>
        <w:ind w:right="2399"/>
        <w:spacing w:after="0" w:line="276" w:lineRule="auto"/>
        <w:rPr>
          <w:sz w:val="20"/>
          <w:szCs w:val="20"/>
          <w:color w:val="auto"/>
        </w:rPr>
      </w:pPr>
      <w:r>
        <w:rPr>
          <w:rFonts w:ascii="Courier New" w:cs="Courier New" w:eastAsia="Courier New" w:hAnsi="Courier New"/>
          <w:sz w:val="17"/>
          <w:szCs w:val="17"/>
          <w:color w:val="auto"/>
        </w:rPr>
        <w:t>The Company does not believe that any liabilities relating to any of the legal proceedings to which it is a party are likely to be, individually or in the aggregate, material to its consolidated financial position or results of operations.</w:t>
      </w:r>
    </w:p>
    <w:p>
      <w:pPr>
        <w:spacing w:after="0" w:line="271"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279" w:right="1440" w:bottom="1440" w:gutter="0" w:footer="0" w:header="0"/>
        </w:sectPr>
      </w:pPr>
    </w:p>
    <w:bookmarkStart w:id="11" w:name="page12"/>
    <w:bookmarkEnd w:id="11"/>
    <w:p>
      <w:pPr>
        <w:ind w:left="300"/>
        <w:spacing w:after="0"/>
        <w:rPr>
          <w:sz w:val="20"/>
          <w:szCs w:val="20"/>
          <w:color w:val="auto"/>
        </w:rPr>
      </w:pPr>
      <w:r>
        <w:rPr>
          <w:rFonts w:ascii="Courier New" w:cs="Courier New" w:eastAsia="Courier New" w:hAnsi="Courier New"/>
          <w:sz w:val="17"/>
          <w:szCs w:val="17"/>
          <w:color w:val="auto"/>
        </w:rPr>
        <w:t>11</w:t>
      </w:r>
    </w:p>
    <w:p>
      <w:pPr>
        <w:spacing w:after="0" w:line="30"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SIGNATURES</w:t>
      </w:r>
    </w:p>
    <w:p>
      <w:pPr>
        <w:spacing w:after="0" w:line="163" w:lineRule="exact"/>
        <w:rPr>
          <w:sz w:val="20"/>
          <w:szCs w:val="20"/>
          <w:color w:val="auto"/>
        </w:rPr>
      </w:pPr>
    </w:p>
    <w:p>
      <w:pPr>
        <w:jc w:val="both"/>
        <w:ind w:right="2999"/>
        <w:spacing w:after="0" w:line="295"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6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AMDOCS LIMITED</w:t>
      </w:r>
    </w:p>
    <w:p>
      <w:pPr>
        <w:spacing w:after="0" w:line="386" w:lineRule="exact"/>
        <w:rPr>
          <w:sz w:val="20"/>
          <w:szCs w:val="20"/>
          <w:color w:val="auto"/>
        </w:rPr>
      </w:pPr>
    </w:p>
    <w:p>
      <w:pPr>
        <w:jc w:val="center"/>
        <w:ind w:right="-20"/>
        <w:spacing w:after="0"/>
        <w:tabs>
          <w:tab w:leader="none" w:pos="180" w:val="left"/>
        </w:tabs>
        <w:rPr>
          <w:sz w:val="20"/>
          <w:szCs w:val="20"/>
          <w:color w:val="auto"/>
        </w:rPr>
      </w:pPr>
      <w:r>
        <w:rPr>
          <w:rFonts w:ascii="Courier New" w:cs="Courier New" w:eastAsia="Courier New" w:hAnsi="Courier New"/>
          <w:sz w:val="17"/>
          <w:szCs w:val="17"/>
          <w:color w:val="auto"/>
        </w:rPr>
        <w:t>/s/</w:t>
      </w:r>
      <w:r>
        <w:rPr>
          <w:sz w:val="20"/>
          <w:szCs w:val="20"/>
          <w:color w:val="auto"/>
        </w:rPr>
        <w:tab/>
      </w:r>
      <w:r>
        <w:rPr>
          <w:rFonts w:ascii="Courier New" w:cs="Courier New" w:eastAsia="Courier New" w:hAnsi="Courier New"/>
          <w:sz w:val="16"/>
          <w:szCs w:val="16"/>
          <w:color w:val="auto"/>
        </w:rPr>
        <w:t>Thomas G. O'Brien</w:t>
      </w:r>
    </w:p>
    <w:p>
      <w:pPr>
        <w:spacing w:after="0" w:line="30" w:lineRule="exact"/>
        <w:rPr>
          <w:sz w:val="20"/>
          <w:szCs w:val="20"/>
          <w:color w:val="auto"/>
        </w:rPr>
      </w:pPr>
    </w:p>
    <w:p>
      <w:pPr>
        <w:spacing w:after="0"/>
        <w:tabs>
          <w:tab w:leader="none" w:pos="4500" w:val="left"/>
        </w:tabs>
        <w:rPr>
          <w:sz w:val="20"/>
          <w:szCs w:val="20"/>
          <w:color w:val="auto"/>
        </w:rPr>
      </w:pPr>
      <w:r>
        <w:rPr>
          <w:rFonts w:ascii="Courier New" w:cs="Courier New" w:eastAsia="Courier New" w:hAnsi="Courier New"/>
          <w:sz w:val="17"/>
          <w:szCs w:val="17"/>
          <w:color w:val="auto"/>
        </w:rPr>
        <w:t>Date: December 10, 1999</w:t>
      </w:r>
      <w:r>
        <w:rPr>
          <w:sz w:val="20"/>
          <w:szCs w:val="20"/>
          <w:color w:val="auto"/>
        </w:rPr>
        <w:tab/>
      </w:r>
      <w:r>
        <w:rPr>
          <w:rFonts w:ascii="Courier New" w:cs="Courier New" w:eastAsia="Courier New" w:hAnsi="Courier New"/>
          <w:sz w:val="16"/>
          <w:szCs w:val="16"/>
          <w:color w:val="auto"/>
        </w:rPr>
        <w:t>-----------------------------</w:t>
      </w:r>
    </w:p>
    <w:p>
      <w:pPr>
        <w:ind w:left="4520"/>
        <w:spacing w:after="0"/>
        <w:rPr>
          <w:sz w:val="20"/>
          <w:szCs w:val="20"/>
          <w:color w:val="auto"/>
        </w:rPr>
      </w:pPr>
      <w:r>
        <w:rPr>
          <w:rFonts w:ascii="Courier New" w:cs="Courier New" w:eastAsia="Courier New" w:hAnsi="Courier New"/>
          <w:sz w:val="17"/>
          <w:szCs w:val="17"/>
          <w:color w:val="auto"/>
        </w:rPr>
        <w:t>Thomas G. O'Brien</w:t>
      </w:r>
    </w:p>
    <w:p>
      <w:pPr>
        <w:ind w:left="4520"/>
        <w:spacing w:after="0"/>
        <w:rPr>
          <w:sz w:val="20"/>
          <w:szCs w:val="20"/>
          <w:color w:val="auto"/>
        </w:rPr>
      </w:pPr>
      <w:r>
        <w:rPr>
          <w:rFonts w:ascii="Courier New" w:cs="Courier New" w:eastAsia="Courier New" w:hAnsi="Courier New"/>
          <w:sz w:val="17"/>
          <w:szCs w:val="17"/>
          <w:color w:val="auto"/>
        </w:rPr>
        <w:t>Treasurer and Secretary</w:t>
      </w:r>
    </w:p>
    <w:p>
      <w:pPr>
        <w:ind w:left="4520"/>
        <w:spacing w:after="0"/>
        <w:rPr>
          <w:sz w:val="20"/>
          <w:szCs w:val="20"/>
          <w:color w:val="auto"/>
        </w:rPr>
      </w:pPr>
      <w:r>
        <w:rPr>
          <w:rFonts w:ascii="Courier New" w:cs="Courier New" w:eastAsia="Courier New" w:hAnsi="Courier New"/>
          <w:sz w:val="16"/>
          <w:szCs w:val="16"/>
          <w:color w:val="auto"/>
        </w:rPr>
        <w:t>Authorized U.S. Representative</w:t>
      </w:r>
    </w:p>
    <w:p>
      <w:pPr>
        <w:spacing w:after="0" w:line="200" w:lineRule="exact"/>
        <w:rPr>
          <w:sz w:val="20"/>
          <w:szCs w:val="20"/>
          <w:color w:val="auto"/>
        </w:rPr>
      </w:pPr>
    </w:p>
    <w:p>
      <w:pPr>
        <w:spacing w:after="0" w:line="36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279" w:right="1440" w:bottom="1440" w:gutter="0" w:footer="0" w:header="0"/>
        </w:sectPr>
      </w:pPr>
    </w:p>
    <w:bookmarkStart w:id="12" w:name="page13"/>
    <w:bookmarkEnd w:id="12"/>
    <w:p>
      <w:pPr>
        <w:ind w:left="300"/>
        <w:spacing w:after="0"/>
        <w:rPr>
          <w:sz w:val="20"/>
          <w:szCs w:val="20"/>
          <w:color w:val="auto"/>
        </w:rPr>
      </w:pPr>
      <w:r>
        <w:rPr>
          <w:rFonts w:ascii="Courier New" w:cs="Courier New" w:eastAsia="Courier New" w:hAnsi="Courier New"/>
          <w:sz w:val="17"/>
          <w:szCs w:val="17"/>
          <w:color w:val="auto"/>
        </w:rPr>
        <w:t>12</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360" w:type="dxa"/>
            <w:vAlign w:val="bottom"/>
          </w:tcPr>
          <w:p>
            <w:pPr>
              <w:spacing w:after="0"/>
              <w:rPr>
                <w:sz w:val="24"/>
                <w:szCs w:val="24"/>
                <w:color w:val="auto"/>
              </w:rPr>
            </w:pPr>
          </w:p>
        </w:tc>
        <w:tc>
          <w:tcPr>
            <w:tcW w:w="5660" w:type="dxa"/>
            <w:vAlign w:val="bottom"/>
          </w:tcPr>
          <w:p>
            <w:pPr>
              <w:ind w:left="1060"/>
              <w:spacing w:after="0"/>
              <w:rPr>
                <w:sz w:val="20"/>
                <w:szCs w:val="20"/>
                <w:color w:val="auto"/>
              </w:rPr>
            </w:pPr>
            <w:r>
              <w:rPr>
                <w:rFonts w:ascii="Courier New" w:cs="Courier New" w:eastAsia="Courier New" w:hAnsi="Courier New"/>
                <w:sz w:val="17"/>
                <w:szCs w:val="17"/>
                <w:color w:val="auto"/>
              </w:rPr>
              <w:t>EXHIBIT INDEX</w:t>
            </w:r>
          </w:p>
        </w:tc>
      </w:tr>
      <w:tr>
        <w:trPr>
          <w:trHeight w:val="460"/>
        </w:trPr>
        <w:tc>
          <w:tcPr>
            <w:tcW w:w="2360" w:type="dxa"/>
            <w:vAlign w:val="bottom"/>
          </w:tcPr>
          <w:p>
            <w:pPr>
              <w:spacing w:after="0"/>
              <w:rPr>
                <w:sz w:val="20"/>
                <w:szCs w:val="20"/>
                <w:color w:val="auto"/>
              </w:rPr>
            </w:pPr>
            <w:r>
              <w:rPr>
                <w:rFonts w:ascii="Courier New" w:cs="Courier New" w:eastAsia="Courier New" w:hAnsi="Courier New"/>
                <w:sz w:val="17"/>
                <w:szCs w:val="17"/>
                <w:color w:val="auto"/>
              </w:rPr>
              <w:t>EXHIBIT NO.</w:t>
            </w:r>
          </w:p>
        </w:tc>
        <w:tc>
          <w:tcPr>
            <w:tcW w:w="5660" w:type="dxa"/>
            <w:vAlign w:val="bottom"/>
          </w:tcPr>
          <w:p>
            <w:pPr>
              <w:ind w:left="1160"/>
              <w:spacing w:after="0"/>
              <w:rPr>
                <w:sz w:val="20"/>
                <w:szCs w:val="20"/>
                <w:color w:val="auto"/>
              </w:rPr>
            </w:pPr>
            <w:r>
              <w:rPr>
                <w:rFonts w:ascii="Courier New" w:cs="Courier New" w:eastAsia="Courier New" w:hAnsi="Courier New"/>
                <w:sz w:val="17"/>
                <w:szCs w:val="17"/>
                <w:color w:val="auto"/>
              </w:rPr>
              <w:t>DESCRIPTION</w:t>
            </w:r>
          </w:p>
        </w:tc>
      </w:tr>
      <w:tr>
        <w:trPr>
          <w:trHeight w:val="281"/>
        </w:trPr>
        <w:tc>
          <w:tcPr>
            <w:tcW w:w="23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5660" w:type="dxa"/>
            <w:vAlign w:val="bottom"/>
          </w:tcPr>
          <w:p>
            <w:pPr>
              <w:ind w:left="1360"/>
              <w:spacing w:after="0"/>
              <w:rPr>
                <w:sz w:val="20"/>
                <w:szCs w:val="20"/>
                <w:color w:val="auto"/>
              </w:rPr>
            </w:pPr>
            <w:r>
              <w:rPr>
                <w:rFonts w:ascii="Courier New" w:cs="Courier New" w:eastAsia="Courier New" w:hAnsi="Courier New"/>
                <w:sz w:val="17"/>
                <w:szCs w:val="17"/>
                <w:color w:val="auto"/>
              </w:rPr>
              <w:t>-----------</w:t>
            </w:r>
          </w:p>
        </w:tc>
      </w:tr>
      <w:tr>
        <w:trPr>
          <w:trHeight w:val="490"/>
        </w:trPr>
        <w:tc>
          <w:tcPr>
            <w:tcW w:w="2360" w:type="dxa"/>
            <w:vAlign w:val="bottom"/>
          </w:tcPr>
          <w:p>
            <w:pPr>
              <w:spacing w:after="0"/>
              <w:rPr>
                <w:sz w:val="20"/>
                <w:szCs w:val="20"/>
                <w:color w:val="auto"/>
              </w:rPr>
            </w:pPr>
            <w:r>
              <w:rPr>
                <w:rFonts w:ascii="Courier New" w:cs="Courier New" w:eastAsia="Courier New" w:hAnsi="Courier New"/>
                <w:sz w:val="17"/>
                <w:szCs w:val="17"/>
                <w:color w:val="auto"/>
              </w:rPr>
              <w:t>2.1</w:t>
            </w:r>
          </w:p>
        </w:tc>
        <w:tc>
          <w:tcPr>
            <w:tcW w:w="5660" w:type="dxa"/>
            <w:vAlign w:val="bottom"/>
          </w:tcPr>
          <w:p>
            <w:pPr>
              <w:ind w:left="1160"/>
              <w:spacing w:after="0"/>
              <w:rPr>
                <w:sz w:val="20"/>
                <w:szCs w:val="20"/>
                <w:color w:val="auto"/>
              </w:rPr>
            </w:pPr>
            <w:r>
              <w:rPr>
                <w:rFonts w:ascii="Courier New" w:cs="Courier New" w:eastAsia="Courier New" w:hAnsi="Courier New"/>
                <w:sz w:val="17"/>
                <w:szCs w:val="17"/>
                <w:color w:val="auto"/>
              </w:rPr>
              <w:t>Agreement and Plan of Merger, dated as of</w:t>
            </w:r>
          </w:p>
        </w:tc>
      </w:tr>
      <w:tr>
        <w:trPr>
          <w:trHeight w:val="193"/>
        </w:trPr>
        <w:tc>
          <w:tcPr>
            <w:tcW w:w="2360" w:type="dxa"/>
            <w:vAlign w:val="bottom"/>
          </w:tcPr>
          <w:p>
            <w:pPr>
              <w:spacing w:after="0"/>
              <w:rPr>
                <w:sz w:val="16"/>
                <w:szCs w:val="16"/>
                <w:color w:val="auto"/>
              </w:rPr>
            </w:pPr>
          </w:p>
        </w:tc>
        <w:tc>
          <w:tcPr>
            <w:tcW w:w="5660" w:type="dxa"/>
            <w:vAlign w:val="bottom"/>
          </w:tcPr>
          <w:p>
            <w:pPr>
              <w:ind w:left="1160"/>
              <w:spacing w:after="0"/>
              <w:rPr>
                <w:sz w:val="20"/>
                <w:szCs w:val="20"/>
                <w:color w:val="auto"/>
              </w:rPr>
            </w:pPr>
            <w:r>
              <w:rPr>
                <w:rFonts w:ascii="Courier New" w:cs="Courier New" w:eastAsia="Courier New" w:hAnsi="Courier New"/>
                <w:sz w:val="17"/>
                <w:szCs w:val="17"/>
                <w:color w:val="auto"/>
                <w:w w:val="99"/>
              </w:rPr>
              <w:t>September 3, 1999, among Amdocs, Acquisition</w:t>
            </w:r>
          </w:p>
        </w:tc>
      </w:tr>
      <w:tr>
        <w:trPr>
          <w:trHeight w:val="193"/>
        </w:trPr>
        <w:tc>
          <w:tcPr>
            <w:tcW w:w="2360" w:type="dxa"/>
            <w:vAlign w:val="bottom"/>
          </w:tcPr>
          <w:p>
            <w:pPr>
              <w:spacing w:after="0"/>
              <w:rPr>
                <w:sz w:val="16"/>
                <w:szCs w:val="16"/>
                <w:color w:val="auto"/>
              </w:rPr>
            </w:pPr>
          </w:p>
        </w:tc>
        <w:tc>
          <w:tcPr>
            <w:tcW w:w="5660" w:type="dxa"/>
            <w:vAlign w:val="bottom"/>
          </w:tcPr>
          <w:p>
            <w:pPr>
              <w:ind w:left="1160"/>
              <w:spacing w:after="0"/>
              <w:rPr>
                <w:sz w:val="20"/>
                <w:szCs w:val="20"/>
                <w:color w:val="auto"/>
              </w:rPr>
            </w:pPr>
            <w:r>
              <w:rPr>
                <w:rFonts w:ascii="Courier New" w:cs="Courier New" w:eastAsia="Courier New" w:hAnsi="Courier New"/>
                <w:sz w:val="17"/>
                <w:szCs w:val="17"/>
                <w:color w:val="auto"/>
                <w:w w:val="99"/>
              </w:rPr>
              <w:t>and ITDS (Incorporated by reference from the</w:t>
            </w:r>
          </w:p>
        </w:tc>
      </w:tr>
      <w:tr>
        <w:trPr>
          <w:trHeight w:val="193"/>
        </w:trPr>
        <w:tc>
          <w:tcPr>
            <w:tcW w:w="2360" w:type="dxa"/>
            <w:vAlign w:val="bottom"/>
          </w:tcPr>
          <w:p>
            <w:pPr>
              <w:spacing w:after="0"/>
              <w:rPr>
                <w:sz w:val="16"/>
                <w:szCs w:val="16"/>
                <w:color w:val="auto"/>
              </w:rPr>
            </w:pPr>
          </w:p>
        </w:tc>
        <w:tc>
          <w:tcPr>
            <w:tcW w:w="5660" w:type="dxa"/>
            <w:vAlign w:val="bottom"/>
          </w:tcPr>
          <w:p>
            <w:pPr>
              <w:ind w:left="1160"/>
              <w:spacing w:after="0"/>
              <w:rPr>
                <w:sz w:val="20"/>
                <w:szCs w:val="20"/>
                <w:color w:val="auto"/>
              </w:rPr>
            </w:pPr>
            <w:r>
              <w:rPr>
                <w:rFonts w:ascii="Courier New" w:cs="Courier New" w:eastAsia="Courier New" w:hAnsi="Courier New"/>
                <w:sz w:val="17"/>
                <w:szCs w:val="17"/>
                <w:color w:val="auto"/>
                <w:w w:val="99"/>
              </w:rPr>
              <w:t>Registration Statement on Form F-4 (File No.</w:t>
            </w:r>
          </w:p>
        </w:tc>
      </w:tr>
      <w:tr>
        <w:trPr>
          <w:trHeight w:val="193"/>
        </w:trPr>
        <w:tc>
          <w:tcPr>
            <w:tcW w:w="2360" w:type="dxa"/>
            <w:vAlign w:val="bottom"/>
          </w:tcPr>
          <w:p>
            <w:pPr>
              <w:spacing w:after="0"/>
              <w:rPr>
                <w:sz w:val="16"/>
                <w:szCs w:val="16"/>
                <w:color w:val="auto"/>
              </w:rPr>
            </w:pPr>
          </w:p>
        </w:tc>
        <w:tc>
          <w:tcPr>
            <w:tcW w:w="5660" w:type="dxa"/>
            <w:vAlign w:val="bottom"/>
          </w:tcPr>
          <w:p>
            <w:pPr>
              <w:ind w:left="1160"/>
              <w:spacing w:after="0"/>
              <w:rPr>
                <w:sz w:val="20"/>
                <w:szCs w:val="20"/>
                <w:color w:val="auto"/>
              </w:rPr>
            </w:pPr>
            <w:r>
              <w:rPr>
                <w:rFonts w:ascii="Courier New" w:cs="Courier New" w:eastAsia="Courier New" w:hAnsi="Courier New"/>
                <w:sz w:val="17"/>
                <w:szCs w:val="17"/>
                <w:color w:val="auto"/>
              </w:rPr>
              <w:t>333-89673) of Amdocs filed with the</w:t>
            </w:r>
          </w:p>
        </w:tc>
      </w:tr>
      <w:tr>
        <w:trPr>
          <w:trHeight w:val="193"/>
        </w:trPr>
        <w:tc>
          <w:tcPr>
            <w:tcW w:w="2360" w:type="dxa"/>
            <w:vAlign w:val="bottom"/>
          </w:tcPr>
          <w:p>
            <w:pPr>
              <w:spacing w:after="0"/>
              <w:rPr>
                <w:sz w:val="16"/>
                <w:szCs w:val="16"/>
                <w:color w:val="auto"/>
              </w:rPr>
            </w:pPr>
          </w:p>
        </w:tc>
        <w:tc>
          <w:tcPr>
            <w:tcW w:w="5660" w:type="dxa"/>
            <w:vAlign w:val="bottom"/>
          </w:tcPr>
          <w:p>
            <w:pPr>
              <w:ind w:left="1160"/>
              <w:spacing w:after="0"/>
              <w:rPr>
                <w:sz w:val="20"/>
                <w:szCs w:val="20"/>
                <w:color w:val="auto"/>
              </w:rPr>
            </w:pPr>
            <w:r>
              <w:rPr>
                <w:rFonts w:ascii="Courier New" w:cs="Courier New" w:eastAsia="Courier New" w:hAnsi="Courier New"/>
                <w:sz w:val="17"/>
                <w:szCs w:val="17"/>
                <w:color w:val="auto"/>
                <w:w w:val="97"/>
              </w:rPr>
              <w:t>Securities and Exchange Commission on October</w:t>
            </w:r>
          </w:p>
        </w:tc>
      </w:tr>
      <w:tr>
        <w:trPr>
          <w:trHeight w:val="281"/>
        </w:trPr>
        <w:tc>
          <w:tcPr>
            <w:tcW w:w="2360" w:type="dxa"/>
            <w:vAlign w:val="bottom"/>
          </w:tcPr>
          <w:p>
            <w:pPr>
              <w:spacing w:after="0"/>
              <w:rPr>
                <w:sz w:val="24"/>
                <w:szCs w:val="24"/>
                <w:color w:val="auto"/>
              </w:rPr>
            </w:pPr>
          </w:p>
        </w:tc>
        <w:tc>
          <w:tcPr>
            <w:tcW w:w="5660" w:type="dxa"/>
            <w:vAlign w:val="bottom"/>
          </w:tcPr>
          <w:p>
            <w:pPr>
              <w:ind w:left="1160"/>
              <w:spacing w:after="0"/>
              <w:rPr>
                <w:sz w:val="20"/>
                <w:szCs w:val="20"/>
                <w:color w:val="auto"/>
              </w:rPr>
            </w:pPr>
            <w:r>
              <w:rPr>
                <w:rFonts w:ascii="Courier New" w:cs="Courier New" w:eastAsia="Courier New" w:hAnsi="Courier New"/>
                <w:sz w:val="17"/>
                <w:szCs w:val="17"/>
                <w:color w:val="auto"/>
              </w:rPr>
              <w:t>26, 1999).</w:t>
            </w:r>
          </w:p>
        </w:tc>
      </w:tr>
      <w:tr>
        <w:trPr>
          <w:trHeight w:val="385"/>
        </w:trPr>
        <w:tc>
          <w:tcPr>
            <w:tcW w:w="2360" w:type="dxa"/>
            <w:vAlign w:val="bottom"/>
          </w:tcPr>
          <w:p>
            <w:pPr>
              <w:spacing w:after="0"/>
              <w:rPr>
                <w:sz w:val="20"/>
                <w:szCs w:val="20"/>
                <w:color w:val="auto"/>
              </w:rPr>
            </w:pPr>
            <w:r>
              <w:rPr>
                <w:rFonts w:ascii="Courier New" w:cs="Courier New" w:eastAsia="Courier New" w:hAnsi="Courier New"/>
                <w:sz w:val="17"/>
                <w:szCs w:val="17"/>
                <w:color w:val="auto"/>
              </w:rPr>
              <w:t>23.1</w:t>
            </w:r>
          </w:p>
        </w:tc>
        <w:tc>
          <w:tcPr>
            <w:tcW w:w="5660" w:type="dxa"/>
            <w:vAlign w:val="bottom"/>
          </w:tcPr>
          <w:p>
            <w:pPr>
              <w:ind w:left="1160"/>
              <w:spacing w:after="0"/>
              <w:rPr>
                <w:sz w:val="20"/>
                <w:szCs w:val="20"/>
                <w:color w:val="auto"/>
              </w:rPr>
            </w:pPr>
            <w:r>
              <w:rPr>
                <w:rFonts w:ascii="Courier New" w:cs="Courier New" w:eastAsia="Courier New" w:hAnsi="Courier New"/>
                <w:sz w:val="17"/>
                <w:szCs w:val="17"/>
                <w:color w:val="auto"/>
              </w:rPr>
              <w:t>Consent of Ernst &amp; Young LLP.</w:t>
            </w:r>
          </w:p>
        </w:tc>
      </w:tr>
      <w:tr>
        <w:trPr>
          <w:trHeight w:val="297"/>
        </w:trPr>
        <w:tc>
          <w:tcPr>
            <w:tcW w:w="2360" w:type="dxa"/>
            <w:vAlign w:val="bottom"/>
          </w:tcPr>
          <w:p>
            <w:pPr>
              <w:spacing w:after="0"/>
              <w:rPr>
                <w:sz w:val="20"/>
                <w:szCs w:val="20"/>
                <w:color w:val="auto"/>
              </w:rPr>
            </w:pPr>
            <w:r>
              <w:rPr>
                <w:rFonts w:ascii="Courier New" w:cs="Courier New" w:eastAsia="Courier New" w:hAnsi="Courier New"/>
                <w:sz w:val="17"/>
                <w:szCs w:val="17"/>
                <w:color w:val="auto"/>
              </w:rPr>
              <w:t>99.1</w:t>
            </w:r>
          </w:p>
        </w:tc>
        <w:tc>
          <w:tcPr>
            <w:tcW w:w="5660" w:type="dxa"/>
            <w:vAlign w:val="bottom"/>
          </w:tcPr>
          <w:p>
            <w:pPr>
              <w:ind w:left="1160"/>
              <w:spacing w:after="0"/>
              <w:rPr>
                <w:sz w:val="20"/>
                <w:szCs w:val="20"/>
                <w:color w:val="auto"/>
              </w:rPr>
            </w:pPr>
            <w:r>
              <w:rPr>
                <w:rFonts w:ascii="Courier New" w:cs="Courier New" w:eastAsia="Courier New" w:hAnsi="Courier New"/>
                <w:sz w:val="17"/>
                <w:szCs w:val="17"/>
                <w:color w:val="auto"/>
                <w:w w:val="99"/>
              </w:rPr>
              <w:t>Amdocs Limited Press Release, dated November</w:t>
            </w:r>
          </w:p>
        </w:tc>
      </w:tr>
      <w:tr>
        <w:trPr>
          <w:trHeight w:val="281"/>
        </w:trPr>
        <w:tc>
          <w:tcPr>
            <w:tcW w:w="2360" w:type="dxa"/>
            <w:vAlign w:val="bottom"/>
          </w:tcPr>
          <w:p>
            <w:pPr>
              <w:spacing w:after="0"/>
              <w:rPr>
                <w:sz w:val="24"/>
                <w:szCs w:val="24"/>
                <w:color w:val="auto"/>
              </w:rPr>
            </w:pPr>
          </w:p>
        </w:tc>
        <w:tc>
          <w:tcPr>
            <w:tcW w:w="5660" w:type="dxa"/>
            <w:vAlign w:val="bottom"/>
          </w:tcPr>
          <w:p>
            <w:pPr>
              <w:ind w:left="1160"/>
              <w:spacing w:after="0"/>
              <w:rPr>
                <w:sz w:val="20"/>
                <w:szCs w:val="20"/>
                <w:color w:val="auto"/>
              </w:rPr>
            </w:pPr>
            <w:r>
              <w:rPr>
                <w:rFonts w:ascii="Courier New" w:cs="Courier New" w:eastAsia="Courier New" w:hAnsi="Courier New"/>
                <w:sz w:val="17"/>
                <w:szCs w:val="17"/>
                <w:color w:val="auto"/>
              </w:rPr>
              <w:t>30, 1999.</w:t>
            </w:r>
          </w:p>
        </w:tc>
      </w:tr>
      <w:tr>
        <w:trPr>
          <w:trHeight w:val="578"/>
        </w:trPr>
        <w:tc>
          <w:tcPr>
            <w:tcW w:w="2360" w:type="dxa"/>
            <w:vAlign w:val="bottom"/>
          </w:tcPr>
          <w:p>
            <w:pPr>
              <w:spacing w:after="0"/>
              <w:rPr>
                <w:sz w:val="24"/>
                <w:szCs w:val="24"/>
                <w:color w:val="auto"/>
              </w:rPr>
            </w:pPr>
          </w:p>
        </w:tc>
        <w:tc>
          <w:tcPr>
            <w:tcW w:w="5660" w:type="dxa"/>
            <w:vAlign w:val="bottom"/>
          </w:tcPr>
          <w:p>
            <w:pPr>
              <w:ind w:left="1560"/>
              <w:spacing w:after="0"/>
              <w:rPr>
                <w:sz w:val="20"/>
                <w:szCs w:val="20"/>
                <w:color w:val="auto"/>
              </w:rPr>
            </w:pPr>
            <w:r>
              <w:rPr>
                <w:rFonts w:ascii="Courier New" w:cs="Courier New" w:eastAsia="Courier New" w:hAnsi="Courier New"/>
                <w:sz w:val="17"/>
                <w:szCs w:val="17"/>
                <w:color w:val="auto"/>
              </w:rPr>
              <w:t>11</w:t>
            </w:r>
          </w:p>
        </w:tc>
      </w:tr>
    </w:tbl>
    <w:p>
      <w:pPr>
        <w:sectPr>
          <w:pgSz w:w="11900" w:h="16838" w:orient="portrait"/>
          <w:cols w:equalWidth="0" w:num="1">
            <w:col w:w="10219"/>
          </w:cols>
          <w:pgMar w:left="240" w:top="279" w:right="1440" w:bottom="1440" w:gutter="0" w:footer="0" w:header="0"/>
        </w:sectPr>
      </w:pPr>
    </w:p>
    <w:bookmarkStart w:id="13" w:name="page14"/>
    <w:bookmarkEnd w:id="13"/>
    <w:p>
      <w:pPr>
        <w:ind w:left="300"/>
        <w:spacing w:after="0"/>
        <w:rPr>
          <w:sz w:val="20"/>
          <w:szCs w:val="20"/>
          <w:color w:val="auto"/>
        </w:rPr>
      </w:pPr>
      <w:r>
        <w:rPr>
          <w:rFonts w:ascii="Courier New" w:cs="Courier New" w:eastAsia="Courier New" w:hAnsi="Courier New"/>
          <w:sz w:val="17"/>
          <w:szCs w:val="17"/>
          <w:color w:val="auto"/>
        </w:rPr>
        <w:t>1</w:t>
      </w:r>
    </w:p>
    <w:p>
      <w:pPr>
        <w:spacing w:after="0" w:line="30"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CONSENT OF ERNST &amp; YOUNG LLP, INDEPENDENT AUDITORS</w:t>
      </w:r>
    </w:p>
    <w:p>
      <w:pPr>
        <w:spacing w:after="0" w:line="386" w:lineRule="exact"/>
        <w:rPr>
          <w:sz w:val="20"/>
          <w:szCs w:val="20"/>
          <w:color w:val="auto"/>
        </w:rPr>
      </w:pPr>
    </w:p>
    <w:p>
      <w:pPr>
        <w:ind w:right="2299"/>
        <w:spacing w:after="0" w:line="267" w:lineRule="auto"/>
        <w:rPr>
          <w:sz w:val="20"/>
          <w:szCs w:val="20"/>
          <w:color w:val="auto"/>
        </w:rPr>
      </w:pPr>
      <w:r>
        <w:rPr>
          <w:rFonts w:ascii="Courier New" w:cs="Courier New" w:eastAsia="Courier New" w:hAnsi="Courier New"/>
          <w:sz w:val="17"/>
          <w:szCs w:val="17"/>
          <w:color w:val="auto"/>
        </w:rPr>
        <w:t>We consent to the incorporation by reference in this Form 6-K of Amdocs Limited of our report dated February 16, 1999, with respect to the financial statements and schedules of International Telecommunication Data Systems, Inc. included in Amendment No 2 to Form F-3 of Amdocs Limited (File No. 333-86609) filed on October 4, 1999.</w:t>
      </w:r>
    </w:p>
    <w:p>
      <w:pPr>
        <w:spacing w:after="0" w:line="278"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7"/>
          <w:szCs w:val="17"/>
          <w:color w:val="auto"/>
        </w:rPr>
        <w:t>/s/ Ernst &amp; Young LLP</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Stamford, Connecticut</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December 8, 1999</w:t>
      </w:r>
    </w:p>
    <w:p>
      <w:pPr>
        <w:sectPr>
          <w:pgSz w:w="11900" w:h="16838" w:orient="portrait"/>
          <w:cols w:equalWidth="0" w:num="1">
            <w:col w:w="10219"/>
          </w:cols>
          <w:pgMar w:left="240" w:top="112"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7"/>
          <w:szCs w:val="17"/>
          <w:color w:val="auto"/>
        </w:rPr>
        <w:t>1</w:t>
      </w:r>
    </w:p>
    <w:p>
      <w:pPr>
        <w:spacing w:after="0" w:line="30" w:lineRule="exact"/>
        <w:rPr>
          <w:sz w:val="20"/>
          <w:szCs w:val="20"/>
          <w:color w:val="auto"/>
        </w:rPr>
      </w:pPr>
    </w:p>
    <w:p>
      <w:pPr>
        <w:ind w:left="6320"/>
        <w:spacing w:after="0"/>
        <w:rPr>
          <w:sz w:val="20"/>
          <w:szCs w:val="20"/>
          <w:color w:val="auto"/>
        </w:rPr>
      </w:pPr>
      <w:r>
        <w:rPr>
          <w:rFonts w:ascii="Courier New" w:cs="Courier New" w:eastAsia="Courier New" w:hAnsi="Courier New"/>
          <w:sz w:val="17"/>
          <w:szCs w:val="17"/>
          <w:color w:val="auto"/>
        </w:rPr>
        <w:t>EXHIBIT 99.1</w:t>
      </w:r>
    </w:p>
    <w:p>
      <w:pPr>
        <w:spacing w:after="0" w:line="356"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AMDOCS LIMITED COMPLETES INTERNATIONAL TELECOMMUNICATION DATA SYSTEMS INC.</w:t>
      </w:r>
    </w:p>
    <w:p>
      <w:pPr>
        <w:spacing w:after="0" w:line="41"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ACQUISITION</w:t>
      </w:r>
    </w:p>
    <w:p>
      <w:pPr>
        <w:spacing w:after="0" w:line="163" w:lineRule="exact"/>
        <w:rPr>
          <w:sz w:val="20"/>
          <w:szCs w:val="20"/>
          <w:color w:val="auto"/>
        </w:rPr>
      </w:pPr>
    </w:p>
    <w:p>
      <w:pPr>
        <w:ind w:left="300" w:right="2199"/>
        <w:spacing w:after="0" w:line="255" w:lineRule="auto"/>
        <w:rPr>
          <w:sz w:val="20"/>
          <w:szCs w:val="20"/>
          <w:color w:val="auto"/>
        </w:rPr>
      </w:pPr>
      <w:r>
        <w:rPr>
          <w:rFonts w:ascii="Courier New" w:cs="Courier New" w:eastAsia="Courier New" w:hAnsi="Courier New"/>
          <w:sz w:val="17"/>
          <w:szCs w:val="17"/>
          <w:color w:val="auto"/>
        </w:rPr>
        <w:t>ST. LOUIS - November 30, 1999 - Amdocs Limited (NYSE: DOX), a major international provider of customer care, billing and order management solutions to the telecom industry, today announced the completion of its previously announced merger with International Telecommunication Data Systems Inc. (ITDS), a leading provider of outsourcing and service bureau solutions to telecom companies. The merger was approved today by the shareholders of ITDS at a special meeting. As a result of the merger, ITDS has become a wholly owned subsidiary of Amdocs.</w:t>
      </w:r>
    </w:p>
    <w:p>
      <w:pPr>
        <w:spacing w:after="0" w:line="98" w:lineRule="exact"/>
        <w:rPr>
          <w:sz w:val="20"/>
          <w:szCs w:val="20"/>
          <w:color w:val="auto"/>
        </w:rPr>
      </w:pPr>
    </w:p>
    <w:p>
      <w:pPr>
        <w:ind w:left="300" w:right="2299"/>
        <w:spacing w:after="0" w:line="276" w:lineRule="auto"/>
        <w:rPr>
          <w:sz w:val="20"/>
          <w:szCs w:val="20"/>
          <w:color w:val="auto"/>
        </w:rPr>
      </w:pPr>
      <w:r>
        <w:rPr>
          <w:rFonts w:ascii="Courier New" w:cs="Courier New" w:eastAsia="Courier New" w:hAnsi="Courier New"/>
          <w:sz w:val="17"/>
          <w:szCs w:val="17"/>
          <w:color w:val="auto"/>
        </w:rPr>
        <w:t>In the merger, each outstanding share of ITDS common stock was converted into the right to receive 0.3717 Amdocs ordinary shares. As of the record date of October 22, 1999, there were 17,498,063 shares of ITDS common stock outstanding.</w:t>
      </w:r>
    </w:p>
    <w:p>
      <w:pPr>
        <w:spacing w:after="0" w:line="78" w:lineRule="exact"/>
        <w:rPr>
          <w:sz w:val="20"/>
          <w:szCs w:val="20"/>
          <w:color w:val="auto"/>
        </w:rPr>
      </w:pPr>
    </w:p>
    <w:p>
      <w:pPr>
        <w:ind w:left="300" w:right="2299"/>
        <w:spacing w:after="0" w:line="281" w:lineRule="auto"/>
        <w:rPr>
          <w:sz w:val="20"/>
          <w:szCs w:val="20"/>
          <w:color w:val="auto"/>
        </w:rPr>
      </w:pPr>
      <w:r>
        <w:rPr>
          <w:rFonts w:ascii="Courier New" w:cs="Courier New" w:eastAsia="Courier New" w:hAnsi="Courier New"/>
          <w:sz w:val="16"/>
          <w:szCs w:val="16"/>
          <w:color w:val="auto"/>
        </w:rPr>
        <w:t>"We are confident that our acquisition of ITDS will enhance our market leadership position," said Avinoam Naor, President and Chief Executive Officer of Amdocs Management Limited. "Our customers and prospects have reacted positively to the strategy represented by the acquisition. Amdocs now offers the strongest combination of system solutions and outsourcing capabilities in the telecom customer care and billing market."</w:t>
      </w:r>
    </w:p>
    <w:p>
      <w:pPr>
        <w:spacing w:after="0" w:line="76" w:lineRule="exact"/>
        <w:rPr>
          <w:sz w:val="20"/>
          <w:szCs w:val="20"/>
          <w:color w:val="auto"/>
        </w:rPr>
      </w:pPr>
    </w:p>
    <w:p>
      <w:pPr>
        <w:ind w:left="300" w:right="2299"/>
        <w:spacing w:after="0" w:line="258" w:lineRule="auto"/>
        <w:rPr>
          <w:sz w:val="20"/>
          <w:szCs w:val="20"/>
          <w:color w:val="auto"/>
        </w:rPr>
      </w:pPr>
      <w:r>
        <w:rPr>
          <w:rFonts w:ascii="Courier New" w:cs="Courier New" w:eastAsia="Courier New" w:hAnsi="Courier New"/>
          <w:sz w:val="17"/>
          <w:szCs w:val="17"/>
          <w:color w:val="auto"/>
        </w:rPr>
        <w:t>Naor added, "As the integration of ITDS and Amdocs enters the operational phase, we are proud to welcome the ITDS employees into our global family. I am confident that all of our constituents will benefit from this transaction, including new and existing shareholders, customers, and employees. Amdocs is fully committed to continuing support for ITDS customers, and we hope to build on these relationships for mutual success moving forward."</w:t>
      </w:r>
    </w:p>
    <w:p>
      <w:pPr>
        <w:spacing w:after="0" w:line="93" w:lineRule="exact"/>
        <w:rPr>
          <w:sz w:val="20"/>
          <w:szCs w:val="20"/>
          <w:color w:val="auto"/>
        </w:rPr>
      </w:pPr>
    </w:p>
    <w:p>
      <w:pPr>
        <w:ind w:left="300" w:right="2199"/>
        <w:spacing w:after="0" w:line="255" w:lineRule="auto"/>
        <w:rPr>
          <w:sz w:val="20"/>
          <w:szCs w:val="20"/>
          <w:color w:val="auto"/>
        </w:rPr>
      </w:pPr>
      <w:r>
        <w:rPr>
          <w:rFonts w:ascii="Courier New" w:cs="Courier New" w:eastAsia="Courier New" w:hAnsi="Courier New"/>
          <w:sz w:val="17"/>
          <w:szCs w:val="17"/>
          <w:color w:val="auto"/>
        </w:rPr>
        <w:t>ITDS is an industry leader in outsourcing of billing operations. With state-of-the-art data centers located in Stamford, Connecticut and Champaign, Illinois, and a staff of approximately 750 professionals, ITDS produces almost 9 million telephone invoices each month. ITDS provides its customers with a full range of operations support, including subscriber billing, subscriber activation, remittance processing, collections, data retrieval and reporting, electronic funds transfer, credit management, inventory management, and data archiving.</w:t>
      </w:r>
    </w:p>
    <w:p>
      <w:pPr>
        <w:spacing w:after="0" w:line="98"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About Amdocs</w:t>
      </w:r>
    </w:p>
    <w:p>
      <w:pPr>
        <w:spacing w:after="0" w:line="30" w:lineRule="exact"/>
        <w:rPr>
          <w:sz w:val="20"/>
          <w:szCs w:val="20"/>
          <w:color w:val="auto"/>
        </w:rPr>
      </w:pPr>
    </w:p>
    <w:p>
      <w:pPr>
        <w:ind w:left="300" w:right="2199"/>
        <w:spacing w:after="0" w:line="249" w:lineRule="auto"/>
        <w:rPr>
          <w:sz w:val="20"/>
          <w:szCs w:val="20"/>
          <w:color w:val="auto"/>
        </w:rPr>
      </w:pPr>
      <w:r>
        <w:rPr>
          <w:rFonts w:ascii="Courier New" w:cs="Courier New" w:eastAsia="Courier New" w:hAnsi="Courier New"/>
          <w:sz w:val="17"/>
          <w:szCs w:val="17"/>
          <w:color w:val="auto"/>
        </w:rPr>
        <w:t>Amdocs is a leading provider of product-driven customer care, billing and order management solutions to premier telecommunications companies worldwide. Amdocs has an unparalleled success record in project delivery of its mission-critical products. Human resources of more than 4,600 information systems professionals are exclusively dedicated to the telecommunications industry. Amdocs has an installed base of more than 300 successful projects in more than 75 major telecommunications companies throughout the world. For more information visit our Web site at www.amdocs.com</w:t>
      </w:r>
    </w:p>
    <w:p>
      <w:pPr>
        <w:spacing w:after="0" w:line="99" w:lineRule="exact"/>
        <w:rPr>
          <w:sz w:val="20"/>
          <w:szCs w:val="20"/>
          <w:color w:val="auto"/>
        </w:rPr>
      </w:pPr>
    </w:p>
    <w:p>
      <w:pPr>
        <w:ind w:left="300" w:right="2199"/>
        <w:spacing w:after="0" w:line="277" w:lineRule="auto"/>
        <w:rPr>
          <w:sz w:val="20"/>
          <w:szCs w:val="20"/>
          <w:color w:val="auto"/>
        </w:rPr>
      </w:pPr>
      <w:r>
        <w:rPr>
          <w:rFonts w:ascii="Courier New" w:cs="Courier New" w:eastAsia="Courier New" w:hAnsi="Courier New"/>
          <w:sz w:val="16"/>
          <w:szCs w:val="16"/>
          <w:color w:val="auto"/>
        </w:rPr>
        <w:t>This news release may contain certain forward-looking statements relating to the future performance of Amdocs Ltd. and ITDS. The forward-looking information is within the meaning of Section 27A of the Securities Act of 1933 and Section 21E of the Securities Act of 1934, and subject to certain risks and uncertainties, and actual results may differ materially. These risks and uncertainties are described in greater detail in Amdocs' and ITDS' filings with the Securities and Exchange Commission.</w:t>
      </w:r>
    </w:p>
    <w:p>
      <w:pPr>
        <w:spacing w:after="0" w:line="77"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For more information contact:</w:t>
      </w:r>
    </w:p>
    <w:p>
      <w:pPr>
        <w:spacing w:after="0" w:line="3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Amdocs</w:t>
      </w:r>
    </w:p>
    <w:p>
      <w:pPr>
        <w:ind w:left="300"/>
        <w:spacing w:after="0"/>
        <w:rPr>
          <w:sz w:val="20"/>
          <w:szCs w:val="20"/>
          <w:color w:val="auto"/>
        </w:rPr>
      </w:pPr>
      <w:r>
        <w:rPr>
          <w:rFonts w:ascii="Courier New" w:cs="Courier New" w:eastAsia="Courier New" w:hAnsi="Courier New"/>
          <w:sz w:val="17"/>
          <w:szCs w:val="17"/>
          <w:color w:val="auto"/>
        </w:rPr>
        <w:t>Thomas G. O'Brien</w:t>
      </w:r>
    </w:p>
    <w:p>
      <w:pPr>
        <w:ind w:left="300"/>
        <w:spacing w:after="0"/>
        <w:rPr>
          <w:sz w:val="20"/>
          <w:szCs w:val="20"/>
          <w:color w:val="auto"/>
        </w:rPr>
      </w:pPr>
      <w:r>
        <w:rPr>
          <w:rFonts w:ascii="Courier New" w:cs="Courier New" w:eastAsia="Courier New" w:hAnsi="Courier New"/>
          <w:sz w:val="17"/>
          <w:szCs w:val="17"/>
          <w:color w:val="auto"/>
        </w:rPr>
        <w:t>Treasurer and Director of Investor Relations</w:t>
      </w:r>
    </w:p>
    <w:p>
      <w:pPr>
        <w:ind w:left="300"/>
        <w:spacing w:after="0"/>
        <w:rPr>
          <w:sz w:val="20"/>
          <w:szCs w:val="20"/>
          <w:color w:val="auto"/>
        </w:rPr>
      </w:pPr>
      <w:r>
        <w:rPr>
          <w:rFonts w:ascii="Courier New" w:cs="Courier New" w:eastAsia="Courier New" w:hAnsi="Courier New"/>
          <w:sz w:val="17"/>
          <w:szCs w:val="17"/>
          <w:color w:val="auto"/>
        </w:rPr>
        <w:t>Amdocs Limited</w:t>
      </w:r>
    </w:p>
    <w:p>
      <w:pPr>
        <w:ind w:left="300"/>
        <w:spacing w:after="0"/>
        <w:rPr>
          <w:sz w:val="20"/>
          <w:szCs w:val="20"/>
          <w:color w:val="auto"/>
        </w:rPr>
      </w:pPr>
      <w:r>
        <w:rPr>
          <w:rFonts w:ascii="Courier New" w:cs="Courier New" w:eastAsia="Courier New" w:hAnsi="Courier New"/>
          <w:sz w:val="17"/>
          <w:szCs w:val="17"/>
          <w:color w:val="auto"/>
        </w:rPr>
        <w:t>Tel: 314-212-8328</w:t>
      </w:r>
    </w:p>
    <w:p>
      <w:pPr>
        <w:ind w:left="300"/>
        <w:spacing w:after="0"/>
        <w:rPr>
          <w:sz w:val="20"/>
          <w:szCs w:val="20"/>
          <w:color w:val="auto"/>
        </w:rPr>
      </w:pPr>
      <w:r>
        <w:rPr>
          <w:rFonts w:ascii="Courier New" w:cs="Courier New" w:eastAsia="Courier New" w:hAnsi="Courier New"/>
          <w:sz w:val="17"/>
          <w:szCs w:val="17"/>
          <w:color w:val="auto"/>
        </w:rPr>
        <w:t>E-mail: info@amdocs.com</w:t>
      </w:r>
    </w:p>
    <w:p>
      <w:pPr>
        <w:spacing w:after="0" w:line="356"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Porter Novelli</w:t>
      </w:r>
    </w:p>
    <w:p>
      <w:pPr>
        <w:spacing w:after="0" w:line="3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Dan Ginsburg</w:t>
      </w:r>
    </w:p>
    <w:p>
      <w:pPr>
        <w:ind w:left="300"/>
        <w:spacing w:after="0"/>
        <w:rPr>
          <w:sz w:val="20"/>
          <w:szCs w:val="20"/>
          <w:color w:val="auto"/>
        </w:rPr>
      </w:pPr>
      <w:r>
        <w:rPr>
          <w:rFonts w:ascii="Courier New" w:cs="Courier New" w:eastAsia="Courier New" w:hAnsi="Courier New"/>
          <w:sz w:val="17"/>
          <w:szCs w:val="17"/>
          <w:color w:val="auto"/>
        </w:rPr>
        <w:t>Porter Novelli</w:t>
      </w:r>
    </w:p>
    <w:p>
      <w:pPr>
        <w:ind w:left="300"/>
        <w:spacing w:after="0"/>
        <w:rPr>
          <w:sz w:val="20"/>
          <w:szCs w:val="20"/>
          <w:color w:val="auto"/>
        </w:rPr>
      </w:pPr>
      <w:r>
        <w:rPr>
          <w:rFonts w:ascii="Courier New" w:cs="Courier New" w:eastAsia="Courier New" w:hAnsi="Courier New"/>
          <w:sz w:val="17"/>
          <w:szCs w:val="17"/>
          <w:color w:val="auto"/>
        </w:rPr>
        <w:t>Tel: 212-601-8020</w:t>
      </w:r>
    </w:p>
    <w:p>
      <w:pPr>
        <w:ind w:left="300"/>
        <w:spacing w:after="0"/>
        <w:rPr>
          <w:sz w:val="20"/>
          <w:szCs w:val="20"/>
          <w:color w:val="auto"/>
        </w:rPr>
      </w:pPr>
      <w:r>
        <w:rPr>
          <w:rFonts w:ascii="Courier New" w:cs="Courier New" w:eastAsia="Courier New" w:hAnsi="Courier New"/>
          <w:sz w:val="17"/>
          <w:szCs w:val="17"/>
          <w:color w:val="auto"/>
        </w:rPr>
        <w:t>Fax: 212-601-8101</w:t>
      </w:r>
    </w:p>
    <w:p>
      <w:pPr>
        <w:ind w:left="300"/>
        <w:spacing w:after="0"/>
        <w:rPr>
          <w:sz w:val="20"/>
          <w:szCs w:val="20"/>
          <w:color w:val="auto"/>
        </w:rPr>
      </w:pPr>
      <w:r>
        <w:rPr>
          <w:rFonts w:ascii="Courier New" w:cs="Courier New" w:eastAsia="Courier New" w:hAnsi="Courier New"/>
          <w:sz w:val="17"/>
          <w:szCs w:val="17"/>
          <w:color w:val="auto"/>
        </w:rPr>
        <w:t>E-Mail: dginsburg@porternovelli.com</w:t>
      </w:r>
    </w:p>
    <w:p>
      <w:pPr>
        <w:sectPr>
          <w:pgSz w:w="11900" w:h="16838" w:orient="portrait"/>
          <w:cols w:equalWidth="0" w:num="1">
            <w:col w:w="9919"/>
          </w:cols>
          <w:pgMar w:left="540" w:top="112" w:right="1440" w:bottom="906" w:gutter="0" w:footer="0" w:header="0"/>
        </w:sectPr>
      </w:pPr>
    </w:p>
    <w:bookmarkStart w:id="15" w:name="page16"/>
    <w:bookmarkEnd w:id="1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decimal"/>
      <w:start w:val="2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2020-02-22T17:59:37Z</dcterms:created>
  <dcterms:modified xsi:type="dcterms:W3CDTF">2020-02-22T17:59:37Z</dcterms:modified>
</cp:coreProperties>
</file>