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#3</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17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514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14340"/>
                    </a:xfrm>
                    <a:prstGeom prst="rect">
                      <a:avLst/>
                    </a:prstGeom>
                    <a:noFill/>
                  </pic:spPr>
                </pic:pic>
              </a:graphicData>
            </a:graphic>
          </wp:anchor>
        </w:drawing>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4"/>
              </w:rPr>
              <w:t>1)</w:t>
            </w:r>
          </w:p>
        </w:tc>
        <w:tc>
          <w:tcPr>
            <w:tcW w:w="3640" w:type="dxa"/>
            <w:vAlign w:val="bottom"/>
          </w:tcPr>
          <w:p>
            <w:pPr>
              <w:ind w:left="200"/>
              <w:spacing w:after="0"/>
              <w:rPr>
                <w:sz w:val="20"/>
                <w:szCs w:val="20"/>
                <w:color w:val="auto"/>
              </w:rPr>
            </w:pPr>
            <w:r>
              <w:rPr>
                <w:rFonts w:ascii="Arial" w:cs="Arial" w:eastAsia="Arial" w:hAnsi="Arial"/>
                <w:sz w:val="18"/>
                <w:szCs w:val="18"/>
                <w:color w:val="auto"/>
              </w:rPr>
              <w:t>Name of Reporting Person</w:t>
            </w:r>
          </w:p>
        </w:tc>
      </w:tr>
      <w:tr>
        <w:trPr>
          <w:trHeight w:val="222"/>
        </w:trPr>
        <w:tc>
          <w:tcPr>
            <w:tcW w:w="36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89"/>
              </w:rPr>
              <w:t>S.S. or I.R.S. Identification No. of Above Person</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760" w:type="dxa"/>
            <w:vAlign w:val="bottom"/>
            <w:gridSpan w:val="4"/>
          </w:tcPr>
          <w:p>
            <w:pPr>
              <w:ind w:left="100"/>
              <w:spacing w:after="0"/>
              <w:rPr>
                <w:sz w:val="20"/>
                <w:szCs w:val="20"/>
                <w:color w:val="auto"/>
              </w:rPr>
            </w:pPr>
            <w:r>
              <w:rPr>
                <w:rFonts w:ascii="Arial" w:cs="Arial" w:eastAsia="Arial" w:hAnsi="Arial"/>
                <w:sz w:val="22"/>
                <w:szCs w:val="22"/>
                <w:color w:val="auto"/>
              </w:rPr>
              <w:t>Ameriprise Financial, Inc.</w:t>
            </w:r>
          </w:p>
        </w:tc>
        <w:tc>
          <w:tcPr>
            <w:tcW w:w="0" w:type="dxa"/>
            <w:vAlign w:val="bottom"/>
          </w:tcPr>
          <w:p>
            <w:pPr>
              <w:spacing w:after="0"/>
              <w:rPr>
                <w:sz w:val="1"/>
                <w:szCs w:val="1"/>
                <w:color w:val="auto"/>
              </w:rPr>
            </w:pPr>
          </w:p>
        </w:tc>
      </w:t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IRS No. 13-3180631</w:t>
            </w:r>
          </w:p>
        </w:tc>
        <w:tc>
          <w:tcPr>
            <w:tcW w:w="0" w:type="dxa"/>
            <w:vAlign w:val="bottom"/>
          </w:tcPr>
          <w:p>
            <w:pPr>
              <w:spacing w:after="0"/>
              <w:rPr>
                <w:sz w:val="1"/>
                <w:szCs w:val="1"/>
                <w:color w:val="auto"/>
              </w:rPr>
            </w:pPr>
          </w:p>
        </w:tc>
      </w:tr>
      <w:tr>
        <w:trPr>
          <w:trHeight w:val="170"/>
        </w:trPr>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60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22"/>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w w:val="89"/>
              </w:rPr>
              <w:t>SEC Use Only</w:t>
            </w:r>
          </w:p>
        </w:tc>
        <w:tc>
          <w:tcPr>
            <w:tcW w:w="9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7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88"/>
              </w:rPr>
              <w:t>Delaware</w:t>
            </w: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4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0" w:type="dxa"/>
            <w:vAlign w:val="bottom"/>
            <w:vMerge w:val="restart"/>
          </w:tcPr>
          <w:p>
            <w:pPr>
              <w:ind w:left="220"/>
              <w:spacing w:after="0"/>
              <w:rPr>
                <w:sz w:val="20"/>
                <w:szCs w:val="20"/>
                <w:color w:val="auto"/>
              </w:rPr>
            </w:pPr>
            <w:r>
              <w:rPr>
                <w:rFonts w:ascii="Arial" w:cs="Arial" w:eastAsia="Arial" w:hAnsi="Arial"/>
                <w:sz w:val="22"/>
                <w:szCs w:val="22"/>
                <w:color w:val="auto"/>
              </w:rPr>
              <w:t>2,917,468</w:t>
            </w: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83"/>
              <w:spacing w:after="0" w:line="190"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96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00" w:type="dxa"/>
            <w:vAlign w:val="bottom"/>
          </w:tcPr>
          <w:p>
            <w:pPr>
              <w:spacing w:after="0"/>
              <w:rPr>
                <w:sz w:val="4"/>
                <w:szCs w:val="4"/>
                <w:color w:val="auto"/>
              </w:rPr>
            </w:pPr>
          </w:p>
        </w:tc>
        <w:tc>
          <w:tcPr>
            <w:tcW w:w="104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10,489,135</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10,489,135</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6.00%</w:t>
            </w: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HC</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514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514340"/>
                    </a:xfrm>
                    <a:prstGeom prst="rect">
                      <a:avLst/>
                    </a:prstGeom>
                    <a:noFill/>
                  </pic:spPr>
                </pic:pic>
              </a:graphicData>
            </a:graphic>
          </wp:anchor>
        </w:drawing>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4"/>
              </w:rPr>
              <w:t>1)</w:t>
            </w:r>
          </w:p>
        </w:tc>
        <w:tc>
          <w:tcPr>
            <w:tcW w:w="3640" w:type="dxa"/>
            <w:vAlign w:val="bottom"/>
          </w:tcPr>
          <w:p>
            <w:pPr>
              <w:ind w:left="200"/>
              <w:spacing w:after="0"/>
              <w:rPr>
                <w:sz w:val="20"/>
                <w:szCs w:val="20"/>
                <w:color w:val="auto"/>
              </w:rPr>
            </w:pPr>
            <w:r>
              <w:rPr>
                <w:rFonts w:ascii="Arial" w:cs="Arial" w:eastAsia="Arial" w:hAnsi="Arial"/>
                <w:sz w:val="18"/>
                <w:szCs w:val="18"/>
                <w:color w:val="auto"/>
              </w:rPr>
              <w:t>Name of Reporting Person</w:t>
            </w:r>
          </w:p>
        </w:tc>
      </w:tr>
      <w:tr>
        <w:trPr>
          <w:trHeight w:val="222"/>
        </w:trPr>
        <w:tc>
          <w:tcPr>
            <w:tcW w:w="36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w w:val="89"/>
              </w:rPr>
              <w:t>S.S. or I.R.S. Identification No. of Above Person</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760" w:type="dxa"/>
            <w:vAlign w:val="bottom"/>
            <w:gridSpan w:val="4"/>
          </w:tcPr>
          <w:p>
            <w:pPr>
              <w:ind w:left="100"/>
              <w:spacing w:after="0"/>
              <w:rPr>
                <w:sz w:val="20"/>
                <w:szCs w:val="20"/>
                <w:color w:val="auto"/>
              </w:rPr>
            </w:pPr>
            <w:r>
              <w:rPr>
                <w:rFonts w:ascii="Arial" w:cs="Arial" w:eastAsia="Arial" w:hAnsi="Arial"/>
                <w:sz w:val="22"/>
                <w:szCs w:val="22"/>
                <w:color w:val="auto"/>
              </w:rPr>
              <w:t>Columbia Management Investment Advisers, LLC</w:t>
            </w:r>
          </w:p>
        </w:tc>
        <w:tc>
          <w:tcPr>
            <w:tcW w:w="0" w:type="dxa"/>
            <w:vAlign w:val="bottom"/>
          </w:tcPr>
          <w:p>
            <w:pPr>
              <w:spacing w:after="0"/>
              <w:rPr>
                <w:sz w:val="1"/>
                <w:szCs w:val="1"/>
                <w:color w:val="auto"/>
              </w:rPr>
            </w:pPr>
          </w:p>
        </w:tc>
      </w:t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IRS No. 41-1533211</w:t>
            </w:r>
          </w:p>
        </w:tc>
        <w:tc>
          <w:tcPr>
            <w:tcW w:w="0" w:type="dxa"/>
            <w:vAlign w:val="bottom"/>
          </w:tcPr>
          <w:p>
            <w:pPr>
              <w:spacing w:after="0"/>
              <w:rPr>
                <w:sz w:val="1"/>
                <w:szCs w:val="1"/>
                <w:color w:val="auto"/>
              </w:rPr>
            </w:pPr>
          </w:p>
        </w:tc>
      </w:tr>
      <w:tr>
        <w:trPr>
          <w:trHeight w:val="170"/>
        </w:trPr>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w w:val="99"/>
              </w:rPr>
              <w:t>(b)</w:t>
            </w:r>
          </w:p>
        </w:tc>
        <w:tc>
          <w:tcPr>
            <w:tcW w:w="96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22"/>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87"/>
              </w:rPr>
              <w:t>SEC Use Only</w:t>
            </w:r>
          </w:p>
        </w:tc>
        <w:tc>
          <w:tcPr>
            <w:tcW w:w="9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7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4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2,917,468</w:t>
            </w:r>
          </w:p>
        </w:tc>
        <w:tc>
          <w:tcPr>
            <w:tcW w:w="0" w:type="dxa"/>
            <w:vAlign w:val="bottom"/>
          </w:tcPr>
          <w:p>
            <w:pPr>
              <w:spacing w:after="0"/>
              <w:rPr>
                <w:sz w:val="1"/>
                <w:szCs w:val="1"/>
                <w:color w:val="auto"/>
              </w:rPr>
            </w:pPr>
          </w:p>
        </w:tc>
      </w:tr>
      <w:tr>
        <w:trPr>
          <w:trHeight w:val="222"/>
        </w:trPr>
        <w:tc>
          <w:tcPr>
            <w:tcW w:w="14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3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83"/>
              <w:spacing w:after="0" w:line="190"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6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vMerge w:val="restart"/>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400" w:type="dxa"/>
            <w:vAlign w:val="bottom"/>
          </w:tcPr>
          <w:p>
            <w:pPr>
              <w:spacing w:after="0"/>
              <w:rPr>
                <w:sz w:val="4"/>
                <w:szCs w:val="4"/>
                <w:color w:val="auto"/>
              </w:rPr>
            </w:pPr>
          </w:p>
        </w:tc>
        <w:tc>
          <w:tcPr>
            <w:tcW w:w="104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vMerge w:val="continue"/>
          </w:tcPr>
          <w:p>
            <w:pPr>
              <w:spacing w:after="0"/>
              <w:rPr>
                <w:sz w:val="18"/>
                <w:szCs w:val="18"/>
                <w:color w:val="auto"/>
              </w:rPr>
            </w:pPr>
          </w:p>
        </w:tc>
        <w:tc>
          <w:tcPr>
            <w:tcW w:w="3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6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240"/>
              <w:spacing w:after="0"/>
              <w:rPr>
                <w:sz w:val="20"/>
                <w:szCs w:val="20"/>
                <w:color w:val="auto"/>
              </w:rPr>
            </w:pPr>
            <w:r>
              <w:rPr>
                <w:rFonts w:ascii="Arial" w:cs="Arial" w:eastAsia="Arial" w:hAnsi="Arial"/>
                <w:sz w:val="22"/>
                <w:szCs w:val="22"/>
                <w:color w:val="auto"/>
              </w:rPr>
              <w:t>10,489,135</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10,489,135</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6.00%</w:t>
            </w: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3460" w:type="dxa"/>
            <w:vAlign w:val="bottom"/>
          </w:tcPr>
          <w:p>
            <w:pPr>
              <w:ind w:left="220"/>
              <w:spacing w:after="0"/>
              <w:rPr>
                <w:sz w:val="20"/>
                <w:szCs w:val="20"/>
                <w:color w:val="auto"/>
              </w:rPr>
            </w:pPr>
            <w:r>
              <w:rPr>
                <w:rFonts w:ascii="Arial" w:cs="Arial" w:eastAsia="Arial" w:hAnsi="Arial"/>
                <w:sz w:val="18"/>
                <w:szCs w:val="18"/>
                <w:color w:val="auto"/>
              </w:rPr>
              <w:t>Name of Issuer:</w:t>
            </w:r>
          </w:p>
        </w:tc>
        <w:tc>
          <w:tcPr>
            <w:tcW w:w="4340" w:type="dxa"/>
            <w:vAlign w:val="bottom"/>
          </w:tcPr>
          <w:p>
            <w:pPr>
              <w:ind w:left="620"/>
              <w:spacing w:after="0"/>
              <w:rPr>
                <w:sz w:val="20"/>
                <w:szCs w:val="20"/>
                <w:color w:val="auto"/>
              </w:rPr>
            </w:pPr>
            <w:r>
              <w:rPr>
                <w:rFonts w:ascii="Arial" w:cs="Arial" w:eastAsia="Arial" w:hAnsi="Arial"/>
                <w:sz w:val="18"/>
                <w:szCs w:val="18"/>
                <w:color w:val="auto"/>
              </w:rPr>
              <w:t>Amdocs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3460" w:type="dxa"/>
            <w:vAlign w:val="bottom"/>
          </w:tcPr>
          <w:p>
            <w:pPr>
              <w:ind w:left="220"/>
              <w:spacing w:after="0"/>
              <w:rPr>
                <w:sz w:val="20"/>
                <w:szCs w:val="20"/>
                <w:color w:val="auto"/>
              </w:rPr>
            </w:pPr>
            <w:r>
              <w:rPr>
                <w:rFonts w:ascii="Arial" w:cs="Arial" w:eastAsia="Arial" w:hAnsi="Arial"/>
                <w:sz w:val="18"/>
                <w:szCs w:val="18"/>
                <w:color w:val="auto"/>
              </w:rPr>
              <w:t>Address of Issuer’s Principal</w:t>
            </w:r>
          </w:p>
        </w:tc>
        <w:tc>
          <w:tcPr>
            <w:tcW w:w="4340" w:type="dxa"/>
            <w:vAlign w:val="bottom"/>
          </w:tcPr>
          <w:p>
            <w:pPr>
              <w:ind w:left="620"/>
              <w:spacing w:after="0"/>
              <w:rPr>
                <w:sz w:val="20"/>
                <w:szCs w:val="20"/>
                <w:color w:val="auto"/>
              </w:rPr>
            </w:pPr>
            <w:r>
              <w:rPr>
                <w:rFonts w:ascii="Arial" w:cs="Arial" w:eastAsia="Arial" w:hAnsi="Arial"/>
                <w:sz w:val="18"/>
                <w:szCs w:val="18"/>
                <w:color w:val="auto"/>
                <w:w w:val="88"/>
              </w:rPr>
              <w:t>Tower Hill House Le Bordage, Suite 5, St. Peter Port</w:t>
            </w:r>
          </w:p>
        </w:tc>
      </w:tr>
      <w:tr>
        <w:trPr>
          <w:trHeight w:val="222"/>
        </w:trPr>
        <w:tc>
          <w:tcPr>
            <w:tcW w:w="50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Executive Offices:</w:t>
            </w:r>
          </w:p>
        </w:tc>
        <w:tc>
          <w:tcPr>
            <w:tcW w:w="4340" w:type="dxa"/>
            <w:vAlign w:val="bottom"/>
          </w:tcPr>
          <w:p>
            <w:pPr>
              <w:ind w:left="620"/>
              <w:spacing w:after="0"/>
              <w:rPr>
                <w:sz w:val="20"/>
                <w:szCs w:val="20"/>
                <w:color w:val="auto"/>
              </w:rPr>
            </w:pPr>
            <w:r>
              <w:rPr>
                <w:rFonts w:ascii="Arial" w:cs="Arial" w:eastAsia="Arial" w:hAnsi="Arial"/>
                <w:sz w:val="18"/>
                <w:szCs w:val="18"/>
                <w:color w:val="auto"/>
              </w:rPr>
              <w:t>Island of Guernsy, X0 GY1 3QT</w:t>
            </w:r>
          </w:p>
        </w:tc>
      </w:tr>
      <w:tr>
        <w:trPr>
          <w:trHeight w:val="331"/>
        </w:trPr>
        <w:tc>
          <w:tcPr>
            <w:tcW w:w="500" w:type="dxa"/>
            <w:vAlign w:val="bottom"/>
          </w:tcPr>
          <w:p>
            <w:pPr>
              <w:spacing w:after="0"/>
              <w:rPr>
                <w:sz w:val="20"/>
                <w:szCs w:val="20"/>
                <w:color w:val="auto"/>
              </w:rPr>
            </w:pPr>
            <w:r>
              <w:rPr>
                <w:rFonts w:ascii="Arial" w:cs="Arial" w:eastAsia="Arial" w:hAnsi="Arial"/>
                <w:sz w:val="18"/>
                <w:szCs w:val="18"/>
                <w:color w:val="auto"/>
              </w:rPr>
              <w:t>2(a)</w:t>
            </w:r>
          </w:p>
        </w:tc>
        <w:tc>
          <w:tcPr>
            <w:tcW w:w="3460" w:type="dxa"/>
            <w:vAlign w:val="bottom"/>
          </w:tcPr>
          <w:p>
            <w:pPr>
              <w:ind w:left="220"/>
              <w:spacing w:after="0"/>
              <w:rPr>
                <w:sz w:val="20"/>
                <w:szCs w:val="20"/>
                <w:color w:val="auto"/>
              </w:rPr>
            </w:pPr>
            <w:r>
              <w:rPr>
                <w:rFonts w:ascii="Arial" w:cs="Arial" w:eastAsia="Arial" w:hAnsi="Arial"/>
                <w:sz w:val="18"/>
                <w:szCs w:val="18"/>
                <w:color w:val="auto"/>
              </w:rPr>
              <w:t>Name of Person Filing:</w:t>
            </w:r>
          </w:p>
        </w:tc>
        <w:tc>
          <w:tcPr>
            <w:tcW w:w="4340" w:type="dxa"/>
            <w:vAlign w:val="bottom"/>
          </w:tcPr>
          <w:p>
            <w:pPr>
              <w:ind w:left="620"/>
              <w:spacing w:after="0"/>
              <w:rPr>
                <w:sz w:val="20"/>
                <w:szCs w:val="20"/>
                <w:color w:val="auto"/>
              </w:rPr>
            </w:pPr>
            <w:r>
              <w:rPr>
                <w:rFonts w:ascii="Arial" w:cs="Arial" w:eastAsia="Arial" w:hAnsi="Arial"/>
                <w:sz w:val="18"/>
                <w:szCs w:val="18"/>
                <w:color w:val="auto"/>
              </w:rPr>
              <w:t>(a) Ameriprise Financial, Inc. (“AFI”)</w:t>
            </w:r>
          </w:p>
        </w:tc>
      </w:tr>
      <w:tr>
        <w:trPr>
          <w:trHeight w:val="216"/>
        </w:trPr>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(b) Columbia Management Investment</w:t>
            </w:r>
          </w:p>
        </w:tc>
      </w:tr>
      <w:tr>
        <w:trPr>
          <w:trHeight w:val="222"/>
        </w:trPr>
        <w:tc>
          <w:tcPr>
            <w:tcW w:w="5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Advisers, LLC (“CMIA”)</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2(b)</w:t>
            </w:r>
          </w:p>
        </w:tc>
        <w:tc>
          <w:tcPr>
            <w:tcW w:w="3460" w:type="dxa"/>
            <w:vAlign w:val="bottom"/>
          </w:tcPr>
          <w:p>
            <w:pPr>
              <w:ind w:left="220"/>
              <w:spacing w:after="0"/>
              <w:rPr>
                <w:sz w:val="20"/>
                <w:szCs w:val="20"/>
                <w:color w:val="auto"/>
              </w:rPr>
            </w:pPr>
            <w:r>
              <w:rPr>
                <w:rFonts w:ascii="Arial" w:cs="Arial" w:eastAsia="Arial" w:hAnsi="Arial"/>
                <w:sz w:val="18"/>
                <w:szCs w:val="18"/>
                <w:color w:val="auto"/>
              </w:rPr>
              <w:t>Address of Principal Business Office:</w:t>
            </w:r>
          </w:p>
        </w:tc>
        <w:tc>
          <w:tcPr>
            <w:tcW w:w="4340" w:type="dxa"/>
            <w:vAlign w:val="bottom"/>
          </w:tcPr>
          <w:p>
            <w:pPr>
              <w:ind w:left="620"/>
              <w:spacing w:after="0"/>
              <w:rPr>
                <w:sz w:val="20"/>
                <w:szCs w:val="20"/>
                <w:color w:val="auto"/>
              </w:rPr>
            </w:pPr>
            <w:r>
              <w:rPr>
                <w:rFonts w:ascii="Arial" w:cs="Arial" w:eastAsia="Arial" w:hAnsi="Arial"/>
                <w:sz w:val="18"/>
                <w:szCs w:val="18"/>
                <w:color w:val="auto"/>
              </w:rPr>
              <w:t>(a) Ameriprise Financial, Inc.</w:t>
            </w:r>
          </w:p>
        </w:tc>
      </w:tr>
      <w:tr>
        <w:trPr>
          <w:trHeight w:val="216"/>
        </w:trPr>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145 Ameriprise Financial Center</w:t>
            </w:r>
          </w:p>
        </w:tc>
      </w:tr>
      <w:tr>
        <w:trPr>
          <w:trHeight w:val="216"/>
        </w:trPr>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Minneapolis, MN 55474</w:t>
            </w:r>
          </w:p>
        </w:tc>
      </w:tr>
      <w:tr>
        <w:trPr>
          <w:trHeight w:val="216"/>
        </w:trPr>
        <w:tc>
          <w:tcPr>
            <w:tcW w:w="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(b) 225 Franklin St.</w:t>
            </w:r>
          </w:p>
        </w:tc>
      </w:tr>
      <w:tr>
        <w:trPr>
          <w:trHeight w:val="222"/>
        </w:trPr>
        <w:tc>
          <w:tcPr>
            <w:tcW w:w="5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Boston, MA 02110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2(c)</w:t>
            </w:r>
          </w:p>
        </w:tc>
        <w:tc>
          <w:tcPr>
            <w:tcW w:w="3460" w:type="dxa"/>
            <w:vAlign w:val="bottom"/>
          </w:tcPr>
          <w:p>
            <w:pPr>
              <w:ind w:left="220"/>
              <w:spacing w:after="0"/>
              <w:rPr>
                <w:sz w:val="20"/>
                <w:szCs w:val="20"/>
                <w:color w:val="auto"/>
              </w:rPr>
            </w:pPr>
            <w:r>
              <w:rPr>
                <w:rFonts w:ascii="Arial" w:cs="Arial" w:eastAsia="Arial" w:hAnsi="Arial"/>
                <w:sz w:val="18"/>
                <w:szCs w:val="18"/>
                <w:color w:val="auto"/>
              </w:rPr>
              <w:t>Citizenship:</w:t>
            </w:r>
          </w:p>
        </w:tc>
        <w:tc>
          <w:tcPr>
            <w:tcW w:w="4340" w:type="dxa"/>
            <w:vAlign w:val="bottom"/>
          </w:tcPr>
          <w:p>
            <w:pPr>
              <w:ind w:left="620"/>
              <w:spacing w:after="0"/>
              <w:rPr>
                <w:sz w:val="20"/>
                <w:szCs w:val="20"/>
                <w:color w:val="auto"/>
              </w:rPr>
            </w:pPr>
            <w:r>
              <w:rPr>
                <w:rFonts w:ascii="Arial" w:cs="Arial" w:eastAsia="Arial" w:hAnsi="Arial"/>
                <w:sz w:val="18"/>
                <w:szCs w:val="18"/>
                <w:color w:val="auto"/>
              </w:rPr>
              <w:t>(a) Delaware</w:t>
            </w:r>
          </w:p>
        </w:tc>
      </w:tr>
      <w:tr>
        <w:trPr>
          <w:trHeight w:val="222"/>
        </w:trPr>
        <w:tc>
          <w:tcPr>
            <w:tcW w:w="5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340" w:type="dxa"/>
            <w:vAlign w:val="bottom"/>
          </w:tcPr>
          <w:p>
            <w:pPr>
              <w:ind w:left="620"/>
              <w:spacing w:after="0"/>
              <w:rPr>
                <w:sz w:val="20"/>
                <w:szCs w:val="20"/>
                <w:color w:val="auto"/>
              </w:rPr>
            </w:pPr>
            <w:r>
              <w:rPr>
                <w:rFonts w:ascii="Arial" w:cs="Arial" w:eastAsia="Arial" w:hAnsi="Arial"/>
                <w:sz w:val="18"/>
                <w:szCs w:val="18"/>
                <w:color w:val="auto"/>
              </w:rPr>
              <w:t>(b) Minnesota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2(d)</w:t>
            </w:r>
          </w:p>
        </w:tc>
        <w:tc>
          <w:tcPr>
            <w:tcW w:w="346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c>
          <w:tcPr>
            <w:tcW w:w="4340" w:type="dxa"/>
            <w:vAlign w:val="bottom"/>
          </w:tcPr>
          <w:p>
            <w:pPr>
              <w:ind w:left="620"/>
              <w:spacing w:after="0"/>
              <w:rPr>
                <w:sz w:val="20"/>
                <w:szCs w:val="20"/>
                <w:color w:val="auto"/>
              </w:rPr>
            </w:pPr>
            <w:r>
              <w:rPr>
                <w:rFonts w:ascii="Arial" w:cs="Arial" w:eastAsia="Arial" w:hAnsi="Arial"/>
                <w:sz w:val="18"/>
                <w:szCs w:val="18"/>
                <w:color w:val="auto"/>
              </w:rPr>
              <w:t>Common Stock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2(e)</w:t>
            </w:r>
          </w:p>
        </w:tc>
        <w:tc>
          <w:tcPr>
            <w:tcW w:w="3460" w:type="dxa"/>
            <w:vAlign w:val="bottom"/>
          </w:tcPr>
          <w:p>
            <w:pPr>
              <w:ind w:left="220"/>
              <w:spacing w:after="0"/>
              <w:rPr>
                <w:sz w:val="20"/>
                <w:szCs w:val="20"/>
                <w:color w:val="auto"/>
              </w:rPr>
            </w:pPr>
            <w:r>
              <w:rPr>
                <w:rFonts w:ascii="Arial" w:cs="Arial" w:eastAsia="Arial" w:hAnsi="Arial"/>
                <w:sz w:val="18"/>
                <w:szCs w:val="18"/>
                <w:color w:val="auto"/>
              </w:rPr>
              <w:t>Cusip Number:</w:t>
            </w:r>
          </w:p>
        </w:tc>
        <w:tc>
          <w:tcPr>
            <w:tcW w:w="4340" w:type="dxa"/>
            <w:vAlign w:val="bottom"/>
          </w:tcPr>
          <w:p>
            <w:pPr>
              <w:ind w:left="620"/>
              <w:spacing w:after="0"/>
              <w:rPr>
                <w:sz w:val="20"/>
                <w:szCs w:val="20"/>
                <w:color w:val="auto"/>
              </w:rPr>
            </w:pPr>
            <w:r>
              <w:rPr>
                <w:rFonts w:ascii="Arial" w:cs="Arial" w:eastAsia="Arial" w:hAnsi="Arial"/>
                <w:sz w:val="18"/>
                <w:szCs w:val="18"/>
                <w:color w:val="auto"/>
              </w:rPr>
              <w:t>G02602103</w:t>
            </w:r>
          </w:p>
        </w:tc>
      </w:tr>
      <w:tr>
        <w:trPr>
          <w:trHeight w:val="419"/>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7800" w:type="dxa"/>
            <w:vAlign w:val="bottom"/>
            <w:gridSpan w:val="2"/>
          </w:tcPr>
          <w:p>
            <w:pPr>
              <w:ind w:left="180"/>
              <w:spacing w:after="0"/>
              <w:rPr>
                <w:sz w:val="20"/>
                <w:szCs w:val="20"/>
                <w:color w:val="auto"/>
              </w:rPr>
            </w:pPr>
            <w:r>
              <w:rPr>
                <w:rFonts w:ascii="Arial" w:cs="Arial" w:eastAsia="Arial" w:hAnsi="Arial"/>
                <w:sz w:val="18"/>
                <w:szCs w:val="18"/>
                <w:color w:val="auto"/>
              </w:rPr>
              <w:t>Information if statement is filed pursuant to Rules 13d-1(b) or 13d-2(b):</w:t>
            </w:r>
          </w:p>
        </w:tc>
      </w:tr>
      <w:tr>
        <w:trPr>
          <w:trHeight w:val="297"/>
        </w:trPr>
        <w:tc>
          <w:tcPr>
            <w:tcW w:w="500" w:type="dxa"/>
            <w:vAlign w:val="bottom"/>
          </w:tcPr>
          <w:p>
            <w:pPr>
              <w:spacing w:after="0"/>
              <w:rPr>
                <w:sz w:val="24"/>
                <w:szCs w:val="24"/>
                <w:color w:val="auto"/>
              </w:rPr>
            </w:pPr>
          </w:p>
        </w:tc>
        <w:tc>
          <w:tcPr>
            <w:tcW w:w="3460" w:type="dxa"/>
            <w:vAlign w:val="bottom"/>
          </w:tcPr>
          <w:p>
            <w:pPr>
              <w:ind w:left="640"/>
              <w:spacing w:after="0"/>
              <w:rPr>
                <w:sz w:val="20"/>
                <w:szCs w:val="20"/>
                <w:color w:val="auto"/>
              </w:rPr>
            </w:pPr>
            <w:r>
              <w:rPr>
                <w:rFonts w:ascii="Arial" w:cs="Arial" w:eastAsia="Arial" w:hAnsi="Arial"/>
                <w:sz w:val="18"/>
                <w:szCs w:val="18"/>
                <w:color w:val="auto"/>
              </w:rPr>
              <w:t>(a) Ameriprise Financial, Inc.</w:t>
            </w:r>
          </w:p>
        </w:tc>
        <w:tc>
          <w:tcPr>
            <w:tcW w:w="4340" w:type="dxa"/>
            <w:vAlign w:val="bottom"/>
          </w:tcPr>
          <w:p>
            <w:pPr>
              <w:spacing w:after="0"/>
              <w:rPr>
                <w:sz w:val="24"/>
                <w:szCs w:val="24"/>
                <w:color w:val="auto"/>
              </w:rPr>
            </w:pPr>
          </w:p>
        </w:tc>
      </w:tr>
    </w:tbl>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 Columbia Management Investment Advisers, LLC</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investment adviser in accordance with Rule 13d-1(b)(1)(ii)(E)</w:t>
      </w:r>
    </w:p>
    <w:p>
      <w:pPr>
        <w:spacing w:after="0" w:line="212"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90" w:lineRule="exact"/>
        <w:rPr>
          <w:rFonts w:ascii="Arial" w:cs="Arial" w:eastAsia="Arial" w:hAnsi="Arial"/>
          <w:sz w:val="18"/>
          <w:szCs w:val="18"/>
          <w:color w:val="auto"/>
        </w:rPr>
      </w:pPr>
    </w:p>
    <w:p>
      <w:pPr>
        <w:ind w:left="700"/>
        <w:spacing w:after="0" w:line="268" w:lineRule="auto"/>
        <w:rPr>
          <w:rFonts w:ascii="Arial" w:cs="Arial" w:eastAsia="Arial" w:hAnsi="Arial"/>
          <w:sz w:val="18"/>
          <w:szCs w:val="18"/>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Each of AFI and CMIA disclaims beneficial ownership of any shares reported on this Schedule.</w:t>
      </w:r>
    </w:p>
    <w:p>
      <w:pPr>
        <w:spacing w:after="0" w:line="212"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Ownership of 5% or Less of a Class: Not Applicable</w:t>
      </w:r>
    </w:p>
    <w:p>
      <w:pPr>
        <w:spacing w:after="0" w:line="21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more than 5% on Behalf of Another Person: Not Applicable</w:t>
      </w:r>
    </w:p>
    <w:p>
      <w:pPr>
        <w:spacing w:after="0" w:line="212" w:lineRule="exact"/>
        <w:rPr>
          <w:sz w:val="20"/>
          <w:szCs w:val="20"/>
          <w:color w:val="auto"/>
        </w:rPr>
      </w:pPr>
    </w:p>
    <w:p>
      <w:pPr>
        <w:ind w:left="1140" w:right="1320" w:hanging="1132"/>
        <w:spacing w:after="0" w:line="362" w:lineRule="auto"/>
        <w:tabs>
          <w:tab w:leader="none" w:pos="6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 AFI: See Exhibit I</w:t>
      </w:r>
    </w:p>
    <w:p>
      <w:pPr>
        <w:sectPr>
          <w:pgSz w:w="11900" w:h="16838" w:orient="portrait"/>
          <w:cols w:equalWidth="0" w:num="1">
            <w:col w:w="11340"/>
          </w:cols>
          <w:pgMar w:left="240" w:top="280" w:right="319" w:bottom="1440" w:gutter="0" w:footer="0" w:header="0"/>
        </w:sectPr>
      </w:pPr>
    </w:p>
    <w:bookmarkStart w:id="4" w:name="page5"/>
    <w:bookmarkEnd w:id="4"/>
    <w:p>
      <w:pPr>
        <w:ind w:left="1132" w:right="6540" w:hanging="1132"/>
        <w:spacing w:after="0" w:line="362" w:lineRule="auto"/>
        <w:tabs>
          <w:tab w:leader="none" w:pos="66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Identification and Classification of Members of the Group: Not Applicable</w:t>
      </w:r>
    </w:p>
    <w:p>
      <w:pPr>
        <w:spacing w:after="0" w:line="91" w:lineRule="exact"/>
        <w:rPr>
          <w:sz w:val="20"/>
          <w:szCs w:val="20"/>
          <w:color w:val="auto"/>
        </w:rPr>
      </w:pPr>
    </w:p>
    <w:p>
      <w:pPr>
        <w:ind w:left="1132" w:right="8440" w:hanging="1132"/>
        <w:spacing w:after="0" w:line="362"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Notice of Dissolution of Group: Not Applicable</w:t>
      </w:r>
    </w:p>
    <w:p>
      <w:pPr>
        <w:spacing w:after="0" w:line="91" w:lineRule="exact"/>
        <w:rPr>
          <w:sz w:val="20"/>
          <w:szCs w:val="20"/>
          <w:color w:val="auto"/>
        </w:rPr>
      </w:pPr>
    </w:p>
    <w:p>
      <w:pPr>
        <w:ind w:left="672" w:hanging="672"/>
        <w:spacing w:after="0"/>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90" w:lineRule="exact"/>
        <w:rPr>
          <w:rFonts w:ascii="Arial" w:cs="Arial" w:eastAsia="Arial" w:hAnsi="Arial"/>
          <w:sz w:val="18"/>
          <w:szCs w:val="18"/>
          <w:color w:val="auto"/>
        </w:rPr>
      </w:pPr>
    </w:p>
    <w:p>
      <w:pPr>
        <w:ind w:left="692"/>
        <w:spacing w:after="0" w:line="306"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352"/>
          </w:cols>
          <w:pgMar w:left="248" w:top="2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Wade M. Voigt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Wade M. Voigt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 Fund Administration –</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Financial Reporting</w:t>
            </w:r>
          </w:p>
        </w:tc>
      </w:tr>
    </w:tbl>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Columbia Management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Advisers, LLC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Johnson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Amy Johnson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 Information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Wade M. Voigt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 Fund Administration –</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Financial Reporting</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Telephone: (612) 671-5682</w:t>
      </w:r>
    </w:p>
    <w:p>
      <w:pPr>
        <w:sectPr>
          <w:pgSz w:w="11900" w:h="16838" w:orient="portrait"/>
          <w:cols w:equalWidth="0" w:num="1">
            <w:col w:w="11420"/>
          </w:cols>
          <w:pgMar w:left="240" w:top="2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 Index</w:t>
            </w:r>
          </w:p>
        </w:tc>
        <w:tc>
          <w:tcPr>
            <w:tcW w:w="4460" w:type="dxa"/>
            <w:vAlign w:val="bottom"/>
          </w:tcPr>
          <w:p>
            <w:pPr>
              <w:spacing w:after="0"/>
              <w:rPr>
                <w:sz w:val="17"/>
                <w:szCs w:val="17"/>
                <w:color w:val="auto"/>
              </w:rPr>
            </w:pPr>
          </w:p>
        </w:tc>
      </w:tr>
      <w:tr>
        <w:trPr>
          <w:trHeight w:val="437"/>
        </w:trPr>
        <w:tc>
          <w:tcPr>
            <w:tcW w:w="1040" w:type="dxa"/>
            <w:vAlign w:val="bottom"/>
          </w:tcPr>
          <w:p>
            <w:pPr>
              <w:spacing w:after="0"/>
              <w:rPr>
                <w:sz w:val="20"/>
                <w:szCs w:val="20"/>
                <w:color w:val="auto"/>
              </w:rPr>
            </w:pPr>
            <w:r>
              <w:rPr>
                <w:rFonts w:ascii="Arial" w:cs="Arial" w:eastAsia="Arial" w:hAnsi="Arial"/>
                <w:sz w:val="18"/>
                <w:szCs w:val="18"/>
                <w:color w:val="auto"/>
              </w:rPr>
              <w:t>Exhibit I</w:t>
            </w:r>
          </w:p>
        </w:tc>
        <w:tc>
          <w:tcPr>
            <w:tcW w:w="9620" w:type="dxa"/>
            <w:vAlign w:val="bottom"/>
            <w:gridSpan w:val="3"/>
          </w:tcPr>
          <w:p>
            <w:pPr>
              <w:ind w:left="340"/>
              <w:spacing w:after="0"/>
              <w:rPr>
                <w:sz w:val="20"/>
                <w:szCs w:val="20"/>
                <w:color w:val="auto"/>
              </w:rPr>
            </w:pPr>
            <w:r>
              <w:rPr>
                <w:rFonts w:ascii="Arial" w:cs="Arial" w:eastAsia="Arial" w:hAnsi="Arial"/>
                <w:sz w:val="18"/>
                <w:szCs w:val="18"/>
                <w:color w:val="auto"/>
                <w:w w:val="89"/>
              </w:rPr>
              <w:t>Identification and Classification of the Subsidiary which Acquired the Security Being Reported on by the Parent Holding Company.</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Exhibit II</w:t>
            </w:r>
          </w:p>
        </w:tc>
        <w:tc>
          <w:tcPr>
            <w:tcW w:w="9620" w:type="dxa"/>
            <w:vAlign w:val="bottom"/>
            <w:gridSpan w:val="3"/>
          </w:tcPr>
          <w:p>
            <w:pPr>
              <w:ind w:left="340"/>
              <w:spacing w:after="0"/>
              <w:rPr>
                <w:sz w:val="20"/>
                <w:szCs w:val="20"/>
                <w:color w:val="auto"/>
              </w:rPr>
            </w:pPr>
            <w:r>
              <w:rPr>
                <w:rFonts w:ascii="Arial" w:cs="Arial" w:eastAsia="Arial" w:hAnsi="Arial"/>
                <w:sz w:val="18"/>
                <w:szCs w:val="18"/>
                <w:color w:val="auto"/>
              </w:rPr>
              <w:t>Joint Filing Agreement</w:t>
            </w:r>
          </w:p>
        </w:tc>
      </w:tr>
    </w:tbl>
    <w:p>
      <w:pPr>
        <w:ind w:left="340"/>
        <w:spacing w:after="0"/>
        <w:rPr>
          <w:sz w:val="20"/>
          <w:szCs w:val="20"/>
          <w:color w:val="auto"/>
        </w:rPr>
        <w:sectPr>
          <w:pgSz w:w="11900" w:h="16838" w:orient="portrait"/>
          <w:cols w:equalWidth="0" w:num="1">
            <w:col w:w="10660"/>
          </w:cols>
          <w:pgMar w:left="240" w:top="257" w:right="9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ind w:left="5400"/>
        <w:spacing w:after="0"/>
        <w:rPr>
          <w:sz w:val="20"/>
          <w:szCs w:val="20"/>
          <w:color w:val="auto"/>
        </w:rPr>
      </w:pPr>
      <w:r>
        <w:rPr>
          <w:rFonts w:ascii="Arial" w:cs="Arial" w:eastAsia="Arial" w:hAnsi="Arial"/>
          <w:sz w:val="18"/>
          <w:szCs w:val="18"/>
          <w:color w:val="auto"/>
        </w:rPr>
        <w:t>Exhibit I</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320"/>
          </w:cols>
          <w:pgMar w:left="240" w:top="131" w:right="33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8"/>
          <w:szCs w:val="18"/>
          <w:color w:val="auto"/>
        </w:rPr>
        <w:t>Exhibit II</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Joint Filing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13, 2012 in connection with their beneficial ownership of Amdocs Ltd. Columbia Management Investment Advisers, LLC authorizes Ameriprise Financial, Inc. to execute the Schedule 13G to which this Exhibit is attached and make any necessary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Wade M. Voigt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 – Fund Administration – Financial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Columbia Management Investment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Amy Johnson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160"/>
      </w:cols>
      <w:pgMar w:left="24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4"/>
      <w:numFmt w:val="bullet"/>
      <w:start w:val="1"/>
    </w:lvl>
  </w:abstractNum>
  <w:abstractNum w:abstractNumId="1">
    <w:nsid w:val="238E1F29"/>
    <w:multiLevelType w:val="hybridMultilevel"/>
    <w:lvl w:ilvl="0">
      <w:lvlJc w:val="left"/>
      <w:lvlText w:val="5"/>
      <w:numFmt w:val="bullet"/>
      <w:start w:val="1"/>
    </w:lvl>
  </w:abstractNum>
  <w:abstractNum w:abstractNumId="2">
    <w:nsid w:val="46E87CCD"/>
    <w:multiLevelType w:val="hybridMultilevel"/>
    <w:lvl w:ilvl="0">
      <w:lvlJc w:val="left"/>
      <w:lvlText w:val="6"/>
      <w:numFmt w:val="bullet"/>
      <w:start w:val="1"/>
    </w:lvl>
  </w:abstractNum>
  <w:abstractNum w:abstractNumId="3">
    <w:nsid w:val="3D1B58BA"/>
    <w:multiLevelType w:val="hybridMultilevel"/>
    <w:lvl w:ilvl="0">
      <w:lvlJc w:val="left"/>
      <w:lvlText w:val="7"/>
      <w:numFmt w:val="bullet"/>
      <w:start w:val="1"/>
    </w:lvl>
  </w:abstractNum>
  <w:abstractNum w:abstractNumId="4">
    <w:nsid w:val="507ED7AB"/>
    <w:multiLevelType w:val="hybridMultilevel"/>
    <w:lvl w:ilvl="0">
      <w:lvlJc w:val="left"/>
      <w:lvlText w:val="8"/>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2019-12-09T14:13:09Z</dcterms:created>
  <dcterms:modified xsi:type="dcterms:W3CDTF">2019-12-09T14:13:09Z</dcterms:modified>
</cp:coreProperties>
</file>