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WASHINGTON, D.C. 20549</w:t>
      </w:r>
    </w:p>
    <w:p>
      <w:pPr>
        <w:spacing w:after="0" w:line="177"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Form 6-K</w:t>
      </w:r>
    </w:p>
    <w:p>
      <w:pPr>
        <w:spacing w:after="0" w:line="177" w:lineRule="exact"/>
        <w:rPr>
          <w:sz w:val="24"/>
          <w:szCs w:val="24"/>
          <w:color w:val="auto"/>
        </w:rPr>
      </w:pPr>
    </w:p>
    <w:p>
      <w:pPr>
        <w:ind w:left="2160"/>
        <w:spacing w:after="0"/>
        <w:rPr>
          <w:sz w:val="20"/>
          <w:szCs w:val="20"/>
          <w:color w:val="auto"/>
        </w:rPr>
      </w:pPr>
      <w:r>
        <w:rPr>
          <w:rFonts w:ascii="Courier New" w:cs="Courier New" w:eastAsia="Courier New" w:hAnsi="Courier New"/>
          <w:sz w:val="15"/>
          <w:szCs w:val="15"/>
          <w:color w:val="auto"/>
        </w:rPr>
        <w:t>REPORT OF FOREIGN PRIVATE ISSUER</w:t>
      </w:r>
    </w:p>
    <w:p>
      <w:pPr>
        <w:spacing w:after="0" w:line="3" w:lineRule="exact"/>
        <w:rPr>
          <w:sz w:val="24"/>
          <w:szCs w:val="24"/>
          <w:color w:val="auto"/>
        </w:rPr>
      </w:pPr>
    </w:p>
    <w:p>
      <w:pPr>
        <w:ind w:left="1880"/>
        <w:spacing w:after="0"/>
        <w:rPr>
          <w:sz w:val="20"/>
          <w:szCs w:val="20"/>
          <w:color w:val="auto"/>
        </w:rPr>
      </w:pPr>
      <w:r>
        <w:rPr>
          <w:rFonts w:ascii="Courier New" w:cs="Courier New" w:eastAsia="Courier New" w:hAnsi="Courier New"/>
          <w:sz w:val="15"/>
          <w:szCs w:val="15"/>
          <w:color w:val="auto"/>
        </w:rPr>
        <w:t>PURSUANT TO RULE 13a-16 OR 15d-16 UNDER</w:t>
      </w:r>
    </w:p>
    <w:p>
      <w:pPr>
        <w:spacing w:after="0" w:line="3" w:lineRule="exact"/>
        <w:rPr>
          <w:sz w:val="24"/>
          <w:szCs w:val="24"/>
          <w:color w:val="auto"/>
        </w:rPr>
      </w:pPr>
    </w:p>
    <w:p>
      <w:pPr>
        <w:ind w:left="2060"/>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177"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FOR THE YEAR ENDED SEPTEMBER 30, 2002.</w:t>
      </w:r>
    </w:p>
    <w:p>
      <w:pPr>
        <w:spacing w:after="0" w:line="177"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AMDOCS LIMITED</w:t>
      </w:r>
    </w:p>
    <w:p>
      <w:pPr>
        <w:spacing w:after="0" w:line="177"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Suite 5, Tower Hill House Le Bordage</w:t>
      </w:r>
    </w:p>
    <w:p>
      <w:pPr>
        <w:spacing w:after="0" w:line="3"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5"/>
          <w:szCs w:val="15"/>
          <w:color w:val="auto"/>
        </w:rPr>
        <w:t>St. Peter Port, Island Of Guernsey, GY1 3QT Channel Islands</w:t>
      </w:r>
    </w:p>
    <w:p>
      <w:pPr>
        <w:spacing w:after="0" w:line="177"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Amdocs, Inc.</w:t>
      </w:r>
    </w:p>
    <w:p>
      <w:pPr>
        <w:spacing w:after="0" w:line="3"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1390 Timberlake Manor Parkway, Chesterfield, Missouri, 63017</w:t>
      </w:r>
    </w:p>
    <w:p>
      <w:pPr>
        <w:spacing w:after="0" w:line="177"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78" w:lineRule="exact"/>
        <w:rPr>
          <w:sz w:val="24"/>
          <w:szCs w:val="24"/>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of Form 20-F or Form 40-F.</w:t>
      </w:r>
    </w:p>
    <w:p>
      <w:pPr>
        <w:spacing w:after="0" w:line="175" w:lineRule="exact"/>
        <w:rPr>
          <w:sz w:val="24"/>
          <w:szCs w:val="24"/>
          <w:color w:val="auto"/>
        </w:rPr>
      </w:pPr>
    </w:p>
    <w:p>
      <w:pPr>
        <w:ind w:left="2420"/>
        <w:spacing w:after="0"/>
        <w:tabs>
          <w:tab w:leader="none" w:pos="4840" w:val="left"/>
        </w:tabs>
        <w:rPr>
          <w:sz w:val="20"/>
          <w:szCs w:val="20"/>
          <w:color w:val="auto"/>
        </w:rPr>
      </w:pPr>
      <w:r>
        <w:rPr>
          <w:rFonts w:ascii="Courier New" w:cs="Courier New" w:eastAsia="Courier New" w:hAnsi="Courier New"/>
          <w:sz w:val="15"/>
          <w:szCs w:val="15"/>
          <w:color w:val="auto"/>
        </w:rPr>
        <w:t>FORM 20-F [X] FORM 40-F [</w:t>
        <w:tab/>
        <w:t>]</w:t>
      </w:r>
    </w:p>
    <w:p>
      <w:pPr>
        <w:spacing w:after="0" w:line="178" w:lineRule="exact"/>
        <w:rPr>
          <w:sz w:val="24"/>
          <w:szCs w:val="24"/>
          <w:color w:val="auto"/>
        </w:rPr>
      </w:pPr>
    </w:p>
    <w:p>
      <w:pPr>
        <w:ind w:right="3019"/>
        <w:spacing w:after="0" w:line="270"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58" w:lineRule="exact"/>
        <w:rPr>
          <w:sz w:val="24"/>
          <w:szCs w:val="24"/>
          <w:color w:val="auto"/>
        </w:rPr>
      </w:pPr>
    </w:p>
    <w:p>
      <w:pPr>
        <w:ind w:left="2960"/>
        <w:spacing w:after="0"/>
        <w:tabs>
          <w:tab w:leader="none" w:pos="3580" w:val="left"/>
        </w:tabs>
        <w:rPr>
          <w:sz w:val="20"/>
          <w:szCs w:val="20"/>
          <w:color w:val="auto"/>
        </w:rPr>
      </w:pPr>
      <w:r>
        <w:rPr>
          <w:rFonts w:ascii="Courier New" w:cs="Courier New" w:eastAsia="Courier New" w:hAnsi="Courier New"/>
          <w:sz w:val="15"/>
          <w:szCs w:val="15"/>
          <w:color w:val="auto"/>
        </w:rPr>
        <w:t>Yes [</w:t>
      </w:r>
      <w:r>
        <w:rPr>
          <w:sz w:val="20"/>
          <w:szCs w:val="20"/>
          <w:color w:val="auto"/>
        </w:rPr>
        <w:tab/>
      </w:r>
      <w:r>
        <w:rPr>
          <w:rFonts w:ascii="Courier New" w:cs="Courier New" w:eastAsia="Courier New" w:hAnsi="Courier New"/>
          <w:sz w:val="14"/>
          <w:szCs w:val="14"/>
          <w:color w:val="auto"/>
        </w:rPr>
        <w:t>] No [X]</w:t>
      </w:r>
    </w:p>
    <w:p>
      <w:pPr>
        <w:sectPr>
          <w:pgSz w:w="11900" w:h="16838" w:orient="portrait"/>
          <w:cols w:equalWidth="0" w:num="1">
            <w:col w:w="10219"/>
          </w:cols>
          <w:pgMar w:left="240" w:top="407" w:right="1440" w:bottom="1440" w:gutter="0" w:footer="0" w:header="0"/>
        </w:sectPr>
      </w:pPr>
    </w:p>
    <w:bookmarkStart w:id="1" w:name="page2"/>
    <w:bookmarkEnd w:id="1"/>
    <w:p>
      <w:pPr>
        <w:jc w:val="center"/>
        <w:ind w:right="3019"/>
        <w:spacing w:after="0"/>
        <w:rPr>
          <w:sz w:val="20"/>
          <w:szCs w:val="20"/>
          <w:color w:val="auto"/>
        </w:rPr>
      </w:pPr>
      <w:r>
        <w:rPr>
          <w:rFonts w:ascii="Courier New" w:cs="Courier New" w:eastAsia="Courier New" w:hAnsi="Courier New"/>
          <w:sz w:val="15"/>
          <w:szCs w:val="15"/>
          <w:color w:val="auto"/>
        </w:rPr>
        <w:t>AMDOCS LIMITED</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FORM 6-K</w:t>
      </w:r>
    </w:p>
    <w:p>
      <w:pPr>
        <w:spacing w:after="0" w:line="177"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REPORT OF FOREIGN PRIVATE ISSUER</w:t>
      </w:r>
    </w:p>
    <w:p>
      <w:pPr>
        <w:spacing w:after="0" w:line="177"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FOR THE YEAR ENDED SEPTEMBER 30, 2002</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INDEX</w:t>
      </w:r>
    </w:p>
    <w:p>
      <w:pPr>
        <w:spacing w:after="0" w:line="200" w:lineRule="exact"/>
        <w:rPr>
          <w:sz w:val="20"/>
          <w:szCs w:val="20"/>
          <w:color w:val="auto"/>
        </w:rPr>
      </w:pPr>
    </w:p>
    <w:p>
      <w:pPr>
        <w:spacing w:after="0" w:line="324"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77" w:lineRule="exact"/>
        <w:rPr>
          <w:sz w:val="20"/>
          <w:szCs w:val="20"/>
          <w:color w:val="auto"/>
        </w:rPr>
      </w:pPr>
    </w:p>
    <w:p>
      <w:pPr>
        <w:ind w:left="900"/>
        <w:spacing w:after="0"/>
        <w:tabs>
          <w:tab w:leader="none" w:pos="16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177"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Report of Independent Auditors</w:t>
      </w:r>
    </w:p>
    <w:p>
      <w:pPr>
        <w:spacing w:after="0" w:line="4" w:lineRule="exact"/>
        <w:rPr>
          <w:sz w:val="20"/>
          <w:szCs w:val="20"/>
          <w:color w:val="auto"/>
        </w:rPr>
      </w:pPr>
    </w:p>
    <w:p>
      <w:pPr>
        <w:ind w:left="1700" w:right="3019"/>
        <w:spacing w:after="0" w:line="243" w:lineRule="auto"/>
        <w:rPr>
          <w:sz w:val="20"/>
          <w:szCs w:val="20"/>
          <w:color w:val="auto"/>
        </w:rPr>
      </w:pPr>
      <w:r>
        <w:rPr>
          <w:rFonts w:ascii="Courier New" w:cs="Courier New" w:eastAsia="Courier New" w:hAnsi="Courier New"/>
          <w:sz w:val="15"/>
          <w:szCs w:val="15"/>
          <w:color w:val="auto"/>
        </w:rPr>
        <w:t>Consolidated Balance Sheets as of September 30, 2002 and 2001 Consolidated Statements of Operations for the years</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ended September 30, 2002, 2001 and 2000</w:t>
      </w:r>
    </w:p>
    <w:p>
      <w:pPr>
        <w:spacing w:after="0" w:line="4" w:lineRule="exact"/>
        <w:rPr>
          <w:sz w:val="20"/>
          <w:szCs w:val="20"/>
          <w:color w:val="auto"/>
        </w:rPr>
      </w:pPr>
    </w:p>
    <w:p>
      <w:pPr>
        <w:ind w:left="1880" w:right="2559" w:hanging="179"/>
        <w:spacing w:after="0" w:line="243" w:lineRule="auto"/>
        <w:rPr>
          <w:sz w:val="20"/>
          <w:szCs w:val="20"/>
          <w:color w:val="auto"/>
        </w:rPr>
      </w:pPr>
      <w:r>
        <w:rPr>
          <w:rFonts w:ascii="Courier New" w:cs="Courier New" w:eastAsia="Courier New" w:hAnsi="Courier New"/>
          <w:sz w:val="15"/>
          <w:szCs w:val="15"/>
          <w:color w:val="auto"/>
        </w:rPr>
        <w:t>Consolidated Statements of Changes in Shareholders' Equity for the years ended September 30, 2002, 2001 and 2000</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Consolidated Statements of Cash Flows for the years</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ended September 30, 2002, 2001 and 2000</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7" w:lineRule="exact"/>
        <w:rPr>
          <w:sz w:val="20"/>
          <w:szCs w:val="20"/>
          <w:color w:val="auto"/>
        </w:rPr>
      </w:pPr>
    </w:p>
    <w:p>
      <w:pPr>
        <w:ind w:left="900"/>
        <w:spacing w:after="0"/>
        <w:tabs>
          <w:tab w:leader="none" w:pos="16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Financial Statement Schedule</w:t>
      </w:r>
    </w:p>
    <w:p>
      <w:pPr>
        <w:spacing w:after="0" w:line="177" w:lineRule="exact"/>
        <w:rPr>
          <w:sz w:val="20"/>
          <w:szCs w:val="20"/>
          <w:color w:val="auto"/>
        </w:rPr>
      </w:pPr>
    </w:p>
    <w:p>
      <w:pPr>
        <w:ind w:left="900"/>
        <w:spacing w:after="0"/>
        <w:tabs>
          <w:tab w:leader="none" w:pos="1680" w:val="left"/>
        </w:tabs>
        <w:rPr>
          <w:sz w:val="20"/>
          <w:szCs w:val="20"/>
          <w:color w:val="auto"/>
        </w:rPr>
      </w:pPr>
      <w:r>
        <w:rPr>
          <w:rFonts w:ascii="Courier New" w:cs="Courier New" w:eastAsia="Courier New" w:hAnsi="Courier New"/>
          <w:sz w:val="15"/>
          <w:szCs w:val="15"/>
          <w:color w:val="auto"/>
        </w:rPr>
        <w:t>Item 3.</w:t>
        <w:tab/>
        <w:t>Operating and Financial Review and Prospects</w:t>
      </w:r>
    </w:p>
    <w:p>
      <w:pPr>
        <w:spacing w:after="0" w:line="177"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77" w:lineRule="exact"/>
        <w:rPr>
          <w:sz w:val="20"/>
          <w:szCs w:val="20"/>
          <w:color w:val="auto"/>
        </w:rPr>
      </w:pPr>
    </w:p>
    <w:p>
      <w:pPr>
        <w:ind w:left="900"/>
        <w:spacing w:after="0"/>
        <w:tabs>
          <w:tab w:leader="none" w:pos="1680" w:val="left"/>
        </w:tabs>
        <w:rPr>
          <w:sz w:val="20"/>
          <w:szCs w:val="20"/>
          <w:color w:val="auto"/>
        </w:rPr>
      </w:pPr>
      <w:r>
        <w:rPr>
          <w:rFonts w:ascii="Courier New" w:cs="Courier New" w:eastAsia="Courier New" w:hAnsi="Courier New"/>
          <w:sz w:val="15"/>
          <w:szCs w:val="15"/>
          <w:color w:val="auto"/>
        </w:rPr>
        <w:t>Item 1.</w:t>
        <w:tab/>
        <w:t>Exhibits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10219"/>
          </w:cols>
          <w:pgMar w:left="240" w:top="464" w:right="1440" w:bottom="1440" w:gutter="0" w:footer="0" w:header="0"/>
        </w:sectPr>
      </w:pPr>
    </w:p>
    <w:bookmarkStart w:id="2" w:name="page3"/>
    <w:bookmarkEnd w:id="2"/>
    <w:p>
      <w:pPr>
        <w:ind w:right="3099" w:firstLine="541"/>
        <w:spacing w:after="0" w:line="244" w:lineRule="auto"/>
        <w:rPr>
          <w:sz w:val="20"/>
          <w:szCs w:val="20"/>
          <w:color w:val="auto"/>
        </w:rPr>
      </w:pPr>
      <w:r>
        <w:rPr>
          <w:rFonts w:ascii="Courier New" w:cs="Courier New" w:eastAsia="Courier New" w:hAnsi="Courier New"/>
          <w:sz w:val="15"/>
          <w:szCs w:val="15"/>
          <w:color w:val="auto"/>
        </w:rPr>
        <w:t>The information presented herein shall be deemed filed by us for purposes of Section 18 of the Securities Exchange Act of 1934, as amended, and incorporation by reference.</w:t>
      </w:r>
    </w:p>
    <w:p>
      <w:pPr>
        <w:spacing w:after="0" w:line="175"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FORWARD LOOKING STATEMENTS</w:t>
      </w:r>
    </w:p>
    <w:p>
      <w:pPr>
        <w:spacing w:after="0" w:line="178" w:lineRule="exact"/>
        <w:rPr>
          <w:sz w:val="20"/>
          <w:szCs w:val="20"/>
          <w:color w:val="auto"/>
        </w:rPr>
      </w:pPr>
    </w:p>
    <w:p>
      <w:pPr>
        <w:ind w:right="3019" w:firstLine="541"/>
        <w:spacing w:after="0" w:line="263" w:lineRule="auto"/>
        <w:rPr>
          <w:sz w:val="20"/>
          <w:szCs w:val="20"/>
          <w:color w:val="auto"/>
        </w:rPr>
      </w:pPr>
      <w:r>
        <w:rPr>
          <w:rFonts w:ascii="Courier New" w:cs="Courier New" w:eastAsia="Courier New" w:hAnsi="Courier New"/>
          <w:sz w:val="14"/>
          <w:szCs w:val="14"/>
          <w:color w:val="auto"/>
        </w:rPr>
        <w:t>This document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167"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Important factors that may affect these projections or expectations include, but are not limited to: changes in the overall economy; changes in competition in markets in which we operate; changes in the demand for our products and services; the loss of a significant customer; changes in the regulatory environment in which our customers operate; changes in technology that impact both the markets we serve and the types of products and services we offer; financial difficulties of our customers; losses of key personnel; difficulties in completing or integrating acquisitions; acts of war or terrorism; and consolidation within the industries in which our customers operate. For a discussion of these important factors, please read the information set forth under the caption "Risk Factors" in the Form 20-F that we have most recently filed with the United States Securities and Exchange Commission ("SEC").</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 - FINANCIAL INFORMATION</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Item 1. Financial Statements</w:t>
      </w:r>
    </w:p>
    <w:p>
      <w:pPr>
        <w:sectPr>
          <w:pgSz w:w="11900" w:h="16838" w:orient="portrait"/>
          <w:cols w:equalWidth="0" w:num="1">
            <w:col w:w="10219"/>
          </w:cols>
          <w:pgMar w:left="240" w:top="465" w:right="1440" w:bottom="1440" w:gutter="0" w:footer="0" w:header="0"/>
        </w:sectPr>
      </w:pPr>
    </w:p>
    <w:bookmarkStart w:id="3" w:name="page4"/>
    <w:bookmarkEnd w:id="3"/>
    <w:p>
      <w:pPr>
        <w:ind w:left="2240"/>
        <w:spacing w:after="0"/>
        <w:rPr>
          <w:sz w:val="20"/>
          <w:szCs w:val="20"/>
          <w:color w:val="auto"/>
        </w:rPr>
      </w:pPr>
      <w:r>
        <w:rPr>
          <w:rFonts w:ascii="Courier New" w:cs="Courier New" w:eastAsia="Courier New" w:hAnsi="Courier New"/>
          <w:sz w:val="15"/>
          <w:szCs w:val="15"/>
          <w:color w:val="auto"/>
        </w:rPr>
        <w:t>REPORT OF INDEPENDENT AUDITORS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Amdocs Limited</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We have audited the accompanying consolidated balance sheets of Amdocs Limited as of September 30, 2002 and 2001, and the related consolidated statements of operations, changes in shareholders' equity and cash flows for each of the three years in the period ended September 30, 2002. Our audits also included the financial statement schedule listed in the index at Item 2 of Part I. These financial statements and the financial statement schedule are the responsibility of the Company's management. Our responsibility is to express an opinion on these financial statements and the financial statement schedule based on our audits.</w:t>
      </w:r>
    </w:p>
    <w:p>
      <w:pPr>
        <w:spacing w:after="0" w:line="179"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Amdocs Limited as of September 30, 2002 and 2001, and the consolidated results of its operations and its cash flows for each of the three years in the period ended September 30, 2002, in conformity with accounting principles generally accepted in the United States. Also, in our opinion, the related financial statement schedule, when considered in relation to the basic consolidated financial statements taken as a whole, presents fairly in all material respects the information set forth herein.</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ERNST &amp; YOUNG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31, 2002</w:t>
      </w:r>
    </w:p>
    <w:p>
      <w:pPr>
        <w:sectPr>
          <w:pgSz w:w="11900" w:h="16838" w:orient="portrait"/>
          <w:cols w:equalWidth="0" w:num="1">
            <w:col w:w="10219"/>
          </w:cols>
          <w:pgMar w:left="240" w:top="464" w:right="1440" w:bottom="1440" w:gutter="0" w:footer="0" w:header="0"/>
        </w:sectPr>
      </w:pPr>
    </w:p>
    <w:bookmarkStart w:id="4" w:name="page5"/>
    <w:bookmarkEnd w:id="4"/>
    <w:p>
      <w:pPr>
        <w:ind w:left="2960"/>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CONSOLIDATED BALANCE SHEETS</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AS OF SEPTEMBER 30,</w:t>
            </w:r>
          </w:p>
        </w:tc>
      </w:tr>
      <w:tr>
        <w:trPr>
          <w:trHeight w:val="173"/>
        </w:trPr>
        <w:tc>
          <w:tcPr>
            <w:tcW w:w="6800" w:type="dxa"/>
            <w:vAlign w:val="bottom"/>
          </w:tcPr>
          <w:p>
            <w:pPr>
              <w:spacing w:after="0"/>
              <w:rPr>
                <w:sz w:val="15"/>
                <w:szCs w:val="15"/>
                <w:color w:val="auto"/>
              </w:rPr>
            </w:pPr>
          </w:p>
        </w:tc>
        <w:tc>
          <w:tcPr>
            <w:tcW w:w="284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2002</w:t>
            </w:r>
          </w:p>
        </w:tc>
        <w:tc>
          <w:tcPr>
            <w:tcW w:w="360" w:type="dxa"/>
            <w:vAlign w:val="bottom"/>
          </w:tcPr>
          <w:p>
            <w:pPr>
              <w:spacing w:after="0"/>
              <w:rPr>
                <w:sz w:val="15"/>
                <w:szCs w:val="15"/>
                <w:color w:val="auto"/>
              </w:rPr>
            </w:pPr>
          </w:p>
        </w:tc>
        <w:tc>
          <w:tcPr>
            <w:tcW w:w="9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2001</w:t>
            </w:r>
          </w:p>
        </w:tc>
      </w:tr>
      <w:tr>
        <w:trPr>
          <w:trHeight w:val="173"/>
        </w:trPr>
        <w:tc>
          <w:tcPr>
            <w:tcW w:w="6800" w:type="dxa"/>
            <w:vAlign w:val="bottom"/>
          </w:tcPr>
          <w:p>
            <w:pPr>
              <w:spacing w:after="0"/>
              <w:rPr>
                <w:sz w:val="15"/>
                <w:szCs w:val="15"/>
                <w:color w:val="auto"/>
              </w:rPr>
            </w:pP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68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47"/>
        </w:trPr>
        <w:tc>
          <w:tcPr>
            <w:tcW w:w="68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680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466,655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872,998</w:t>
            </w:r>
          </w:p>
        </w:tc>
      </w:tr>
      <w:tr>
        <w:trPr>
          <w:trHeight w:val="173"/>
        </w:trPr>
        <w:tc>
          <w:tcPr>
            <w:tcW w:w="6800" w:type="dxa"/>
            <w:vAlign w:val="bottom"/>
          </w:tcPr>
          <w:p>
            <w:pPr>
              <w:ind w:left="260"/>
              <w:spacing w:after="0"/>
              <w:rPr>
                <w:sz w:val="20"/>
                <w:szCs w:val="20"/>
                <w:color w:val="auto"/>
              </w:rPr>
            </w:pPr>
            <w:r>
              <w:rPr>
                <w:rFonts w:ascii="Courier New" w:cs="Courier New" w:eastAsia="Courier New" w:hAnsi="Courier New"/>
                <w:sz w:val="15"/>
                <w:szCs w:val="15"/>
                <w:color w:val="auto"/>
              </w:rPr>
              <w:t>Short-term interest-bearing investments</w:t>
            </w: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581,164</w:t>
            </w:r>
          </w:p>
        </w:tc>
        <w:tc>
          <w:tcPr>
            <w:tcW w:w="36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237,069</w:t>
            </w:r>
          </w:p>
        </w:tc>
      </w:tr>
      <w:tr>
        <w:trPr>
          <w:trHeight w:val="173"/>
        </w:trPr>
        <w:tc>
          <w:tcPr>
            <w:tcW w:w="680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net (*)</w:t>
            </w: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312,732</w:t>
            </w:r>
          </w:p>
        </w:tc>
        <w:tc>
          <w:tcPr>
            <w:tcW w:w="36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384,851</w:t>
            </w:r>
          </w:p>
        </w:tc>
      </w:tr>
      <w:tr>
        <w:trPr>
          <w:trHeight w:val="173"/>
        </w:trPr>
        <w:tc>
          <w:tcPr>
            <w:tcW w:w="680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taxes receivable</w:t>
            </w: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48,154</w:t>
            </w:r>
          </w:p>
        </w:tc>
        <w:tc>
          <w:tcPr>
            <w:tcW w:w="36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38,916</w:t>
            </w:r>
          </w:p>
        </w:tc>
      </w:tr>
      <w:tr>
        <w:trPr>
          <w:trHeight w:val="173"/>
        </w:trPr>
        <w:tc>
          <w:tcPr>
            <w:tcW w:w="680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 (*)</w:t>
            </w: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72,196</w:t>
            </w:r>
          </w:p>
        </w:tc>
        <w:tc>
          <w:tcPr>
            <w:tcW w:w="36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38,045</w:t>
            </w:r>
          </w:p>
        </w:tc>
      </w:tr>
      <w:tr>
        <w:trPr>
          <w:trHeight w:val="173"/>
        </w:trPr>
        <w:tc>
          <w:tcPr>
            <w:tcW w:w="6800" w:type="dxa"/>
            <w:vAlign w:val="bottom"/>
          </w:tcPr>
          <w:p>
            <w:pPr>
              <w:spacing w:after="0"/>
              <w:rPr>
                <w:sz w:val="15"/>
                <w:szCs w:val="15"/>
                <w:color w:val="auto"/>
              </w:rPr>
            </w:pP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800" w:type="dxa"/>
            <w:vAlign w:val="bottom"/>
          </w:tcPr>
          <w:p>
            <w:pPr>
              <w:ind w:left="800"/>
              <w:spacing w:after="0"/>
              <w:rPr>
                <w:sz w:val="20"/>
                <w:szCs w:val="20"/>
                <w:color w:val="auto"/>
              </w:rPr>
            </w:pPr>
            <w:r>
              <w:rPr>
                <w:rFonts w:ascii="Courier New" w:cs="Courier New" w:eastAsia="Courier New" w:hAnsi="Courier New"/>
                <w:sz w:val="15"/>
                <w:szCs w:val="15"/>
                <w:color w:val="auto"/>
              </w:rPr>
              <w:t>Total current assets</w:t>
            </w: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1,480,901</w:t>
            </w:r>
          </w:p>
        </w:tc>
        <w:tc>
          <w:tcPr>
            <w:tcW w:w="36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1,571,879</w:t>
            </w:r>
          </w:p>
        </w:tc>
      </w:tr>
      <w:tr>
        <w:trPr>
          <w:trHeight w:val="347"/>
        </w:trPr>
        <w:tc>
          <w:tcPr>
            <w:tcW w:w="6800" w:type="dxa"/>
            <w:vAlign w:val="bottom"/>
          </w:tcPr>
          <w:p>
            <w:pPr>
              <w:spacing w:after="0"/>
              <w:rPr>
                <w:sz w:val="20"/>
                <w:szCs w:val="20"/>
                <w:color w:val="auto"/>
              </w:rPr>
            </w:pPr>
            <w:r>
              <w:rPr>
                <w:rFonts w:ascii="Courier New" w:cs="Courier New" w:eastAsia="Courier New" w:hAnsi="Courier New"/>
                <w:sz w:val="15"/>
                <w:szCs w:val="15"/>
                <w:color w:val="auto"/>
              </w:rPr>
              <w:t>Equipment, vehicles and leasehold improvements, net</w:t>
            </w:r>
          </w:p>
        </w:tc>
        <w:tc>
          <w:tcPr>
            <w:tcW w:w="360" w:type="dxa"/>
            <w:vAlign w:val="bottom"/>
          </w:tcPr>
          <w:p>
            <w:pPr>
              <w:spacing w:after="0"/>
              <w:rPr>
                <w:sz w:val="24"/>
                <w:szCs w:val="24"/>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160,902</w:t>
            </w:r>
          </w:p>
        </w:tc>
        <w:tc>
          <w:tcPr>
            <w:tcW w:w="360" w:type="dxa"/>
            <w:vAlign w:val="bottom"/>
          </w:tcPr>
          <w:p>
            <w:pPr>
              <w:spacing w:after="0"/>
              <w:rPr>
                <w:sz w:val="24"/>
                <w:szCs w:val="2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173,695</w:t>
            </w:r>
          </w:p>
        </w:tc>
      </w:tr>
      <w:tr>
        <w:trPr>
          <w:trHeight w:val="173"/>
        </w:trPr>
        <w:tc>
          <w:tcPr>
            <w:tcW w:w="680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37,582</w:t>
            </w:r>
          </w:p>
        </w:tc>
        <w:tc>
          <w:tcPr>
            <w:tcW w:w="36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19,722</w:t>
            </w:r>
          </w:p>
        </w:tc>
      </w:tr>
      <w:tr>
        <w:trPr>
          <w:trHeight w:val="173"/>
        </w:trPr>
        <w:tc>
          <w:tcPr>
            <w:tcW w:w="680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 assets, net</w:t>
            </w: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750,530</w:t>
            </w:r>
          </w:p>
        </w:tc>
        <w:tc>
          <w:tcPr>
            <w:tcW w:w="36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788,187</w:t>
            </w:r>
          </w:p>
        </w:tc>
      </w:tr>
      <w:tr>
        <w:trPr>
          <w:trHeight w:val="173"/>
        </w:trPr>
        <w:tc>
          <w:tcPr>
            <w:tcW w:w="6800" w:type="dxa"/>
            <w:vAlign w:val="bottom"/>
          </w:tcPr>
          <w:p>
            <w:pPr>
              <w:spacing w:after="0"/>
              <w:rPr>
                <w:sz w:val="20"/>
                <w:szCs w:val="20"/>
                <w:color w:val="auto"/>
              </w:rPr>
            </w:pPr>
            <w:r>
              <w:rPr>
                <w:rFonts w:ascii="Courier New" w:cs="Courier New" w:eastAsia="Courier New" w:hAnsi="Courier New"/>
                <w:sz w:val="15"/>
                <w:szCs w:val="15"/>
                <w:color w:val="auto"/>
              </w:rPr>
              <w:t>Other noncurrent assets (*)</w:t>
            </w: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110,179</w:t>
            </w:r>
          </w:p>
        </w:tc>
        <w:tc>
          <w:tcPr>
            <w:tcW w:w="36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70,953</w:t>
            </w:r>
          </w:p>
        </w:tc>
      </w:tr>
      <w:tr>
        <w:trPr>
          <w:trHeight w:val="173"/>
        </w:trPr>
        <w:tc>
          <w:tcPr>
            <w:tcW w:w="6800" w:type="dxa"/>
            <w:vAlign w:val="bottom"/>
          </w:tcPr>
          <w:p>
            <w:pPr>
              <w:spacing w:after="0"/>
              <w:rPr>
                <w:sz w:val="15"/>
                <w:szCs w:val="15"/>
                <w:color w:val="auto"/>
              </w:rPr>
            </w:pP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800" w:type="dxa"/>
            <w:vAlign w:val="bottom"/>
          </w:tcPr>
          <w:p>
            <w:pPr>
              <w:ind w:left="800"/>
              <w:spacing w:after="0"/>
              <w:rPr>
                <w:sz w:val="20"/>
                <w:szCs w:val="20"/>
                <w:color w:val="auto"/>
              </w:rPr>
            </w:pPr>
            <w:r>
              <w:rPr>
                <w:rFonts w:ascii="Courier New" w:cs="Courier New" w:eastAsia="Courier New" w:hAnsi="Courier New"/>
                <w:sz w:val="15"/>
                <w:szCs w:val="15"/>
                <w:color w:val="auto"/>
              </w:rPr>
              <w:t>Total assets</w:t>
            </w: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$ 2,540,094</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$ 2,624,436</w:t>
            </w:r>
          </w:p>
        </w:tc>
      </w:tr>
      <w:tr>
        <w:trPr>
          <w:trHeight w:val="173"/>
        </w:trPr>
        <w:tc>
          <w:tcPr>
            <w:tcW w:w="6800" w:type="dxa"/>
            <w:vAlign w:val="bottom"/>
          </w:tcPr>
          <w:p>
            <w:pPr>
              <w:spacing w:after="0"/>
              <w:rPr>
                <w:sz w:val="15"/>
                <w:szCs w:val="15"/>
                <w:color w:val="auto"/>
              </w:rPr>
            </w:pP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80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47"/>
        </w:trPr>
        <w:tc>
          <w:tcPr>
            <w:tcW w:w="68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680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192,129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166,527</w:t>
            </w:r>
          </w:p>
        </w:tc>
      </w:tr>
      <w:tr>
        <w:trPr>
          <w:trHeight w:val="173"/>
        </w:trPr>
        <w:tc>
          <w:tcPr>
            <w:tcW w:w="6800" w:type="dxa"/>
            <w:vAlign w:val="bottom"/>
          </w:tcPr>
          <w:p>
            <w:pPr>
              <w:ind w:left="260"/>
              <w:spacing w:after="0"/>
              <w:rPr>
                <w:sz w:val="20"/>
                <w:szCs w:val="20"/>
                <w:color w:val="auto"/>
              </w:rPr>
            </w:pPr>
            <w:r>
              <w:rPr>
                <w:rFonts w:ascii="Courier New" w:cs="Courier New" w:eastAsia="Courier New" w:hAnsi="Courier New"/>
                <w:sz w:val="15"/>
                <w:szCs w:val="15"/>
                <w:color w:val="auto"/>
              </w:rPr>
              <w:t>Accrued personnel costs</w:t>
            </w: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86,942</w:t>
            </w:r>
          </w:p>
        </w:tc>
        <w:tc>
          <w:tcPr>
            <w:tcW w:w="36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103,990</w:t>
            </w:r>
          </w:p>
        </w:tc>
      </w:tr>
      <w:tr>
        <w:trPr>
          <w:trHeight w:val="173"/>
        </w:trPr>
        <w:tc>
          <w:tcPr>
            <w:tcW w:w="680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149,590</w:t>
            </w:r>
          </w:p>
        </w:tc>
        <w:tc>
          <w:tcPr>
            <w:tcW w:w="36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140,033</w:t>
            </w:r>
          </w:p>
        </w:tc>
      </w:tr>
      <w:tr>
        <w:trPr>
          <w:trHeight w:val="173"/>
        </w:trPr>
        <w:tc>
          <w:tcPr>
            <w:tcW w:w="6800" w:type="dxa"/>
            <w:vAlign w:val="bottom"/>
          </w:tcPr>
          <w:p>
            <w:pPr>
              <w:ind w:left="260"/>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10,347</w:t>
            </w:r>
          </w:p>
        </w:tc>
        <w:tc>
          <w:tcPr>
            <w:tcW w:w="36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10,400</w:t>
            </w:r>
          </w:p>
        </w:tc>
      </w:tr>
      <w:tr>
        <w:trPr>
          <w:trHeight w:val="173"/>
        </w:trPr>
        <w:tc>
          <w:tcPr>
            <w:tcW w:w="680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taxes payable</w:t>
            </w: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103,315</w:t>
            </w:r>
          </w:p>
        </w:tc>
        <w:tc>
          <w:tcPr>
            <w:tcW w:w="36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91,026</w:t>
            </w:r>
          </w:p>
        </w:tc>
      </w:tr>
      <w:tr>
        <w:trPr>
          <w:trHeight w:val="173"/>
        </w:trPr>
        <w:tc>
          <w:tcPr>
            <w:tcW w:w="6800" w:type="dxa"/>
            <w:vAlign w:val="bottom"/>
          </w:tcPr>
          <w:p>
            <w:pPr>
              <w:spacing w:after="0"/>
              <w:rPr>
                <w:sz w:val="15"/>
                <w:szCs w:val="15"/>
                <w:color w:val="auto"/>
              </w:rPr>
            </w:pP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800" w:type="dxa"/>
            <w:vAlign w:val="bottom"/>
          </w:tcPr>
          <w:p>
            <w:pPr>
              <w:ind w:left="800"/>
              <w:spacing w:after="0"/>
              <w:rPr>
                <w:sz w:val="20"/>
                <w:szCs w:val="20"/>
                <w:color w:val="auto"/>
              </w:rPr>
            </w:pPr>
            <w:r>
              <w:rPr>
                <w:rFonts w:ascii="Courier New" w:cs="Courier New" w:eastAsia="Courier New" w:hAnsi="Courier New"/>
                <w:sz w:val="15"/>
                <w:szCs w:val="15"/>
                <w:color w:val="auto"/>
              </w:rPr>
              <w:t>Total current liabilities</w:t>
            </w: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542,323</w:t>
            </w:r>
          </w:p>
        </w:tc>
        <w:tc>
          <w:tcPr>
            <w:tcW w:w="36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511,976</w:t>
            </w:r>
          </w:p>
        </w:tc>
      </w:tr>
      <w:tr>
        <w:trPr>
          <w:trHeight w:val="520"/>
        </w:trPr>
        <w:tc>
          <w:tcPr>
            <w:tcW w:w="6800" w:type="dxa"/>
            <w:vAlign w:val="bottom"/>
          </w:tcPr>
          <w:p>
            <w:pPr>
              <w:spacing w:after="0"/>
              <w:rPr>
                <w:sz w:val="20"/>
                <w:szCs w:val="20"/>
                <w:color w:val="auto"/>
              </w:rPr>
            </w:pPr>
            <w:r>
              <w:rPr>
                <w:rFonts w:ascii="Courier New" w:cs="Courier New" w:eastAsia="Courier New" w:hAnsi="Courier New"/>
                <w:sz w:val="15"/>
                <w:szCs w:val="15"/>
                <w:color w:val="auto"/>
              </w:rPr>
              <w:t>Convertible notes</w:t>
            </w:r>
          </w:p>
        </w:tc>
        <w:tc>
          <w:tcPr>
            <w:tcW w:w="360" w:type="dxa"/>
            <w:vAlign w:val="bottom"/>
          </w:tcPr>
          <w:p>
            <w:pPr>
              <w:spacing w:after="0"/>
              <w:rPr>
                <w:sz w:val="24"/>
                <w:szCs w:val="24"/>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445,054</w:t>
            </w:r>
          </w:p>
        </w:tc>
        <w:tc>
          <w:tcPr>
            <w:tcW w:w="360" w:type="dxa"/>
            <w:vAlign w:val="bottom"/>
          </w:tcPr>
          <w:p>
            <w:pPr>
              <w:spacing w:after="0"/>
              <w:rPr>
                <w:sz w:val="24"/>
                <w:szCs w:val="2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500,000</w:t>
            </w:r>
          </w:p>
        </w:tc>
      </w:tr>
      <w:tr>
        <w:trPr>
          <w:trHeight w:val="173"/>
        </w:trPr>
        <w:tc>
          <w:tcPr>
            <w:tcW w:w="680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12,363</w:t>
            </w:r>
          </w:p>
        </w:tc>
        <w:tc>
          <w:tcPr>
            <w:tcW w:w="36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7,410</w:t>
            </w:r>
          </w:p>
        </w:tc>
      </w:tr>
      <w:tr>
        <w:trPr>
          <w:trHeight w:val="173"/>
        </w:trPr>
        <w:tc>
          <w:tcPr>
            <w:tcW w:w="6800" w:type="dxa"/>
            <w:vAlign w:val="bottom"/>
          </w:tcPr>
          <w:p>
            <w:pPr>
              <w:spacing w:after="0"/>
              <w:rPr>
                <w:sz w:val="20"/>
                <w:szCs w:val="20"/>
                <w:color w:val="auto"/>
              </w:rPr>
            </w:pPr>
            <w:r>
              <w:rPr>
                <w:rFonts w:ascii="Courier New" w:cs="Courier New" w:eastAsia="Courier New" w:hAnsi="Courier New"/>
                <w:sz w:val="15"/>
                <w:szCs w:val="15"/>
                <w:color w:val="auto"/>
              </w:rPr>
              <w:t>Noncurrent liabilities and other</w:t>
            </w: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124,079</w:t>
            </w:r>
          </w:p>
        </w:tc>
        <w:tc>
          <w:tcPr>
            <w:tcW w:w="36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92,959</w:t>
            </w:r>
          </w:p>
        </w:tc>
      </w:tr>
      <w:tr>
        <w:trPr>
          <w:trHeight w:val="173"/>
        </w:trPr>
        <w:tc>
          <w:tcPr>
            <w:tcW w:w="6800" w:type="dxa"/>
            <w:vAlign w:val="bottom"/>
          </w:tcPr>
          <w:p>
            <w:pPr>
              <w:spacing w:after="0"/>
              <w:rPr>
                <w:sz w:val="15"/>
                <w:szCs w:val="15"/>
                <w:color w:val="auto"/>
              </w:rPr>
            </w:pP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800" w:type="dxa"/>
            <w:vAlign w:val="bottom"/>
          </w:tcPr>
          <w:p>
            <w:pPr>
              <w:ind w:left="800"/>
              <w:spacing w:after="0"/>
              <w:rPr>
                <w:sz w:val="20"/>
                <w:szCs w:val="20"/>
                <w:color w:val="auto"/>
              </w:rPr>
            </w:pPr>
            <w:r>
              <w:rPr>
                <w:rFonts w:ascii="Courier New" w:cs="Courier New" w:eastAsia="Courier New" w:hAnsi="Courier New"/>
                <w:sz w:val="15"/>
                <w:szCs w:val="15"/>
                <w:color w:val="auto"/>
              </w:rPr>
              <w:t>Total liabilities</w:t>
            </w: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1,123,819</w:t>
            </w:r>
          </w:p>
        </w:tc>
        <w:tc>
          <w:tcPr>
            <w:tcW w:w="36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1,112,345</w:t>
            </w:r>
          </w:p>
        </w:tc>
      </w:tr>
      <w:tr>
        <w:trPr>
          <w:trHeight w:val="173"/>
        </w:trPr>
        <w:tc>
          <w:tcPr>
            <w:tcW w:w="6800" w:type="dxa"/>
            <w:vAlign w:val="bottom"/>
          </w:tcPr>
          <w:p>
            <w:pPr>
              <w:spacing w:after="0"/>
              <w:rPr>
                <w:sz w:val="15"/>
                <w:szCs w:val="15"/>
                <w:color w:val="auto"/>
              </w:rPr>
            </w:pP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8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6800" w:type="dxa"/>
            <w:vAlign w:val="bottom"/>
          </w:tcPr>
          <w:p>
            <w:pPr>
              <w:ind w:left="260"/>
              <w:spacing w:after="0"/>
              <w:rPr>
                <w:sz w:val="20"/>
                <w:szCs w:val="20"/>
                <w:color w:val="auto"/>
              </w:rPr>
            </w:pPr>
            <w:r>
              <w:rPr>
                <w:rFonts w:ascii="Courier New" w:cs="Courier New" w:eastAsia="Courier New" w:hAnsi="Courier New"/>
                <w:sz w:val="15"/>
                <w:szCs w:val="15"/>
                <w:color w:val="auto"/>
              </w:rPr>
              <w:t>Preferred Shares - Authorized 25,000 shares; L0.01 par value; 0 shares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6800" w:type="dxa"/>
            <w:vAlign w:val="bottom"/>
          </w:tcPr>
          <w:p>
            <w:pPr>
              <w:ind w:left="440"/>
              <w:spacing w:after="0"/>
              <w:rPr>
                <w:sz w:val="20"/>
                <w:szCs w:val="20"/>
                <w:color w:val="auto"/>
              </w:rPr>
            </w:pPr>
            <w:r>
              <w:rPr>
                <w:rFonts w:ascii="Courier New" w:cs="Courier New" w:eastAsia="Courier New" w:hAnsi="Courier New"/>
                <w:sz w:val="15"/>
                <w:szCs w:val="15"/>
                <w:color w:val="auto"/>
              </w:rPr>
              <w:t>issued and outstanding</w:t>
            </w: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800" w:type="dxa"/>
            <w:vAlign w:val="bottom"/>
          </w:tcPr>
          <w:p>
            <w:pPr>
              <w:ind w:left="260"/>
              <w:spacing w:after="0"/>
              <w:rPr>
                <w:sz w:val="20"/>
                <w:szCs w:val="20"/>
                <w:color w:val="auto"/>
              </w:rPr>
            </w:pPr>
            <w:r>
              <w:rPr>
                <w:rFonts w:ascii="Courier New" w:cs="Courier New" w:eastAsia="Courier New" w:hAnsi="Courier New"/>
                <w:sz w:val="15"/>
                <w:szCs w:val="15"/>
                <w:color w:val="auto"/>
              </w:rPr>
              <w:t>Ordinary Shares - Authorized 550,000 shares; L0.01 par value; 223,316</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6800" w:type="dxa"/>
            <w:vAlign w:val="bottom"/>
          </w:tcPr>
          <w:p>
            <w:pPr>
              <w:ind w:left="440"/>
              <w:spacing w:after="0"/>
              <w:rPr>
                <w:sz w:val="20"/>
                <w:szCs w:val="20"/>
                <w:color w:val="auto"/>
              </w:rPr>
            </w:pPr>
            <w:r>
              <w:rPr>
                <w:rFonts w:ascii="Courier New" w:cs="Courier New" w:eastAsia="Courier New" w:hAnsi="Courier New"/>
                <w:sz w:val="15"/>
                <w:szCs w:val="15"/>
                <w:color w:val="auto"/>
              </w:rPr>
              <w:t>and 222,628 issued and 215,583 and 222,628 outstanding, in 2002 and</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6800" w:type="dxa"/>
            <w:vAlign w:val="bottom"/>
          </w:tcPr>
          <w:p>
            <w:pPr>
              <w:ind w:left="440"/>
              <w:spacing w:after="0"/>
              <w:rPr>
                <w:sz w:val="20"/>
                <w:szCs w:val="20"/>
                <w:color w:val="auto"/>
              </w:rPr>
            </w:pPr>
            <w:r>
              <w:rPr>
                <w:rFonts w:ascii="Courier New" w:cs="Courier New" w:eastAsia="Courier New" w:hAnsi="Courier New"/>
                <w:sz w:val="15"/>
                <w:szCs w:val="15"/>
                <w:color w:val="auto"/>
              </w:rPr>
              <w:t>2001, respectively</w:t>
            </w: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3,572</w:t>
            </w:r>
          </w:p>
        </w:tc>
        <w:tc>
          <w:tcPr>
            <w:tcW w:w="36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3,560</w:t>
            </w:r>
          </w:p>
        </w:tc>
      </w:tr>
      <w:tr>
        <w:trPr>
          <w:trHeight w:val="173"/>
        </w:trPr>
        <w:tc>
          <w:tcPr>
            <w:tcW w:w="6800" w:type="dxa"/>
            <w:vAlign w:val="bottom"/>
          </w:tcPr>
          <w:p>
            <w:pPr>
              <w:ind w:left="260"/>
              <w:spacing w:after="0"/>
              <w:rPr>
                <w:sz w:val="20"/>
                <w:szCs w:val="20"/>
                <w:color w:val="auto"/>
              </w:rPr>
            </w:pPr>
            <w:r>
              <w:rPr>
                <w:rFonts w:ascii="Courier New" w:cs="Courier New" w:eastAsia="Courier New" w:hAnsi="Courier New"/>
                <w:sz w:val="15"/>
                <w:szCs w:val="15"/>
                <w:color w:val="auto"/>
              </w:rPr>
              <w:t>Additional paid-in capital</w:t>
            </w: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1,818,345</w:t>
            </w:r>
          </w:p>
        </w:tc>
        <w:tc>
          <w:tcPr>
            <w:tcW w:w="36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1,806,290</w:t>
            </w:r>
          </w:p>
        </w:tc>
      </w:tr>
      <w:tr>
        <w:trPr>
          <w:trHeight w:val="173"/>
        </w:trPr>
        <w:tc>
          <w:tcPr>
            <w:tcW w:w="6800" w:type="dxa"/>
            <w:vAlign w:val="bottom"/>
          </w:tcPr>
          <w:p>
            <w:pPr>
              <w:ind w:left="260"/>
              <w:spacing w:after="0"/>
              <w:rPr>
                <w:sz w:val="20"/>
                <w:szCs w:val="20"/>
                <w:color w:val="auto"/>
              </w:rPr>
            </w:pPr>
            <w:r>
              <w:rPr>
                <w:rFonts w:ascii="Courier New" w:cs="Courier New" w:eastAsia="Courier New" w:hAnsi="Courier New"/>
                <w:sz w:val="15"/>
                <w:szCs w:val="15"/>
                <w:color w:val="auto"/>
              </w:rPr>
              <w:t>Treasury stock</w:t>
            </w:r>
          </w:p>
        </w:tc>
        <w:tc>
          <w:tcPr>
            <w:tcW w:w="360" w:type="dxa"/>
            <w:vAlign w:val="bottom"/>
          </w:tcPr>
          <w:p>
            <w:pPr>
              <w:spacing w:after="0"/>
              <w:rPr>
                <w:sz w:val="15"/>
                <w:szCs w:val="15"/>
                <w:color w:val="auto"/>
              </w:rPr>
            </w:pP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(109,281)</w:t>
            </w:r>
          </w:p>
        </w:tc>
        <w:tc>
          <w:tcPr>
            <w:tcW w:w="36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800" w:type="dxa"/>
            <w:vAlign w:val="bottom"/>
          </w:tcPr>
          <w:p>
            <w:pPr>
              <w:ind w:left="260"/>
              <w:spacing w:after="0"/>
              <w:rPr>
                <w:sz w:val="20"/>
                <w:szCs w:val="20"/>
                <w:color w:val="auto"/>
              </w:rPr>
            </w:pPr>
            <w:r>
              <w:rPr>
                <w:rFonts w:ascii="Courier New" w:cs="Courier New" w:eastAsia="Courier New" w:hAnsi="Courier New"/>
                <w:sz w:val="15"/>
                <w:szCs w:val="15"/>
                <w:color w:val="auto"/>
              </w:rPr>
              <w:t>Accumulated other comprehensive loss</w:t>
            </w:r>
          </w:p>
        </w:tc>
        <w:tc>
          <w:tcPr>
            <w:tcW w:w="360" w:type="dxa"/>
            <w:vAlign w:val="bottom"/>
          </w:tcPr>
          <w:p>
            <w:pPr>
              <w:spacing w:after="0"/>
              <w:rPr>
                <w:sz w:val="15"/>
                <w:szCs w:val="15"/>
                <w:color w:val="auto"/>
              </w:rPr>
            </w:pP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(108)</w:t>
            </w:r>
          </w:p>
        </w:tc>
        <w:tc>
          <w:tcPr>
            <w:tcW w:w="3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(6,382)</w:t>
            </w:r>
          </w:p>
        </w:tc>
      </w:tr>
      <w:tr>
        <w:trPr>
          <w:trHeight w:val="173"/>
        </w:trPr>
        <w:tc>
          <w:tcPr>
            <w:tcW w:w="6800" w:type="dxa"/>
            <w:vAlign w:val="bottom"/>
          </w:tcPr>
          <w:p>
            <w:pPr>
              <w:ind w:left="260"/>
              <w:spacing w:after="0"/>
              <w:rPr>
                <w:sz w:val="20"/>
                <w:szCs w:val="20"/>
                <w:color w:val="auto"/>
              </w:rPr>
            </w:pPr>
            <w:r>
              <w:rPr>
                <w:rFonts w:ascii="Courier New" w:cs="Courier New" w:eastAsia="Courier New" w:hAnsi="Courier New"/>
                <w:sz w:val="15"/>
                <w:szCs w:val="15"/>
                <w:color w:val="auto"/>
              </w:rPr>
              <w:t>Unearned compensation</w:t>
            </w: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(185)</w:t>
            </w:r>
          </w:p>
        </w:tc>
      </w:tr>
      <w:tr>
        <w:trPr>
          <w:trHeight w:val="173"/>
        </w:trPr>
        <w:tc>
          <w:tcPr>
            <w:tcW w:w="6800" w:type="dxa"/>
            <w:vAlign w:val="bottom"/>
          </w:tcPr>
          <w:p>
            <w:pPr>
              <w:ind w:left="260"/>
              <w:spacing w:after="0"/>
              <w:rPr>
                <w:sz w:val="20"/>
                <w:szCs w:val="20"/>
                <w:color w:val="auto"/>
              </w:rPr>
            </w:pPr>
            <w:r>
              <w:rPr>
                <w:rFonts w:ascii="Courier New" w:cs="Courier New" w:eastAsia="Courier New" w:hAnsi="Courier New"/>
                <w:sz w:val="15"/>
                <w:szCs w:val="15"/>
                <w:color w:val="auto"/>
              </w:rPr>
              <w:t>Accumulated deficit</w:t>
            </w:r>
          </w:p>
        </w:tc>
        <w:tc>
          <w:tcPr>
            <w:tcW w:w="360" w:type="dxa"/>
            <w:vAlign w:val="bottom"/>
          </w:tcPr>
          <w:p>
            <w:pPr>
              <w:spacing w:after="0"/>
              <w:rPr>
                <w:sz w:val="15"/>
                <w:szCs w:val="15"/>
                <w:color w:val="auto"/>
              </w:rPr>
            </w:pP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(296,253)</w:t>
            </w:r>
          </w:p>
        </w:tc>
        <w:tc>
          <w:tcPr>
            <w:tcW w:w="3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(291,192)</w:t>
            </w:r>
          </w:p>
        </w:tc>
      </w:tr>
      <w:tr>
        <w:trPr>
          <w:trHeight w:val="173"/>
        </w:trPr>
        <w:tc>
          <w:tcPr>
            <w:tcW w:w="6800" w:type="dxa"/>
            <w:vAlign w:val="bottom"/>
          </w:tcPr>
          <w:p>
            <w:pPr>
              <w:spacing w:after="0"/>
              <w:rPr>
                <w:sz w:val="15"/>
                <w:szCs w:val="15"/>
                <w:color w:val="auto"/>
              </w:rPr>
            </w:pP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800" w:type="dxa"/>
            <w:vAlign w:val="bottom"/>
          </w:tcPr>
          <w:p>
            <w:pPr>
              <w:ind w:left="800"/>
              <w:spacing w:after="0"/>
              <w:rPr>
                <w:sz w:val="20"/>
                <w:szCs w:val="20"/>
                <w:color w:val="auto"/>
              </w:rPr>
            </w:pPr>
            <w:r>
              <w:rPr>
                <w:rFonts w:ascii="Courier New" w:cs="Courier New" w:eastAsia="Courier New" w:hAnsi="Courier New"/>
                <w:sz w:val="15"/>
                <w:szCs w:val="15"/>
                <w:color w:val="auto"/>
              </w:rPr>
              <w:t>Total shareholders' equity</w:t>
            </w: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1,416,275</w:t>
            </w:r>
          </w:p>
        </w:tc>
        <w:tc>
          <w:tcPr>
            <w:tcW w:w="360" w:type="dxa"/>
            <w:vAlign w:val="bottom"/>
          </w:tcPr>
          <w:p>
            <w:pPr>
              <w:spacing w:after="0"/>
              <w:rPr>
                <w:sz w:val="15"/>
                <w:szCs w:val="15"/>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1,512,091</w:t>
            </w:r>
          </w:p>
        </w:tc>
      </w:tr>
      <w:tr>
        <w:trPr>
          <w:trHeight w:val="173"/>
        </w:trPr>
        <w:tc>
          <w:tcPr>
            <w:tcW w:w="6800" w:type="dxa"/>
            <w:vAlign w:val="bottom"/>
          </w:tcPr>
          <w:p>
            <w:pPr>
              <w:spacing w:after="0"/>
              <w:rPr>
                <w:sz w:val="15"/>
                <w:szCs w:val="15"/>
                <w:color w:val="auto"/>
              </w:rPr>
            </w:pP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800" w:type="dxa"/>
            <w:vAlign w:val="bottom"/>
          </w:tcPr>
          <w:p>
            <w:pPr>
              <w:ind w:left="80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$ 2,540,094</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$ 2,624,436</w:t>
            </w:r>
          </w:p>
        </w:tc>
      </w:tr>
      <w:tr>
        <w:trPr>
          <w:trHeight w:val="173"/>
        </w:trPr>
        <w:tc>
          <w:tcPr>
            <w:tcW w:w="6800" w:type="dxa"/>
            <w:vAlign w:val="bottom"/>
          </w:tcPr>
          <w:p>
            <w:pPr>
              <w:spacing w:after="0"/>
              <w:rPr>
                <w:sz w:val="15"/>
                <w:szCs w:val="15"/>
                <w:color w:val="auto"/>
              </w:rPr>
            </w:pP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See Note 4</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consolidated financial statements.</w:t>
      </w:r>
    </w:p>
    <w:p>
      <w:pPr>
        <w:sectPr>
          <w:pgSz w:w="11900" w:h="16838" w:orient="portrait"/>
          <w:cols w:equalWidth="0" w:num="1">
            <w:col w:w="10219"/>
          </w:cols>
          <w:pgMar w:left="240" w:top="464" w:right="1440" w:bottom="1440" w:gutter="0" w:footer="0" w:header="0"/>
        </w:sectPr>
      </w:pPr>
    </w:p>
    <w:bookmarkStart w:id="5" w:name="page6"/>
    <w:bookmarkEnd w:id="5"/>
    <w:p>
      <w:pPr>
        <w:jc w:val="center"/>
        <w:ind w:right="3019"/>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SEPTEMBER 30,</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3"/>
        </w:trPr>
        <w:tc>
          <w:tcPr>
            <w:tcW w:w="5620" w:type="dxa"/>
            <w:vAlign w:val="bottom"/>
          </w:tcPr>
          <w:p>
            <w:pPr>
              <w:spacing w:after="0"/>
              <w:rPr>
                <w:sz w:val="15"/>
                <w:szCs w:val="15"/>
                <w:color w:val="auto"/>
              </w:rPr>
            </w:pPr>
          </w:p>
        </w:tc>
        <w:tc>
          <w:tcPr>
            <w:tcW w:w="42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2002</w:t>
            </w:r>
          </w:p>
        </w:tc>
        <w:tc>
          <w:tcPr>
            <w:tcW w:w="360" w:type="dxa"/>
            <w:vAlign w:val="bottom"/>
          </w:tcPr>
          <w:p>
            <w:pPr>
              <w:spacing w:after="0"/>
              <w:rPr>
                <w:sz w:val="15"/>
                <w:szCs w:val="15"/>
                <w:color w:val="auto"/>
              </w:rPr>
            </w:pPr>
          </w:p>
        </w:tc>
        <w:tc>
          <w:tcPr>
            <w:tcW w:w="13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2001</w:t>
            </w:r>
          </w:p>
        </w:tc>
        <w:tc>
          <w:tcPr>
            <w:tcW w:w="140" w:type="dxa"/>
            <w:vAlign w:val="bottom"/>
          </w:tcPr>
          <w:p>
            <w:pPr>
              <w:spacing w:after="0"/>
              <w:rPr>
                <w:sz w:val="15"/>
                <w:szCs w:val="15"/>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5620" w:type="dxa"/>
            <w:vAlign w:val="bottom"/>
          </w:tcPr>
          <w:p>
            <w:pPr>
              <w:spacing w:after="0"/>
              <w:rPr>
                <w:sz w:val="15"/>
                <w:szCs w:val="15"/>
                <w:color w:val="auto"/>
              </w:rPr>
            </w:pP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56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5620" w:type="dxa"/>
            <w:vAlign w:val="bottom"/>
          </w:tcPr>
          <w:p>
            <w:pPr>
              <w:jc w:val="center"/>
              <w:ind w:right="4025"/>
              <w:spacing w:after="0"/>
              <w:rPr>
                <w:sz w:val="20"/>
                <w:szCs w:val="20"/>
                <w:color w:val="auto"/>
              </w:rPr>
            </w:pPr>
            <w:r>
              <w:rPr>
                <w:rFonts w:ascii="Courier New" w:cs="Courier New" w:eastAsia="Courier New" w:hAnsi="Courier New"/>
                <w:sz w:val="15"/>
                <w:szCs w:val="15"/>
                <w:color w:val="auto"/>
              </w:rPr>
              <w:t>License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153,664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171,430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124,822</w:t>
            </w:r>
          </w:p>
        </w:tc>
      </w:tr>
      <w:tr>
        <w:trPr>
          <w:trHeight w:val="173"/>
        </w:trPr>
        <w:tc>
          <w:tcPr>
            <w:tcW w:w="5620" w:type="dxa"/>
            <w:vAlign w:val="bottom"/>
          </w:tcPr>
          <w:p>
            <w:pPr>
              <w:jc w:val="center"/>
              <w:ind w:right="4025"/>
              <w:spacing w:after="0"/>
              <w:rPr>
                <w:sz w:val="20"/>
                <w:szCs w:val="20"/>
                <w:color w:val="auto"/>
              </w:rPr>
            </w:pPr>
            <w:r>
              <w:rPr>
                <w:rFonts w:ascii="Courier New" w:cs="Courier New" w:eastAsia="Courier New" w:hAnsi="Courier New"/>
                <w:sz w:val="15"/>
                <w:szCs w:val="15"/>
                <w:color w:val="auto"/>
              </w:rPr>
              <w:t>Service (*)</w:t>
            </w: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1,459,901</w:t>
            </w:r>
          </w:p>
        </w:tc>
        <w:tc>
          <w:tcPr>
            <w:tcW w:w="360" w:type="dxa"/>
            <w:vAlign w:val="bottom"/>
          </w:tcPr>
          <w:p>
            <w:pPr>
              <w:spacing w:after="0"/>
              <w:rPr>
                <w:sz w:val="15"/>
                <w:szCs w:val="15"/>
                <w:color w:val="auto"/>
              </w:rPr>
            </w:pP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1,362,480</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993,498</w:t>
            </w:r>
          </w:p>
        </w:tc>
      </w:tr>
      <w:tr>
        <w:trPr>
          <w:trHeight w:val="173"/>
        </w:trPr>
        <w:tc>
          <w:tcPr>
            <w:tcW w:w="5620" w:type="dxa"/>
            <w:vAlign w:val="bottom"/>
          </w:tcPr>
          <w:p>
            <w:pPr>
              <w:spacing w:after="0"/>
              <w:rPr>
                <w:sz w:val="15"/>
                <w:szCs w:val="15"/>
                <w:color w:val="auto"/>
              </w:rPr>
            </w:pP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1,613,565</w:t>
            </w:r>
          </w:p>
        </w:tc>
        <w:tc>
          <w:tcPr>
            <w:tcW w:w="360" w:type="dxa"/>
            <w:vAlign w:val="bottom"/>
          </w:tcPr>
          <w:p>
            <w:pPr>
              <w:spacing w:after="0"/>
              <w:rPr>
                <w:sz w:val="15"/>
                <w:szCs w:val="15"/>
                <w:color w:val="auto"/>
              </w:rPr>
            </w:pP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1,533,910</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1,118,320</w:t>
            </w:r>
          </w:p>
        </w:tc>
      </w:tr>
      <w:tr>
        <w:trPr>
          <w:trHeight w:val="173"/>
        </w:trPr>
        <w:tc>
          <w:tcPr>
            <w:tcW w:w="5620" w:type="dxa"/>
            <w:vAlign w:val="bottom"/>
          </w:tcPr>
          <w:p>
            <w:pPr>
              <w:spacing w:after="0"/>
              <w:rPr>
                <w:sz w:val="15"/>
                <w:szCs w:val="15"/>
                <w:color w:val="auto"/>
              </w:rPr>
            </w:pP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6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5620" w:type="dxa"/>
            <w:vAlign w:val="bottom"/>
          </w:tcPr>
          <w:p>
            <w:pPr>
              <w:ind w:left="360"/>
              <w:spacing w:after="0"/>
              <w:rPr>
                <w:sz w:val="20"/>
                <w:szCs w:val="20"/>
                <w:color w:val="auto"/>
              </w:rPr>
            </w:pPr>
            <w:r>
              <w:rPr>
                <w:rFonts w:ascii="Courier New" w:cs="Courier New" w:eastAsia="Courier New" w:hAnsi="Courier New"/>
                <w:sz w:val="15"/>
                <w:szCs w:val="15"/>
                <w:color w:val="auto"/>
              </w:rPr>
              <w:t>Cost of license</w:t>
            </w: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5,054</w:t>
            </w:r>
          </w:p>
        </w:tc>
        <w:tc>
          <w:tcPr>
            <w:tcW w:w="360" w:type="dxa"/>
            <w:vAlign w:val="bottom"/>
          </w:tcPr>
          <w:p>
            <w:pPr>
              <w:spacing w:after="0"/>
              <w:rPr>
                <w:sz w:val="15"/>
                <w:szCs w:val="15"/>
                <w:color w:val="auto"/>
              </w:rPr>
            </w:pP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5,651</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5,624</w:t>
            </w:r>
          </w:p>
        </w:tc>
      </w:tr>
      <w:tr>
        <w:trPr>
          <w:trHeight w:val="173"/>
        </w:trPr>
        <w:tc>
          <w:tcPr>
            <w:tcW w:w="5620" w:type="dxa"/>
            <w:vAlign w:val="bottom"/>
          </w:tcPr>
          <w:p>
            <w:pPr>
              <w:ind w:left="360"/>
              <w:spacing w:after="0"/>
              <w:rPr>
                <w:sz w:val="20"/>
                <w:szCs w:val="20"/>
                <w:color w:val="auto"/>
              </w:rPr>
            </w:pPr>
            <w:r>
              <w:rPr>
                <w:rFonts w:ascii="Courier New" w:cs="Courier New" w:eastAsia="Courier New" w:hAnsi="Courier New"/>
                <w:sz w:val="15"/>
                <w:szCs w:val="15"/>
                <w:color w:val="auto"/>
              </w:rPr>
              <w:t>Cost of service (*)</w:t>
            </w: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928,283</w:t>
            </w:r>
          </w:p>
        </w:tc>
        <w:tc>
          <w:tcPr>
            <w:tcW w:w="360" w:type="dxa"/>
            <w:vAlign w:val="bottom"/>
          </w:tcPr>
          <w:p>
            <w:pPr>
              <w:spacing w:after="0"/>
              <w:rPr>
                <w:sz w:val="15"/>
                <w:szCs w:val="15"/>
                <w:color w:val="auto"/>
              </w:rPr>
            </w:pP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847,591</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639,900</w:t>
            </w:r>
          </w:p>
        </w:tc>
      </w:tr>
      <w:tr>
        <w:trPr>
          <w:trHeight w:val="173"/>
        </w:trPr>
        <w:tc>
          <w:tcPr>
            <w:tcW w:w="5620" w:type="dxa"/>
            <w:vAlign w:val="bottom"/>
          </w:tcPr>
          <w:p>
            <w:pPr>
              <w:ind w:left="360"/>
              <w:spacing w:after="0"/>
              <w:rPr>
                <w:sz w:val="20"/>
                <w:szCs w:val="20"/>
                <w:color w:val="auto"/>
              </w:rPr>
            </w:pPr>
            <w:r>
              <w:rPr>
                <w:rFonts w:ascii="Courier New" w:cs="Courier New" w:eastAsia="Courier New" w:hAnsi="Courier New"/>
                <w:sz w:val="15"/>
                <w:szCs w:val="15"/>
                <w:color w:val="auto"/>
              </w:rPr>
              <w:t>Research and development</w:t>
            </w: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124,082</w:t>
            </w:r>
          </w:p>
        </w:tc>
        <w:tc>
          <w:tcPr>
            <w:tcW w:w="360" w:type="dxa"/>
            <w:vAlign w:val="bottom"/>
          </w:tcPr>
          <w:p>
            <w:pPr>
              <w:spacing w:after="0"/>
              <w:rPr>
                <w:sz w:val="15"/>
                <w:szCs w:val="15"/>
                <w:color w:val="auto"/>
              </w:rPr>
            </w:pP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105,807</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74,852</w:t>
            </w:r>
          </w:p>
        </w:tc>
      </w:tr>
      <w:tr>
        <w:trPr>
          <w:trHeight w:val="173"/>
        </w:trPr>
        <w:tc>
          <w:tcPr>
            <w:tcW w:w="5620" w:type="dxa"/>
            <w:vAlign w:val="bottom"/>
          </w:tcPr>
          <w:p>
            <w:pPr>
              <w:ind w:left="360"/>
              <w:spacing w:after="0"/>
              <w:rPr>
                <w:sz w:val="20"/>
                <w:szCs w:val="20"/>
                <w:color w:val="auto"/>
              </w:rPr>
            </w:pPr>
            <w:r>
              <w:rPr>
                <w:rFonts w:ascii="Courier New" w:cs="Courier New" w:eastAsia="Courier New" w:hAnsi="Courier New"/>
                <w:sz w:val="15"/>
                <w:szCs w:val="15"/>
                <w:color w:val="auto"/>
              </w:rPr>
              <w:t>Selling, general and administrative (*)</w:t>
            </w: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223,551</w:t>
            </w:r>
          </w:p>
        </w:tc>
        <w:tc>
          <w:tcPr>
            <w:tcW w:w="360" w:type="dxa"/>
            <w:vAlign w:val="bottom"/>
          </w:tcPr>
          <w:p>
            <w:pPr>
              <w:spacing w:after="0"/>
              <w:rPr>
                <w:sz w:val="15"/>
                <w:szCs w:val="15"/>
                <w:color w:val="auto"/>
              </w:rPr>
            </w:pP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195,592</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137,004</w:t>
            </w:r>
          </w:p>
        </w:tc>
      </w:tr>
      <w:tr>
        <w:trPr>
          <w:trHeight w:val="173"/>
        </w:trPr>
        <w:tc>
          <w:tcPr>
            <w:tcW w:w="5620" w:type="dxa"/>
            <w:vAlign w:val="bottom"/>
          </w:tcPr>
          <w:p>
            <w:pPr>
              <w:ind w:left="360"/>
              <w:spacing w:after="0"/>
              <w:rPr>
                <w:sz w:val="20"/>
                <w:szCs w:val="20"/>
                <w:color w:val="auto"/>
              </w:rPr>
            </w:pPr>
            <w:r>
              <w:rPr>
                <w:rFonts w:ascii="Courier New" w:cs="Courier New" w:eastAsia="Courier New" w:hAnsi="Courier New"/>
                <w:sz w:val="15"/>
                <w:szCs w:val="15"/>
                <w:color w:val="auto"/>
              </w:rPr>
              <w:t>Amortization of goodwill and purchased intangible assets</w:t>
            </w: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231,804</w:t>
            </w:r>
          </w:p>
        </w:tc>
        <w:tc>
          <w:tcPr>
            <w:tcW w:w="360" w:type="dxa"/>
            <w:vAlign w:val="bottom"/>
          </w:tcPr>
          <w:p>
            <w:pPr>
              <w:spacing w:after="0"/>
              <w:rPr>
                <w:sz w:val="15"/>
                <w:szCs w:val="15"/>
                <w:color w:val="auto"/>
              </w:rPr>
            </w:pP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219,988</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111,199</w:t>
            </w:r>
          </w:p>
        </w:tc>
      </w:tr>
      <w:tr>
        <w:trPr>
          <w:trHeight w:val="173"/>
        </w:trPr>
        <w:tc>
          <w:tcPr>
            <w:tcW w:w="5620" w:type="dxa"/>
            <w:vAlign w:val="bottom"/>
          </w:tcPr>
          <w:p>
            <w:pPr>
              <w:ind w:left="360"/>
              <w:spacing w:after="0"/>
              <w:rPr>
                <w:sz w:val="20"/>
                <w:szCs w:val="20"/>
                <w:color w:val="auto"/>
              </w:rPr>
            </w:pPr>
            <w:r>
              <w:rPr>
                <w:rFonts w:ascii="Courier New" w:cs="Courier New" w:eastAsia="Courier New" w:hAnsi="Courier New"/>
                <w:sz w:val="15"/>
                <w:szCs w:val="15"/>
                <w:color w:val="auto"/>
              </w:rPr>
              <w:t>Restructuring charges, in-process research and</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5620" w:type="dxa"/>
            <w:vAlign w:val="bottom"/>
          </w:tcPr>
          <w:p>
            <w:pPr>
              <w:ind w:left="540"/>
              <w:spacing w:after="0"/>
              <w:rPr>
                <w:sz w:val="20"/>
                <w:szCs w:val="20"/>
                <w:color w:val="auto"/>
              </w:rPr>
            </w:pPr>
            <w:r>
              <w:rPr>
                <w:rFonts w:ascii="Courier New" w:cs="Courier New" w:eastAsia="Courier New" w:hAnsi="Courier New"/>
                <w:sz w:val="15"/>
                <w:szCs w:val="15"/>
                <w:color w:val="auto"/>
              </w:rPr>
              <w:t>development and other indirect acquisition-related</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5620" w:type="dxa"/>
            <w:vAlign w:val="bottom"/>
          </w:tcPr>
          <w:p>
            <w:pPr>
              <w:jc w:val="center"/>
              <w:ind w:right="4025"/>
              <w:spacing w:after="0"/>
              <w:rPr>
                <w:sz w:val="20"/>
                <w:szCs w:val="20"/>
                <w:color w:val="auto"/>
              </w:rPr>
            </w:pPr>
            <w:r>
              <w:rPr>
                <w:rFonts w:ascii="Courier New" w:cs="Courier New" w:eastAsia="Courier New" w:hAnsi="Courier New"/>
                <w:sz w:val="15"/>
                <w:szCs w:val="15"/>
                <w:color w:val="auto"/>
                <w:w w:val="97"/>
              </w:rPr>
              <w:t>costs</w:t>
            </w: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51,630</w:t>
            </w:r>
          </w:p>
        </w:tc>
        <w:tc>
          <w:tcPr>
            <w:tcW w:w="360" w:type="dxa"/>
            <w:vAlign w:val="bottom"/>
          </w:tcPr>
          <w:p>
            <w:pPr>
              <w:spacing w:after="0"/>
              <w:rPr>
                <w:sz w:val="15"/>
                <w:szCs w:val="15"/>
                <w:color w:val="auto"/>
              </w:rPr>
            </w:pP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75,617</w:t>
            </w:r>
          </w:p>
        </w:tc>
      </w:tr>
      <w:tr>
        <w:trPr>
          <w:trHeight w:val="173"/>
        </w:trPr>
        <w:tc>
          <w:tcPr>
            <w:tcW w:w="5620" w:type="dxa"/>
            <w:vAlign w:val="bottom"/>
          </w:tcPr>
          <w:p>
            <w:pPr>
              <w:spacing w:after="0"/>
              <w:rPr>
                <w:sz w:val="15"/>
                <w:szCs w:val="15"/>
                <w:color w:val="auto"/>
              </w:rPr>
            </w:pP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1,564,404</w:t>
            </w:r>
          </w:p>
        </w:tc>
        <w:tc>
          <w:tcPr>
            <w:tcW w:w="360" w:type="dxa"/>
            <w:vAlign w:val="bottom"/>
          </w:tcPr>
          <w:p>
            <w:pPr>
              <w:spacing w:after="0"/>
              <w:rPr>
                <w:sz w:val="15"/>
                <w:szCs w:val="15"/>
                <w:color w:val="auto"/>
              </w:rPr>
            </w:pP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1,374,629</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1,044,196</w:t>
            </w:r>
          </w:p>
        </w:tc>
      </w:tr>
      <w:tr>
        <w:trPr>
          <w:trHeight w:val="173"/>
        </w:trPr>
        <w:tc>
          <w:tcPr>
            <w:tcW w:w="5620" w:type="dxa"/>
            <w:vAlign w:val="bottom"/>
          </w:tcPr>
          <w:p>
            <w:pPr>
              <w:spacing w:after="0"/>
              <w:rPr>
                <w:sz w:val="15"/>
                <w:szCs w:val="15"/>
                <w:color w:val="auto"/>
              </w:rPr>
            </w:pP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56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360" w:type="dxa"/>
            <w:vAlign w:val="bottom"/>
          </w:tcPr>
          <w:p>
            <w:pPr>
              <w:spacing w:after="0"/>
              <w:rPr>
                <w:sz w:val="24"/>
                <w:szCs w:val="24"/>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49,161</w:t>
            </w:r>
          </w:p>
        </w:tc>
        <w:tc>
          <w:tcPr>
            <w:tcW w:w="360" w:type="dxa"/>
            <w:vAlign w:val="bottom"/>
          </w:tcPr>
          <w:p>
            <w:pPr>
              <w:spacing w:after="0"/>
              <w:rPr>
                <w:sz w:val="24"/>
                <w:szCs w:val="24"/>
                <w:color w:val="auto"/>
              </w:rPr>
            </w:pP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159,281</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74,124</w:t>
            </w:r>
          </w:p>
        </w:tc>
      </w:tr>
      <w:tr>
        <w:trPr>
          <w:trHeight w:val="173"/>
        </w:trPr>
        <w:tc>
          <w:tcPr>
            <w:tcW w:w="562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 (*)</w:t>
            </w: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19,298</w:t>
            </w:r>
          </w:p>
        </w:tc>
        <w:tc>
          <w:tcPr>
            <w:tcW w:w="360" w:type="dxa"/>
            <w:vAlign w:val="bottom"/>
          </w:tcPr>
          <w:p>
            <w:pPr>
              <w:spacing w:after="0"/>
              <w:rPr>
                <w:sz w:val="15"/>
                <w:szCs w:val="15"/>
                <w:color w:val="auto"/>
              </w:rPr>
            </w:pP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22,286</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10,734</w:t>
            </w:r>
          </w:p>
        </w:tc>
      </w:tr>
      <w:tr>
        <w:trPr>
          <w:trHeight w:val="173"/>
        </w:trPr>
        <w:tc>
          <w:tcPr>
            <w:tcW w:w="5620" w:type="dxa"/>
            <w:vAlign w:val="bottom"/>
          </w:tcPr>
          <w:p>
            <w:pPr>
              <w:spacing w:after="0"/>
              <w:rPr>
                <w:sz w:val="15"/>
                <w:szCs w:val="15"/>
                <w:color w:val="auto"/>
              </w:rPr>
            </w:pP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562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360" w:type="dxa"/>
            <w:vAlign w:val="bottom"/>
          </w:tcPr>
          <w:p>
            <w:pPr>
              <w:spacing w:after="0"/>
              <w:rPr>
                <w:sz w:val="24"/>
                <w:szCs w:val="24"/>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68,459</w:t>
            </w:r>
          </w:p>
        </w:tc>
        <w:tc>
          <w:tcPr>
            <w:tcW w:w="360" w:type="dxa"/>
            <w:vAlign w:val="bottom"/>
          </w:tcPr>
          <w:p>
            <w:pPr>
              <w:spacing w:after="0"/>
              <w:rPr>
                <w:sz w:val="24"/>
                <w:szCs w:val="24"/>
                <w:color w:val="auto"/>
              </w:rPr>
            </w:pP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181,567</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84,858</w:t>
            </w:r>
          </w:p>
        </w:tc>
      </w:tr>
      <w:tr>
        <w:trPr>
          <w:trHeight w:val="173"/>
        </w:trPr>
        <w:tc>
          <w:tcPr>
            <w:tcW w:w="562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73,520</w:t>
            </w:r>
          </w:p>
        </w:tc>
        <w:tc>
          <w:tcPr>
            <w:tcW w:w="360" w:type="dxa"/>
            <w:vAlign w:val="bottom"/>
          </w:tcPr>
          <w:p>
            <w:pPr>
              <w:spacing w:after="0"/>
              <w:rPr>
                <w:sz w:val="15"/>
                <w:szCs w:val="15"/>
                <w:color w:val="auto"/>
              </w:rPr>
            </w:pP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115,181</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78,880</w:t>
            </w:r>
          </w:p>
        </w:tc>
      </w:tr>
      <w:tr>
        <w:trPr>
          <w:trHeight w:val="173"/>
        </w:trPr>
        <w:tc>
          <w:tcPr>
            <w:tcW w:w="5620" w:type="dxa"/>
            <w:vAlign w:val="bottom"/>
          </w:tcPr>
          <w:p>
            <w:pPr>
              <w:spacing w:after="0"/>
              <w:rPr>
                <w:sz w:val="15"/>
                <w:szCs w:val="15"/>
                <w:color w:val="auto"/>
              </w:rPr>
            </w:pP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5620" w:type="dxa"/>
            <w:vAlign w:val="bottom"/>
          </w:tcPr>
          <w:p>
            <w:pPr>
              <w:spacing w:after="0"/>
              <w:rPr>
                <w:sz w:val="20"/>
                <w:szCs w:val="20"/>
                <w:color w:val="auto"/>
              </w:rPr>
            </w:pPr>
            <w:r>
              <w:rPr>
                <w:rFonts w:ascii="Courier New" w:cs="Courier New" w:eastAsia="Courier New" w:hAnsi="Courier New"/>
                <w:sz w:val="15"/>
                <w:szCs w:val="15"/>
                <w:color w:val="auto"/>
              </w:rPr>
              <w:t>Net (loss) income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(5,061)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66,386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5,978</w:t>
            </w:r>
          </w:p>
        </w:tc>
      </w:tr>
      <w:tr>
        <w:trPr>
          <w:trHeight w:val="173"/>
        </w:trPr>
        <w:tc>
          <w:tcPr>
            <w:tcW w:w="5620" w:type="dxa"/>
            <w:vAlign w:val="bottom"/>
          </w:tcPr>
          <w:p>
            <w:pPr>
              <w:spacing w:after="0"/>
              <w:rPr>
                <w:sz w:val="15"/>
                <w:szCs w:val="15"/>
                <w:color w:val="auto"/>
              </w:rPr>
            </w:pP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5620" w:type="dxa"/>
            <w:vAlign w:val="bottom"/>
          </w:tcPr>
          <w:p>
            <w:pPr>
              <w:spacing w:after="0"/>
              <w:rPr>
                <w:sz w:val="20"/>
                <w:szCs w:val="20"/>
                <w:color w:val="auto"/>
              </w:rPr>
            </w:pPr>
            <w:r>
              <w:rPr>
                <w:rFonts w:ascii="Courier New" w:cs="Courier New" w:eastAsia="Courier New" w:hAnsi="Courier New"/>
                <w:sz w:val="15"/>
                <w:szCs w:val="15"/>
                <w:color w:val="auto"/>
              </w:rPr>
              <w:t>Basic (loss) earnings per share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0.30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r>
      <w:tr>
        <w:trPr>
          <w:trHeight w:val="173"/>
        </w:trPr>
        <w:tc>
          <w:tcPr>
            <w:tcW w:w="5620" w:type="dxa"/>
            <w:vAlign w:val="bottom"/>
          </w:tcPr>
          <w:p>
            <w:pPr>
              <w:spacing w:after="0"/>
              <w:rPr>
                <w:sz w:val="15"/>
                <w:szCs w:val="15"/>
                <w:color w:val="auto"/>
              </w:rPr>
            </w:pP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5620" w:type="dxa"/>
            <w:vAlign w:val="bottom"/>
          </w:tcPr>
          <w:p>
            <w:pPr>
              <w:spacing w:after="0"/>
              <w:rPr>
                <w:sz w:val="20"/>
                <w:szCs w:val="20"/>
                <w:color w:val="auto"/>
              </w:rPr>
            </w:pPr>
            <w:r>
              <w:rPr>
                <w:rFonts w:ascii="Courier New" w:cs="Courier New" w:eastAsia="Courier New" w:hAnsi="Courier New"/>
                <w:sz w:val="15"/>
                <w:szCs w:val="15"/>
                <w:color w:val="auto"/>
              </w:rPr>
              <w:t>Diluted (loss) earnings per share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0.29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r>
      <w:tr>
        <w:trPr>
          <w:trHeight w:val="173"/>
        </w:trPr>
        <w:tc>
          <w:tcPr>
            <w:tcW w:w="5620" w:type="dxa"/>
            <w:vAlign w:val="bottom"/>
          </w:tcPr>
          <w:p>
            <w:pPr>
              <w:spacing w:after="0"/>
              <w:rPr>
                <w:sz w:val="15"/>
                <w:szCs w:val="15"/>
                <w:color w:val="auto"/>
              </w:rPr>
            </w:pP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562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 shares outstanding</w:t>
            </w:r>
          </w:p>
        </w:tc>
        <w:tc>
          <w:tcPr>
            <w:tcW w:w="360" w:type="dxa"/>
            <w:vAlign w:val="bottom"/>
          </w:tcPr>
          <w:p>
            <w:pPr>
              <w:spacing w:after="0"/>
              <w:rPr>
                <w:sz w:val="24"/>
                <w:szCs w:val="24"/>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220,361</w:t>
            </w:r>
          </w:p>
        </w:tc>
        <w:tc>
          <w:tcPr>
            <w:tcW w:w="360" w:type="dxa"/>
            <w:vAlign w:val="bottom"/>
          </w:tcPr>
          <w:p>
            <w:pPr>
              <w:spacing w:after="0"/>
              <w:rPr>
                <w:sz w:val="24"/>
                <w:szCs w:val="24"/>
                <w:color w:val="auto"/>
              </w:rPr>
            </w:pP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222,002</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212,005</w:t>
            </w:r>
          </w:p>
        </w:tc>
      </w:tr>
      <w:tr>
        <w:trPr>
          <w:trHeight w:val="173"/>
        </w:trPr>
        <w:tc>
          <w:tcPr>
            <w:tcW w:w="5620" w:type="dxa"/>
            <w:vAlign w:val="bottom"/>
          </w:tcPr>
          <w:p>
            <w:pPr>
              <w:spacing w:after="0"/>
              <w:rPr>
                <w:sz w:val="15"/>
                <w:szCs w:val="15"/>
                <w:color w:val="auto"/>
              </w:rPr>
            </w:pP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562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shares outstanding</w:t>
            </w:r>
          </w:p>
        </w:tc>
        <w:tc>
          <w:tcPr>
            <w:tcW w:w="360" w:type="dxa"/>
            <w:vAlign w:val="bottom"/>
          </w:tcPr>
          <w:p>
            <w:pPr>
              <w:spacing w:after="0"/>
              <w:rPr>
                <w:sz w:val="24"/>
                <w:szCs w:val="24"/>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220,361</w:t>
            </w:r>
          </w:p>
        </w:tc>
        <w:tc>
          <w:tcPr>
            <w:tcW w:w="360" w:type="dxa"/>
            <w:vAlign w:val="bottom"/>
          </w:tcPr>
          <w:p>
            <w:pPr>
              <w:spacing w:after="0"/>
              <w:rPr>
                <w:sz w:val="24"/>
                <w:szCs w:val="24"/>
                <w:color w:val="auto"/>
              </w:rPr>
            </w:pP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226,832</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216,935</w:t>
            </w:r>
          </w:p>
        </w:tc>
      </w:tr>
      <w:tr>
        <w:trPr>
          <w:trHeight w:val="173"/>
        </w:trPr>
        <w:tc>
          <w:tcPr>
            <w:tcW w:w="5620" w:type="dxa"/>
            <w:vAlign w:val="bottom"/>
          </w:tcPr>
          <w:p>
            <w:pPr>
              <w:spacing w:after="0"/>
              <w:rPr>
                <w:sz w:val="15"/>
                <w:szCs w:val="15"/>
                <w:color w:val="auto"/>
              </w:rPr>
            </w:pP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See Note 4.</w:t>
      </w:r>
    </w:p>
    <w:p>
      <w:pPr>
        <w:spacing w:after="0" w:line="35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consolidated financial statements.</w:t>
      </w:r>
    </w:p>
    <w:p>
      <w:pPr>
        <w:sectPr>
          <w:pgSz w:w="11900" w:h="16838" w:orient="portrait"/>
          <w:cols w:equalWidth="0" w:num="1">
            <w:col w:w="10219"/>
          </w:cols>
          <w:pgMar w:left="240" w:top="464" w:right="1440" w:bottom="1440" w:gutter="0" w:footer="0" w:header="0"/>
        </w:sectPr>
      </w:pPr>
    </w:p>
    <w:bookmarkStart w:id="6" w:name="page7"/>
    <w:bookmarkEnd w:id="6"/>
    <w:p>
      <w:pPr>
        <w:jc w:val="center"/>
        <w:ind w:right="3980"/>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5"/>
          <w:szCs w:val="15"/>
          <w:color w:val="auto"/>
        </w:rPr>
        <w:t>CONSOLIDATED STATEMENTS OF CHANGES IN SHAREHOLDERS' EQUITY</w:t>
      </w:r>
    </w:p>
    <w:p>
      <w:pPr>
        <w:spacing w:after="0" w:line="3"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6"/>
              </w:rPr>
              <w:t>Accumulated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3"/>
        </w:trPr>
        <w:tc>
          <w:tcPr>
            <w:tcW w:w="2420" w:type="dxa"/>
            <w:vAlign w:val="bottom"/>
          </w:tcPr>
          <w:p>
            <w:pPr>
              <w:spacing w:after="0"/>
              <w:rPr>
                <w:sz w:val="15"/>
                <w:szCs w:val="15"/>
                <w:color w:val="auto"/>
              </w:rPr>
            </w:pPr>
          </w:p>
        </w:tc>
        <w:tc>
          <w:tcPr>
            <w:tcW w:w="1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Ordinary Shares</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Additional</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Total</w:t>
            </w:r>
          </w:p>
        </w:tc>
      </w:tr>
      <w:tr>
        <w:trPr>
          <w:trHeight w:val="173"/>
        </w:trPr>
        <w:tc>
          <w:tcPr>
            <w:tcW w:w="2420" w:type="dxa"/>
            <w:vAlign w:val="bottom"/>
          </w:tcPr>
          <w:p>
            <w:pPr>
              <w:spacing w:after="0"/>
              <w:rPr>
                <w:sz w:val="15"/>
                <w:szCs w:val="15"/>
                <w:color w:val="auto"/>
              </w:rPr>
            </w:pPr>
          </w:p>
        </w:tc>
        <w:tc>
          <w:tcPr>
            <w:tcW w:w="1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Paid-in</w:t>
            </w:r>
          </w:p>
        </w:tc>
        <w:tc>
          <w:tcPr>
            <w:tcW w:w="10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Treasury</w:t>
            </w:r>
          </w:p>
        </w:tc>
        <w:tc>
          <w:tcPr>
            <w:tcW w:w="1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Comprehensive</w:t>
            </w:r>
          </w:p>
        </w:tc>
        <w:tc>
          <w:tcPr>
            <w:tcW w:w="18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Unearned</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Accumulated</w:t>
            </w:r>
          </w:p>
        </w:tc>
        <w:tc>
          <w:tcPr>
            <w:tcW w:w="1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Shareholders'</w:t>
            </w:r>
          </w:p>
        </w:tc>
      </w:tr>
      <w:tr>
        <w:trPr>
          <w:trHeight w:val="173"/>
        </w:trPr>
        <w:tc>
          <w:tcPr>
            <w:tcW w:w="242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Shares</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Amount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Capital</w:t>
            </w:r>
          </w:p>
        </w:tc>
        <w:tc>
          <w:tcPr>
            <w:tcW w:w="180" w:type="dxa"/>
            <w:vAlign w:val="bottom"/>
          </w:tcPr>
          <w:p>
            <w:pPr>
              <w:spacing w:after="0"/>
              <w:rPr>
                <w:sz w:val="15"/>
                <w:szCs w:val="15"/>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7"/>
              </w:rPr>
              <w:t>Stock</w:t>
            </w:r>
          </w:p>
        </w:tc>
        <w:tc>
          <w:tcPr>
            <w:tcW w:w="140" w:type="dxa"/>
            <w:vAlign w:val="bottom"/>
          </w:tcPr>
          <w:p>
            <w:pPr>
              <w:spacing w:after="0"/>
              <w:rPr>
                <w:sz w:val="15"/>
                <w:szCs w:val="15"/>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Income</w:t>
            </w:r>
          </w:p>
        </w:tc>
        <w:tc>
          <w:tcPr>
            <w:tcW w:w="1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Compensation</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Deficit</w:t>
            </w:r>
          </w:p>
        </w:tc>
        <w:tc>
          <w:tcPr>
            <w:tcW w:w="24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Equity</w:t>
            </w:r>
          </w:p>
        </w:tc>
      </w:tr>
      <w:tr>
        <w:trPr>
          <w:trHeight w:val="173"/>
        </w:trPr>
        <w:tc>
          <w:tcPr>
            <w:tcW w:w="2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(Loss)</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24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w:t>
            </w:r>
          </w:p>
        </w:tc>
        <w:tc>
          <w:tcPr>
            <w:tcW w:w="2400" w:type="dxa"/>
            <w:vAlign w:val="bottom"/>
            <w:gridSpan w:val="4"/>
          </w:tcPr>
          <w:p>
            <w:pPr>
              <w:jc w:val="right"/>
              <w:ind w:right="65"/>
              <w:spacing w:after="0"/>
              <w:rPr>
                <w:sz w:val="20"/>
                <w:szCs w:val="20"/>
                <w:color w:val="auto"/>
              </w:rPr>
            </w:pPr>
            <w:r>
              <w:rPr>
                <w:rFonts w:ascii="Courier New" w:cs="Courier New" w:eastAsia="Courier New" w:hAnsi="Courier New"/>
                <w:sz w:val="15"/>
                <w:szCs w:val="15"/>
                <w:color w:val="auto"/>
              </w:rPr>
              <w:t>---------  -------------</w:t>
            </w: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2420" w:type="dxa"/>
            <w:vAlign w:val="bottom"/>
          </w:tcPr>
          <w:p>
            <w:pPr>
              <w:spacing w:after="0"/>
              <w:rPr>
                <w:sz w:val="20"/>
                <w:szCs w:val="20"/>
                <w:color w:val="auto"/>
              </w:rPr>
            </w:pPr>
            <w:r>
              <w:rPr>
                <w:rFonts w:ascii="Courier New" w:cs="Courier New" w:eastAsia="Courier New" w:hAnsi="Courier New"/>
                <w:sz w:val="15"/>
                <w:szCs w:val="15"/>
                <w:color w:val="auto"/>
              </w:rPr>
              <w:t>BALANCE AS OF OCTOBER 1,</w:t>
            </w: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198,800</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$3,181</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489,099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(1,157)</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(3,830)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  (363,556)</w:t>
            </w:r>
          </w:p>
        </w:tc>
        <w:tc>
          <w:tcPr>
            <w:tcW w:w="2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123,737</w:t>
            </w: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242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5,978</w:t>
            </w:r>
          </w:p>
        </w:tc>
        <w:tc>
          <w:tcPr>
            <w:tcW w:w="2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5,978</w:t>
            </w:r>
          </w:p>
        </w:tc>
      </w:tr>
      <w:tr>
        <w:trPr>
          <w:trHeight w:val="173"/>
        </w:trPr>
        <w:tc>
          <w:tcPr>
            <w:tcW w:w="2420" w:type="dxa"/>
            <w:vAlign w:val="bottom"/>
          </w:tcPr>
          <w:p>
            <w:pPr>
              <w:ind w:left="180"/>
              <w:spacing w:after="0"/>
              <w:rPr>
                <w:sz w:val="20"/>
                <w:szCs w:val="20"/>
                <w:color w:val="auto"/>
              </w:rPr>
            </w:pPr>
            <w:r>
              <w:rPr>
                <w:rFonts w:ascii="Courier New" w:cs="Courier New" w:eastAsia="Courier New" w:hAnsi="Courier New"/>
                <w:sz w:val="15"/>
                <w:szCs w:val="15"/>
                <w:color w:val="auto"/>
              </w:rPr>
              <w:t>Decrease in unrealized</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2420" w:type="dxa"/>
            <w:vAlign w:val="bottom"/>
          </w:tcPr>
          <w:p>
            <w:pPr>
              <w:ind w:left="440"/>
              <w:spacing w:after="0"/>
              <w:rPr>
                <w:sz w:val="20"/>
                <w:szCs w:val="20"/>
                <w:color w:val="auto"/>
              </w:rPr>
            </w:pPr>
            <w:r>
              <w:rPr>
                <w:rFonts w:ascii="Courier New" w:cs="Courier New" w:eastAsia="Courier New" w:hAnsi="Courier New"/>
                <w:sz w:val="15"/>
                <w:szCs w:val="15"/>
                <w:color w:val="auto"/>
              </w:rPr>
              <w:t>loss on derivative</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2420" w:type="dxa"/>
            <w:vAlign w:val="bottom"/>
          </w:tcPr>
          <w:p>
            <w:pPr>
              <w:ind w:left="440"/>
              <w:spacing w:after="0"/>
              <w:rPr>
                <w:sz w:val="20"/>
                <w:szCs w:val="20"/>
                <w:color w:val="auto"/>
              </w:rPr>
            </w:pPr>
            <w:r>
              <w:rPr>
                <w:rFonts w:ascii="Courier New" w:cs="Courier New" w:eastAsia="Courier New" w:hAnsi="Courier New"/>
                <w:sz w:val="15"/>
                <w:szCs w:val="15"/>
                <w:color w:val="auto"/>
              </w:rPr>
              <w:t>instruments, net of</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2420" w:type="dxa"/>
            <w:vAlign w:val="bottom"/>
          </w:tcPr>
          <w:p>
            <w:pPr>
              <w:ind w:left="440"/>
              <w:spacing w:after="0"/>
              <w:rPr>
                <w:sz w:val="20"/>
                <w:szCs w:val="20"/>
                <w:color w:val="auto"/>
              </w:rPr>
            </w:pPr>
            <w:r>
              <w:rPr>
                <w:rFonts w:ascii="Courier New" w:cs="Courier New" w:eastAsia="Courier New" w:hAnsi="Courier New"/>
                <w:sz w:val="15"/>
                <w:szCs w:val="15"/>
                <w:color w:val="auto"/>
              </w:rPr>
              <w:t>$1,000 tax</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2,333</w:t>
            </w:r>
          </w:p>
        </w:tc>
        <w:tc>
          <w:tcPr>
            <w:tcW w:w="18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2,333</w:t>
            </w:r>
          </w:p>
        </w:tc>
      </w:tr>
      <w:tr>
        <w:trPr>
          <w:trHeight w:val="173"/>
        </w:trPr>
        <w:tc>
          <w:tcPr>
            <w:tcW w:w="2420" w:type="dxa"/>
            <w:vAlign w:val="bottom"/>
          </w:tcPr>
          <w:p>
            <w:pPr>
              <w:ind w:left="180"/>
              <w:spacing w:after="0"/>
              <w:rPr>
                <w:sz w:val="20"/>
                <w:szCs w:val="20"/>
                <w:color w:val="auto"/>
              </w:rPr>
            </w:pPr>
            <w:r>
              <w:rPr>
                <w:rFonts w:ascii="Courier New" w:cs="Courier New" w:eastAsia="Courier New" w:hAnsi="Courier New"/>
                <w:sz w:val="15"/>
                <w:szCs w:val="15"/>
                <w:color w:val="auto"/>
              </w:rPr>
              <w:t>Increase in unrealized</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2420" w:type="dxa"/>
            <w:vAlign w:val="bottom"/>
          </w:tcPr>
          <w:p>
            <w:pPr>
              <w:ind w:left="440"/>
              <w:spacing w:after="0"/>
              <w:rPr>
                <w:sz w:val="20"/>
                <w:szCs w:val="20"/>
                <w:color w:val="auto"/>
              </w:rPr>
            </w:pPr>
            <w:r>
              <w:rPr>
                <w:rFonts w:ascii="Courier New" w:cs="Courier New" w:eastAsia="Courier New" w:hAnsi="Courier New"/>
                <w:sz w:val="15"/>
                <w:szCs w:val="15"/>
                <w:color w:val="auto"/>
              </w:rPr>
              <w:t>loss on cash</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2420" w:type="dxa"/>
            <w:vAlign w:val="bottom"/>
          </w:tcPr>
          <w:p>
            <w:pPr>
              <w:ind w:left="440"/>
              <w:spacing w:after="0"/>
              <w:rPr>
                <w:sz w:val="20"/>
                <w:szCs w:val="20"/>
                <w:color w:val="auto"/>
              </w:rPr>
            </w:pPr>
            <w:r>
              <w:rPr>
                <w:rFonts w:ascii="Courier New" w:cs="Courier New" w:eastAsia="Courier New" w:hAnsi="Courier New"/>
                <w:sz w:val="15"/>
                <w:szCs w:val="15"/>
                <w:color w:val="auto"/>
              </w:rPr>
              <w:t>equivalents income,</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2420" w:type="dxa"/>
            <w:vAlign w:val="bottom"/>
          </w:tcPr>
          <w:p>
            <w:pPr>
              <w:ind w:left="440"/>
              <w:spacing w:after="0"/>
              <w:rPr>
                <w:sz w:val="20"/>
                <w:szCs w:val="20"/>
                <w:color w:val="auto"/>
              </w:rPr>
            </w:pPr>
            <w:r>
              <w:rPr>
                <w:rFonts w:ascii="Courier New" w:cs="Courier New" w:eastAsia="Courier New" w:hAnsi="Courier New"/>
                <w:sz w:val="15"/>
                <w:szCs w:val="15"/>
                <w:color w:val="auto"/>
              </w:rPr>
              <w:t>net of $(7) tax</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18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3"/>
        </w:trPr>
        <w:tc>
          <w:tcPr>
            <w:tcW w:w="2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2420" w:type="dxa"/>
            <w:vAlign w:val="bottom"/>
          </w:tcPr>
          <w:p>
            <w:pPr>
              <w:ind w:left="180"/>
              <w:spacing w:after="0"/>
              <w:rPr>
                <w:sz w:val="20"/>
                <w:szCs w:val="20"/>
                <w:color w:val="auto"/>
              </w:rPr>
            </w:pPr>
            <w:r>
              <w:rPr>
                <w:rFonts w:ascii="Courier New" w:cs="Courier New" w:eastAsia="Courier New" w:hAnsi="Courier New"/>
                <w:sz w:val="15"/>
                <w:szCs w:val="15"/>
                <w:color w:val="auto"/>
              </w:rPr>
              <w:t>Comprehensive income</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8,294</w:t>
            </w:r>
          </w:p>
        </w:tc>
      </w:tr>
      <w:tr>
        <w:trPr>
          <w:trHeight w:val="173"/>
        </w:trPr>
        <w:tc>
          <w:tcPr>
            <w:tcW w:w="2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rPr>
              <w:t>Employee stock options</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2420" w:type="dxa"/>
            <w:vAlign w:val="bottom"/>
          </w:tcPr>
          <w:p>
            <w:pPr>
              <w:ind w:left="260"/>
              <w:spacing w:after="0"/>
              <w:rPr>
                <w:sz w:val="20"/>
                <w:szCs w:val="20"/>
                <w:color w:val="auto"/>
              </w:rPr>
            </w:pPr>
            <w:r>
              <w:rPr>
                <w:rFonts w:ascii="Courier New" w:cs="Courier New" w:eastAsia="Courier New" w:hAnsi="Courier New"/>
                <w:sz w:val="15"/>
                <w:szCs w:val="15"/>
                <w:color w:val="auto"/>
              </w:rPr>
              <w:t>exercised</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2,058</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21,327</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21,360</w:t>
            </w: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rPr>
              <w:t>Tax benefit of stock</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2420" w:type="dxa"/>
            <w:vAlign w:val="bottom"/>
          </w:tcPr>
          <w:p>
            <w:pPr>
              <w:ind w:left="260"/>
              <w:spacing w:after="0"/>
              <w:rPr>
                <w:sz w:val="20"/>
                <w:szCs w:val="20"/>
                <w:color w:val="auto"/>
              </w:rPr>
            </w:pPr>
            <w:r>
              <w:rPr>
                <w:rFonts w:ascii="Courier New" w:cs="Courier New" w:eastAsia="Courier New" w:hAnsi="Courier New"/>
                <w:sz w:val="15"/>
                <w:szCs w:val="15"/>
                <w:color w:val="auto"/>
              </w:rPr>
              <w:t>options exercised</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10,825</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10,825</w:t>
            </w: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rPr>
              <w:t>Issuance of Ordinary</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2420" w:type="dxa"/>
            <w:vAlign w:val="bottom"/>
          </w:tcPr>
          <w:p>
            <w:pPr>
              <w:ind w:left="260"/>
              <w:spacing w:after="0"/>
              <w:rPr>
                <w:sz w:val="20"/>
                <w:szCs w:val="20"/>
                <w:color w:val="auto"/>
              </w:rPr>
            </w:pPr>
            <w:r>
              <w:rPr>
                <w:rFonts w:ascii="Courier New" w:cs="Courier New" w:eastAsia="Courier New" w:hAnsi="Courier New"/>
                <w:sz w:val="15"/>
                <w:szCs w:val="15"/>
                <w:color w:val="auto"/>
              </w:rPr>
              <w:t>Shares related to</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2420" w:type="dxa"/>
            <w:vAlign w:val="bottom"/>
          </w:tcPr>
          <w:p>
            <w:pPr>
              <w:ind w:left="260"/>
              <w:spacing w:after="0"/>
              <w:rPr>
                <w:sz w:val="20"/>
                <w:szCs w:val="20"/>
                <w:color w:val="auto"/>
              </w:rPr>
            </w:pPr>
            <w:r>
              <w:rPr>
                <w:rFonts w:ascii="Courier New" w:cs="Courier New" w:eastAsia="Courier New" w:hAnsi="Courier New"/>
                <w:sz w:val="15"/>
                <w:szCs w:val="15"/>
                <w:color w:val="auto"/>
              </w:rPr>
              <w:t>acquisitions, net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20,307</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325</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1,263,330</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1,263,655</w:t>
            </w: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rPr>
              <w:t>Stock options granted</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235</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235</w:t>
            </w: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rPr>
              <w:t>Amortization of unearned</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2420" w:type="dxa"/>
            <w:vAlign w:val="bottom"/>
          </w:tcPr>
          <w:p>
            <w:pPr>
              <w:ind w:left="260"/>
              <w:spacing w:after="0"/>
              <w:rPr>
                <w:sz w:val="20"/>
                <w:szCs w:val="20"/>
                <w:color w:val="auto"/>
              </w:rPr>
            </w:pPr>
            <w:r>
              <w:rPr>
                <w:rFonts w:ascii="Courier New" w:cs="Courier New" w:eastAsia="Courier New" w:hAnsi="Courier New"/>
                <w:sz w:val="15"/>
                <w:szCs w:val="15"/>
                <w:color w:val="auto"/>
              </w:rPr>
              <w:t>compensation</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2,666</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2,666</w:t>
            </w:r>
          </w:p>
        </w:tc>
      </w:tr>
      <w:tr>
        <w:trPr>
          <w:trHeight w:val="173"/>
        </w:trPr>
        <w:tc>
          <w:tcPr>
            <w:tcW w:w="24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w:t>
            </w:r>
          </w:p>
        </w:tc>
        <w:tc>
          <w:tcPr>
            <w:tcW w:w="2400" w:type="dxa"/>
            <w:vAlign w:val="bottom"/>
            <w:gridSpan w:val="4"/>
          </w:tcPr>
          <w:p>
            <w:pPr>
              <w:jc w:val="right"/>
              <w:ind w:right="65"/>
              <w:spacing w:after="0"/>
              <w:rPr>
                <w:sz w:val="20"/>
                <w:szCs w:val="20"/>
                <w:color w:val="auto"/>
              </w:rPr>
            </w:pPr>
            <w:r>
              <w:rPr>
                <w:rFonts w:ascii="Courier New" w:cs="Courier New" w:eastAsia="Courier New" w:hAnsi="Courier New"/>
                <w:sz w:val="15"/>
                <w:szCs w:val="15"/>
                <w:color w:val="auto"/>
              </w:rPr>
              <w:t>---------  -------------</w:t>
            </w: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rPr>
              <w:t>BALANCE AS OF SEPTEMBER</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2420" w:type="dxa"/>
            <w:vAlign w:val="bottom"/>
          </w:tcPr>
          <w:p>
            <w:pPr>
              <w:ind w:left="260"/>
              <w:spacing w:after="0"/>
              <w:rPr>
                <w:sz w:val="20"/>
                <w:szCs w:val="20"/>
                <w:color w:val="auto"/>
              </w:rPr>
            </w:pPr>
            <w:r>
              <w:rPr>
                <w:rFonts w:ascii="Courier New" w:cs="Courier New" w:eastAsia="Courier New" w:hAnsi="Courier New"/>
                <w:sz w:val="15"/>
                <w:szCs w:val="15"/>
                <w:color w:val="auto"/>
              </w:rPr>
              <w:t>30, 2000</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221,165</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3,539</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1,784,816</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1,159</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(1,164)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(357,578)</w:t>
            </w:r>
          </w:p>
        </w:tc>
        <w:tc>
          <w:tcPr>
            <w:tcW w:w="2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1,430,772</w:t>
            </w: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242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66,386</w:t>
            </w:r>
          </w:p>
        </w:tc>
        <w:tc>
          <w:tcPr>
            <w:tcW w:w="2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66,386</w:t>
            </w:r>
          </w:p>
        </w:tc>
      </w:tr>
      <w:tr>
        <w:trPr>
          <w:trHeight w:val="173"/>
        </w:trPr>
        <w:tc>
          <w:tcPr>
            <w:tcW w:w="2420" w:type="dxa"/>
            <w:vAlign w:val="bottom"/>
          </w:tcPr>
          <w:p>
            <w:pPr>
              <w:ind w:left="180"/>
              <w:spacing w:after="0"/>
              <w:rPr>
                <w:sz w:val="20"/>
                <w:szCs w:val="20"/>
                <w:color w:val="auto"/>
              </w:rPr>
            </w:pPr>
            <w:r>
              <w:rPr>
                <w:rFonts w:ascii="Courier New" w:cs="Courier New" w:eastAsia="Courier New" w:hAnsi="Courier New"/>
                <w:sz w:val="15"/>
                <w:szCs w:val="15"/>
                <w:color w:val="auto"/>
              </w:rPr>
              <w:t>Decrease in unrealized</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2420" w:type="dxa"/>
            <w:vAlign w:val="bottom"/>
          </w:tcPr>
          <w:p>
            <w:pPr>
              <w:ind w:left="440"/>
              <w:spacing w:after="0"/>
              <w:rPr>
                <w:sz w:val="20"/>
                <w:szCs w:val="20"/>
                <w:color w:val="auto"/>
              </w:rPr>
            </w:pPr>
            <w:r>
              <w:rPr>
                <w:rFonts w:ascii="Courier New" w:cs="Courier New" w:eastAsia="Courier New" w:hAnsi="Courier New"/>
                <w:sz w:val="15"/>
                <w:szCs w:val="15"/>
                <w:color w:val="auto"/>
              </w:rPr>
              <w:t>gain on derivatives,</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2420" w:type="dxa"/>
            <w:vAlign w:val="bottom"/>
          </w:tcPr>
          <w:p>
            <w:pPr>
              <w:ind w:left="440"/>
              <w:spacing w:after="0"/>
              <w:rPr>
                <w:sz w:val="20"/>
                <w:szCs w:val="20"/>
                <w:color w:val="auto"/>
              </w:rPr>
            </w:pPr>
            <w:r>
              <w:rPr>
                <w:rFonts w:ascii="Courier New" w:cs="Courier New" w:eastAsia="Courier New" w:hAnsi="Courier New"/>
                <w:sz w:val="15"/>
                <w:szCs w:val="15"/>
                <w:color w:val="auto"/>
              </w:rPr>
              <w:t>net of $(3,891) tax</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(9,078)</w:t>
            </w:r>
          </w:p>
        </w:tc>
        <w:tc>
          <w:tcPr>
            <w:tcW w:w="18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(9,078)</w:t>
            </w:r>
          </w:p>
        </w:tc>
      </w:tr>
      <w:tr>
        <w:trPr>
          <w:trHeight w:val="173"/>
        </w:trPr>
        <w:tc>
          <w:tcPr>
            <w:tcW w:w="2420" w:type="dxa"/>
            <w:vAlign w:val="bottom"/>
          </w:tcPr>
          <w:p>
            <w:pPr>
              <w:ind w:left="180"/>
              <w:spacing w:after="0"/>
              <w:rPr>
                <w:sz w:val="20"/>
                <w:szCs w:val="20"/>
                <w:color w:val="auto"/>
              </w:rPr>
            </w:pPr>
            <w:r>
              <w:rPr>
                <w:rFonts w:ascii="Courier New" w:cs="Courier New" w:eastAsia="Courier New" w:hAnsi="Courier New"/>
                <w:sz w:val="15"/>
                <w:szCs w:val="15"/>
                <w:color w:val="auto"/>
              </w:rPr>
              <w:t>Increase in unrealized</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2420" w:type="dxa"/>
            <w:vAlign w:val="bottom"/>
          </w:tcPr>
          <w:p>
            <w:pPr>
              <w:ind w:left="440"/>
              <w:spacing w:after="0"/>
              <w:rPr>
                <w:sz w:val="20"/>
                <w:szCs w:val="20"/>
                <w:color w:val="auto"/>
              </w:rPr>
            </w:pPr>
            <w:r>
              <w:rPr>
                <w:rFonts w:ascii="Courier New" w:cs="Courier New" w:eastAsia="Courier New" w:hAnsi="Courier New"/>
                <w:sz w:val="15"/>
                <w:szCs w:val="15"/>
                <w:color w:val="auto"/>
              </w:rPr>
              <w:t>gain on cash</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2420" w:type="dxa"/>
            <w:vAlign w:val="bottom"/>
          </w:tcPr>
          <w:p>
            <w:pPr>
              <w:ind w:left="440"/>
              <w:spacing w:after="0"/>
              <w:rPr>
                <w:sz w:val="20"/>
                <w:szCs w:val="20"/>
                <w:color w:val="auto"/>
              </w:rPr>
            </w:pPr>
            <w:r>
              <w:rPr>
                <w:rFonts w:ascii="Courier New" w:cs="Courier New" w:eastAsia="Courier New" w:hAnsi="Courier New"/>
                <w:sz w:val="15"/>
                <w:szCs w:val="15"/>
                <w:color w:val="auto"/>
              </w:rPr>
              <w:t>equivalents and</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2420" w:type="dxa"/>
            <w:vAlign w:val="bottom"/>
          </w:tcPr>
          <w:p>
            <w:pPr>
              <w:ind w:left="440"/>
              <w:spacing w:after="0"/>
              <w:rPr>
                <w:sz w:val="20"/>
                <w:szCs w:val="20"/>
                <w:color w:val="auto"/>
              </w:rPr>
            </w:pPr>
            <w:r>
              <w:rPr>
                <w:rFonts w:ascii="Courier New" w:cs="Courier New" w:eastAsia="Courier New" w:hAnsi="Courier New"/>
                <w:sz w:val="15"/>
                <w:szCs w:val="15"/>
                <w:color w:val="auto"/>
              </w:rPr>
              <w:t>short-term interest-</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2420" w:type="dxa"/>
            <w:vAlign w:val="bottom"/>
          </w:tcPr>
          <w:p>
            <w:pPr>
              <w:ind w:left="440"/>
              <w:spacing w:after="0"/>
              <w:rPr>
                <w:sz w:val="20"/>
                <w:szCs w:val="20"/>
                <w:color w:val="auto"/>
              </w:rPr>
            </w:pPr>
            <w:r>
              <w:rPr>
                <w:rFonts w:ascii="Courier New" w:cs="Courier New" w:eastAsia="Courier New" w:hAnsi="Courier New"/>
                <w:sz w:val="15"/>
                <w:szCs w:val="15"/>
                <w:color w:val="auto"/>
              </w:rPr>
              <w:t>bearing investments,</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2420" w:type="dxa"/>
            <w:vAlign w:val="bottom"/>
          </w:tcPr>
          <w:p>
            <w:pPr>
              <w:ind w:left="440"/>
              <w:spacing w:after="0"/>
              <w:rPr>
                <w:sz w:val="20"/>
                <w:szCs w:val="20"/>
                <w:color w:val="auto"/>
              </w:rPr>
            </w:pPr>
            <w:r>
              <w:rPr>
                <w:rFonts w:ascii="Courier New" w:cs="Courier New" w:eastAsia="Courier New" w:hAnsi="Courier New"/>
                <w:sz w:val="15"/>
                <w:szCs w:val="15"/>
                <w:color w:val="auto"/>
              </w:rPr>
              <w:t>net of $659 tax</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1,537</w:t>
            </w:r>
          </w:p>
        </w:tc>
        <w:tc>
          <w:tcPr>
            <w:tcW w:w="18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1,537</w:t>
            </w:r>
          </w:p>
        </w:tc>
      </w:tr>
      <w:tr>
        <w:trPr>
          <w:trHeight w:val="173"/>
        </w:trPr>
        <w:tc>
          <w:tcPr>
            <w:tcW w:w="2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2420" w:type="dxa"/>
            <w:vAlign w:val="bottom"/>
          </w:tcPr>
          <w:p>
            <w:pPr>
              <w:ind w:left="180"/>
              <w:spacing w:after="0"/>
              <w:rPr>
                <w:sz w:val="20"/>
                <w:szCs w:val="20"/>
                <w:color w:val="auto"/>
              </w:rPr>
            </w:pPr>
            <w:r>
              <w:rPr>
                <w:rFonts w:ascii="Courier New" w:cs="Courier New" w:eastAsia="Courier New" w:hAnsi="Courier New"/>
                <w:sz w:val="15"/>
                <w:szCs w:val="15"/>
                <w:color w:val="auto"/>
              </w:rPr>
              <w:t>Comprehensive income</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58,845</w:t>
            </w:r>
          </w:p>
        </w:tc>
      </w:tr>
      <w:tr>
        <w:trPr>
          <w:trHeight w:val="173"/>
        </w:trPr>
        <w:tc>
          <w:tcPr>
            <w:tcW w:w="2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rPr>
              <w:t>Employee stock options</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2420" w:type="dxa"/>
            <w:vAlign w:val="bottom"/>
          </w:tcPr>
          <w:p>
            <w:pPr>
              <w:ind w:left="260"/>
              <w:spacing w:after="0"/>
              <w:rPr>
                <w:sz w:val="20"/>
                <w:szCs w:val="20"/>
                <w:color w:val="auto"/>
              </w:rPr>
            </w:pPr>
            <w:r>
              <w:rPr>
                <w:rFonts w:ascii="Courier New" w:cs="Courier New" w:eastAsia="Courier New" w:hAnsi="Courier New"/>
                <w:sz w:val="15"/>
                <w:szCs w:val="15"/>
                <w:color w:val="auto"/>
              </w:rPr>
              <w:t>exercised</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1,463</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13,946</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13,967</w:t>
            </w: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rPr>
              <w:t>Tax benefit of stock</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2420" w:type="dxa"/>
            <w:vAlign w:val="bottom"/>
          </w:tcPr>
          <w:p>
            <w:pPr>
              <w:ind w:left="260"/>
              <w:spacing w:after="0"/>
              <w:rPr>
                <w:sz w:val="20"/>
                <w:szCs w:val="20"/>
                <w:color w:val="auto"/>
              </w:rPr>
            </w:pPr>
            <w:r>
              <w:rPr>
                <w:rFonts w:ascii="Courier New" w:cs="Courier New" w:eastAsia="Courier New" w:hAnsi="Courier New"/>
                <w:sz w:val="15"/>
                <w:szCs w:val="15"/>
                <w:color w:val="auto"/>
              </w:rPr>
              <w:t>options exercised</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7,345</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7,345</w:t>
            </w: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rPr>
              <w:t>Stock options granted</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183</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183</w:t>
            </w: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rPr>
              <w:t>Amortization of unearned</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2420" w:type="dxa"/>
            <w:vAlign w:val="bottom"/>
          </w:tcPr>
          <w:p>
            <w:pPr>
              <w:ind w:left="260"/>
              <w:spacing w:after="0"/>
              <w:rPr>
                <w:sz w:val="20"/>
                <w:szCs w:val="20"/>
                <w:color w:val="auto"/>
              </w:rPr>
            </w:pPr>
            <w:r>
              <w:rPr>
                <w:rFonts w:ascii="Courier New" w:cs="Courier New" w:eastAsia="Courier New" w:hAnsi="Courier New"/>
                <w:sz w:val="15"/>
                <w:szCs w:val="15"/>
                <w:color w:val="auto"/>
              </w:rPr>
              <w:t>compensation</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979</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979</w:t>
            </w:r>
          </w:p>
        </w:tc>
      </w:tr>
      <w:tr>
        <w:trPr>
          <w:trHeight w:val="173"/>
        </w:trPr>
        <w:tc>
          <w:tcPr>
            <w:tcW w:w="24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w:t>
            </w:r>
          </w:p>
        </w:tc>
        <w:tc>
          <w:tcPr>
            <w:tcW w:w="2400" w:type="dxa"/>
            <w:vAlign w:val="bottom"/>
            <w:gridSpan w:val="4"/>
          </w:tcPr>
          <w:p>
            <w:pPr>
              <w:jc w:val="right"/>
              <w:ind w:right="65"/>
              <w:spacing w:after="0"/>
              <w:rPr>
                <w:sz w:val="20"/>
                <w:szCs w:val="20"/>
                <w:color w:val="auto"/>
              </w:rPr>
            </w:pPr>
            <w:r>
              <w:rPr>
                <w:rFonts w:ascii="Courier New" w:cs="Courier New" w:eastAsia="Courier New" w:hAnsi="Courier New"/>
                <w:sz w:val="15"/>
                <w:szCs w:val="15"/>
                <w:color w:val="auto"/>
              </w:rPr>
              <w:t>---------  -------------</w:t>
            </w: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rPr>
              <w:t>BALANCE AS OF SEPTEMBER</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2420" w:type="dxa"/>
            <w:vAlign w:val="bottom"/>
          </w:tcPr>
          <w:p>
            <w:pPr>
              <w:ind w:left="260"/>
              <w:spacing w:after="0"/>
              <w:rPr>
                <w:sz w:val="20"/>
                <w:szCs w:val="20"/>
                <w:color w:val="auto"/>
              </w:rPr>
            </w:pPr>
            <w:r>
              <w:rPr>
                <w:rFonts w:ascii="Courier New" w:cs="Courier New" w:eastAsia="Courier New" w:hAnsi="Courier New"/>
                <w:sz w:val="15"/>
                <w:szCs w:val="15"/>
                <w:color w:val="auto"/>
              </w:rPr>
              <w:t>30, 2001</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222,628</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3,560</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1,806,290</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(6,382)</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(185)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(291,192)</w:t>
            </w:r>
          </w:p>
        </w:tc>
        <w:tc>
          <w:tcPr>
            <w:tcW w:w="2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1,512,091</w:t>
            </w: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2420" w:type="dxa"/>
            <w:vAlign w:val="bottom"/>
          </w:tcPr>
          <w:p>
            <w:pPr>
              <w:ind w:left="180"/>
              <w:spacing w:after="0"/>
              <w:rPr>
                <w:sz w:val="20"/>
                <w:szCs w:val="20"/>
                <w:color w:val="auto"/>
              </w:rPr>
            </w:pPr>
            <w:r>
              <w:rPr>
                <w:rFonts w:ascii="Courier New" w:cs="Courier New" w:eastAsia="Courier New" w:hAnsi="Courier New"/>
                <w:sz w:val="15"/>
                <w:szCs w:val="15"/>
                <w:color w:val="auto"/>
              </w:rPr>
              <w:t>Net loss</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(5,061)</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(5,061)</w:t>
            </w:r>
          </w:p>
        </w:tc>
      </w:tr>
      <w:tr>
        <w:trPr>
          <w:trHeight w:val="173"/>
        </w:trPr>
        <w:tc>
          <w:tcPr>
            <w:tcW w:w="2420" w:type="dxa"/>
            <w:vAlign w:val="bottom"/>
          </w:tcPr>
          <w:p>
            <w:pPr>
              <w:ind w:left="180"/>
              <w:spacing w:after="0"/>
              <w:rPr>
                <w:sz w:val="20"/>
                <w:szCs w:val="20"/>
                <w:color w:val="auto"/>
              </w:rPr>
            </w:pPr>
            <w:r>
              <w:rPr>
                <w:rFonts w:ascii="Courier New" w:cs="Courier New" w:eastAsia="Courier New" w:hAnsi="Courier New"/>
                <w:sz w:val="15"/>
                <w:szCs w:val="15"/>
                <w:color w:val="auto"/>
              </w:rPr>
              <w:t>Decrease in unrealized</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2420" w:type="dxa"/>
            <w:vAlign w:val="bottom"/>
          </w:tcPr>
          <w:p>
            <w:pPr>
              <w:ind w:left="440"/>
              <w:spacing w:after="0"/>
              <w:rPr>
                <w:sz w:val="20"/>
                <w:szCs w:val="20"/>
                <w:color w:val="auto"/>
              </w:rPr>
            </w:pPr>
            <w:r>
              <w:rPr>
                <w:rFonts w:ascii="Courier New" w:cs="Courier New" w:eastAsia="Courier New" w:hAnsi="Courier New"/>
                <w:sz w:val="15"/>
                <w:szCs w:val="15"/>
                <w:color w:val="auto"/>
              </w:rPr>
              <w:t>loss on foreign</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2420" w:type="dxa"/>
            <w:vAlign w:val="bottom"/>
          </w:tcPr>
          <w:p>
            <w:pPr>
              <w:ind w:left="440"/>
              <w:spacing w:after="0"/>
              <w:rPr>
                <w:sz w:val="20"/>
                <w:szCs w:val="20"/>
                <w:color w:val="auto"/>
              </w:rPr>
            </w:pPr>
            <w:r>
              <w:rPr>
                <w:rFonts w:ascii="Courier New" w:cs="Courier New" w:eastAsia="Courier New" w:hAnsi="Courier New"/>
                <w:sz w:val="15"/>
                <w:szCs w:val="15"/>
                <w:color w:val="auto"/>
              </w:rPr>
              <w:t>currency hedging</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2420" w:type="dxa"/>
            <w:vAlign w:val="bottom"/>
          </w:tcPr>
          <w:p>
            <w:pPr>
              <w:ind w:left="440"/>
              <w:spacing w:after="0"/>
              <w:rPr>
                <w:sz w:val="20"/>
                <w:szCs w:val="20"/>
                <w:color w:val="auto"/>
              </w:rPr>
            </w:pPr>
            <w:r>
              <w:rPr>
                <w:rFonts w:ascii="Courier New" w:cs="Courier New" w:eastAsia="Courier New" w:hAnsi="Courier New"/>
                <w:sz w:val="15"/>
                <w:szCs w:val="15"/>
                <w:color w:val="auto"/>
              </w:rPr>
              <w:t>contracts, net of</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2420" w:type="dxa"/>
            <w:vAlign w:val="bottom"/>
          </w:tcPr>
          <w:p>
            <w:pPr>
              <w:ind w:left="440"/>
              <w:spacing w:after="0"/>
              <w:rPr>
                <w:sz w:val="20"/>
                <w:szCs w:val="20"/>
                <w:color w:val="auto"/>
              </w:rPr>
            </w:pPr>
            <w:r>
              <w:rPr>
                <w:rFonts w:ascii="Courier New" w:cs="Courier New" w:eastAsia="Courier New" w:hAnsi="Courier New"/>
                <w:sz w:val="15"/>
                <w:szCs w:val="15"/>
                <w:color w:val="auto"/>
              </w:rPr>
              <w:t>$1,357 tax</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2,682</w:t>
            </w:r>
          </w:p>
        </w:tc>
        <w:tc>
          <w:tcPr>
            <w:tcW w:w="18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2,682</w:t>
            </w:r>
          </w:p>
        </w:tc>
      </w:tr>
      <w:tr>
        <w:trPr>
          <w:trHeight w:val="173"/>
        </w:trPr>
        <w:tc>
          <w:tcPr>
            <w:tcW w:w="2420" w:type="dxa"/>
            <w:vAlign w:val="bottom"/>
          </w:tcPr>
          <w:p>
            <w:pPr>
              <w:ind w:left="180"/>
              <w:spacing w:after="0"/>
              <w:rPr>
                <w:sz w:val="20"/>
                <w:szCs w:val="20"/>
                <w:color w:val="auto"/>
              </w:rPr>
            </w:pPr>
            <w:r>
              <w:rPr>
                <w:rFonts w:ascii="Courier New" w:cs="Courier New" w:eastAsia="Courier New" w:hAnsi="Courier New"/>
                <w:sz w:val="15"/>
                <w:szCs w:val="15"/>
                <w:color w:val="auto"/>
              </w:rPr>
              <w:t>Decrease in unrealized</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2420" w:type="dxa"/>
            <w:vAlign w:val="bottom"/>
          </w:tcPr>
          <w:p>
            <w:pPr>
              <w:ind w:left="440"/>
              <w:spacing w:after="0"/>
              <w:rPr>
                <w:sz w:val="20"/>
                <w:szCs w:val="20"/>
                <w:color w:val="auto"/>
              </w:rPr>
            </w:pPr>
            <w:r>
              <w:rPr>
                <w:rFonts w:ascii="Courier New" w:cs="Courier New" w:eastAsia="Courier New" w:hAnsi="Courier New"/>
                <w:sz w:val="15"/>
                <w:szCs w:val="15"/>
                <w:color w:val="auto"/>
              </w:rPr>
              <w:t>loss on cash</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2420" w:type="dxa"/>
            <w:vAlign w:val="bottom"/>
          </w:tcPr>
          <w:p>
            <w:pPr>
              <w:ind w:left="440"/>
              <w:spacing w:after="0"/>
              <w:rPr>
                <w:sz w:val="20"/>
                <w:szCs w:val="20"/>
                <w:color w:val="auto"/>
              </w:rPr>
            </w:pPr>
            <w:r>
              <w:rPr>
                <w:rFonts w:ascii="Courier New" w:cs="Courier New" w:eastAsia="Courier New" w:hAnsi="Courier New"/>
                <w:sz w:val="15"/>
                <w:szCs w:val="15"/>
                <w:color w:val="auto"/>
              </w:rPr>
              <w:t>equivalents and</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2420" w:type="dxa"/>
            <w:vAlign w:val="bottom"/>
          </w:tcPr>
          <w:p>
            <w:pPr>
              <w:ind w:left="440"/>
              <w:spacing w:after="0"/>
              <w:rPr>
                <w:sz w:val="20"/>
                <w:szCs w:val="20"/>
                <w:color w:val="auto"/>
              </w:rPr>
            </w:pPr>
            <w:r>
              <w:rPr>
                <w:rFonts w:ascii="Courier New" w:cs="Courier New" w:eastAsia="Courier New" w:hAnsi="Courier New"/>
                <w:sz w:val="15"/>
                <w:szCs w:val="15"/>
                <w:color w:val="auto"/>
              </w:rPr>
              <w:t>short-term interest-</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2420" w:type="dxa"/>
            <w:vAlign w:val="bottom"/>
          </w:tcPr>
          <w:p>
            <w:pPr>
              <w:ind w:left="440"/>
              <w:spacing w:after="0"/>
              <w:rPr>
                <w:sz w:val="20"/>
                <w:szCs w:val="20"/>
                <w:color w:val="auto"/>
              </w:rPr>
            </w:pPr>
            <w:r>
              <w:rPr>
                <w:rFonts w:ascii="Courier New" w:cs="Courier New" w:eastAsia="Courier New" w:hAnsi="Courier New"/>
                <w:sz w:val="15"/>
                <w:szCs w:val="15"/>
                <w:color w:val="auto"/>
              </w:rPr>
              <w:t>bearing investments,</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2420" w:type="dxa"/>
            <w:vAlign w:val="bottom"/>
          </w:tcPr>
          <w:p>
            <w:pPr>
              <w:ind w:left="440"/>
              <w:spacing w:after="0"/>
              <w:rPr>
                <w:sz w:val="20"/>
                <w:szCs w:val="20"/>
                <w:color w:val="auto"/>
              </w:rPr>
            </w:pPr>
            <w:r>
              <w:rPr>
                <w:rFonts w:ascii="Courier New" w:cs="Courier New" w:eastAsia="Courier New" w:hAnsi="Courier New"/>
                <w:sz w:val="15"/>
                <w:szCs w:val="15"/>
                <w:color w:val="auto"/>
              </w:rPr>
              <w:t>net of $1,336 tax</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3,592</w:t>
            </w:r>
          </w:p>
        </w:tc>
        <w:tc>
          <w:tcPr>
            <w:tcW w:w="18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3,592</w:t>
            </w:r>
          </w:p>
        </w:tc>
      </w:tr>
      <w:tr>
        <w:trPr>
          <w:trHeight w:val="173"/>
        </w:trPr>
        <w:tc>
          <w:tcPr>
            <w:tcW w:w="2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2420" w:type="dxa"/>
            <w:vAlign w:val="bottom"/>
          </w:tcPr>
          <w:p>
            <w:pPr>
              <w:ind w:left="180"/>
              <w:spacing w:after="0"/>
              <w:rPr>
                <w:sz w:val="20"/>
                <w:szCs w:val="20"/>
                <w:color w:val="auto"/>
              </w:rPr>
            </w:pPr>
            <w:r>
              <w:rPr>
                <w:rFonts w:ascii="Courier New" w:cs="Courier New" w:eastAsia="Courier New" w:hAnsi="Courier New"/>
                <w:sz w:val="15"/>
                <w:szCs w:val="15"/>
                <w:color w:val="auto"/>
              </w:rPr>
              <w:t>Comprehensive income</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1,213</w:t>
            </w:r>
          </w:p>
        </w:tc>
      </w:tr>
      <w:tr>
        <w:trPr>
          <w:trHeight w:val="173"/>
        </w:trPr>
        <w:tc>
          <w:tcPr>
            <w:tcW w:w="2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rPr>
              <w:t>Employee stock options</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2420" w:type="dxa"/>
            <w:vAlign w:val="bottom"/>
          </w:tcPr>
          <w:p>
            <w:pPr>
              <w:ind w:left="260"/>
              <w:spacing w:after="0"/>
              <w:rPr>
                <w:sz w:val="20"/>
                <w:szCs w:val="20"/>
                <w:color w:val="auto"/>
              </w:rPr>
            </w:pPr>
            <w:r>
              <w:rPr>
                <w:rFonts w:ascii="Courier New" w:cs="Courier New" w:eastAsia="Courier New" w:hAnsi="Courier New"/>
                <w:sz w:val="15"/>
                <w:szCs w:val="15"/>
                <w:color w:val="auto"/>
              </w:rPr>
              <w:t>exercised</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687</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5,149</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5,161</w:t>
            </w: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rPr>
              <w:t>Tax benefit of stock</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2420" w:type="dxa"/>
            <w:vAlign w:val="bottom"/>
          </w:tcPr>
          <w:p>
            <w:pPr>
              <w:ind w:left="260"/>
              <w:spacing w:after="0"/>
              <w:rPr>
                <w:sz w:val="20"/>
                <w:szCs w:val="20"/>
                <w:color w:val="auto"/>
              </w:rPr>
            </w:pPr>
            <w:r>
              <w:rPr>
                <w:rFonts w:ascii="Courier New" w:cs="Courier New" w:eastAsia="Courier New" w:hAnsi="Courier New"/>
                <w:sz w:val="15"/>
                <w:szCs w:val="15"/>
                <w:color w:val="auto"/>
              </w:rPr>
              <w:t>options exercised</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6,808</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6,808</w:t>
            </w: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rPr>
              <w:t>Expense related to vesting</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2420" w:type="dxa"/>
            <w:vAlign w:val="bottom"/>
          </w:tcPr>
          <w:p>
            <w:pPr>
              <w:ind w:left="260"/>
              <w:spacing w:after="0"/>
              <w:rPr>
                <w:sz w:val="20"/>
                <w:szCs w:val="20"/>
                <w:color w:val="auto"/>
              </w:rPr>
            </w:pPr>
            <w:r>
              <w:rPr>
                <w:rFonts w:ascii="Courier New" w:cs="Courier New" w:eastAsia="Courier New" w:hAnsi="Courier New"/>
                <w:sz w:val="15"/>
                <w:szCs w:val="15"/>
                <w:color w:val="auto"/>
              </w:rPr>
              <w:t>of stock options</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98</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w:t>
            </w: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rPr>
              <w:t>Repurchase of shares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(7,732)</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(109,281)</w:t>
            </w:r>
          </w:p>
        </w:tc>
        <w:tc>
          <w:tcPr>
            <w:tcW w:w="14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(109,281)</w:t>
            </w: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rPr>
              <w:t>Amortization of unearned</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2420" w:type="dxa"/>
            <w:vAlign w:val="bottom"/>
          </w:tcPr>
          <w:p>
            <w:pPr>
              <w:ind w:left="260"/>
              <w:spacing w:after="0"/>
              <w:rPr>
                <w:sz w:val="20"/>
                <w:szCs w:val="20"/>
                <w:color w:val="auto"/>
              </w:rPr>
            </w:pPr>
            <w:r>
              <w:rPr>
                <w:rFonts w:ascii="Courier New" w:cs="Courier New" w:eastAsia="Courier New" w:hAnsi="Courier New"/>
                <w:sz w:val="15"/>
                <w:szCs w:val="15"/>
                <w:color w:val="auto"/>
              </w:rPr>
              <w:t>compensation</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185</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185</w:t>
            </w:r>
          </w:p>
        </w:tc>
      </w:tr>
      <w:tr>
        <w:trPr>
          <w:trHeight w:val="173"/>
        </w:trPr>
        <w:tc>
          <w:tcPr>
            <w:tcW w:w="24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w:t>
            </w:r>
          </w:p>
        </w:tc>
        <w:tc>
          <w:tcPr>
            <w:tcW w:w="2400" w:type="dxa"/>
            <w:vAlign w:val="bottom"/>
            <w:gridSpan w:val="4"/>
          </w:tcPr>
          <w:p>
            <w:pPr>
              <w:jc w:val="right"/>
              <w:ind w:right="65"/>
              <w:spacing w:after="0"/>
              <w:rPr>
                <w:sz w:val="20"/>
                <w:szCs w:val="20"/>
                <w:color w:val="auto"/>
              </w:rPr>
            </w:pPr>
            <w:r>
              <w:rPr>
                <w:rFonts w:ascii="Courier New" w:cs="Courier New" w:eastAsia="Courier New" w:hAnsi="Courier New"/>
                <w:sz w:val="15"/>
                <w:szCs w:val="15"/>
                <w:color w:val="auto"/>
              </w:rPr>
              <w:t>---------  -------------</w:t>
            </w: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rPr>
              <w:t>BALANCE AS OF SEPTEMBER</w:t>
            </w: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bl>
    <w:p>
      <w:pPr>
        <w:sectPr>
          <w:pgSz w:w="11900" w:h="16838" w:orient="portrait"/>
          <w:cols w:equalWidth="0" w:num="1">
            <w:col w:w="11180"/>
          </w:cols>
          <w:pgMar w:left="240" w:top="464" w:right="479" w:bottom="0" w:gutter="0" w:footer="0" w:header="0"/>
        </w:sectPr>
      </w:pPr>
    </w:p>
    <w:bookmarkStart w:id="7" w:name="page8"/>
    <w:bookmarkEnd w:id="7"/>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1500" w:type="dxa"/>
            <w:vAlign w:val="bottom"/>
          </w:tcPr>
          <w:p>
            <w:pPr>
              <w:jc w:val="right"/>
              <w:ind w:right="705"/>
              <w:spacing w:after="0"/>
              <w:rPr>
                <w:sz w:val="20"/>
                <w:szCs w:val="20"/>
                <w:color w:val="auto"/>
              </w:rPr>
            </w:pPr>
            <w:r>
              <w:rPr>
                <w:rFonts w:ascii="Courier New" w:cs="Courier New" w:eastAsia="Courier New" w:hAnsi="Courier New"/>
                <w:sz w:val="15"/>
                <w:szCs w:val="15"/>
                <w:color w:val="auto"/>
                <w:w w:val="97"/>
              </w:rPr>
              <w:t>30, 2002</w:t>
            </w:r>
          </w:p>
        </w:tc>
        <w:tc>
          <w:tcPr>
            <w:tcW w:w="14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215,583</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$3,572</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$1,818,345</w:t>
            </w:r>
          </w:p>
        </w:tc>
        <w:tc>
          <w:tcPr>
            <w:tcW w:w="1040" w:type="dxa"/>
            <w:vAlign w:val="bottom"/>
          </w:tcPr>
          <w:p>
            <w:pPr>
              <w:ind w:left="100"/>
              <w:spacing w:after="0"/>
              <w:rPr>
                <w:sz w:val="20"/>
                <w:szCs w:val="20"/>
                <w:color w:val="auto"/>
              </w:rPr>
            </w:pPr>
            <w:r>
              <w:rPr>
                <w:rFonts w:ascii="Courier New" w:cs="Courier New" w:eastAsia="Courier New" w:hAnsi="Courier New"/>
                <w:sz w:val="15"/>
                <w:szCs w:val="15"/>
                <w:color w:val="auto"/>
              </w:rPr>
              <w:t>$(109,281)</w:t>
            </w:r>
          </w:p>
        </w:tc>
        <w:tc>
          <w:tcPr>
            <w:tcW w:w="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c>
          <w:tcPr>
            <w:tcW w:w="5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100"/>
              <w:spacing w:after="0"/>
              <w:rPr>
                <w:sz w:val="20"/>
                <w:szCs w:val="20"/>
                <w:color w:val="auto"/>
              </w:rPr>
            </w:pPr>
            <w:r>
              <w:rPr>
                <w:rFonts w:ascii="Courier New" w:cs="Courier New" w:eastAsia="Courier New" w:hAnsi="Courier New"/>
                <w:sz w:val="15"/>
                <w:szCs w:val="15"/>
                <w:color w:val="auto"/>
              </w:rPr>
              <w:t>$  (296,253)</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   1,416,275</w:t>
            </w:r>
          </w:p>
        </w:tc>
      </w:tr>
      <w:tr>
        <w:trPr>
          <w:trHeight w:val="173"/>
        </w:trPr>
        <w:tc>
          <w:tcPr>
            <w:tcW w:w="1500" w:type="dxa"/>
            <w:vAlign w:val="bottom"/>
          </w:tcPr>
          <w:p>
            <w:pPr>
              <w:spacing w:after="0"/>
              <w:rPr>
                <w:sz w:val="15"/>
                <w:szCs w:val="15"/>
                <w:color w:val="auto"/>
              </w:rPr>
            </w:pPr>
          </w:p>
        </w:tc>
        <w:tc>
          <w:tcPr>
            <w:tcW w:w="14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September 30, 2002, 2001 and 2000, accumulated other comprehensive income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(loss) is comprised of unrealized gain (loss) on derivatives, net of tax,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$(5,220), $(7,902) and $1,176 and unrealized gain (loss) on cash equivalents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short-term interest-bearing investments, net of tax, of $5,112, $1,520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 as of September 30, 2002, 2001 and 2000, respectively.</w:t>
      </w:r>
    </w:p>
    <w:p>
      <w:pPr>
        <w:spacing w:after="0" w:line="177" w:lineRule="exact"/>
        <w:rPr>
          <w:sz w:val="20"/>
          <w:szCs w:val="20"/>
          <w:color w:val="auto"/>
        </w:rPr>
      </w:pPr>
    </w:p>
    <w:p>
      <w:pPr>
        <w:jc w:val="center"/>
        <w:ind w:right="3880"/>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3" w:lineRule="exact"/>
        <w:rPr>
          <w:sz w:val="20"/>
          <w:szCs w:val="20"/>
          <w:color w:val="auto"/>
        </w:rPr>
      </w:pPr>
    </w:p>
    <w:p>
      <w:pPr>
        <w:jc w:val="center"/>
        <w:ind w:right="3880"/>
        <w:spacing w:after="0"/>
        <w:rPr>
          <w:sz w:val="20"/>
          <w:szCs w:val="20"/>
          <w:color w:val="auto"/>
        </w:rPr>
      </w:pPr>
      <w:r>
        <w:rPr>
          <w:rFonts w:ascii="Courier New" w:cs="Courier New" w:eastAsia="Courier New" w:hAnsi="Courier New"/>
          <w:sz w:val="15"/>
          <w:szCs w:val="15"/>
          <w:color w:val="auto"/>
        </w:rPr>
        <w:t>consolidated financial statements.</w:t>
      </w:r>
    </w:p>
    <w:p>
      <w:pPr>
        <w:sectPr>
          <w:pgSz w:w="11900" w:h="16838" w:orient="portrait"/>
          <w:cols w:equalWidth="0" w:num="1">
            <w:col w:w="11080"/>
          </w:cols>
          <w:pgMar w:left="240" w:top="141" w:right="579" w:bottom="1440" w:gutter="0" w:footer="0" w:header="0"/>
        </w:sectPr>
      </w:pPr>
    </w:p>
    <w:bookmarkStart w:id="8" w:name="page9"/>
    <w:bookmarkEnd w:id="8"/>
    <w:p>
      <w:pPr>
        <w:jc w:val="center"/>
        <w:ind w:right="3019"/>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ind w:left="2960"/>
              <w:spacing w:after="0"/>
              <w:rPr>
                <w:sz w:val="20"/>
                <w:szCs w:val="20"/>
                <w:color w:val="auto"/>
              </w:rPr>
            </w:pPr>
            <w:r>
              <w:rPr>
                <w:rFonts w:ascii="Courier New" w:cs="Courier New" w:eastAsia="Courier New" w:hAnsi="Courier New"/>
                <w:sz w:val="15"/>
                <w:szCs w:val="15"/>
                <w:color w:val="auto"/>
              </w:rPr>
              <w:t>(IN THOUSANDS)</w:t>
            </w: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867"/>
        </w:trPr>
        <w:tc>
          <w:tcPr>
            <w:tcW w:w="4900" w:type="dxa"/>
            <w:vAlign w:val="bottom"/>
          </w:tcPr>
          <w:p>
            <w:pPr>
              <w:spacing w:after="0"/>
              <w:rPr>
                <w:sz w:val="24"/>
                <w:szCs w:val="24"/>
                <w:color w:val="auto"/>
              </w:rPr>
            </w:pPr>
          </w:p>
        </w:tc>
        <w:tc>
          <w:tcPr>
            <w:tcW w:w="3840" w:type="dxa"/>
            <w:vAlign w:val="bottom"/>
            <w:gridSpan w:val="3"/>
          </w:tcPr>
          <w:p>
            <w:pPr>
              <w:jc w:val="right"/>
              <w:ind w:right="745"/>
              <w:spacing w:after="0"/>
              <w:rPr>
                <w:sz w:val="20"/>
                <w:szCs w:val="20"/>
                <w:color w:val="auto"/>
              </w:rPr>
            </w:pPr>
            <w:r>
              <w:rPr>
                <w:rFonts w:ascii="Courier New" w:cs="Courier New" w:eastAsia="Courier New" w:hAnsi="Courier New"/>
                <w:sz w:val="15"/>
                <w:szCs w:val="15"/>
                <w:color w:val="auto"/>
              </w:rPr>
              <w:t>YEAR ENDED SEPTEMBER 30,</w:t>
            </w:r>
          </w:p>
        </w:tc>
      </w:tr>
      <w:tr>
        <w:trPr>
          <w:trHeight w:val="173"/>
        </w:trPr>
        <w:tc>
          <w:tcPr>
            <w:tcW w:w="4900" w:type="dxa"/>
            <w:vAlign w:val="bottom"/>
          </w:tcPr>
          <w:p>
            <w:pPr>
              <w:spacing w:after="0"/>
              <w:rPr>
                <w:sz w:val="15"/>
                <w:szCs w:val="15"/>
                <w:color w:val="auto"/>
              </w:rPr>
            </w:pPr>
          </w:p>
        </w:tc>
        <w:tc>
          <w:tcPr>
            <w:tcW w:w="384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900" w:type="dxa"/>
            <w:vAlign w:val="bottom"/>
          </w:tcPr>
          <w:p>
            <w:pPr>
              <w:spacing w:after="0"/>
              <w:rPr>
                <w:sz w:val="15"/>
                <w:szCs w:val="15"/>
                <w:color w:val="auto"/>
              </w:rPr>
            </w:pPr>
          </w:p>
        </w:tc>
        <w:tc>
          <w:tcPr>
            <w:tcW w:w="13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2002</w:t>
            </w:r>
          </w:p>
        </w:tc>
        <w:tc>
          <w:tcPr>
            <w:tcW w:w="136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2001</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4900" w:type="dxa"/>
            <w:vAlign w:val="bottom"/>
          </w:tcPr>
          <w:p>
            <w:pPr>
              <w:spacing w:after="0"/>
              <w:rPr>
                <w:sz w:val="15"/>
                <w:szCs w:val="15"/>
                <w:color w:val="auto"/>
              </w:rPr>
            </w:pP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490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Net (loss) income</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(5,061)</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66,386</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5,978</w:t>
            </w: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Reconciliation of net (loss) income to net cash</w:t>
            </w:r>
          </w:p>
        </w:tc>
        <w:tc>
          <w:tcPr>
            <w:tcW w:w="1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4900" w:type="dxa"/>
            <w:vAlign w:val="bottom"/>
          </w:tcPr>
          <w:p>
            <w:pPr>
              <w:ind w:left="260"/>
              <w:spacing w:after="0"/>
              <w:rPr>
                <w:sz w:val="20"/>
                <w:szCs w:val="20"/>
                <w:color w:val="auto"/>
              </w:rPr>
            </w:pPr>
            <w:r>
              <w:rPr>
                <w:rFonts w:ascii="Courier New" w:cs="Courier New" w:eastAsia="Courier New" w:hAnsi="Courier New"/>
                <w:sz w:val="15"/>
                <w:szCs w:val="15"/>
                <w:color w:val="auto"/>
              </w:rPr>
              <w:t>provided by operating activities:</w:t>
            </w:r>
          </w:p>
        </w:tc>
        <w:tc>
          <w:tcPr>
            <w:tcW w:w="1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4900" w:type="dxa"/>
            <w:vAlign w:val="bottom"/>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309,821</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282,625</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155,359</w:t>
            </w:r>
          </w:p>
        </w:tc>
      </w:tr>
      <w:tr>
        <w:trPr>
          <w:trHeight w:val="173"/>
        </w:trPr>
        <w:tc>
          <w:tcPr>
            <w:tcW w:w="4900" w:type="dxa"/>
            <w:vAlign w:val="bottom"/>
          </w:tcPr>
          <w:p>
            <w:pPr>
              <w:ind w:left="440"/>
              <w:spacing w:after="0"/>
              <w:rPr>
                <w:sz w:val="20"/>
                <w:szCs w:val="20"/>
                <w:color w:val="auto"/>
              </w:rPr>
            </w:pPr>
            <w:r>
              <w:rPr>
                <w:rFonts w:ascii="Courier New" w:cs="Courier New" w:eastAsia="Courier New" w:hAnsi="Courier New"/>
                <w:sz w:val="15"/>
                <w:szCs w:val="15"/>
                <w:color w:val="auto"/>
              </w:rPr>
              <w:t>Adjustment to the basis of investments</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5,500</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6,750</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900" w:type="dxa"/>
            <w:vAlign w:val="bottom"/>
          </w:tcPr>
          <w:p>
            <w:pPr>
              <w:ind w:left="440"/>
              <w:spacing w:after="0"/>
              <w:rPr>
                <w:sz w:val="20"/>
                <w:szCs w:val="20"/>
                <w:color w:val="auto"/>
              </w:rPr>
            </w:pPr>
            <w:r>
              <w:rPr>
                <w:rFonts w:ascii="Courier New" w:cs="Courier New" w:eastAsia="Courier New" w:hAnsi="Courier New"/>
                <w:sz w:val="15"/>
                <w:szCs w:val="15"/>
                <w:color w:val="auto"/>
              </w:rPr>
              <w:t>In-process research and development expenses</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17,400</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70,319</w:t>
            </w:r>
          </w:p>
        </w:tc>
      </w:tr>
      <w:tr>
        <w:trPr>
          <w:trHeight w:val="173"/>
        </w:trPr>
        <w:tc>
          <w:tcPr>
            <w:tcW w:w="4900" w:type="dxa"/>
            <w:vAlign w:val="bottom"/>
          </w:tcPr>
          <w:p>
            <w:pPr>
              <w:ind w:left="440"/>
              <w:spacing w:after="0"/>
              <w:rPr>
                <w:sz w:val="20"/>
                <w:szCs w:val="20"/>
                <w:color w:val="auto"/>
              </w:rPr>
            </w:pPr>
            <w:r>
              <w:rPr>
                <w:rFonts w:ascii="Courier New" w:cs="Courier New" w:eastAsia="Courier New" w:hAnsi="Courier New"/>
                <w:sz w:val="15"/>
                <w:szCs w:val="15"/>
                <w:color w:val="auto"/>
              </w:rPr>
              <w:t>Loss on sale of equipment</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549</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593</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148</w:t>
            </w:r>
          </w:p>
        </w:tc>
      </w:tr>
      <w:tr>
        <w:trPr>
          <w:trHeight w:val="173"/>
        </w:trPr>
        <w:tc>
          <w:tcPr>
            <w:tcW w:w="4900" w:type="dxa"/>
            <w:vAlign w:val="bottom"/>
          </w:tcPr>
          <w:p>
            <w:pPr>
              <w:ind w:left="440"/>
              <w:spacing w:after="0"/>
              <w:rPr>
                <w:sz w:val="20"/>
                <w:szCs w:val="20"/>
                <w:color w:val="auto"/>
              </w:rPr>
            </w:pPr>
            <w:r>
              <w:rPr>
                <w:rFonts w:ascii="Courier New" w:cs="Courier New" w:eastAsia="Courier New" w:hAnsi="Courier New"/>
                <w:sz w:val="15"/>
                <w:szCs w:val="15"/>
                <w:color w:val="auto"/>
              </w:rPr>
              <w:t>Gain on repurchase of convertible notes</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(6,012)</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900" w:type="dxa"/>
            <w:vAlign w:val="bottom"/>
          </w:tcPr>
          <w:p>
            <w:pPr>
              <w:ind w:left="440"/>
              <w:spacing w:after="0"/>
              <w:rPr>
                <w:sz w:val="20"/>
                <w:szCs w:val="20"/>
                <w:color w:val="auto"/>
              </w:rPr>
            </w:pPr>
            <w:r>
              <w:rPr>
                <w:rFonts w:ascii="Courier New" w:cs="Courier New" w:eastAsia="Courier New" w:hAnsi="Courier New"/>
                <w:sz w:val="15"/>
                <w:szCs w:val="15"/>
                <w:color w:val="auto"/>
              </w:rPr>
              <w:t>Deferred income taxes</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(1,665)</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5,018</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(1,196)</w:t>
            </w:r>
          </w:p>
        </w:tc>
      </w:tr>
      <w:tr>
        <w:trPr>
          <w:trHeight w:val="173"/>
        </w:trPr>
        <w:tc>
          <w:tcPr>
            <w:tcW w:w="4900" w:type="dxa"/>
            <w:vAlign w:val="bottom"/>
          </w:tcPr>
          <w:p>
            <w:pPr>
              <w:ind w:left="440"/>
              <w:spacing w:after="0"/>
              <w:rPr>
                <w:sz w:val="20"/>
                <w:szCs w:val="20"/>
                <w:color w:val="auto"/>
              </w:rPr>
            </w:pPr>
            <w:r>
              <w:rPr>
                <w:rFonts w:ascii="Courier New" w:cs="Courier New" w:eastAsia="Courier New" w:hAnsi="Courier New"/>
                <w:sz w:val="15"/>
                <w:szCs w:val="15"/>
                <w:color w:val="auto"/>
              </w:rPr>
              <w:t>Tax benefit of stock options exercised</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6,808</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7,345</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10,825</w:t>
            </w:r>
          </w:p>
        </w:tc>
      </w:tr>
      <w:tr>
        <w:trPr>
          <w:trHeight w:val="173"/>
        </w:trPr>
        <w:tc>
          <w:tcPr>
            <w:tcW w:w="4900" w:type="dxa"/>
            <w:vAlign w:val="bottom"/>
          </w:tcPr>
          <w:p>
            <w:pPr>
              <w:ind w:left="440"/>
              <w:spacing w:after="0"/>
              <w:rPr>
                <w:sz w:val="20"/>
                <w:szCs w:val="20"/>
                <w:color w:val="auto"/>
              </w:rPr>
            </w:pPr>
            <w:r>
              <w:rPr>
                <w:rFonts w:ascii="Courier New" w:cs="Courier New" w:eastAsia="Courier New" w:hAnsi="Courier New"/>
                <w:sz w:val="15"/>
                <w:szCs w:val="15"/>
                <w:color w:val="auto"/>
              </w:rPr>
              <w:t>Unrealized other comprehensive income (loss)</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8,967</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(10,773)</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3,309</w:t>
            </w: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Net changes in operating assets and liabilities,</w:t>
            </w:r>
          </w:p>
        </w:tc>
        <w:tc>
          <w:tcPr>
            <w:tcW w:w="1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4900" w:type="dxa"/>
            <w:vAlign w:val="bottom"/>
          </w:tcPr>
          <w:p>
            <w:pPr>
              <w:ind w:left="260"/>
              <w:spacing w:after="0"/>
              <w:rPr>
                <w:sz w:val="20"/>
                <w:szCs w:val="20"/>
                <w:color w:val="auto"/>
              </w:rPr>
            </w:pPr>
            <w:r>
              <w:rPr>
                <w:rFonts w:ascii="Courier New" w:cs="Courier New" w:eastAsia="Courier New" w:hAnsi="Courier New"/>
                <w:sz w:val="15"/>
                <w:szCs w:val="15"/>
                <w:color w:val="auto"/>
              </w:rPr>
              <w:t>net of amounts acquired:</w:t>
            </w:r>
          </w:p>
        </w:tc>
        <w:tc>
          <w:tcPr>
            <w:tcW w:w="1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490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97,055</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(121,751)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(29,763)</w:t>
            </w:r>
          </w:p>
        </w:tc>
      </w:tr>
      <w:tr>
        <w:trPr>
          <w:trHeight w:val="173"/>
        </w:trPr>
        <w:tc>
          <w:tcPr>
            <w:tcW w:w="490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(22,992)</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(3,718)</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(12,408)</w:t>
            </w:r>
          </w:p>
        </w:tc>
      </w:tr>
      <w:tr>
        <w:trPr>
          <w:trHeight w:val="173"/>
        </w:trPr>
        <w:tc>
          <w:tcPr>
            <w:tcW w:w="4900" w:type="dxa"/>
            <w:vAlign w:val="bottom"/>
          </w:tcPr>
          <w:p>
            <w:pPr>
              <w:ind w:left="260"/>
              <w:spacing w:after="0"/>
              <w:rPr>
                <w:sz w:val="20"/>
                <w:szCs w:val="20"/>
                <w:color w:val="auto"/>
              </w:rPr>
            </w:pPr>
            <w:r>
              <w:rPr>
                <w:rFonts w:ascii="Courier New" w:cs="Courier New" w:eastAsia="Courier New" w:hAnsi="Courier New"/>
                <w:sz w:val="15"/>
                <w:szCs w:val="15"/>
                <w:color w:val="auto"/>
              </w:rPr>
              <w:t>Other noncurrent assets</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(9,875)</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(7,826)</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(10,861)</w:t>
            </w:r>
          </w:p>
        </w:tc>
      </w:tr>
      <w:tr>
        <w:trPr>
          <w:trHeight w:val="173"/>
        </w:trPr>
        <w:tc>
          <w:tcPr>
            <w:tcW w:w="490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(2,461)</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71,772</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38,852</w:t>
            </w:r>
          </w:p>
        </w:tc>
      </w:tr>
      <w:tr>
        <w:trPr>
          <w:trHeight w:val="173"/>
        </w:trPr>
        <w:tc>
          <w:tcPr>
            <w:tcW w:w="490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(21,253)</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6,487</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24,313</w:t>
            </w:r>
          </w:p>
        </w:tc>
      </w:tr>
      <w:tr>
        <w:trPr>
          <w:trHeight w:val="173"/>
        </w:trPr>
        <w:tc>
          <w:tcPr>
            <w:tcW w:w="4900" w:type="dxa"/>
            <w:vAlign w:val="bottom"/>
          </w:tcPr>
          <w:p>
            <w:pPr>
              <w:ind w:left="260"/>
              <w:spacing w:after="0"/>
              <w:rPr>
                <w:sz w:val="20"/>
                <w:szCs w:val="20"/>
                <w:color w:val="auto"/>
              </w:rPr>
            </w:pPr>
            <w:r>
              <w:rPr>
                <w:rFonts w:ascii="Courier New" w:cs="Courier New" w:eastAsia="Courier New" w:hAnsi="Courier New"/>
                <w:sz w:val="15"/>
                <w:szCs w:val="15"/>
                <w:color w:val="auto"/>
              </w:rPr>
              <w:t>Income taxes payable</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(4,798)</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20,703</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16,071</w:t>
            </w:r>
          </w:p>
        </w:tc>
      </w:tr>
      <w:tr>
        <w:trPr>
          <w:trHeight w:val="173"/>
        </w:trPr>
        <w:tc>
          <w:tcPr>
            <w:tcW w:w="4900" w:type="dxa"/>
            <w:vAlign w:val="bottom"/>
          </w:tcPr>
          <w:p>
            <w:pPr>
              <w:ind w:left="260"/>
              <w:spacing w:after="0"/>
              <w:rPr>
                <w:sz w:val="20"/>
                <w:szCs w:val="20"/>
                <w:color w:val="auto"/>
              </w:rPr>
            </w:pPr>
            <w:r>
              <w:rPr>
                <w:rFonts w:ascii="Courier New" w:cs="Courier New" w:eastAsia="Courier New" w:hAnsi="Courier New"/>
                <w:sz w:val="15"/>
                <w:szCs w:val="15"/>
                <w:color w:val="auto"/>
              </w:rPr>
              <w:t>Noncurrent liabilities and other</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40,293</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14,376</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16,642</w:t>
            </w:r>
          </w:p>
        </w:tc>
      </w:tr>
      <w:tr>
        <w:trPr>
          <w:trHeight w:val="173"/>
        </w:trPr>
        <w:tc>
          <w:tcPr>
            <w:tcW w:w="4900" w:type="dxa"/>
            <w:vAlign w:val="bottom"/>
          </w:tcPr>
          <w:p>
            <w:pPr>
              <w:spacing w:after="0"/>
              <w:rPr>
                <w:sz w:val="15"/>
                <w:szCs w:val="15"/>
                <w:color w:val="auto"/>
              </w:rPr>
            </w:pP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412,276</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337,987</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287,588</w:t>
            </w:r>
          </w:p>
        </w:tc>
      </w:tr>
      <w:tr>
        <w:trPr>
          <w:trHeight w:val="173"/>
        </w:trPr>
        <w:tc>
          <w:tcPr>
            <w:tcW w:w="4900" w:type="dxa"/>
            <w:vAlign w:val="bottom"/>
          </w:tcPr>
          <w:p>
            <w:pPr>
              <w:spacing w:after="0"/>
              <w:rPr>
                <w:sz w:val="15"/>
                <w:szCs w:val="15"/>
                <w:color w:val="auto"/>
              </w:rPr>
            </w:pP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1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vehicles and</w:t>
            </w:r>
          </w:p>
        </w:tc>
        <w:tc>
          <w:tcPr>
            <w:tcW w:w="1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4900" w:type="dxa"/>
            <w:vAlign w:val="bottom"/>
          </w:tcPr>
          <w:p>
            <w:pPr>
              <w:ind w:left="260"/>
              <w:spacing w:after="0"/>
              <w:rPr>
                <w:sz w:val="20"/>
                <w:szCs w:val="20"/>
                <w:color w:val="auto"/>
              </w:rPr>
            </w:pPr>
            <w:r>
              <w:rPr>
                <w:rFonts w:ascii="Courier New" w:cs="Courier New" w:eastAsia="Courier New" w:hAnsi="Courier New"/>
                <w:sz w:val="15"/>
                <w:szCs w:val="15"/>
                <w:color w:val="auto"/>
              </w:rPr>
              <w:t>leasehold improvements</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1,795</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2,062</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1,280</w:t>
            </w: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Payments for purchase of equipment, vehicles,</w:t>
            </w:r>
          </w:p>
        </w:tc>
        <w:tc>
          <w:tcPr>
            <w:tcW w:w="1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4900" w:type="dxa"/>
            <w:vAlign w:val="bottom"/>
          </w:tcPr>
          <w:p>
            <w:pPr>
              <w:ind w:left="260"/>
              <w:spacing w:after="0"/>
              <w:rPr>
                <w:sz w:val="20"/>
                <w:szCs w:val="20"/>
                <w:color w:val="auto"/>
              </w:rPr>
            </w:pPr>
            <w:r>
              <w:rPr>
                <w:rFonts w:ascii="Courier New" w:cs="Courier New" w:eastAsia="Courier New" w:hAnsi="Courier New"/>
                <w:sz w:val="15"/>
                <w:szCs w:val="15"/>
                <w:color w:val="auto"/>
              </w:rPr>
              <w:t>leasehold improvements and other</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(58,562)</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(91,891)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(62,740)</w:t>
            </w: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Purchase of short-term interest-bearing</w:t>
            </w:r>
          </w:p>
        </w:tc>
        <w:tc>
          <w:tcPr>
            <w:tcW w:w="1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4900" w:type="dxa"/>
            <w:vAlign w:val="bottom"/>
          </w:tcPr>
          <w:p>
            <w:pPr>
              <w:ind w:left="260"/>
              <w:spacing w:after="0"/>
              <w:rPr>
                <w:sz w:val="20"/>
                <w:szCs w:val="20"/>
                <w:color w:val="auto"/>
              </w:rPr>
            </w:pPr>
            <w:r>
              <w:rPr>
                <w:rFonts w:ascii="Courier New" w:cs="Courier New" w:eastAsia="Courier New" w:hAnsi="Courier New"/>
                <w:sz w:val="15"/>
                <w:szCs w:val="15"/>
                <w:color w:val="auto"/>
              </w:rPr>
              <w:t>investments, net</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(344,095)</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(237,069)</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Investment in noncurrent assets</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(39,584)</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(12,291)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(9,000)</w:t>
            </w: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Net cash (paid for) acquired in acquisitions</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(213,180)</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67,791</w:t>
            </w:r>
          </w:p>
        </w:tc>
      </w:tr>
      <w:tr>
        <w:trPr>
          <w:trHeight w:val="173"/>
        </w:trPr>
        <w:tc>
          <w:tcPr>
            <w:tcW w:w="4900" w:type="dxa"/>
            <w:vAlign w:val="bottom"/>
          </w:tcPr>
          <w:p>
            <w:pPr>
              <w:spacing w:after="0"/>
              <w:rPr>
                <w:sz w:val="15"/>
                <w:szCs w:val="15"/>
                <w:color w:val="auto"/>
              </w:rPr>
            </w:pP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(653,626)</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(339,189)</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(2,669)</w:t>
            </w:r>
          </w:p>
        </w:tc>
      </w:tr>
      <w:tr>
        <w:trPr>
          <w:trHeight w:val="173"/>
        </w:trPr>
        <w:tc>
          <w:tcPr>
            <w:tcW w:w="4900" w:type="dxa"/>
            <w:vAlign w:val="bottom"/>
          </w:tcPr>
          <w:p>
            <w:pPr>
              <w:spacing w:after="0"/>
              <w:rPr>
                <w:sz w:val="15"/>
                <w:szCs w:val="15"/>
                <w:color w:val="auto"/>
              </w:rPr>
            </w:pP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1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Proceeds from employee stock options exercised</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5,161</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13,967</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21,360</w:t>
            </w: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Repurchase of shares</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(109,281)</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Repurchase of convertible notes</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(48,934)</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Payments under short-term finance arrangements</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(20,000)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(284,464)</w:t>
            </w: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Borrowings under short-term finance arrangements</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301,933</w:t>
            </w: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Net proceeds from issue of long-term convertible</w:t>
            </w:r>
          </w:p>
        </w:tc>
        <w:tc>
          <w:tcPr>
            <w:tcW w:w="1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4900" w:type="dxa"/>
            <w:vAlign w:val="bottom"/>
          </w:tcPr>
          <w:p>
            <w:pPr>
              <w:ind w:left="260"/>
              <w:spacing w:after="0"/>
              <w:rPr>
                <w:sz w:val="20"/>
                <w:szCs w:val="20"/>
                <w:color w:val="auto"/>
              </w:rPr>
            </w:pPr>
            <w:r>
              <w:rPr>
                <w:rFonts w:ascii="Courier New" w:cs="Courier New" w:eastAsia="Courier New" w:hAnsi="Courier New"/>
                <w:sz w:val="15"/>
                <w:szCs w:val="15"/>
                <w:color w:val="auto"/>
              </w:rPr>
              <w:t>notes</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488,000</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Principal payments on capital lease obligations</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(11,939)</w:t>
            </w:r>
          </w:p>
        </w:tc>
        <w:tc>
          <w:tcPr>
            <w:tcW w:w="13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(10,067)</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(6,622)</w:t>
            </w:r>
          </w:p>
        </w:tc>
      </w:tr>
      <w:tr>
        <w:trPr>
          <w:trHeight w:val="173"/>
        </w:trPr>
        <w:tc>
          <w:tcPr>
            <w:tcW w:w="4900" w:type="dxa"/>
            <w:vAlign w:val="bottom"/>
          </w:tcPr>
          <w:p>
            <w:pPr>
              <w:spacing w:after="0"/>
              <w:rPr>
                <w:sz w:val="15"/>
                <w:szCs w:val="15"/>
                <w:color w:val="auto"/>
              </w:rPr>
            </w:pP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Net cash (used in) provided by financing activities</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(164,993)</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471,900</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32,207</w:t>
            </w:r>
          </w:p>
        </w:tc>
      </w:tr>
      <w:tr>
        <w:trPr>
          <w:trHeight w:val="173"/>
        </w:trPr>
        <w:tc>
          <w:tcPr>
            <w:tcW w:w="4900" w:type="dxa"/>
            <w:vAlign w:val="bottom"/>
          </w:tcPr>
          <w:p>
            <w:pPr>
              <w:spacing w:after="0"/>
              <w:rPr>
                <w:sz w:val="15"/>
                <w:szCs w:val="15"/>
                <w:color w:val="auto"/>
              </w:rPr>
            </w:pP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Net (decrease) increase in cash and cash equivalents</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(406,343)</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470,698</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317,126</w:t>
            </w: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year</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872,998</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402,300</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85,174</w:t>
            </w:r>
          </w:p>
        </w:tc>
      </w:tr>
      <w:tr>
        <w:trPr>
          <w:trHeight w:val="173"/>
        </w:trPr>
        <w:tc>
          <w:tcPr>
            <w:tcW w:w="4900" w:type="dxa"/>
            <w:vAlign w:val="bottom"/>
          </w:tcPr>
          <w:p>
            <w:pPr>
              <w:spacing w:after="0"/>
              <w:rPr>
                <w:sz w:val="15"/>
                <w:szCs w:val="15"/>
                <w:color w:val="auto"/>
              </w:rPr>
            </w:pP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year</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$ 466,655</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$ 872,998</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$ 402,300</w:t>
            </w:r>
          </w:p>
        </w:tc>
      </w:tr>
      <w:tr>
        <w:trPr>
          <w:trHeight w:val="173"/>
        </w:trPr>
        <w:tc>
          <w:tcPr>
            <w:tcW w:w="4900" w:type="dxa"/>
            <w:vAlign w:val="bottom"/>
          </w:tcPr>
          <w:p>
            <w:pPr>
              <w:spacing w:after="0"/>
              <w:rPr>
                <w:sz w:val="15"/>
                <w:szCs w:val="15"/>
                <w:color w:val="auto"/>
              </w:rPr>
            </w:pP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consolidated financial statements.</w:t>
      </w:r>
    </w:p>
    <w:p>
      <w:pPr>
        <w:sectPr>
          <w:pgSz w:w="11900" w:h="16838" w:orient="portrait"/>
          <w:cols w:equalWidth="0" w:num="1">
            <w:col w:w="10219"/>
          </w:cols>
          <w:pgMar w:left="240" w:top="464" w:right="1440" w:bottom="1440" w:gutter="0" w:footer="0" w:header="0"/>
        </w:sectPr>
      </w:pPr>
    </w:p>
    <w:bookmarkStart w:id="9" w:name="page10"/>
    <w:bookmarkEnd w:id="9"/>
    <w:p>
      <w:pPr>
        <w:jc w:val="center"/>
        <w:ind w:right="3019"/>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CONSOLIDATED STATEMENTS OF CASH FLOWS - (CONTINUED)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20" w:type="dxa"/>
            <w:vAlign w:val="bottom"/>
          </w:tcPr>
          <w:p>
            <w:pPr>
              <w:ind w:left="2960"/>
              <w:spacing w:after="0"/>
              <w:rPr>
                <w:sz w:val="20"/>
                <w:szCs w:val="20"/>
                <w:color w:val="auto"/>
              </w:rPr>
            </w:pPr>
            <w:r>
              <w:rPr>
                <w:rFonts w:ascii="Courier New" w:cs="Courier New" w:eastAsia="Courier New" w:hAnsi="Courier New"/>
                <w:sz w:val="15"/>
                <w:szCs w:val="15"/>
                <w:color w:val="auto"/>
              </w:rPr>
              <w:t>(IN THOUSANDS)</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94"/>
        </w:trPr>
        <w:tc>
          <w:tcPr>
            <w:tcW w:w="4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9"/>
              </w:rPr>
              <w:t>YEAR ENDED SEPTEMBER 30,</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3"/>
        </w:trPr>
        <w:tc>
          <w:tcPr>
            <w:tcW w:w="4720" w:type="dxa"/>
            <w:vAlign w:val="bottom"/>
          </w:tcPr>
          <w:p>
            <w:pPr>
              <w:spacing w:after="0"/>
              <w:rPr>
                <w:sz w:val="15"/>
                <w:szCs w:val="15"/>
                <w:color w:val="auto"/>
              </w:rPr>
            </w:pPr>
          </w:p>
        </w:tc>
        <w:tc>
          <w:tcPr>
            <w:tcW w:w="482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2002</w:t>
            </w:r>
          </w:p>
        </w:tc>
        <w:tc>
          <w:tcPr>
            <w:tcW w:w="800" w:type="dxa"/>
            <w:vAlign w:val="bottom"/>
          </w:tcPr>
          <w:p>
            <w:pPr>
              <w:spacing w:after="0"/>
              <w:rPr>
                <w:sz w:val="15"/>
                <w:szCs w:val="15"/>
                <w:color w:val="auto"/>
              </w:rPr>
            </w:pPr>
          </w:p>
        </w:tc>
        <w:tc>
          <w:tcPr>
            <w:tcW w:w="144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2001</w:t>
            </w:r>
          </w:p>
        </w:tc>
        <w:tc>
          <w:tcPr>
            <w:tcW w:w="280" w:type="dxa"/>
            <w:vAlign w:val="bottom"/>
          </w:tcPr>
          <w:p>
            <w:pPr>
              <w:spacing w:after="0"/>
              <w:rPr>
                <w:sz w:val="15"/>
                <w:szCs w:val="15"/>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472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24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720" w:type="dxa"/>
            <w:vAlign w:val="bottom"/>
          </w:tcPr>
          <w:p>
            <w:pPr>
              <w:spacing w:after="0"/>
              <w:rPr>
                <w:sz w:val="20"/>
                <w:szCs w:val="20"/>
                <w:color w:val="auto"/>
              </w:rPr>
            </w:pPr>
            <w:r>
              <w:rPr>
                <w:rFonts w:ascii="Courier New" w:cs="Courier New" w:eastAsia="Courier New" w:hAnsi="Courier New"/>
                <w:sz w:val="15"/>
                <w:szCs w:val="15"/>
                <w:color w:val="auto"/>
              </w:rPr>
              <w:t>SUPPLEMENTARY CASH FLOW INFORMATION</w:t>
            </w: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3"/>
        </w:trPr>
        <w:tc>
          <w:tcPr>
            <w:tcW w:w="4720" w:type="dxa"/>
            <w:vAlign w:val="bottom"/>
          </w:tcPr>
          <w:p>
            <w:pPr>
              <w:spacing w:after="0"/>
              <w:rPr>
                <w:sz w:val="20"/>
                <w:szCs w:val="20"/>
                <w:color w:val="auto"/>
              </w:rPr>
            </w:pPr>
            <w:r>
              <w:rPr>
                <w:rFonts w:ascii="Courier New" w:cs="Courier New" w:eastAsia="Courier New" w:hAnsi="Courier New"/>
                <w:sz w:val="15"/>
                <w:szCs w:val="15"/>
                <w:color w:val="auto"/>
              </w:rPr>
              <w:t>Interest and Income Taxes Paid</w:t>
            </w: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4720" w:type="dxa"/>
            <w:vAlign w:val="bottom"/>
          </w:tcPr>
          <w:p>
            <w:pPr>
              <w:ind w:left="260"/>
              <w:spacing w:after="0"/>
              <w:rPr>
                <w:sz w:val="20"/>
                <w:szCs w:val="20"/>
                <w:color w:val="auto"/>
              </w:rPr>
            </w:pPr>
            <w:r>
              <w:rPr>
                <w:rFonts w:ascii="Courier New" w:cs="Courier New" w:eastAsia="Courier New" w:hAnsi="Courier New"/>
                <w:sz w:val="15"/>
                <w:szCs w:val="15"/>
                <w:color w:val="auto"/>
              </w:rPr>
              <w:t>Cash paid for:</w:t>
            </w: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3"/>
        </w:trPr>
        <w:tc>
          <w:tcPr>
            <w:tcW w:w="4720" w:type="dxa"/>
            <w:vAlign w:val="bottom"/>
          </w:tcPr>
          <w:p>
            <w:pPr>
              <w:ind w:left="440"/>
              <w:spacing w:after="0"/>
              <w:rPr>
                <w:sz w:val="20"/>
                <w:szCs w:val="20"/>
                <w:color w:val="auto"/>
              </w:rPr>
            </w:pPr>
            <w:r>
              <w:rPr>
                <w:rFonts w:ascii="Courier New" w:cs="Courier New" w:eastAsia="Courier New" w:hAnsi="Courier New"/>
                <w:sz w:val="15"/>
                <w:szCs w:val="15"/>
                <w:color w:val="auto"/>
              </w:rPr>
              <w:t>Income taxes, net of refunds</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75,371</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77,429</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49,262</w:t>
            </w:r>
          </w:p>
        </w:tc>
      </w:tr>
      <w:tr>
        <w:trPr>
          <w:trHeight w:val="173"/>
        </w:trPr>
        <w:tc>
          <w:tcPr>
            <w:tcW w:w="4720" w:type="dxa"/>
            <w:vAlign w:val="bottom"/>
          </w:tcPr>
          <w:p>
            <w:pPr>
              <w:ind w:left="440"/>
              <w:spacing w:after="0"/>
              <w:rPr>
                <w:sz w:val="20"/>
                <w:szCs w:val="20"/>
                <w:color w:val="auto"/>
              </w:rPr>
            </w:pPr>
            <w:r>
              <w:rPr>
                <w:rFonts w:ascii="Courier New" w:cs="Courier New" w:eastAsia="Courier New" w:hAnsi="Courier New"/>
                <w:sz w:val="15"/>
                <w:szCs w:val="15"/>
                <w:color w:val="auto"/>
              </w:rPr>
              <w:t>Interest</w:t>
            </w:r>
          </w:p>
        </w:tc>
        <w:tc>
          <w:tcPr>
            <w:tcW w:w="7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11,221</w:t>
            </w:r>
          </w:p>
        </w:tc>
        <w:tc>
          <w:tcPr>
            <w:tcW w:w="800" w:type="dxa"/>
            <w:vAlign w:val="bottom"/>
          </w:tcPr>
          <w:p>
            <w:pPr>
              <w:spacing w:after="0"/>
              <w:rPr>
                <w:sz w:val="15"/>
                <w:szCs w:val="15"/>
                <w:color w:val="auto"/>
              </w:rPr>
            </w:pPr>
          </w:p>
        </w:tc>
        <w:tc>
          <w:tcPr>
            <w:tcW w:w="14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2,901</w:t>
            </w: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2,614</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NON-CASH INVESTING AND FINANCING ACTIVITIES</w:t>
      </w:r>
    </w:p>
    <w:p>
      <w:pPr>
        <w:spacing w:after="0" w:line="178" w:lineRule="exact"/>
        <w:rPr>
          <w:sz w:val="20"/>
          <w:szCs w:val="20"/>
          <w:color w:val="auto"/>
        </w:rPr>
      </w:pPr>
    </w:p>
    <w:p>
      <w:pPr>
        <w:jc w:val="both"/>
        <w:ind w:right="3019" w:firstLine="811"/>
        <w:spacing w:after="0" w:line="244" w:lineRule="auto"/>
        <w:rPr>
          <w:sz w:val="20"/>
          <w:szCs w:val="20"/>
          <w:color w:val="auto"/>
        </w:rPr>
      </w:pPr>
      <w:r>
        <w:rPr>
          <w:rFonts w:ascii="Courier New" w:cs="Courier New" w:eastAsia="Courier New" w:hAnsi="Courier New"/>
          <w:sz w:val="15"/>
          <w:szCs w:val="15"/>
          <w:color w:val="auto"/>
        </w:rPr>
        <w:t>Capital lease obligations of $2,245, $13,116 and $15,732 were incurred during the years ended September 30, 2002, 2001 and 2000, respectively, when the Company (as defined below) entered into lease agreements for vehicles.</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In fiscal 2000, the Company issued 6,461 Ordinary Shares and options to acquire 1,103 Ordinary Shares in connection with the acquisition of ITDS (as defined below). The Company issued 13,846 exchangeable shares and options to acquire 1,654 Ordinary Shares in connection with the acquisition of Solect (as defined below). See Note 3.</w:t>
      </w:r>
    </w:p>
    <w:p>
      <w:pPr>
        <w:spacing w:after="0" w:line="177" w:lineRule="exact"/>
        <w:rPr>
          <w:sz w:val="20"/>
          <w:szCs w:val="20"/>
          <w:color w:val="auto"/>
        </w:rPr>
      </w:pPr>
    </w:p>
    <w:p>
      <w:pPr>
        <w:ind w:right="3559" w:firstLine="811"/>
        <w:spacing w:after="0" w:line="243"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ectPr>
          <w:pgSz w:w="11900" w:h="16838" w:orient="portrait"/>
          <w:cols w:equalWidth="0" w:num="1">
            <w:col w:w="10219"/>
          </w:cols>
          <w:pgMar w:left="240" w:top="464" w:right="1440" w:bottom="1440" w:gutter="0" w:footer="0" w:header="0"/>
        </w:sectPr>
      </w:pPr>
    </w:p>
    <w:bookmarkStart w:id="10" w:name="page11"/>
    <w:bookmarkEnd w:id="10"/>
    <w:p>
      <w:pPr>
        <w:jc w:val="center"/>
        <w:ind w:right="3019"/>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NATURE OF ENTITY</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Amdocs Limited (the "Company") is a leading provider of software products and services to the communications industry. The Company and its subsidiaries operate in one business segment, providing business support systems and related services primarily for the communications industry. The Company designs, develops, markets, supports, operates and provides outsourcing of information system solutions primarily to leading communications companies throughout the world.</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Company is a Guernsey corporation, which directly or indirectly holds several wholly owned subsidiaries in the Asia-Pacific region, Europe, Israel, Latin America and North America. The majority of the Company's customers are in North America, Europe, Latin America and the Asia-Pacific region. The Company's main production and operating facilities are located in Israel, the United States (U.S.), Cyprus, Canada and Ireland.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SUMMARY OF SIGNIFICANT ACCOUNTING POLICIES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PRESENTATION</w:t>
      </w:r>
    </w:p>
    <w:p>
      <w:pPr>
        <w:spacing w:after="0" w:line="178" w:lineRule="exact"/>
        <w:rPr>
          <w:sz w:val="20"/>
          <w:szCs w:val="20"/>
          <w:color w:val="auto"/>
        </w:rPr>
      </w:pPr>
    </w:p>
    <w:p>
      <w:pPr>
        <w:ind w:right="3199" w:firstLine="811"/>
        <w:spacing w:after="0" w:line="243" w:lineRule="auto"/>
        <w:rPr>
          <w:sz w:val="20"/>
          <w:szCs w:val="20"/>
          <w:color w:val="auto"/>
        </w:rPr>
      </w:pPr>
      <w:r>
        <w:rPr>
          <w:rFonts w:ascii="Courier New" w:cs="Courier New" w:eastAsia="Courier New" w:hAnsi="Courier New"/>
          <w:sz w:val="15"/>
          <w:szCs w:val="15"/>
          <w:color w:val="auto"/>
        </w:rPr>
        <w:t>The consolidated financial statements are prepared in accordance with accounting principles generally accepted in the United States.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CONSOLIDATION</w:t>
      </w:r>
    </w:p>
    <w:p>
      <w:pPr>
        <w:spacing w:after="0" w:line="178"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The financial statements include the accounts of the Company and its wholly owned subsidiaries. All significant intercompany transactions and balances have been eliminated in consolidation.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FUNCTIONAL CURRENCY</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As the U.S. dollar is the predominant currency by which the Company's revenue and expenses are denominated, the U.S. dollar is the functional currency for the Company and its subsidiaries.</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Cash and cash equivalents consist of cash and interest-bearing investments with insignificant interest rate risk and original maturities of 90 days or less.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When excess funds are available, the Company invests in short-term interest-bearing investments. The Company classifies all of its short-term interest-bearing investments as available-for-sale securities. Such short-term interest-bearing investments consist primarily of treasury notes, federal agency securities, corporate bonds and money market funds, which are stated at market value. Unrealized gains and losses are comprised of the difference between market value and amortized costs of such securities</w:t>
      </w:r>
    </w:p>
    <w:p>
      <w:pPr>
        <w:sectPr>
          <w:pgSz w:w="11900" w:h="16838" w:orient="portrait"/>
          <w:cols w:equalWidth="0" w:num="1">
            <w:col w:w="10219"/>
          </w:cols>
          <w:pgMar w:left="240" w:top="464" w:right="1440" w:bottom="1440" w:gutter="0" w:footer="0" w:header="0"/>
        </w:sectPr>
      </w:pPr>
    </w:p>
    <w:bookmarkStart w:id="11" w:name="page12"/>
    <w:bookmarkEnd w:id="11"/>
    <w:p>
      <w:pPr>
        <w:ind w:left="2960"/>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51"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and are reflected, net of tax, as "other comprehensive income (loss)" in shareholders' equity. Realized gains and losses on short-term interest-bearing investments are included in earnings and are derived using the specific identification method for determining the cost of securities.</w:t>
      </w:r>
    </w:p>
    <w:p>
      <w:pPr>
        <w:spacing w:after="0" w:line="176"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From time to time the Company also has made certain investments in non-publicly traded companies. These investments are included in other noncurrent assets in the Company's balance sheet and are generally carried at cost. The Company monitors these investments for impairment and makes appropriate reductions in carrying values if necessary.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EQUIPMENT, VEHICLES AND LEASEHOLD IMPROVEMENTS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Equipment, vehicles and leasehold improvements are stated at cost. Assets under capital leases are recorded at the present value of the future minimum lease payments at the date of acquisition. Depreciation is computed using the straight-line method over the estimated useful life of the asset, which ranges from 2 to 10 years and includes the amortization of assets under capitalized leases. Leasehold improvements are amortized over the shorter of the estimated useful lives or the term of the related lease. Management reviews property and equipment and other long-lived assets on a periodic basis to determine whether events or changes in circumstances indicate that the carrying amount of such assets may not be recoverable.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GOODWILL AND OTHER INTANGIBLE ASSETS</w:t>
      </w:r>
    </w:p>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The total purchase price of product line or business acquisitions accounted for using the purchase method is allocated first to identifiable assets and liabilities based on estimated fair values. The excess of the purchase price over the fair value of net assets of purchased businesses is recorded as goodwill. Goodwill associated with acquisitions completed prior to July 1, 2001 was amortized on a straight-line basis over its estimated useful life. For future goodwill amortization, see the discussion below under the caption "Adoption of New Accounting Standards".</w:t>
      </w:r>
    </w:p>
    <w:p>
      <w:pPr>
        <w:spacing w:after="0" w:line="178" w:lineRule="exact"/>
        <w:rPr>
          <w:sz w:val="20"/>
          <w:szCs w:val="20"/>
          <w:color w:val="auto"/>
        </w:rPr>
      </w:pPr>
    </w:p>
    <w:p>
      <w:pPr>
        <w:ind w:right="3739" w:firstLine="811"/>
        <w:spacing w:after="0" w:line="244" w:lineRule="auto"/>
        <w:rPr>
          <w:sz w:val="20"/>
          <w:szCs w:val="20"/>
          <w:color w:val="auto"/>
        </w:rPr>
      </w:pPr>
      <w:r>
        <w:rPr>
          <w:rFonts w:ascii="Courier New" w:cs="Courier New" w:eastAsia="Courier New" w:hAnsi="Courier New"/>
          <w:sz w:val="15"/>
          <w:szCs w:val="15"/>
          <w:color w:val="auto"/>
        </w:rPr>
        <w:t>Other intangible assets consist primarily of purchased computer software, intellectual property rights, core technology and customer arrangements.</w:t>
      </w:r>
    </w:p>
    <w:p>
      <w:pPr>
        <w:spacing w:after="0" w:line="17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Purchased computer software is reported at the lower of amortized cost or net realizable value, and is amortized over its estimated useful life based on the pro-rata amount of the future revenue expected to be realized from the software. This accounting policy results in accelerated amortization of purchased computer software as compared to the straight-line method.</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Intellectual property rights, core technology, workforce-in-place and customer arrangements acquired by the Company are amortized over their estimated useful lives on a straight-line basis.</w:t>
      </w:r>
    </w:p>
    <w:p>
      <w:pPr>
        <w:sectPr>
          <w:pgSz w:w="11900" w:h="16838" w:orient="portrait"/>
          <w:cols w:equalWidth="0" w:num="1">
            <w:col w:w="10219"/>
          </w:cols>
          <w:pgMar w:left="240" w:top="464" w:right="1440" w:bottom="1440" w:gutter="0" w:footer="0" w:header="0"/>
        </w:sectPr>
      </w:pPr>
    </w:p>
    <w:bookmarkStart w:id="12" w:name="page13"/>
    <w:bookmarkEnd w:id="12"/>
    <w:p>
      <w:pPr>
        <w:ind w:left="2960"/>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51"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Through the end of fiscal 2002, the Company considered whether there are indicators of impairment that would require the comparison of the estimated net realizable value of goodwill and other intangible assets to their carrying value under Statement of Financial Accounting Standards ("SFAS") No. 121, "Accounting for the Impairment of Long-Lived Assets and for Long-Lived Assets to be Disposed Of". Any impairment would be recognized when the expected future operating cash flows derived from such intangible assets is less than their carrying value.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COMPREHENSIVE INCOME</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The Company accounts for comprehensive income under the provisions of SFAS No. 130, "Reporting Comprehensive Income", which established standards for the reporting and display of comprehensive income and its components. 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NOTES</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The Company presents the outstanding principal amount of the convertible notes as part of noncurrent liabilities. Accrued interest on the convertible notes is included in "accounts payable and accrued expenses". The Company amortizes the issuance cost related to the convertible notes on a straight-line basis over the term of the convertible notes. Gain or loss on repurchase of convertible notes represents the difference between the principal amount and the purchase price. Such gain, aggregating $6,012, is included in "interest income and other, net". The unamortized issuance cost calculated on a pro-rata basis, related to the repurchased convertible notes, is included in "interest income and other, net".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TREASURY STOCK</w:t>
      </w:r>
    </w:p>
    <w:p>
      <w:pPr>
        <w:spacing w:after="0" w:line="178" w:lineRule="exact"/>
        <w:rPr>
          <w:sz w:val="20"/>
          <w:szCs w:val="20"/>
          <w:color w:val="auto"/>
        </w:rPr>
      </w:pPr>
    </w:p>
    <w:p>
      <w:pPr>
        <w:jc w:val="both"/>
        <w:ind w:right="3279" w:firstLine="811"/>
        <w:spacing w:after="0" w:line="244" w:lineRule="auto"/>
        <w:rPr>
          <w:sz w:val="20"/>
          <w:szCs w:val="20"/>
          <w:color w:val="auto"/>
        </w:rPr>
      </w:pPr>
      <w:r>
        <w:rPr>
          <w:rFonts w:ascii="Courier New" w:cs="Courier New" w:eastAsia="Courier New" w:hAnsi="Courier New"/>
          <w:sz w:val="15"/>
          <w:szCs w:val="15"/>
          <w:color w:val="auto"/>
        </w:rPr>
        <w:t>The Company repurchases its Ordinary Shares from time to time on the open market and holds such shares as treasury stock. The Company presents the cost to repurchase treasury stock as a reduction of shareholders' equity.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The Company records deferred income taxes to reflect the net tax effects of temporary differences between the carrying amounts of assets and liabilities for financial reporting and tax purposes. Deferred taxes are computed based on tax rates anticipated to be in effect (under applicable laws at the time the financial statements are prepared) when the deferred taxes are expected to be paid or realized. A valuation allowance is provided for deferred tax assets if it is more likely than not these items will either expire before the Company is able to realize their benefit, or that future deductibility is uncertain. In the event that a valuation allowance relating to a business acquisition is subsequently reduced, the adjustment will reduce the original amount allocated to goodwill.</w:t>
      </w:r>
    </w:p>
    <w:p>
      <w:pPr>
        <w:sectPr>
          <w:pgSz w:w="11900" w:h="16838" w:orient="portrait"/>
          <w:cols w:equalWidth="0" w:num="1">
            <w:col w:w="10219"/>
          </w:cols>
          <w:pgMar w:left="240" w:top="464" w:right="1440" w:bottom="1440" w:gutter="0" w:footer="0" w:header="0"/>
        </w:sectPr>
      </w:pPr>
    </w:p>
    <w:bookmarkStart w:id="13" w:name="page14"/>
    <w:bookmarkEnd w:id="13"/>
    <w:p>
      <w:pPr>
        <w:ind w:left="2960"/>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51"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 and also include anticipated withholding taxes due on subsidiaries' earnings when paid as dividends to the Company.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Company usually sells its software as part of an overall solution offered to a customer, in which significant customization and modification to the Company's software is required. As a result, revenue generally is recognized over the course of these long-term projects in conformity with Accounting Research Bulletin ("ARB") No. 45 "Long Term Construction-Type Contracts", Statement of Position ("SOP") 81-1 "Accounting for Performance of Construction-Type and Certain Production-Type Contracts" and SOP 97-2 "Software Revenue Recognition". Losses are recognized on contracts in the period in which the loss is identified in accordance with SOP 81-1. Initial license fee for software revenue is recognized as work is performed, under the percentage of completion method of accounting. Subsequent license fee revenue is recognized upon completion of the specified conditions in each contract. Service revenue that involves significant ongoing obligations, including fees for customization, implementation and modification, is recognized as work is performed, under the percentage of completion method of accounting. Revenue from software solutions that does not require significant customization and modification, is recognized upon delivery, in accordance with the principles emphasized in Staff Accounting Bulletin ("SAB") 101 "Revenue Recognition in Financial Statements" and SOP 97-2. In outsourcing contracts, revenue from operation and maintenance of customers' billing systems is recognized in the period in which the bills are produced. Revenue from ongoing support services is recognized as work is performed. Revenue from third-party hardware and software sales is recognized upon delivery, and recorded at gross or net amount according to the criteria established in Emerging Issues Task Force ("EITF") 99-19 "Recording Revenue Gross as a Principal versus Net as an Agent" and SAB 101. Maintenance revenue is recognized ratably over the term of the maintenance agreement, which in most cases is one year or less. As a result of a substantial portion of the Company's revenue being subject to the percentage of completion accounting method, the Company's annual and quarterly operating results may be significantly affected by the size and timing of customer projects and the Company's progress in completing such projects.</w:t>
      </w:r>
    </w:p>
    <w:p>
      <w:pPr>
        <w:spacing w:after="0" w:line="193"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Many of the Company's agreements include multiple obligations. For these multiple elements arrangements, the fair value of each component is determined based on specific objective evidence for that element and revenue is allocated to each component based upon its fair value. The revenue associated with each element is recognized using the respective methodology discussed above.</w:t>
      </w:r>
    </w:p>
    <w:p>
      <w:pPr>
        <w:sectPr>
          <w:pgSz w:w="11900" w:h="16838" w:orient="portrait"/>
          <w:cols w:equalWidth="0" w:num="1">
            <w:col w:w="10219"/>
          </w:cols>
          <w:pgMar w:left="240" w:top="464" w:right="1440" w:bottom="1440" w:gutter="0" w:footer="0" w:header="0"/>
        </w:sectPr>
      </w:pPr>
    </w:p>
    <w:bookmarkStart w:id="14" w:name="page15"/>
    <w:bookmarkEnd w:id="14"/>
    <w:p>
      <w:pPr>
        <w:ind w:left="2960"/>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51"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Deferred revenue represents billings to customers for licenses, services and third-party products for which revenue has not been recognized. Unbilled accounts receivable include all amounts that had not been billed as of the balance sheet date due to contractual or other arrangements with customers. Allowances that are netted against accounts receivable, represent amounts provided for accounts which their collectibility is not reasonably assured.</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Included in service revenue are sales of third-party products. Revenue from sales of such products includes third-party computer hardware and computer software products and was less than 10 percent of total revenue in each of fiscal 2002, 2001 and 2000.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LICENSE AND COST OF SERVICE</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Cost of license and service consists of all costs associated with providing services to customers, including identified losses on contracts and warranty expense. Estimated losses on contracts are recognized in the period in which the loss is identified in accordance with SOP 81-1. Estimated costs related to warranty obligations are initially provided at the time the product is delivered and are revised to reflect subsequent changes in circumstances and estimates. Cost of license includes royalty payments to software suppliers, amortization of purchased computer software and intellectual property rights.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Included in cost of service are costs of third-party products associated with reselling third-party computer hardware and software products to customers, when revenue from third-party products is recorded at the gross amount. Customers purchasing third-party products from the Company generally do so in conjunction with the purchase of services.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8" w:lineRule="exact"/>
        <w:rPr>
          <w:sz w:val="20"/>
          <w:szCs w:val="20"/>
          <w:color w:val="auto"/>
        </w:rPr>
      </w:pPr>
    </w:p>
    <w:p>
      <w:pPr>
        <w:jc w:val="both"/>
        <w:ind w:right="3019" w:firstLine="811"/>
        <w:spacing w:after="0" w:line="244" w:lineRule="auto"/>
        <w:rPr>
          <w:sz w:val="20"/>
          <w:szCs w:val="20"/>
          <w:color w:val="auto"/>
        </w:rPr>
      </w:pPr>
      <w:r>
        <w:rPr>
          <w:rFonts w:ascii="Courier New" w:cs="Courier New" w:eastAsia="Courier New" w:hAnsi="Courier New"/>
          <w:sz w:val="15"/>
          <w:szCs w:val="15"/>
          <w:color w:val="auto"/>
        </w:rPr>
        <w:t>Research and development expenditures consist of costs incurred in the development of new software modules and product offerings, either in conjunction with customer projects or as part of the Company's internal product development programs. Research and development costs, which are incurred in conjunction with a customer project, are expensed as incurred.</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Based on the Company's product development process, technological feasibility, as defined in SFAS No. 86, "Accounting for the Costs of Computer Software to be Sold, Leased or Otherwise Marketed", is established upon completion of a detailed program design or, in the absence thereof, completion of a working model. Costs incurred by the Company after achieving technological feasibility and before the product is ready for customer release have been insignificant.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STOCK-BASED COMPENSATION</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Company accounts for stock-based compensation in accordance with Accounting Principles Board ("APB") Opinion No. 25, "Accounting for Stock Issued to</w:t>
      </w:r>
    </w:p>
    <w:p>
      <w:pPr>
        <w:sectPr>
          <w:pgSz w:w="11900" w:h="16838" w:orient="portrait"/>
          <w:cols w:equalWidth="0" w:num="1">
            <w:col w:w="10219"/>
          </w:cols>
          <w:pgMar w:left="240" w:top="464" w:right="1440" w:bottom="1440" w:gutter="0" w:footer="0" w:header="0"/>
        </w:sectPr>
      </w:pPr>
    </w:p>
    <w:bookmarkStart w:id="15" w:name="page16"/>
    <w:bookmarkEnd w:id="15"/>
    <w:p>
      <w:pPr>
        <w:ind w:left="2960"/>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Employees". Pursuant to this accounting standard, the Company records deferred compensation for share options granted to employees at the date of grant based on the difference between the exercise price of the options and the market value of the underlying shares at that date. Deferred compensation is amortized to compensation expense over the vesting period of the underlying options. No compensation expense is recorded for stock options that are granted to employees and directors at an exercise price equal to the fair market value of the Ordinary Shares at the time of the grant. See Note 18 for pro forma disclosures required in accordance with SFAS No. 123, "Accounting for Stock-Based Compensation". Compensation expenses that are deductible in a tax return in a period different from the one in which they are reported as expenses in measuring net income are temporary differences that result in deferred taxes. To the extent that compensation is not recorded for stock-based compensation, the benefit of the related tax deduction is recorded as an increase to additional paid-in capital in the period of the tax reduction.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financial instruments of the Company consist mainly of cash and cash equivalents, short-term interest-bearing investments, accounts receivable, short-term financing arrangements, forward exchange contracts, lease obligations and convertible notes. In view of their nature, the fair value of the financial instruments, excluding the convertible notes (for which the fair value at September 30, 2002 is approximately $400,000), included in the accounts of the Company does not significantly vary from their carrying amount. The fair values of the Company's foreign currency exchange contracts are estimated based on quoted market prices of comparable contracts.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CONCENTRATION OF CREDIT RISK</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Financial instruments that potentially subject the Company to concentration of credit risk consist principally of trade receivables. The Company invests its excess cash primarily in highly liquid U.S. dollar-denominated securities with major U.S. institutions. The Company does not expect any credit losses with respect to these items. The Company's revenue is generated primarily in North America and Europe. To a lesser extent, revenue is generated in the Asia-Pacific region and Latin America. Most customers are among the largest communications and directory publishing companies in the world (or are owned by them). The Company's business is subject to the effects of general global economic conditions and, in particular, market conditions in the communications industry. The Company performs ongoing credit analyses of its customer base and generally does not require collateral.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SHARE</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Company accounts for earnings per share based on SFAS No. 128 "Earnings per Share". SFAS No. 128 requires companies to compute earnings per share under two different methods, basic and diluted earnings per share, and to disclose the methodology used for the calculations. Basic earnings per share are calculated using the weighted</w:t>
      </w:r>
    </w:p>
    <w:p>
      <w:pPr>
        <w:sectPr>
          <w:pgSz w:w="11900" w:h="16838" w:orient="portrait"/>
          <w:cols w:equalWidth="0" w:num="1">
            <w:col w:w="10219"/>
          </w:cols>
          <w:pgMar w:left="240" w:top="464" w:right="1440" w:bottom="1440" w:gutter="0" w:footer="0" w:header="0"/>
        </w:sectPr>
      </w:pPr>
    </w:p>
    <w:bookmarkStart w:id="16" w:name="page17"/>
    <w:bookmarkEnd w:id="16"/>
    <w:p>
      <w:pPr>
        <w:ind w:left="2960"/>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51"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average number of shares outstanding during the period. Diluted earnings per share is computed on the basis of the weighted average number of shares outstanding and the effect of dilutive outstanding stock options using the treasury stock method and the effect of dilutive outstanding convertible notes using the if-converted method.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DERIVATIVES AND HEDGING</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Company accounts for derivatives and hedging based on SFAS No. 133, "Accounting for Derivative Instruments and Hedging Activities". SFAS No. 133 requires the Company to recognize all derivatives on the balance sheet at fair value. If a derivative meets the definition of a hedge and is so designated, depending on the nature of the hedge, changes in the fair value of the derivative will either be offset against the change in fair value of the hedged assets, liabilities, or firm commitments through earnings or recognized in other comprehensive income until the hedged item is recognized in earnings. The ineffective portion of a derivative's change in fair value is recognized in earnings.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178" w:lineRule="exact"/>
        <w:rPr>
          <w:sz w:val="20"/>
          <w:szCs w:val="20"/>
          <w:color w:val="auto"/>
        </w:rPr>
      </w:pPr>
    </w:p>
    <w:p>
      <w:pPr>
        <w:ind w:right="3819" w:firstLine="811"/>
        <w:spacing w:after="0" w:line="243" w:lineRule="auto"/>
        <w:rPr>
          <w:sz w:val="20"/>
          <w:szCs w:val="20"/>
          <w:color w:val="auto"/>
        </w:rPr>
      </w:pPr>
      <w:r>
        <w:rPr>
          <w:rFonts w:ascii="Courier New" w:cs="Courier New" w:eastAsia="Courier New" w:hAnsi="Courier New"/>
          <w:sz w:val="15"/>
          <w:szCs w:val="15"/>
          <w:color w:val="auto"/>
        </w:rPr>
        <w:t>Certain amounts in prior years' financial statements have been reclassified to conform to the current year's presentation.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ADOPTION OF NEW ACCOUNTING STANDARDS</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In June 2001, the Financial Accounting Standards Board ("FASB") issued SFAS No. 141, "Business Combinations", and SFAS No. 142, "Goodwill and Other Intangible Assets".</w:t>
      </w:r>
    </w:p>
    <w:p>
      <w:pPr>
        <w:spacing w:after="0" w:line="175" w:lineRule="exact"/>
        <w:rPr>
          <w:sz w:val="20"/>
          <w:szCs w:val="20"/>
          <w:color w:val="auto"/>
        </w:rPr>
      </w:pPr>
    </w:p>
    <w:p>
      <w:pPr>
        <w:ind w:right="3279" w:firstLine="811"/>
        <w:spacing w:after="0" w:line="243" w:lineRule="auto"/>
        <w:rPr>
          <w:sz w:val="20"/>
          <w:szCs w:val="20"/>
          <w:color w:val="auto"/>
        </w:rPr>
      </w:pPr>
      <w:r>
        <w:rPr>
          <w:rFonts w:ascii="Courier New" w:cs="Courier New" w:eastAsia="Courier New" w:hAnsi="Courier New"/>
          <w:sz w:val="15"/>
          <w:szCs w:val="15"/>
          <w:color w:val="auto"/>
        </w:rPr>
        <w:t>SFAS No. 141 requires that the purchase method of accounting be used for all business combinations initiated after June 30, 2001.</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SFAS No. 142 is effective for fiscal years beginning after December 15, 2001. Under SFAS No. 142, goodwill and intangible assets deemed to have indefinite lives will no longer be amortized but will be subject to periodic impairment tests in accordance with the Statement. Other intangible assets will continue to be amortized over their useful lives.</w:t>
      </w:r>
    </w:p>
    <w:p>
      <w:pPr>
        <w:spacing w:after="0" w:line="177" w:lineRule="exact"/>
        <w:rPr>
          <w:sz w:val="20"/>
          <w:szCs w:val="20"/>
          <w:color w:val="auto"/>
        </w:rPr>
      </w:pPr>
    </w:p>
    <w:p>
      <w:pPr>
        <w:ind w:right="3819" w:firstLine="811"/>
        <w:spacing w:after="0" w:line="244" w:lineRule="auto"/>
        <w:rPr>
          <w:sz w:val="20"/>
          <w:szCs w:val="20"/>
          <w:color w:val="auto"/>
        </w:rPr>
      </w:pPr>
      <w:r>
        <w:rPr>
          <w:rFonts w:ascii="Courier New" w:cs="Courier New" w:eastAsia="Courier New" w:hAnsi="Courier New"/>
          <w:sz w:val="15"/>
          <w:szCs w:val="15"/>
          <w:color w:val="auto"/>
        </w:rPr>
        <w:t>Other intangible assets, such as workforce-in-place, will be reclassified to goodwill, according to SFAS No. 141's new definition of intangible assets.</w:t>
      </w:r>
    </w:p>
    <w:p>
      <w:pPr>
        <w:spacing w:after="0" w:line="17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Effective October 1, 2002 the Company will adopt SFAS No. 142. Subsequent to the adoption of the new rules, the Company will perform the first of the required periodic impairment tests of goodwill and intangible assets recorded as of October 1, 2002. Thereafter, a periodic impairment test will be performed at least annually. The Company has not yet determined what the effect of these tests will be on its earnings and financial position. The Company recorded $204,561, $204,566 and $104,268, of goodwill and</w:t>
      </w:r>
    </w:p>
    <w:p>
      <w:pPr>
        <w:sectPr>
          <w:pgSz w:w="11900" w:h="16838" w:orient="portrait"/>
          <w:cols w:equalWidth="0" w:num="1">
            <w:col w:w="10219"/>
          </w:cols>
          <w:pgMar w:left="240" w:top="464" w:right="1440" w:bottom="1440" w:gutter="0" w:footer="0" w:header="0"/>
        </w:sectPr>
      </w:pPr>
    </w:p>
    <w:bookmarkStart w:id="17" w:name="page18"/>
    <w:bookmarkEnd w:id="17"/>
    <w:p>
      <w:pPr>
        <w:ind w:left="2960"/>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51"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workforce-in-place amortization during the years ended September 30, 2002, 2001 and 2000, respectively.</w:t>
      </w:r>
    </w:p>
    <w:p>
      <w:pPr>
        <w:spacing w:after="0" w:line="176" w:lineRule="exact"/>
        <w:rPr>
          <w:sz w:val="20"/>
          <w:szCs w:val="20"/>
          <w:color w:val="auto"/>
        </w:rPr>
      </w:pPr>
    </w:p>
    <w:p>
      <w:pPr>
        <w:ind w:right="3559" w:firstLine="811"/>
        <w:spacing w:after="0" w:line="243" w:lineRule="auto"/>
        <w:rPr>
          <w:sz w:val="20"/>
          <w:szCs w:val="20"/>
          <w:color w:val="auto"/>
        </w:rPr>
      </w:pPr>
      <w:r>
        <w:rPr>
          <w:rFonts w:ascii="Courier New" w:cs="Courier New" w:eastAsia="Courier New" w:hAnsi="Courier New"/>
          <w:sz w:val="15"/>
          <w:szCs w:val="15"/>
          <w:color w:val="auto"/>
        </w:rPr>
        <w:t>Set forth below is the effect of non-amortization of goodwill and workforce-in-place:</w:t>
      </w:r>
    </w:p>
    <w:p>
      <w:pPr>
        <w:spacing w:after="0" w:line="200" w:lineRule="exact"/>
        <w:rPr>
          <w:sz w:val="20"/>
          <w:szCs w:val="20"/>
          <w:color w:val="auto"/>
        </w:rPr>
      </w:pPr>
    </w:p>
    <w:p>
      <w:pPr>
        <w:spacing w:after="0" w:line="322"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4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SEPTEMBER 30,</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3"/>
        </w:trPr>
        <w:tc>
          <w:tcPr>
            <w:tcW w:w="4060" w:type="dxa"/>
            <w:vAlign w:val="bottom"/>
          </w:tcPr>
          <w:p>
            <w:pPr>
              <w:spacing w:after="0"/>
              <w:rPr>
                <w:sz w:val="15"/>
                <w:szCs w:val="15"/>
                <w:color w:val="auto"/>
              </w:rPr>
            </w:pPr>
          </w:p>
        </w:tc>
        <w:tc>
          <w:tcPr>
            <w:tcW w:w="450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2002</w:t>
            </w:r>
          </w:p>
        </w:tc>
        <w:tc>
          <w:tcPr>
            <w:tcW w:w="820" w:type="dxa"/>
            <w:vAlign w:val="bottom"/>
          </w:tcPr>
          <w:p>
            <w:pPr>
              <w:spacing w:after="0"/>
              <w:rPr>
                <w:sz w:val="15"/>
                <w:szCs w:val="15"/>
                <w:color w:val="auto"/>
              </w:rPr>
            </w:pPr>
          </w:p>
        </w:tc>
        <w:tc>
          <w:tcPr>
            <w:tcW w:w="144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2001</w:t>
            </w:r>
          </w:p>
        </w:tc>
        <w:tc>
          <w:tcPr>
            <w:tcW w:w="180" w:type="dxa"/>
            <w:vAlign w:val="bottom"/>
          </w:tcPr>
          <w:p>
            <w:pPr>
              <w:spacing w:after="0"/>
              <w:rPr>
                <w:sz w:val="15"/>
                <w:szCs w:val="15"/>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4060" w:type="dxa"/>
            <w:vAlign w:val="bottom"/>
          </w:tcPr>
          <w:p>
            <w:pPr>
              <w:spacing w:after="0"/>
              <w:rPr>
                <w:sz w:val="15"/>
                <w:szCs w:val="15"/>
                <w:color w:val="auto"/>
              </w:rPr>
            </w:pPr>
          </w:p>
        </w:tc>
        <w:tc>
          <w:tcPr>
            <w:tcW w:w="13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26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060" w:type="dxa"/>
            <w:vAlign w:val="bottom"/>
          </w:tcPr>
          <w:p>
            <w:pPr>
              <w:spacing w:after="0"/>
              <w:rPr>
                <w:sz w:val="20"/>
                <w:szCs w:val="20"/>
                <w:color w:val="auto"/>
              </w:rPr>
            </w:pPr>
            <w:r>
              <w:rPr>
                <w:rFonts w:ascii="Courier New" w:cs="Courier New" w:eastAsia="Courier New" w:hAnsi="Courier New"/>
                <w:sz w:val="15"/>
                <w:szCs w:val="15"/>
                <w:color w:val="auto"/>
              </w:rPr>
              <w:t>Reported net (loss) income</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(5,061)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66,386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5,978</w:t>
            </w:r>
          </w:p>
        </w:tc>
      </w:tr>
      <w:tr>
        <w:trPr>
          <w:trHeight w:val="173"/>
        </w:trPr>
        <w:tc>
          <w:tcPr>
            <w:tcW w:w="4060" w:type="dxa"/>
            <w:vAlign w:val="bottom"/>
          </w:tcPr>
          <w:p>
            <w:pPr>
              <w:spacing w:after="0"/>
              <w:rPr>
                <w:sz w:val="20"/>
                <w:szCs w:val="20"/>
                <w:color w:val="auto"/>
              </w:rPr>
            </w:pPr>
            <w:r>
              <w:rPr>
                <w:rFonts w:ascii="Courier New" w:cs="Courier New" w:eastAsia="Courier New" w:hAnsi="Courier New"/>
                <w:sz w:val="15"/>
                <w:szCs w:val="15"/>
                <w:color w:val="auto"/>
              </w:rPr>
              <w:t>Add back: goodwill and workforce-in-place</w:t>
            </w: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060" w:type="dxa"/>
            <w:vAlign w:val="bottom"/>
          </w:tcPr>
          <w:p>
            <w:pPr>
              <w:ind w:left="100"/>
              <w:spacing w:after="0"/>
              <w:rPr>
                <w:sz w:val="20"/>
                <w:szCs w:val="20"/>
                <w:color w:val="auto"/>
              </w:rPr>
            </w:pPr>
            <w:r>
              <w:rPr>
                <w:rFonts w:ascii="Courier New" w:cs="Courier New" w:eastAsia="Courier New" w:hAnsi="Courier New"/>
                <w:sz w:val="15"/>
                <w:szCs w:val="15"/>
                <w:color w:val="auto"/>
              </w:rPr>
              <w:t>amortizations</w:t>
            </w:r>
          </w:p>
        </w:tc>
        <w:tc>
          <w:tcPr>
            <w:tcW w:w="54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204,561</w:t>
            </w:r>
          </w:p>
        </w:tc>
        <w:tc>
          <w:tcPr>
            <w:tcW w:w="820" w:type="dxa"/>
            <w:vAlign w:val="bottom"/>
          </w:tcPr>
          <w:p>
            <w:pPr>
              <w:spacing w:after="0"/>
              <w:rPr>
                <w:sz w:val="15"/>
                <w:szCs w:val="15"/>
                <w:color w:val="auto"/>
              </w:rPr>
            </w:pPr>
          </w:p>
        </w:tc>
        <w:tc>
          <w:tcPr>
            <w:tcW w:w="14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204,566</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104,268</w:t>
            </w:r>
          </w:p>
        </w:tc>
      </w:tr>
      <w:tr>
        <w:trPr>
          <w:trHeight w:val="173"/>
        </w:trPr>
        <w:tc>
          <w:tcPr>
            <w:tcW w:w="4060" w:type="dxa"/>
            <w:vAlign w:val="bottom"/>
          </w:tcPr>
          <w:p>
            <w:pPr>
              <w:spacing w:after="0"/>
              <w:rPr>
                <w:sz w:val="20"/>
                <w:szCs w:val="20"/>
                <w:color w:val="auto"/>
              </w:rPr>
            </w:pPr>
            <w:r>
              <w:rPr>
                <w:rFonts w:ascii="Courier New" w:cs="Courier New" w:eastAsia="Courier New" w:hAnsi="Courier New"/>
                <w:sz w:val="15"/>
                <w:szCs w:val="15"/>
                <w:color w:val="auto"/>
              </w:rPr>
              <w:t>Attributable tax effect</w:t>
            </w:r>
          </w:p>
        </w:tc>
        <w:tc>
          <w:tcPr>
            <w:tcW w:w="5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(2,717)</w:t>
            </w:r>
          </w:p>
        </w:tc>
        <w:tc>
          <w:tcPr>
            <w:tcW w:w="820" w:type="dxa"/>
            <w:vAlign w:val="bottom"/>
          </w:tcPr>
          <w:p>
            <w:pPr>
              <w:spacing w:after="0"/>
              <w:rPr>
                <w:sz w:val="15"/>
                <w:szCs w:val="15"/>
                <w:color w:val="auto"/>
              </w:rPr>
            </w:pPr>
          </w:p>
        </w:tc>
        <w:tc>
          <w:tcPr>
            <w:tcW w:w="14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(2,717)</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(2,088)</w:t>
            </w:r>
          </w:p>
        </w:tc>
      </w:tr>
      <w:tr>
        <w:trPr>
          <w:trHeight w:val="173"/>
        </w:trPr>
        <w:tc>
          <w:tcPr>
            <w:tcW w:w="4060" w:type="dxa"/>
            <w:vAlign w:val="bottom"/>
          </w:tcPr>
          <w:p>
            <w:pPr>
              <w:spacing w:after="0"/>
              <w:rPr>
                <w:sz w:val="15"/>
                <w:szCs w:val="15"/>
                <w:color w:val="auto"/>
              </w:rPr>
            </w:pPr>
          </w:p>
        </w:tc>
        <w:tc>
          <w:tcPr>
            <w:tcW w:w="13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26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060" w:type="dxa"/>
            <w:vAlign w:val="bottom"/>
          </w:tcPr>
          <w:p>
            <w:pPr>
              <w:spacing w:after="0"/>
              <w:rPr>
                <w:sz w:val="20"/>
                <w:szCs w:val="20"/>
                <w:color w:val="auto"/>
              </w:rPr>
            </w:pPr>
            <w:r>
              <w:rPr>
                <w:rFonts w:ascii="Courier New" w:cs="Courier New" w:eastAsia="Courier New" w:hAnsi="Courier New"/>
                <w:sz w:val="15"/>
                <w:szCs w:val="15"/>
                <w:color w:val="auto"/>
              </w:rPr>
              <w:t>Adjusted net income</w:t>
            </w:r>
          </w:p>
        </w:tc>
        <w:tc>
          <w:tcPr>
            <w:tcW w:w="13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$ 196,783</w:t>
            </w:r>
          </w:p>
        </w:tc>
        <w:tc>
          <w:tcPr>
            <w:tcW w:w="226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$ 268,235</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$ 108,158</w:t>
            </w:r>
          </w:p>
        </w:tc>
      </w:tr>
      <w:tr>
        <w:trPr>
          <w:trHeight w:val="173"/>
        </w:trPr>
        <w:tc>
          <w:tcPr>
            <w:tcW w:w="4060" w:type="dxa"/>
            <w:vAlign w:val="bottom"/>
          </w:tcPr>
          <w:p>
            <w:pPr>
              <w:spacing w:after="0"/>
              <w:rPr>
                <w:sz w:val="15"/>
                <w:szCs w:val="15"/>
                <w:color w:val="auto"/>
              </w:rPr>
            </w:pPr>
          </w:p>
        </w:tc>
        <w:tc>
          <w:tcPr>
            <w:tcW w:w="13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26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060" w:type="dxa"/>
            <w:vAlign w:val="bottom"/>
          </w:tcPr>
          <w:p>
            <w:pPr>
              <w:spacing w:after="0"/>
              <w:rPr>
                <w:sz w:val="20"/>
                <w:szCs w:val="20"/>
                <w:color w:val="auto"/>
              </w:rPr>
            </w:pPr>
            <w:r>
              <w:rPr>
                <w:rFonts w:ascii="Courier New" w:cs="Courier New" w:eastAsia="Courier New" w:hAnsi="Courier New"/>
                <w:sz w:val="15"/>
                <w:szCs w:val="15"/>
                <w:color w:val="auto"/>
              </w:rPr>
              <w:t>Adjusted basic earnings per share</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0.89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1.21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0.51</w:t>
            </w:r>
          </w:p>
        </w:tc>
      </w:tr>
      <w:tr>
        <w:trPr>
          <w:trHeight w:val="173"/>
        </w:trPr>
        <w:tc>
          <w:tcPr>
            <w:tcW w:w="4060" w:type="dxa"/>
            <w:vAlign w:val="bottom"/>
          </w:tcPr>
          <w:p>
            <w:pPr>
              <w:spacing w:after="0"/>
              <w:rPr>
                <w:sz w:val="15"/>
                <w:szCs w:val="15"/>
                <w:color w:val="auto"/>
              </w:rPr>
            </w:pPr>
          </w:p>
        </w:tc>
        <w:tc>
          <w:tcPr>
            <w:tcW w:w="13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26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060" w:type="dxa"/>
            <w:vAlign w:val="bottom"/>
          </w:tcPr>
          <w:p>
            <w:pPr>
              <w:spacing w:after="0"/>
              <w:rPr>
                <w:sz w:val="20"/>
                <w:szCs w:val="20"/>
                <w:color w:val="auto"/>
              </w:rPr>
            </w:pPr>
            <w:r>
              <w:rPr>
                <w:rFonts w:ascii="Courier New" w:cs="Courier New" w:eastAsia="Courier New" w:hAnsi="Courier New"/>
                <w:sz w:val="15"/>
                <w:szCs w:val="15"/>
                <w:color w:val="auto"/>
              </w:rPr>
              <w:t>Adjusted diluted earnings per share</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0.88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1.18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0.50</w:t>
            </w:r>
          </w:p>
        </w:tc>
      </w:tr>
      <w:tr>
        <w:trPr>
          <w:trHeight w:val="173"/>
        </w:trPr>
        <w:tc>
          <w:tcPr>
            <w:tcW w:w="4060" w:type="dxa"/>
            <w:vAlign w:val="bottom"/>
          </w:tcPr>
          <w:p>
            <w:pPr>
              <w:spacing w:after="0"/>
              <w:rPr>
                <w:sz w:val="15"/>
                <w:szCs w:val="15"/>
                <w:color w:val="auto"/>
              </w:rPr>
            </w:pPr>
          </w:p>
        </w:tc>
        <w:tc>
          <w:tcPr>
            <w:tcW w:w="13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26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In April 2002, the FASB issued SFAS No. 145, "Rescission of FASB Statements No. 4, 44 and 64, Amendment of FASB Statement No. 13, and Technical Corrections". SFAS No. 145 eliminates previous requirements to classify gains and losses from extinguishment of debt as extraordinary items in earnings. Gains or losses from extinguishment of debt for fiscal years beginning after May 15, 2002 shall not be classified as extraordinary items unless certain provisions are met. Early adoption was encouraged. The Company adopted SFAS No. 145 in the fourth quarter of fiscal 2002 in connection with the gain related to the repurchase of its convertible notes. See Note 12.</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 Actual results could differ from those estimates.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ACQUISITIONS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ITDS</w:t>
      </w:r>
    </w:p>
    <w:p>
      <w:pPr>
        <w:spacing w:after="0" w:line="178" w:lineRule="exact"/>
        <w:rPr>
          <w:sz w:val="20"/>
          <w:szCs w:val="20"/>
          <w:color w:val="auto"/>
        </w:rPr>
      </w:pPr>
    </w:p>
    <w:p>
      <w:pPr>
        <w:ind w:right="3199" w:firstLine="811"/>
        <w:spacing w:after="0" w:line="264" w:lineRule="auto"/>
        <w:rPr>
          <w:sz w:val="20"/>
          <w:szCs w:val="20"/>
          <w:color w:val="auto"/>
        </w:rPr>
      </w:pPr>
      <w:r>
        <w:rPr>
          <w:rFonts w:ascii="Courier New" w:cs="Courier New" w:eastAsia="Courier New" w:hAnsi="Courier New"/>
          <w:sz w:val="14"/>
          <w:szCs w:val="14"/>
          <w:color w:val="auto"/>
        </w:rPr>
        <w:t>On November 30, 1999, the Company acquired International Telecommunication Data Systems, Inc. ("ITDS"), a leading provider of solutions to communications companies for outsourcing of billing operations. The total purchase price of $189,034, based on a per share price of $28.25 for the Company's Ordinary Shares, consisted of the issuance of 6,461 Ordinary Shares, the grant of options to purchase 1,103 Ordinary Shares and transaction costs. The acquisition was accounted for using the purchase method of accounting. The fair market value of ITDS' assets and liabilities has been included in the Company's balance sheet and the results of ITDS' operations are included</w:t>
      </w:r>
    </w:p>
    <w:p>
      <w:pPr>
        <w:sectPr>
          <w:pgSz w:w="11900" w:h="16838" w:orient="portrait"/>
          <w:cols w:equalWidth="0" w:num="1">
            <w:col w:w="10219"/>
          </w:cols>
          <w:pgMar w:left="240" w:top="464" w:right="1440" w:bottom="1440" w:gutter="0" w:footer="0" w:header="0"/>
        </w:sectPr>
      </w:pPr>
    </w:p>
    <w:bookmarkStart w:id="18" w:name="page19"/>
    <w:bookmarkEnd w:id="18"/>
    <w:p>
      <w:pPr>
        <w:ind w:left="2960"/>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the Company's consolidated statement of income, commencing on December 1, 1999. The value of acquired technology, which was independently determined, included both existing technology and in-process research and development. The valuation of these technologies was made by applying the income forecast method, which considered the present value of cash flows by product lines. The fair value of core technology was valued at $12,342 and was fully amortized over approximately two years commencing on December 1, 1999. Purchased in-process research and development, valued at $19,876, was charged as an expense immediately following the completion of the acquisition, in accordance with FASB Interpretation No. 4, "Applicability of FASB Statement No. 2 to Business Combinations Accounted for by the Purchase Method" ("FIN 4"), since this technology had not reached technological feasibility and had no alternative use. This technology required additional development, coding and testing efforts before technological feasibility could be determined. The fair value of customer base was valued at $647 and the fair value of workforce-in-place was valued at $5,407, each of which is being amortized over five years commencing on December 1, 1999. The excess of the purchase price over the fair value of the net assets acquired, or goodwill, of $70,895 is being amortized over 15 years commencing on December 1, 1999. Effective October 1, 2002, SFAS No. 142 will be adopted by the Company. Under SFAS No. 142, amortization of goodwill will cease for acquisitions completed prior to July 1, 2001. As a result, commencing fiscal 2003, goodwill related to the ITDS acquisition will no longer be amortized, but will be subject to periodic impairment tests. Other intangible assets, such as workforce-in-place, will be reclassified to goodwill, according to SFAS No. 141's new definition of intangible assets.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SOLECT</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On April 5, 2000, the Company acquired Solect Technology Group Inc. ("Solect"), a leading provider of customer care and billing software to IP service providers. Under the terms of the combination agreement, all then outstanding Solect common shares were exchanged for shares of a newly issued class of exchangeable shares of Solect. The Solect exchangeable shares entitle holders to dividends and other rights economically equivalent to the Company's Ordinary Shares, including the right, through a voting trust, to vote at the Company's shareholder meetings, and are exchangeable at the option of holders into the Company's Ordinary Shares on a one-for-one basis. The total purchase price of $1,087,711, based on a per share price of $69.875 for the Company's Ordinary Shares, included the issuance of 13,846 exchangeable shares, the grant of options to purchase 1,654 Ordinary Shares, as well as transaction costs. The acquisition was accounted for using the purchase method of accounting. The fair market value of Solect's assets and liabilities has been included in the Company's balance sheet and the results of Solect's operations are included in the Company's consolidated statement of income, commencing on April 6, 2000. The value of acquired technology, which was independently determined, included both existing technology and in-process research and development. The valuation of these items was made by applying the income forecast method, which considered the present value of cash flows by product</w:t>
      </w:r>
    </w:p>
    <w:p>
      <w:pPr>
        <w:sectPr>
          <w:pgSz w:w="11900" w:h="16838" w:orient="portrait"/>
          <w:cols w:equalWidth="0" w:num="1">
            <w:col w:w="10219"/>
          </w:cols>
          <w:pgMar w:left="240" w:top="464" w:right="1440" w:bottom="1440" w:gutter="0" w:footer="0" w:header="0"/>
        </w:sectPr>
      </w:pPr>
    </w:p>
    <w:bookmarkStart w:id="19" w:name="page20"/>
    <w:bookmarkEnd w:id="19"/>
    <w:p>
      <w:pPr>
        <w:ind w:left="2960"/>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lines. The fair value of core technology was valued at $18,259 and was fully amortized over two years commencing on April 6, 2000. Purchased in-process research and development, valued at $50,443, was charged as an expense immediately following the completion of the acquisition in accordance with FIN 4, since this technology had not reached technological feasibility and had no alternative use. This technology required varying additional development, coding and testing efforts before technological feasibility could be determined. The fair value of customer base was valued at $1,211 and the fair value of workforce-in-place was valued at $3,259, each of which is being amortized over three years commencing on April 6, 2000. The excess of the purchase price over the fair value of net assets acquired, or goodwill, of $985,271 is being amortized over five years commencing on April 6, 2000. As a result of the adoption of SFAS No. 142, commencing fiscal 2003, goodwill related to the Solect acquisition will no longer be amortized, but will be subject to periodic impairment tests. Other intangible assets, such as workforce-in-place, will be reclassified as goodwill, according to SFAS No. 141's new definition of intangible assets.</w:t>
      </w:r>
    </w:p>
    <w:p>
      <w:pPr>
        <w:spacing w:after="0" w:line="184"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Set forth below is the unaudited pro forma revenue, operating income, net loss and loss per share figures for the year ended September 30, 2000, as if ITDS and Solect had been acquired as of October 1, 1998, excluding the write-off of purchased in-process research and development and other indirect acquisition-related costs:</w:t>
      </w:r>
    </w:p>
    <w:p>
      <w:pPr>
        <w:spacing w:after="0" w:line="200" w:lineRule="exact"/>
        <w:rPr>
          <w:sz w:val="20"/>
          <w:szCs w:val="20"/>
          <w:color w:val="auto"/>
        </w:rPr>
      </w:pPr>
    </w:p>
    <w:p>
      <w:pPr>
        <w:spacing w:after="0" w:line="323"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3060" w:type="dxa"/>
            <w:vAlign w:val="bottom"/>
          </w:tcPr>
          <w:p>
            <w:pPr>
              <w:spacing w:after="0"/>
              <w:rPr>
                <w:sz w:val="14"/>
                <w:szCs w:val="14"/>
                <w:color w:val="auto"/>
              </w:rPr>
            </w:pPr>
          </w:p>
        </w:tc>
        <w:tc>
          <w:tcPr>
            <w:tcW w:w="27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YEAR ENDED</w:t>
            </w:r>
          </w:p>
        </w:tc>
      </w:tr>
      <w:tr>
        <w:trPr>
          <w:trHeight w:val="173"/>
        </w:trPr>
        <w:tc>
          <w:tcPr>
            <w:tcW w:w="3060" w:type="dxa"/>
            <w:vAlign w:val="bottom"/>
          </w:tcPr>
          <w:p>
            <w:pPr>
              <w:spacing w:after="0"/>
              <w:rPr>
                <w:sz w:val="15"/>
                <w:szCs w:val="15"/>
                <w:color w:val="auto"/>
              </w:rPr>
            </w:pPr>
          </w:p>
        </w:tc>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SEPTEMBER 30, 2000</w:t>
            </w:r>
          </w:p>
        </w:tc>
      </w:tr>
      <w:tr>
        <w:trPr>
          <w:trHeight w:val="173"/>
        </w:trPr>
        <w:tc>
          <w:tcPr>
            <w:tcW w:w="3060" w:type="dxa"/>
            <w:vAlign w:val="bottom"/>
          </w:tcPr>
          <w:p>
            <w:pPr>
              <w:spacing w:after="0"/>
              <w:rPr>
                <w:sz w:val="15"/>
                <w:szCs w:val="15"/>
                <w:color w:val="auto"/>
              </w:rPr>
            </w:pPr>
          </w:p>
        </w:tc>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0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7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$1,152,783</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7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41,516</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2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(25,516)</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Basic loss per share</w:t>
            </w:r>
          </w:p>
        </w:tc>
        <w:tc>
          <w:tcPr>
            <w:tcW w:w="2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(0.12)</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Diluted loss per share</w:t>
            </w:r>
          </w:p>
        </w:tc>
        <w:tc>
          <w:tcPr>
            <w:tcW w:w="2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(0.12)</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CLARIFY</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On November 28, 2001, the Company purchased from Nortel Networks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substantially all of the assets of its Clarify business ("Clarify"),</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leading provider of Customer Relationship Management ("CRM") software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communications companies and other enterprise sectors. This acquisition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positioned the Company as a leading provider of CRM software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communications industry and, through the addition of Clarify's CRM software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Business Support Systems offerings, reinforced the Company's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leadership in delivering a comprehensive portfolio of business software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applications. Following the acquisition, the Company has continued to sell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Clarify's CRM software to customers other than communications service providers,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although this is not the focus of the Company's business and, as a result, it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believes that revenue from such customers will slightly increase over time.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initial purchase price for Clarify as of September 30, 2002 was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$212,000 in cash, including transaction costs of $8,250. The purchase price was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subject to final price adjustments that</w:t>
      </w:r>
    </w:p>
    <w:p>
      <w:pPr>
        <w:sectPr>
          <w:pgSz w:w="11900" w:h="16838" w:orient="portrait"/>
          <w:cols w:equalWidth="0" w:num="1">
            <w:col w:w="10219"/>
          </w:cols>
          <w:pgMar w:left="240" w:top="464" w:right="1440" w:bottom="1440" w:gutter="0" w:footer="0" w:header="0"/>
        </w:sectPr>
      </w:pPr>
    </w:p>
    <w:bookmarkStart w:id="20" w:name="page21"/>
    <w:bookmarkEnd w:id="20"/>
    <w:p>
      <w:pPr>
        <w:ind w:left="2960"/>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were settled in October 2002 and resulted in an $11,265 reduction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price to $200,735 in the first quarter of fiscal 2003. The acquisition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 accounted for as a business combination using the purchase method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as required by SFAS No. 141. The fair market value of Clarify's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 and liabilities has been included in the Company's balance sheet and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Clarify's operations are included in the Company's consolidated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statements of operations, commencing on November 29, 2001. The Company obtained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valuation of the intangible assets acquired in the Clarify transaction.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value of acquired technology included both existing technology and in-process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The valuation of these items was made by applying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forecast method, which considered the present value of cash flows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lines. Of the $65,600 of acquired identifiable intangible assets,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$17,400 was assigned to in-process research and development and was written off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the closing date of the acquisition, in accordance with FIN 4. The fair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value assigned to core technology was $13,400 and is being amortized over two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commencing on November 29, 2001. The fair value assigned to customer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arrangements was $34,800 and is being amortized over three years commencing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29, 2001.The excess of the purchase price over the fair value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assets acquired, or goodwill, as of September 30, 2002, was $161,258,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$156,478 is tax deductible. The amount assigned to goodwill was subject to</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possible purchase price adjustments and other contingencies, which were settled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October 2002, as discussed above. The goodwill is accounted for under SFAS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142. In accordance with SFAS No. 142, goodwill from acquisitions after June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 2001 is no longer amortized, but is subject to periodic impairment tests.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 the transition provisions of SFAS No. 142, goodwill for acquisitions prior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July 1, 2001 will continue to be amortized only through September 30, 2002.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a result, goodwill associated with the acquisition of Clarify is not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amortized, while goodwill associated with other acquisitions by the Company will</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amortized only through the end of fiscal 2002.</w:t>
      </w:r>
    </w:p>
    <w:p>
      <w:pPr>
        <w:spacing w:after="0" w:line="178" w:lineRule="exact"/>
        <w:rPr>
          <w:sz w:val="20"/>
          <w:szCs w:val="20"/>
          <w:color w:val="auto"/>
        </w:rPr>
      </w:pPr>
    </w:p>
    <w:p>
      <w:pPr>
        <w:ind w:right="3199" w:firstLine="811"/>
        <w:spacing w:after="0" w:line="243" w:lineRule="auto"/>
        <w:rPr>
          <w:sz w:val="20"/>
          <w:szCs w:val="20"/>
          <w:color w:val="auto"/>
        </w:rPr>
      </w:pPr>
      <w:r>
        <w:rPr>
          <w:rFonts w:ascii="Courier New" w:cs="Courier New" w:eastAsia="Courier New" w:hAnsi="Courier New"/>
          <w:sz w:val="15"/>
          <w:szCs w:val="15"/>
          <w:color w:val="auto"/>
        </w:rPr>
        <w:t>The following is the preliminary allocation of the purchase price and deferred tax liability:</w:t>
      </w:r>
    </w:p>
    <w:p>
      <w:pPr>
        <w:spacing w:after="0" w:line="200" w:lineRule="exact"/>
        <w:rPr>
          <w:sz w:val="20"/>
          <w:szCs w:val="20"/>
          <w:color w:val="auto"/>
        </w:rPr>
      </w:pPr>
    </w:p>
    <w:p>
      <w:pPr>
        <w:spacing w:after="0" w:line="322" w:lineRule="exact"/>
        <w:rPr>
          <w:sz w:val="20"/>
          <w:szCs w:val="20"/>
          <w:color w:val="auto"/>
        </w:rPr>
      </w:pPr>
    </w:p>
    <w:tbl>
      <w:tblPr>
        <w:tblLayout w:type="fixed"/>
        <w:tblInd w:w="720" w:type="dxa"/>
        <w:tblCellMar>
          <w:top w:w="0" w:type="dxa"/>
          <w:left w:w="0" w:type="dxa"/>
          <w:bottom w:w="0" w:type="dxa"/>
          <w:right w:w="0" w:type="dxa"/>
        </w:tblCellMar>
      </w:tblP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liabilities acquired</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(11,987)</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Core technology</w:t>
            </w:r>
          </w:p>
        </w:tc>
        <w:tc>
          <w:tcPr>
            <w:tcW w:w="1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13,400</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Customer arrangements</w:t>
            </w:r>
          </w:p>
        </w:tc>
        <w:tc>
          <w:tcPr>
            <w:tcW w:w="1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34,800</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In-process research and development</w:t>
            </w:r>
          </w:p>
        </w:tc>
        <w:tc>
          <w:tcPr>
            <w:tcW w:w="1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17,400</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Deferred tax liability</w:t>
            </w:r>
          </w:p>
        </w:tc>
        <w:tc>
          <w:tcPr>
            <w:tcW w:w="1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(2,871)</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1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161,258</w:t>
            </w:r>
          </w:p>
        </w:tc>
      </w:tr>
      <w:tr>
        <w:trPr>
          <w:trHeight w:val="173"/>
        </w:trPr>
        <w:tc>
          <w:tcPr>
            <w:tcW w:w="4140" w:type="dxa"/>
            <w:vAlign w:val="bottom"/>
          </w:tcPr>
          <w:p>
            <w:pPr>
              <w:spacing w:after="0"/>
              <w:rPr>
                <w:sz w:val="15"/>
                <w:szCs w:val="15"/>
                <w:color w:val="auto"/>
              </w:rPr>
            </w:pPr>
          </w:p>
        </w:tc>
        <w:tc>
          <w:tcPr>
            <w:tcW w:w="1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14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212,000</w:t>
            </w:r>
          </w:p>
        </w:tc>
      </w:tr>
      <w:tr>
        <w:trPr>
          <w:trHeight w:val="173"/>
        </w:trPr>
        <w:tc>
          <w:tcPr>
            <w:tcW w:w="4140" w:type="dxa"/>
            <w:vAlign w:val="bottom"/>
          </w:tcPr>
          <w:p>
            <w:pPr>
              <w:spacing w:after="0"/>
              <w:rPr>
                <w:sz w:val="15"/>
                <w:szCs w:val="15"/>
                <w:color w:val="auto"/>
              </w:rPr>
            </w:pPr>
          </w:p>
        </w:tc>
        <w:tc>
          <w:tcPr>
            <w:tcW w:w="1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3379" w:firstLine="811"/>
        <w:spacing w:after="0" w:line="244" w:lineRule="auto"/>
        <w:rPr>
          <w:sz w:val="20"/>
          <w:szCs w:val="20"/>
          <w:color w:val="auto"/>
        </w:rPr>
      </w:pPr>
      <w:r>
        <w:rPr>
          <w:rFonts w:ascii="Courier New" w:cs="Courier New" w:eastAsia="Courier New" w:hAnsi="Courier New"/>
          <w:sz w:val="15"/>
          <w:szCs w:val="15"/>
          <w:color w:val="auto"/>
        </w:rPr>
        <w:t>As discussed above, the purchase price was subject to final price adjustments that were settled in October 2002. The purchase price allocation above is not final and will be affected by these adjustments.</w:t>
      </w:r>
    </w:p>
    <w:p>
      <w:pPr>
        <w:sectPr>
          <w:pgSz w:w="11900" w:h="16838" w:orient="portrait"/>
          <w:cols w:equalWidth="0" w:num="1">
            <w:col w:w="10219"/>
          </w:cols>
          <w:pgMar w:left="240" w:top="464" w:right="1440" w:bottom="1440" w:gutter="0" w:footer="0" w:header="0"/>
        </w:sectPr>
      </w:pPr>
    </w:p>
    <w:bookmarkStart w:id="21" w:name="page22"/>
    <w:bookmarkEnd w:id="21"/>
    <w:p>
      <w:pPr>
        <w:ind w:left="2960"/>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51" w:lineRule="exact"/>
        <w:rPr>
          <w:sz w:val="20"/>
          <w:szCs w:val="20"/>
          <w:color w:val="auto"/>
        </w:rPr>
      </w:pPr>
    </w:p>
    <w:p>
      <w:pPr>
        <w:jc w:val="both"/>
        <w:ind w:right="3199" w:firstLine="811"/>
        <w:spacing w:after="0" w:line="244" w:lineRule="auto"/>
        <w:rPr>
          <w:sz w:val="20"/>
          <w:szCs w:val="20"/>
          <w:color w:val="auto"/>
        </w:rPr>
      </w:pPr>
      <w:r>
        <w:rPr>
          <w:rFonts w:ascii="Courier New" w:cs="Courier New" w:eastAsia="Courier New" w:hAnsi="Courier New"/>
          <w:sz w:val="15"/>
          <w:szCs w:val="15"/>
          <w:color w:val="auto"/>
        </w:rPr>
        <w:t>Set forth below is the unaudited pro forma revenue, operating income, net income (loss) and per share figures for the years ended September 30, 2002 and 2001, as if Clarify had been acquired as of October 1, 2000, excluding the write-off of purchased in-process research and development:</w:t>
      </w:r>
    </w:p>
    <w:p>
      <w:pPr>
        <w:spacing w:after="0" w:line="200" w:lineRule="exact"/>
        <w:rPr>
          <w:sz w:val="20"/>
          <w:szCs w:val="20"/>
          <w:color w:val="auto"/>
        </w:rPr>
      </w:pPr>
    </w:p>
    <w:p>
      <w:pPr>
        <w:spacing w:after="0" w:line="322"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YEAR ENDED SEPTEMBER 30,</w:t>
            </w:r>
          </w:p>
        </w:tc>
      </w:tr>
      <w:tr>
        <w:trPr>
          <w:trHeight w:val="173"/>
        </w:trPr>
        <w:tc>
          <w:tcPr>
            <w:tcW w:w="3420" w:type="dxa"/>
            <w:vAlign w:val="bottom"/>
          </w:tcPr>
          <w:p>
            <w:pPr>
              <w:spacing w:after="0"/>
              <w:rPr>
                <w:sz w:val="15"/>
                <w:szCs w:val="15"/>
                <w:color w:val="auto"/>
              </w:rPr>
            </w:pPr>
          </w:p>
        </w:tc>
        <w:tc>
          <w:tcPr>
            <w:tcW w:w="370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60" w:type="dxa"/>
            <w:vAlign w:val="bottom"/>
          </w:tcPr>
          <w:p>
            <w:pPr>
              <w:jc w:val="right"/>
              <w:ind w:right="825"/>
              <w:spacing w:after="0"/>
              <w:rPr>
                <w:sz w:val="20"/>
                <w:szCs w:val="20"/>
                <w:color w:val="auto"/>
              </w:rPr>
            </w:pPr>
            <w:r>
              <w:rPr>
                <w:rFonts w:ascii="Courier New" w:cs="Courier New" w:eastAsia="Courier New" w:hAnsi="Courier New"/>
                <w:sz w:val="15"/>
                <w:szCs w:val="15"/>
                <w:color w:val="auto"/>
                <w:w w:val="94"/>
              </w:rPr>
              <w:t>2002</w:t>
            </w:r>
          </w:p>
        </w:tc>
        <w:tc>
          <w:tcPr>
            <w:tcW w:w="16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2001</w:t>
            </w:r>
          </w:p>
        </w:tc>
      </w:tr>
      <w:tr>
        <w:trPr>
          <w:trHeight w:val="173"/>
        </w:trPr>
        <w:tc>
          <w:tcPr>
            <w:tcW w:w="3420" w:type="dxa"/>
            <w:vAlign w:val="bottom"/>
          </w:tcPr>
          <w:p>
            <w:pPr>
              <w:spacing w:after="0"/>
              <w:rPr>
                <w:sz w:val="15"/>
                <w:szCs w:val="15"/>
                <w:color w:val="auto"/>
              </w:rPr>
            </w:pPr>
          </w:p>
        </w:tc>
        <w:tc>
          <w:tcPr>
            <w:tcW w:w="20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34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8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8"/>
              </w:rPr>
              <w:t>1,633,565</w:t>
            </w:r>
          </w:p>
        </w:tc>
        <w:tc>
          <w:tcPr>
            <w:tcW w:w="1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1,776,063</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820" w:type="dxa"/>
            <w:vAlign w:val="bottom"/>
          </w:tcPr>
          <w:p>
            <w:pPr>
              <w:spacing w:after="0"/>
              <w:rPr>
                <w:sz w:val="15"/>
                <w:szCs w:val="15"/>
                <w:color w:val="auto"/>
              </w:rPr>
            </w:pP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54,962</w:t>
            </w:r>
          </w:p>
        </w:tc>
        <w:tc>
          <w:tcPr>
            <w:tcW w:w="1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27,218</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820" w:type="dxa"/>
            <w:vAlign w:val="bottom"/>
          </w:tcPr>
          <w:p>
            <w:pPr>
              <w:spacing w:after="0"/>
              <w:rPr>
                <w:sz w:val="15"/>
                <w:szCs w:val="15"/>
                <w:color w:val="auto"/>
              </w:rPr>
            </w:pP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2,753</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(33,521)</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820" w:type="dxa"/>
            <w:vAlign w:val="bottom"/>
          </w:tcPr>
          <w:p>
            <w:pPr>
              <w:spacing w:after="0"/>
              <w:rPr>
                <w:sz w:val="15"/>
                <w:szCs w:val="15"/>
                <w:color w:val="auto"/>
              </w:rPr>
            </w:pP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0.01</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820" w:type="dxa"/>
            <w:vAlign w:val="bottom"/>
          </w:tcPr>
          <w:p>
            <w:pPr>
              <w:spacing w:after="0"/>
              <w:rPr>
                <w:sz w:val="15"/>
                <w:szCs w:val="15"/>
                <w:color w:val="auto"/>
              </w:rPr>
            </w:pP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0.01</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bl>
    <w:p>
      <w:pPr>
        <w:spacing w:after="0" w:line="351"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As a result of SFAS No. 142, goodwill associated with acquisitions completed after June 30, 2001 is not amortized and, accordingly, the pro forma information above reflects no amortization of goodwill related to the Clarify acquisition.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RELATED PARTY TRANSACTIONS</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following related party balances are included in the balance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sheets:</w:t>
      </w:r>
    </w:p>
    <w:p>
      <w:pPr>
        <w:spacing w:after="0" w:line="200" w:lineRule="exact"/>
        <w:rPr>
          <w:sz w:val="20"/>
          <w:szCs w:val="20"/>
          <w:color w:val="auto"/>
        </w:rPr>
      </w:pPr>
    </w:p>
    <w:p>
      <w:pPr>
        <w:spacing w:after="0" w:line="324" w:lineRule="exact"/>
        <w:rPr>
          <w:sz w:val="20"/>
          <w:szCs w:val="20"/>
          <w:color w:val="auto"/>
        </w:rPr>
      </w:pPr>
    </w:p>
    <w:tbl>
      <w:tblPr>
        <w:tblLayout w:type="fixed"/>
        <w:tblInd w:w="900" w:type="dxa"/>
        <w:tblCellMar>
          <w:top w:w="0" w:type="dxa"/>
          <w:left w:w="0" w:type="dxa"/>
          <w:bottom w:w="0" w:type="dxa"/>
          <w:right w:w="0" w:type="dxa"/>
        </w:tblCellMar>
      </w:tblPr>
      <w:tr>
        <w:trPr>
          <w:trHeight w:val="170"/>
        </w:trPr>
        <w:tc>
          <w:tcPr>
            <w:tcW w:w="5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4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AS OF SEPTEMBER 30,</w:t>
            </w:r>
          </w:p>
        </w:tc>
      </w:tr>
      <w:tr>
        <w:trPr>
          <w:trHeight w:val="173"/>
        </w:trPr>
        <w:tc>
          <w:tcPr>
            <w:tcW w:w="5500" w:type="dxa"/>
            <w:vAlign w:val="bottom"/>
          </w:tcPr>
          <w:p>
            <w:pPr>
              <w:spacing w:after="0"/>
              <w:rPr>
                <w:sz w:val="15"/>
                <w:szCs w:val="15"/>
                <w:color w:val="auto"/>
              </w:rPr>
            </w:pPr>
          </w:p>
        </w:tc>
        <w:tc>
          <w:tcPr>
            <w:tcW w:w="30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w w:val="94"/>
              </w:rPr>
              <w:t>2002</w:t>
            </w:r>
          </w:p>
        </w:tc>
        <w:tc>
          <w:tcPr>
            <w:tcW w:w="54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2001</w:t>
            </w:r>
          </w:p>
        </w:tc>
      </w:tr>
      <w:tr>
        <w:trPr>
          <w:trHeight w:val="173"/>
        </w:trPr>
        <w:tc>
          <w:tcPr>
            <w:tcW w:w="5500" w:type="dxa"/>
            <w:vAlign w:val="bottom"/>
          </w:tcPr>
          <w:p>
            <w:pPr>
              <w:spacing w:after="0"/>
              <w:rPr>
                <w:sz w:val="15"/>
                <w:szCs w:val="15"/>
                <w:color w:val="auto"/>
              </w:rPr>
            </w:pPr>
          </w:p>
        </w:tc>
        <w:tc>
          <w:tcPr>
            <w:tcW w:w="16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500" w:type="dxa"/>
            <w:vAlign w:val="bottom"/>
          </w:tcPr>
          <w:p>
            <w:pPr>
              <w:spacing w:after="0"/>
              <w:rPr>
                <w:sz w:val="20"/>
                <w:szCs w:val="20"/>
                <w:color w:val="auto"/>
              </w:rPr>
            </w:pPr>
            <w:r>
              <w:rPr>
                <w:rFonts w:ascii="Courier New" w:cs="Courier New" w:eastAsia="Courier New" w:hAnsi="Courier New"/>
                <w:sz w:val="15"/>
                <w:szCs w:val="15"/>
                <w:color w:val="auto"/>
              </w:rPr>
              <w:t>Accounts receivable, including unbilled of $100 and $4,479</w:t>
            </w: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in 2002 and 2001, respectively</w:t>
            </w: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55,458</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104,096</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Prepaid expenses and other current assets (1)</w:t>
            </w:r>
          </w:p>
        </w:tc>
        <w:tc>
          <w:tcPr>
            <w:tcW w:w="6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1,550</w:t>
            </w:r>
          </w:p>
        </w:tc>
        <w:tc>
          <w:tcPr>
            <w:tcW w:w="5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Other noncurrent assets (2)</w:t>
            </w:r>
          </w:p>
        </w:tc>
        <w:tc>
          <w:tcPr>
            <w:tcW w:w="62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48,453</w:t>
            </w:r>
          </w:p>
        </w:tc>
        <w:tc>
          <w:tcPr>
            <w:tcW w:w="5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10,091</w:t>
            </w:r>
          </w:p>
        </w:tc>
      </w:tr>
    </w:tbl>
    <w:p>
      <w:pPr>
        <w:spacing w:after="0" w:line="35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1620" w:right="3019" w:hanging="816"/>
        <w:spacing w:after="0" w:line="270" w:lineRule="auto"/>
        <w:tabs>
          <w:tab w:leader="none" w:pos="16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interest receivable accrued on convertible debentures issued to the Company by Certen Inc. ("Certen"), a company formed by Bell Canada and the Company in January 2001.</w:t>
      </w:r>
    </w:p>
    <w:p>
      <w:pPr>
        <w:spacing w:after="0" w:line="158" w:lineRule="exact"/>
        <w:rPr>
          <w:rFonts w:ascii="Courier New" w:cs="Courier New" w:eastAsia="Courier New" w:hAnsi="Courier New"/>
          <w:sz w:val="14"/>
          <w:szCs w:val="14"/>
          <w:color w:val="auto"/>
        </w:rPr>
      </w:pPr>
    </w:p>
    <w:p>
      <w:pPr>
        <w:ind w:left="1620" w:right="3099" w:hanging="816"/>
        <w:spacing w:after="0" w:line="244" w:lineRule="auto"/>
        <w:tabs>
          <w:tab w:leader="none" w:pos="16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an investment in Certen in equity and convertible debentures. The investment in Certen is accounted for under the cost method, based on the Company's 10% ownership of Certen. As part of its original commitment, the total additional financial investment the Company will be making in Certen is approximately $5,000, translated from Canadian dollars, which is the functional currency for the Certen transaction. The Company's exposure to currency fluctuation with respect to the convertible debenture component of this investment has been substantially hedged.</w:t>
      </w:r>
    </w:p>
    <w:p>
      <w:pPr>
        <w:sectPr>
          <w:pgSz w:w="11900" w:h="16838" w:orient="portrait"/>
          <w:cols w:equalWidth="0" w:num="1">
            <w:col w:w="10219"/>
          </w:cols>
          <w:pgMar w:left="240" w:top="464" w:right="1440" w:bottom="1440" w:gutter="0" w:footer="0" w:header="0"/>
        </w:sectPr>
      </w:pPr>
    </w:p>
    <w:bookmarkStart w:id="22" w:name="page23"/>
    <w:bookmarkEnd w:id="22"/>
    <w:p>
      <w:pPr>
        <w:ind w:left="2960"/>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51"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Company licenses software and provides computer systems integration and related services to affiliates of SBC Communications, Inc., including Certen. The following related party revenue is included in the statements of operations:</w:t>
      </w:r>
    </w:p>
    <w:p>
      <w:pPr>
        <w:spacing w:after="0" w:line="200" w:lineRule="exact"/>
        <w:rPr>
          <w:sz w:val="20"/>
          <w:szCs w:val="20"/>
          <w:color w:val="auto"/>
        </w:rPr>
      </w:pPr>
    </w:p>
    <w:p>
      <w:pPr>
        <w:spacing w:after="0" w:line="322"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SEPTEMBER 30,</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3"/>
        </w:trPr>
        <w:tc>
          <w:tcPr>
            <w:tcW w:w="2580" w:type="dxa"/>
            <w:vAlign w:val="bottom"/>
          </w:tcPr>
          <w:p>
            <w:pPr>
              <w:spacing w:after="0"/>
              <w:rPr>
                <w:sz w:val="15"/>
                <w:szCs w:val="15"/>
                <w:color w:val="auto"/>
              </w:rPr>
            </w:pPr>
          </w:p>
        </w:tc>
        <w:tc>
          <w:tcPr>
            <w:tcW w:w="62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5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4"/>
              </w:rPr>
              <w:t>2002</w:t>
            </w:r>
          </w:p>
        </w:tc>
        <w:tc>
          <w:tcPr>
            <w:tcW w:w="900" w:type="dxa"/>
            <w:vAlign w:val="bottom"/>
          </w:tcPr>
          <w:p>
            <w:pPr>
              <w:spacing w:after="0"/>
              <w:rPr>
                <w:sz w:val="15"/>
                <w:szCs w:val="15"/>
                <w:color w:val="auto"/>
              </w:rPr>
            </w:pPr>
          </w:p>
        </w:tc>
        <w:tc>
          <w:tcPr>
            <w:tcW w:w="13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2001</w:t>
            </w:r>
          </w:p>
        </w:tc>
        <w:tc>
          <w:tcPr>
            <w:tcW w:w="32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2580" w:type="dxa"/>
            <w:vAlign w:val="bottom"/>
          </w:tcPr>
          <w:p>
            <w:pPr>
              <w:spacing w:after="0"/>
              <w:rPr>
                <w:sz w:val="15"/>
                <w:szCs w:val="15"/>
                <w:color w:val="auto"/>
              </w:rPr>
            </w:pPr>
          </w:p>
        </w:tc>
        <w:tc>
          <w:tcPr>
            <w:tcW w:w="2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26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5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2580" w:type="dxa"/>
            <w:vAlign w:val="bottom"/>
          </w:tcPr>
          <w:p>
            <w:pPr>
              <w:ind w:left="360"/>
              <w:spacing w:after="0"/>
              <w:rPr>
                <w:sz w:val="20"/>
                <w:szCs w:val="20"/>
                <w:color w:val="auto"/>
              </w:rPr>
            </w:pPr>
            <w:r>
              <w:rPr>
                <w:rFonts w:ascii="Courier New" w:cs="Courier New" w:eastAsia="Courier New" w:hAnsi="Courier New"/>
                <w:sz w:val="15"/>
                <w:szCs w:val="15"/>
                <w:color w:val="auto"/>
              </w:rPr>
              <w:t>License</w:t>
            </w:r>
          </w:p>
        </w:tc>
        <w:tc>
          <w:tcPr>
            <w:tcW w:w="21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30,551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37,356</w:t>
            </w:r>
          </w:p>
        </w:tc>
        <w:tc>
          <w:tcPr>
            <w:tcW w:w="3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15,888</w:t>
            </w:r>
          </w:p>
        </w:tc>
      </w:tr>
      <w:tr>
        <w:trPr>
          <w:trHeight w:val="173"/>
        </w:trPr>
        <w:tc>
          <w:tcPr>
            <w:tcW w:w="2580" w:type="dxa"/>
            <w:vAlign w:val="bottom"/>
          </w:tcPr>
          <w:p>
            <w:pPr>
              <w:ind w:left="360"/>
              <w:spacing w:after="0"/>
              <w:rPr>
                <w:sz w:val="20"/>
                <w:szCs w:val="20"/>
                <w:color w:val="auto"/>
              </w:rPr>
            </w:pPr>
            <w:r>
              <w:rPr>
                <w:rFonts w:ascii="Courier New" w:cs="Courier New" w:eastAsia="Courier New" w:hAnsi="Courier New"/>
                <w:sz w:val="15"/>
                <w:szCs w:val="15"/>
                <w:color w:val="auto"/>
              </w:rPr>
              <w:t>Service</w:t>
            </w:r>
          </w:p>
        </w:tc>
        <w:tc>
          <w:tcPr>
            <w:tcW w:w="2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314,341</w:t>
            </w:r>
          </w:p>
        </w:tc>
        <w:tc>
          <w:tcPr>
            <w:tcW w:w="900" w:type="dxa"/>
            <w:vAlign w:val="bottom"/>
          </w:tcPr>
          <w:p>
            <w:pPr>
              <w:spacing w:after="0"/>
              <w:rPr>
                <w:sz w:val="15"/>
                <w:szCs w:val="15"/>
                <w:color w:val="auto"/>
              </w:rPr>
            </w:pPr>
          </w:p>
        </w:tc>
        <w:tc>
          <w:tcPr>
            <w:tcW w:w="13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264,278</w:t>
            </w: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144,859</w:t>
            </w:r>
          </w:p>
        </w:tc>
      </w:tr>
    </w:tbl>
    <w:p>
      <w:pPr>
        <w:spacing w:after="0" w:line="351"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The following related party expenses are included in the statements of operations:</w:t>
      </w:r>
    </w:p>
    <w:p>
      <w:pPr>
        <w:spacing w:after="0" w:line="200" w:lineRule="exact"/>
        <w:rPr>
          <w:sz w:val="20"/>
          <w:szCs w:val="20"/>
          <w:color w:val="auto"/>
        </w:rPr>
      </w:pPr>
    </w:p>
    <w:p>
      <w:pPr>
        <w:spacing w:after="0" w:line="322"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YEAR ENDED SEPTEMBER 30,</w:t>
            </w:r>
          </w:p>
        </w:tc>
        <w:tc>
          <w:tcPr>
            <w:tcW w:w="800" w:type="dxa"/>
            <w:vAlign w:val="bottom"/>
          </w:tcPr>
          <w:p>
            <w:pPr>
              <w:spacing w:after="0"/>
              <w:rPr>
                <w:sz w:val="14"/>
                <w:szCs w:val="14"/>
                <w:color w:val="auto"/>
              </w:rPr>
            </w:pPr>
          </w:p>
        </w:tc>
      </w:tr>
      <w:tr>
        <w:trPr>
          <w:trHeight w:val="173"/>
        </w:trPr>
        <w:tc>
          <w:tcPr>
            <w:tcW w:w="4160" w:type="dxa"/>
            <w:vAlign w:val="bottom"/>
          </w:tcPr>
          <w:p>
            <w:pPr>
              <w:spacing w:after="0"/>
              <w:rPr>
                <w:sz w:val="15"/>
                <w:szCs w:val="15"/>
                <w:color w:val="auto"/>
              </w:rPr>
            </w:pPr>
          </w:p>
        </w:tc>
        <w:tc>
          <w:tcPr>
            <w:tcW w:w="45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2002</w:t>
            </w:r>
          </w:p>
        </w:tc>
        <w:tc>
          <w:tcPr>
            <w:tcW w:w="760" w:type="dxa"/>
            <w:vAlign w:val="bottom"/>
          </w:tcPr>
          <w:p>
            <w:pPr>
              <w:spacing w:after="0"/>
              <w:rPr>
                <w:sz w:val="15"/>
                <w:szCs w:val="15"/>
                <w:color w:val="auto"/>
              </w:rPr>
            </w:pPr>
          </w:p>
        </w:tc>
        <w:tc>
          <w:tcPr>
            <w:tcW w:w="14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2001</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4160" w:type="dxa"/>
            <w:vAlign w:val="bottom"/>
          </w:tcPr>
          <w:p>
            <w:pPr>
              <w:spacing w:after="0"/>
              <w:rPr>
                <w:sz w:val="15"/>
                <w:szCs w:val="15"/>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16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347"/>
        </w:trPr>
        <w:tc>
          <w:tcPr>
            <w:tcW w:w="4160" w:type="dxa"/>
            <w:vAlign w:val="bottom"/>
          </w:tcPr>
          <w:p>
            <w:pPr>
              <w:spacing w:after="0"/>
              <w:rPr>
                <w:sz w:val="20"/>
                <w:szCs w:val="20"/>
                <w:color w:val="auto"/>
              </w:rPr>
            </w:pPr>
            <w:r>
              <w:rPr>
                <w:rFonts w:ascii="Courier New" w:cs="Courier New" w:eastAsia="Courier New" w:hAnsi="Courier New"/>
                <w:sz w:val="15"/>
                <w:szCs w:val="15"/>
                <w:color w:val="auto"/>
              </w:rPr>
              <w:t>Operating expenses (1):</w:t>
            </w: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3"/>
        </w:trPr>
        <w:tc>
          <w:tcPr>
            <w:tcW w:w="4160" w:type="dxa"/>
            <w:vAlign w:val="bottom"/>
          </w:tcPr>
          <w:p>
            <w:pPr>
              <w:ind w:left="360"/>
              <w:spacing w:after="0"/>
              <w:rPr>
                <w:sz w:val="20"/>
                <w:szCs w:val="20"/>
                <w:color w:val="auto"/>
              </w:rPr>
            </w:pPr>
            <w:r>
              <w:rPr>
                <w:rFonts w:ascii="Courier New" w:cs="Courier New" w:eastAsia="Courier New" w:hAnsi="Courier New"/>
                <w:sz w:val="15"/>
                <w:szCs w:val="15"/>
                <w:color w:val="auto"/>
              </w:rPr>
              <w:t>Cost of service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2,642</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3,232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   2,814</w:t>
            </w:r>
          </w:p>
        </w:tc>
      </w:tr>
      <w:tr>
        <w:trPr>
          <w:trHeight w:val="173"/>
        </w:trPr>
        <w:tc>
          <w:tcPr>
            <w:tcW w:w="4160" w:type="dxa"/>
            <w:vAlign w:val="bottom"/>
          </w:tcPr>
          <w:p>
            <w:pPr>
              <w:ind w:left="360"/>
              <w:spacing w:after="0"/>
              <w:rPr>
                <w:sz w:val="20"/>
                <w:szCs w:val="20"/>
                <w:color w:val="auto"/>
              </w:rPr>
            </w:pPr>
            <w:r>
              <w:rPr>
                <w:rFonts w:ascii="Courier New" w:cs="Courier New" w:eastAsia="Courier New" w:hAnsi="Courier New"/>
                <w:sz w:val="15"/>
                <w:szCs w:val="15"/>
                <w:color w:val="auto"/>
              </w:rPr>
              <w:t>Selling, general and administrative</w:t>
            </w:r>
          </w:p>
        </w:tc>
        <w:tc>
          <w:tcPr>
            <w:tcW w:w="9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336</w:t>
            </w:r>
          </w:p>
        </w:tc>
        <w:tc>
          <w:tcPr>
            <w:tcW w:w="760" w:type="dxa"/>
            <w:vAlign w:val="bottom"/>
          </w:tcPr>
          <w:p>
            <w:pPr>
              <w:spacing w:after="0"/>
              <w:rPr>
                <w:sz w:val="15"/>
                <w:szCs w:val="15"/>
                <w:color w:val="auto"/>
              </w:rPr>
            </w:pP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663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700</w:t>
            </w:r>
          </w:p>
        </w:tc>
      </w:tr>
      <w:tr>
        <w:trPr>
          <w:trHeight w:val="347"/>
        </w:trPr>
        <w:tc>
          <w:tcPr>
            <w:tcW w:w="416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  (2)</w:t>
            </w:r>
          </w:p>
        </w:tc>
        <w:tc>
          <w:tcPr>
            <w:tcW w:w="9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1,886</w:t>
            </w:r>
          </w:p>
        </w:tc>
        <w:tc>
          <w:tcPr>
            <w:tcW w:w="760" w:type="dxa"/>
            <w:vAlign w:val="bottom"/>
          </w:tcPr>
          <w:p>
            <w:pPr>
              <w:spacing w:after="0"/>
              <w:rPr>
                <w:sz w:val="24"/>
                <w:szCs w:val="24"/>
                <w:color w:val="auto"/>
              </w:rPr>
            </w:pPr>
          </w:p>
        </w:tc>
        <w:tc>
          <w:tcPr>
            <w:tcW w:w="14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89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1620" w:right="3019" w:hanging="816"/>
        <w:spacing w:after="0" w:line="244" w:lineRule="auto"/>
        <w:tabs>
          <w:tab w:leader="none" w:pos="1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leases office space on a month-to-month basis and purchases other miscellaneous support services from affiliates of a certain shareholder.</w:t>
      </w:r>
    </w:p>
    <w:p>
      <w:pPr>
        <w:spacing w:after="0" w:line="175" w:lineRule="exact"/>
        <w:rPr>
          <w:rFonts w:ascii="Courier New" w:cs="Courier New" w:eastAsia="Courier New" w:hAnsi="Courier New"/>
          <w:sz w:val="15"/>
          <w:szCs w:val="15"/>
          <w:color w:val="auto"/>
        </w:rPr>
      </w:pPr>
    </w:p>
    <w:p>
      <w:pPr>
        <w:ind w:left="1620" w:right="3099" w:hanging="816"/>
        <w:spacing w:after="0" w:line="244" w:lineRule="auto"/>
        <w:tabs>
          <w:tab w:leader="none" w:pos="1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interest and exchange rate differences, net of hedging, on the convertible debentures issued in connection with the Certen transaction. Absent hedging, these amounts would be $1,402, $89 and $0 for the years ended September 30, 2002, 2001 and 2000, respectively.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SHORT-TERM INTEREST-BEARING INVESTMENTS</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Short-term interest-bearing investments consisted of the following:</w:t>
      </w:r>
    </w:p>
    <w:p>
      <w:pPr>
        <w:spacing w:after="0" w:line="200" w:lineRule="exact"/>
        <w:rPr>
          <w:sz w:val="20"/>
          <w:szCs w:val="20"/>
          <w:color w:val="auto"/>
        </w:rPr>
      </w:pPr>
    </w:p>
    <w:p>
      <w:pPr>
        <w:spacing w:after="0" w:line="324"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AMORTIZED COST</w:t>
            </w: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MARKET VALUE</w:t>
            </w:r>
          </w:p>
        </w:tc>
        <w:tc>
          <w:tcPr>
            <w:tcW w:w="640" w:type="dxa"/>
            <w:vAlign w:val="bottom"/>
          </w:tcPr>
          <w:p>
            <w:pPr>
              <w:spacing w:after="0"/>
              <w:rPr>
                <w:sz w:val="14"/>
                <w:szCs w:val="14"/>
                <w:color w:val="auto"/>
              </w:rPr>
            </w:pPr>
          </w:p>
        </w:tc>
      </w:tr>
      <w:tr>
        <w:trPr>
          <w:trHeight w:val="173"/>
        </w:trPr>
        <w:tc>
          <w:tcPr>
            <w:tcW w:w="3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560" w:type="dxa"/>
            <w:vAlign w:val="bottom"/>
            <w:gridSpan w:val="3"/>
          </w:tcPr>
          <w:p>
            <w:pPr>
              <w:jc w:val="right"/>
              <w:ind w:right="585"/>
              <w:spacing w:after="0"/>
              <w:rPr>
                <w:sz w:val="20"/>
                <w:szCs w:val="20"/>
                <w:color w:val="auto"/>
              </w:rPr>
            </w:pPr>
            <w:r>
              <w:rPr>
                <w:rFonts w:ascii="Courier New" w:cs="Courier New" w:eastAsia="Courier New" w:hAnsi="Courier New"/>
                <w:sz w:val="15"/>
                <w:szCs w:val="15"/>
                <w:color w:val="auto"/>
              </w:rPr>
              <w:t>AS OF SEPTEMBER 30,</w:t>
            </w:r>
          </w:p>
        </w:tc>
        <w:tc>
          <w:tcPr>
            <w:tcW w:w="500" w:type="dxa"/>
            <w:vAlign w:val="bottom"/>
          </w:tcPr>
          <w:p>
            <w:pPr>
              <w:spacing w:after="0"/>
              <w:rPr>
                <w:sz w:val="15"/>
                <w:szCs w:val="15"/>
                <w:color w:val="auto"/>
              </w:rPr>
            </w:pPr>
          </w:p>
        </w:tc>
        <w:tc>
          <w:tcPr>
            <w:tcW w:w="2260" w:type="dxa"/>
            <w:vAlign w:val="bottom"/>
            <w:gridSpan w:val="3"/>
          </w:tcPr>
          <w:p>
            <w:pPr>
              <w:jc w:val="right"/>
              <w:ind w:right="205"/>
              <w:spacing w:after="0"/>
              <w:rPr>
                <w:sz w:val="20"/>
                <w:szCs w:val="20"/>
                <w:color w:val="auto"/>
              </w:rPr>
            </w:pPr>
            <w:r>
              <w:rPr>
                <w:rFonts w:ascii="Courier New" w:cs="Courier New" w:eastAsia="Courier New" w:hAnsi="Courier New"/>
                <w:sz w:val="15"/>
                <w:szCs w:val="15"/>
                <w:color w:val="auto"/>
              </w:rPr>
              <w:t>AS OF SEPTEMBER 30,</w:t>
            </w:r>
          </w:p>
        </w:tc>
      </w:tr>
      <w:tr>
        <w:trPr>
          <w:trHeight w:val="173"/>
        </w:trPr>
        <w:tc>
          <w:tcPr>
            <w:tcW w:w="3420" w:type="dxa"/>
            <w:vAlign w:val="bottom"/>
          </w:tcPr>
          <w:p>
            <w:pPr>
              <w:spacing w:after="0"/>
              <w:rPr>
                <w:sz w:val="15"/>
                <w:szCs w:val="15"/>
                <w:color w:val="auto"/>
              </w:rPr>
            </w:pPr>
          </w:p>
        </w:tc>
        <w:tc>
          <w:tcPr>
            <w:tcW w:w="1540" w:type="dxa"/>
            <w:vAlign w:val="bottom"/>
            <w:gridSpan w:val="2"/>
          </w:tcPr>
          <w:p>
            <w:pPr>
              <w:ind w:left="260"/>
              <w:spacing w:after="0"/>
              <w:rPr>
                <w:sz w:val="20"/>
                <w:szCs w:val="20"/>
                <w:color w:val="auto"/>
              </w:rPr>
            </w:pPr>
            <w:r>
              <w:rPr>
                <w:rFonts w:ascii="Courier New" w:cs="Courier New" w:eastAsia="Courier New" w:hAnsi="Courier New"/>
                <w:sz w:val="10"/>
                <w:szCs w:val="10"/>
                <w:color w:val="auto"/>
                <w:w w:val="74"/>
              </w:rPr>
              <w:t>----------------------------</w:t>
            </w: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7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2002</w:t>
            </w:r>
          </w:p>
        </w:tc>
        <w:tc>
          <w:tcPr>
            <w:tcW w:w="620" w:type="dxa"/>
            <w:vAlign w:val="bottom"/>
          </w:tcPr>
          <w:p>
            <w:pPr>
              <w:spacing w:after="0"/>
              <w:rPr>
                <w:sz w:val="15"/>
                <w:szCs w:val="15"/>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4"/>
              </w:rPr>
              <w:t>2001</w:t>
            </w:r>
          </w:p>
        </w:tc>
        <w:tc>
          <w:tcPr>
            <w:tcW w:w="500" w:type="dxa"/>
            <w:vAlign w:val="bottom"/>
          </w:tcPr>
          <w:p>
            <w:pPr>
              <w:spacing w:after="0"/>
              <w:rPr>
                <w:sz w:val="15"/>
                <w:szCs w:val="15"/>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2002</w:t>
            </w:r>
          </w:p>
        </w:tc>
        <w:tc>
          <w:tcPr>
            <w:tcW w:w="580" w:type="dxa"/>
            <w:vAlign w:val="bottom"/>
          </w:tcPr>
          <w:p>
            <w:pPr>
              <w:spacing w:after="0"/>
              <w:rPr>
                <w:sz w:val="15"/>
                <w:szCs w:val="15"/>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2001</w:t>
            </w:r>
          </w:p>
        </w:tc>
      </w:tr>
      <w:tr>
        <w:trPr>
          <w:trHeight w:val="173"/>
        </w:trPr>
        <w:tc>
          <w:tcPr>
            <w:tcW w:w="3420" w:type="dxa"/>
            <w:vAlign w:val="bottom"/>
          </w:tcPr>
          <w:p>
            <w:pPr>
              <w:spacing w:after="0"/>
              <w:rPr>
                <w:sz w:val="15"/>
                <w:szCs w:val="15"/>
                <w:color w:val="auto"/>
              </w:rPr>
            </w:pPr>
          </w:p>
        </w:tc>
        <w:tc>
          <w:tcPr>
            <w:tcW w:w="15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420" w:type="dxa"/>
            <w:vAlign w:val="bottom"/>
          </w:tcPr>
          <w:p>
            <w:pPr>
              <w:spacing w:after="0"/>
              <w:rPr>
                <w:sz w:val="20"/>
                <w:szCs w:val="20"/>
                <w:color w:val="auto"/>
              </w:rPr>
            </w:pPr>
            <w:r>
              <w:rPr>
                <w:rFonts w:ascii="Courier New" w:cs="Courier New" w:eastAsia="Courier New" w:hAnsi="Courier New"/>
                <w:sz w:val="15"/>
                <w:szCs w:val="15"/>
                <w:color w:val="auto"/>
              </w:rPr>
              <w:t>Federal agencies</w:t>
            </w:r>
          </w:p>
        </w:tc>
        <w:tc>
          <w:tcPr>
            <w:tcW w:w="5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110,743</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192,095</w:t>
            </w: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112,092</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193,537</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U.S. government treasuries</w:t>
            </w:r>
          </w:p>
        </w:tc>
        <w:tc>
          <w:tcPr>
            <w:tcW w:w="54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77,279</w:t>
            </w:r>
          </w:p>
        </w:tc>
        <w:tc>
          <w:tcPr>
            <w:tcW w:w="620" w:type="dxa"/>
            <w:vAlign w:val="bottom"/>
          </w:tcPr>
          <w:p>
            <w:pPr>
              <w:spacing w:after="0"/>
              <w:rPr>
                <w:sz w:val="15"/>
                <w:szCs w:val="15"/>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79,276</w:t>
            </w:r>
          </w:p>
        </w:tc>
        <w:tc>
          <w:tcPr>
            <w:tcW w:w="5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Corporate bonds</w:t>
            </w:r>
          </w:p>
        </w:tc>
        <w:tc>
          <w:tcPr>
            <w:tcW w:w="54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100,544</w:t>
            </w:r>
          </w:p>
        </w:tc>
        <w:tc>
          <w:tcPr>
            <w:tcW w:w="620" w:type="dxa"/>
            <w:vAlign w:val="bottom"/>
          </w:tcPr>
          <w:p>
            <w:pPr>
              <w:spacing w:after="0"/>
              <w:rPr>
                <w:sz w:val="15"/>
                <w:szCs w:val="15"/>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29,692</w:t>
            </w:r>
          </w:p>
        </w:tc>
        <w:tc>
          <w:tcPr>
            <w:tcW w:w="5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102,646</w:t>
            </w:r>
          </w:p>
        </w:tc>
        <w:tc>
          <w:tcPr>
            <w:tcW w:w="5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30,468</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Mortgages (including government and</w:t>
            </w: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3420" w:type="dxa"/>
            <w:vAlign w:val="bottom"/>
          </w:tcPr>
          <w:p>
            <w:pPr>
              <w:ind w:left="260"/>
              <w:spacing w:after="0"/>
              <w:rPr>
                <w:sz w:val="20"/>
                <w:szCs w:val="20"/>
                <w:color w:val="auto"/>
              </w:rPr>
            </w:pPr>
            <w:r>
              <w:rPr>
                <w:rFonts w:ascii="Courier New" w:cs="Courier New" w:eastAsia="Courier New" w:hAnsi="Courier New"/>
                <w:sz w:val="15"/>
                <w:szCs w:val="15"/>
                <w:color w:val="auto"/>
              </w:rPr>
              <w:t>corporate)</w:t>
            </w:r>
          </w:p>
        </w:tc>
        <w:tc>
          <w:tcPr>
            <w:tcW w:w="54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254,593</w:t>
            </w:r>
          </w:p>
        </w:tc>
        <w:tc>
          <w:tcPr>
            <w:tcW w:w="620" w:type="dxa"/>
            <w:vAlign w:val="bottom"/>
          </w:tcPr>
          <w:p>
            <w:pPr>
              <w:spacing w:after="0"/>
              <w:rPr>
                <w:sz w:val="15"/>
                <w:szCs w:val="15"/>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256,027</w:t>
            </w:r>
          </w:p>
        </w:tc>
        <w:tc>
          <w:tcPr>
            <w:tcW w:w="5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Municipal bonds</w:t>
            </w:r>
          </w:p>
        </w:tc>
        <w:tc>
          <w:tcPr>
            <w:tcW w:w="54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13,543</w:t>
            </w:r>
          </w:p>
        </w:tc>
        <w:tc>
          <w:tcPr>
            <w:tcW w:w="620" w:type="dxa"/>
            <w:vAlign w:val="bottom"/>
          </w:tcPr>
          <w:p>
            <w:pPr>
              <w:spacing w:after="0"/>
              <w:rPr>
                <w:sz w:val="15"/>
                <w:szCs w:val="15"/>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13,543</w:t>
            </w:r>
          </w:p>
        </w:tc>
        <w:tc>
          <w:tcPr>
            <w:tcW w:w="5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54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17,355</w:t>
            </w:r>
          </w:p>
        </w:tc>
        <w:tc>
          <w:tcPr>
            <w:tcW w:w="620" w:type="dxa"/>
            <w:vAlign w:val="bottom"/>
          </w:tcPr>
          <w:p>
            <w:pPr>
              <w:spacing w:after="0"/>
              <w:rPr>
                <w:sz w:val="15"/>
                <w:szCs w:val="15"/>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13,053</w:t>
            </w:r>
          </w:p>
        </w:tc>
        <w:tc>
          <w:tcPr>
            <w:tcW w:w="5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17,580</w:t>
            </w:r>
          </w:p>
        </w:tc>
        <w:tc>
          <w:tcPr>
            <w:tcW w:w="5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13,064</w:t>
            </w:r>
          </w:p>
        </w:tc>
      </w:tr>
      <w:tr>
        <w:trPr>
          <w:trHeight w:val="173"/>
        </w:trPr>
        <w:tc>
          <w:tcPr>
            <w:tcW w:w="3420" w:type="dxa"/>
            <w:vAlign w:val="bottom"/>
          </w:tcPr>
          <w:p>
            <w:pPr>
              <w:spacing w:after="0"/>
              <w:rPr>
                <w:sz w:val="15"/>
                <w:szCs w:val="15"/>
                <w:color w:val="auto"/>
              </w:rPr>
            </w:pPr>
          </w:p>
        </w:tc>
        <w:tc>
          <w:tcPr>
            <w:tcW w:w="15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574,057</w:t>
            </w:r>
          </w:p>
        </w:tc>
        <w:tc>
          <w:tcPr>
            <w:tcW w:w="620" w:type="dxa"/>
            <w:vAlign w:val="bottom"/>
          </w:tcPr>
          <w:p>
            <w:pPr>
              <w:spacing w:after="0"/>
              <w:rPr>
                <w:sz w:val="15"/>
                <w:szCs w:val="15"/>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234,840</w:t>
            </w:r>
          </w:p>
        </w:tc>
        <w:tc>
          <w:tcPr>
            <w:tcW w:w="5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581,164</w:t>
            </w:r>
          </w:p>
        </w:tc>
        <w:tc>
          <w:tcPr>
            <w:tcW w:w="5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237,069</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Allowance for unrealized gain</w:t>
            </w:r>
          </w:p>
        </w:tc>
        <w:tc>
          <w:tcPr>
            <w:tcW w:w="54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7,107</w:t>
            </w:r>
          </w:p>
        </w:tc>
        <w:tc>
          <w:tcPr>
            <w:tcW w:w="620" w:type="dxa"/>
            <w:vAlign w:val="bottom"/>
          </w:tcPr>
          <w:p>
            <w:pPr>
              <w:spacing w:after="0"/>
              <w:rPr>
                <w:sz w:val="15"/>
                <w:szCs w:val="15"/>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2,229</w:t>
            </w:r>
          </w:p>
        </w:tc>
        <w:tc>
          <w:tcPr>
            <w:tcW w:w="50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spacing w:after="0"/>
              <w:rPr>
                <w:sz w:val="15"/>
                <w:szCs w:val="15"/>
                <w:color w:val="auto"/>
              </w:rPr>
            </w:pPr>
          </w:p>
        </w:tc>
        <w:tc>
          <w:tcPr>
            <w:tcW w:w="15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4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5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581,164</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237,069</w:t>
            </w: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581,164</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237,069</w:t>
            </w:r>
          </w:p>
        </w:tc>
      </w:tr>
      <w:tr>
        <w:trPr>
          <w:trHeight w:val="173"/>
        </w:trPr>
        <w:tc>
          <w:tcPr>
            <w:tcW w:w="3420" w:type="dxa"/>
            <w:vAlign w:val="bottom"/>
          </w:tcPr>
          <w:p>
            <w:pPr>
              <w:spacing w:after="0"/>
              <w:rPr>
                <w:sz w:val="15"/>
                <w:szCs w:val="15"/>
                <w:color w:val="auto"/>
              </w:rPr>
            </w:pPr>
          </w:p>
        </w:tc>
        <w:tc>
          <w:tcPr>
            <w:tcW w:w="15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464" w:right="1440" w:bottom="1440" w:gutter="0" w:footer="0" w:header="0"/>
        </w:sectPr>
      </w:pPr>
    </w:p>
    <w:bookmarkStart w:id="23" w:name="page24"/>
    <w:bookmarkEnd w:id="23"/>
    <w:p>
      <w:pPr>
        <w:ind w:left="2960"/>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51" w:lineRule="exact"/>
        <w:rPr>
          <w:sz w:val="20"/>
          <w:szCs w:val="20"/>
          <w:color w:val="auto"/>
        </w:rPr>
      </w:pPr>
    </w:p>
    <w:p>
      <w:pPr>
        <w:ind w:right="3199" w:firstLine="811"/>
        <w:spacing w:after="0" w:line="243" w:lineRule="auto"/>
        <w:rPr>
          <w:sz w:val="20"/>
          <w:szCs w:val="20"/>
          <w:color w:val="auto"/>
        </w:rPr>
      </w:pPr>
      <w:r>
        <w:rPr>
          <w:rFonts w:ascii="Courier New" w:cs="Courier New" w:eastAsia="Courier New" w:hAnsi="Courier New"/>
          <w:sz w:val="15"/>
          <w:szCs w:val="15"/>
          <w:color w:val="auto"/>
        </w:rPr>
        <w:t>As of September 30, 2002, short-term interest-bearing investments had the following expected maturity dates:</w:t>
      </w:r>
    </w:p>
    <w:p>
      <w:pPr>
        <w:spacing w:after="0" w:line="175" w:lineRule="exact"/>
        <w:rPr>
          <w:sz w:val="20"/>
          <w:szCs w:val="20"/>
          <w:color w:val="auto"/>
        </w:rPr>
      </w:pPr>
    </w:p>
    <w:tbl>
      <w:tblPr>
        <w:tblLayout w:type="fixed"/>
        <w:tblInd w:w="720" w:type="dxa"/>
        <w:tblCellMar>
          <w:top w:w="0" w:type="dxa"/>
          <w:left w:w="0" w:type="dxa"/>
          <w:bottom w:w="0" w:type="dxa"/>
          <w:right w:w="0" w:type="dxa"/>
        </w:tblCellMar>
      </w:tblPr>
      <w:tr>
        <w:trPr>
          <w:trHeight w:val="170"/>
        </w:trPr>
        <w:tc>
          <w:tcPr>
            <w:tcW w:w="1840" w:type="dxa"/>
            <w:vAlign w:val="bottom"/>
          </w:tcPr>
          <w:p>
            <w:pPr>
              <w:spacing w:after="0"/>
              <w:rPr>
                <w:sz w:val="14"/>
                <w:szCs w:val="14"/>
                <w:color w:val="auto"/>
              </w:rPr>
            </w:pP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MARKET VALUE</w:t>
            </w:r>
          </w:p>
        </w:tc>
      </w:tr>
      <w:tr>
        <w:trPr>
          <w:trHeight w:val="173"/>
        </w:trPr>
        <w:tc>
          <w:tcPr>
            <w:tcW w:w="1840" w:type="dxa"/>
            <w:vAlign w:val="bottom"/>
          </w:tcPr>
          <w:p>
            <w:pPr>
              <w:spacing w:after="0"/>
              <w:rPr>
                <w:sz w:val="15"/>
                <w:szCs w:val="15"/>
                <w:color w:val="auto"/>
              </w:rPr>
            </w:pP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84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2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$280,204</w:t>
            </w:r>
          </w:p>
        </w:tc>
      </w:tr>
      <w:tr>
        <w:trPr>
          <w:trHeight w:val="173"/>
        </w:trPr>
        <w:tc>
          <w:tcPr>
            <w:tcW w:w="184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2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155,887</w:t>
            </w:r>
          </w:p>
        </w:tc>
      </w:tr>
      <w:tr>
        <w:trPr>
          <w:trHeight w:val="173"/>
        </w:trPr>
        <w:tc>
          <w:tcPr>
            <w:tcW w:w="184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2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90,386</w:t>
            </w:r>
          </w:p>
        </w:tc>
      </w:tr>
      <w:tr>
        <w:trPr>
          <w:trHeight w:val="173"/>
        </w:trPr>
        <w:tc>
          <w:tcPr>
            <w:tcW w:w="1840" w:type="dxa"/>
            <w:vAlign w:val="bottom"/>
          </w:tcPr>
          <w:p>
            <w:pPr>
              <w:spacing w:after="0"/>
              <w:rPr>
                <w:sz w:val="20"/>
                <w:szCs w:val="20"/>
                <w:color w:val="auto"/>
              </w:rPr>
            </w:pPr>
            <w:r>
              <w:rPr>
                <w:rFonts w:ascii="Courier New" w:cs="Courier New" w:eastAsia="Courier New" w:hAnsi="Courier New"/>
                <w:sz w:val="15"/>
                <w:szCs w:val="15"/>
                <w:color w:val="auto"/>
              </w:rPr>
              <w:t>2006</w:t>
            </w:r>
          </w:p>
        </w:tc>
        <w:tc>
          <w:tcPr>
            <w:tcW w:w="2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44,841</w:t>
            </w:r>
          </w:p>
        </w:tc>
      </w:tr>
      <w:tr>
        <w:trPr>
          <w:trHeight w:val="173"/>
        </w:trPr>
        <w:tc>
          <w:tcPr>
            <w:tcW w:w="1840" w:type="dxa"/>
            <w:vAlign w:val="bottom"/>
          </w:tcPr>
          <w:p>
            <w:pPr>
              <w:spacing w:after="0"/>
              <w:rPr>
                <w:sz w:val="20"/>
                <w:szCs w:val="20"/>
                <w:color w:val="auto"/>
              </w:rPr>
            </w:pPr>
            <w:r>
              <w:rPr>
                <w:rFonts w:ascii="Courier New" w:cs="Courier New" w:eastAsia="Courier New" w:hAnsi="Courier New"/>
                <w:sz w:val="15"/>
                <w:szCs w:val="15"/>
                <w:color w:val="auto"/>
              </w:rPr>
              <w:t>2007</w:t>
            </w:r>
          </w:p>
        </w:tc>
        <w:tc>
          <w:tcPr>
            <w:tcW w:w="2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9,846</w:t>
            </w:r>
          </w:p>
        </w:tc>
      </w:tr>
      <w:tr>
        <w:trPr>
          <w:trHeight w:val="173"/>
        </w:trPr>
        <w:tc>
          <w:tcPr>
            <w:tcW w:w="1840" w:type="dxa"/>
            <w:vAlign w:val="bottom"/>
          </w:tcPr>
          <w:p>
            <w:pPr>
              <w:spacing w:after="0"/>
              <w:rPr>
                <w:sz w:val="15"/>
                <w:szCs w:val="15"/>
                <w:color w:val="auto"/>
              </w:rPr>
            </w:pPr>
          </w:p>
        </w:tc>
        <w:tc>
          <w:tcPr>
            <w:tcW w:w="2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18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$581,164</w:t>
            </w:r>
          </w:p>
        </w:tc>
      </w:tr>
      <w:tr>
        <w:trPr>
          <w:trHeight w:val="173"/>
        </w:trPr>
        <w:tc>
          <w:tcPr>
            <w:tcW w:w="1840" w:type="dxa"/>
            <w:vAlign w:val="bottom"/>
          </w:tcPr>
          <w:p>
            <w:pPr>
              <w:spacing w:after="0"/>
              <w:rPr>
                <w:sz w:val="15"/>
                <w:szCs w:val="15"/>
                <w:color w:val="auto"/>
              </w:rPr>
            </w:pPr>
          </w:p>
        </w:tc>
        <w:tc>
          <w:tcPr>
            <w:tcW w:w="2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ACCOUNTS RECEIVABLE, NET</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Accounts receivable, net consists of the following:</w:t>
      </w:r>
    </w:p>
    <w:p>
      <w:pPr>
        <w:spacing w:after="0" w:line="200" w:lineRule="exact"/>
        <w:rPr>
          <w:sz w:val="20"/>
          <w:szCs w:val="20"/>
          <w:color w:val="auto"/>
        </w:rPr>
      </w:pPr>
    </w:p>
    <w:p>
      <w:pPr>
        <w:spacing w:after="0" w:line="324" w:lineRule="exact"/>
        <w:rPr>
          <w:sz w:val="20"/>
          <w:szCs w:val="20"/>
          <w:color w:val="auto"/>
        </w:rPr>
      </w:pPr>
    </w:p>
    <w:tbl>
      <w:tblPr>
        <w:tblLayout w:type="fixed"/>
        <w:tblInd w:w="900" w:type="dxa"/>
        <w:tblCellMar>
          <w:top w:w="0" w:type="dxa"/>
          <w:left w:w="0" w:type="dxa"/>
          <w:bottom w:w="0" w:type="dxa"/>
          <w:right w:w="0" w:type="dxa"/>
        </w:tblCellMar>
      </w:tblPr>
      <w:tr>
        <w:trPr>
          <w:trHeight w:val="170"/>
        </w:trPr>
        <w:tc>
          <w:tcPr>
            <w:tcW w:w="2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700" w:type="dxa"/>
            <w:vAlign w:val="bottom"/>
            <w:gridSpan w:val="3"/>
          </w:tcPr>
          <w:p>
            <w:pPr>
              <w:jc w:val="right"/>
              <w:ind w:right="645"/>
              <w:spacing w:after="0"/>
              <w:rPr>
                <w:sz w:val="20"/>
                <w:szCs w:val="20"/>
                <w:color w:val="auto"/>
              </w:rPr>
            </w:pPr>
            <w:r>
              <w:rPr>
                <w:rFonts w:ascii="Courier New" w:cs="Courier New" w:eastAsia="Courier New" w:hAnsi="Courier New"/>
                <w:sz w:val="15"/>
                <w:szCs w:val="15"/>
                <w:color w:val="auto"/>
              </w:rPr>
              <w:t>AS OF SEPTEMBER 30,</w:t>
            </w:r>
          </w:p>
        </w:tc>
      </w:tr>
      <w:tr>
        <w:trPr>
          <w:trHeight w:val="173"/>
        </w:trPr>
        <w:tc>
          <w:tcPr>
            <w:tcW w:w="2920" w:type="dxa"/>
            <w:vAlign w:val="bottom"/>
          </w:tcPr>
          <w:p>
            <w:pPr>
              <w:spacing w:after="0"/>
              <w:rPr>
                <w:sz w:val="15"/>
                <w:szCs w:val="15"/>
                <w:color w:val="auto"/>
              </w:rPr>
            </w:pPr>
          </w:p>
        </w:tc>
        <w:tc>
          <w:tcPr>
            <w:tcW w:w="338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jc w:val="right"/>
              <w:ind w:right="685"/>
              <w:spacing w:after="0"/>
              <w:rPr>
                <w:sz w:val="20"/>
                <w:szCs w:val="20"/>
                <w:color w:val="auto"/>
              </w:rPr>
            </w:pPr>
            <w:r>
              <w:rPr>
                <w:rFonts w:ascii="Courier New" w:cs="Courier New" w:eastAsia="Courier New" w:hAnsi="Courier New"/>
                <w:sz w:val="15"/>
                <w:szCs w:val="15"/>
                <w:color w:val="auto"/>
                <w:w w:val="94"/>
              </w:rPr>
              <w:t>2002</w:t>
            </w:r>
          </w:p>
        </w:tc>
        <w:tc>
          <w:tcPr>
            <w:tcW w:w="600" w:type="dxa"/>
            <w:vAlign w:val="bottom"/>
          </w:tcPr>
          <w:p>
            <w:pPr>
              <w:spacing w:after="0"/>
              <w:rPr>
                <w:sz w:val="15"/>
                <w:szCs w:val="15"/>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2001</w:t>
            </w:r>
          </w:p>
        </w:tc>
      </w:tr>
      <w:tr>
        <w:trPr>
          <w:trHeight w:val="173"/>
        </w:trPr>
        <w:tc>
          <w:tcPr>
            <w:tcW w:w="2920" w:type="dxa"/>
            <w:vAlign w:val="bottom"/>
          </w:tcPr>
          <w:p>
            <w:pPr>
              <w:spacing w:after="0"/>
              <w:rPr>
                <w:sz w:val="15"/>
                <w:szCs w:val="15"/>
                <w:color w:val="auto"/>
              </w:rPr>
            </w:pPr>
          </w:p>
        </w:tc>
        <w:tc>
          <w:tcPr>
            <w:tcW w:w="18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2920" w:type="dxa"/>
            <w:vAlign w:val="bottom"/>
          </w:tcPr>
          <w:p>
            <w:pPr>
              <w:spacing w:after="0"/>
              <w:rPr>
                <w:sz w:val="20"/>
                <w:szCs w:val="20"/>
                <w:color w:val="auto"/>
              </w:rPr>
            </w:pPr>
            <w:r>
              <w:rPr>
                <w:rFonts w:ascii="Courier New" w:cs="Courier New" w:eastAsia="Courier New" w:hAnsi="Courier New"/>
                <w:sz w:val="15"/>
                <w:szCs w:val="15"/>
                <w:color w:val="auto"/>
              </w:rPr>
              <w:t>Accounts receivable - billed</w:t>
            </w:r>
          </w:p>
        </w:tc>
        <w:tc>
          <w:tcPr>
            <w:tcW w:w="6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314,828</w:t>
            </w:r>
          </w:p>
        </w:tc>
        <w:tc>
          <w:tcPr>
            <w:tcW w:w="6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365,697</w:t>
            </w:r>
          </w:p>
        </w:tc>
      </w:tr>
      <w:tr>
        <w:trPr>
          <w:trHeight w:val="173"/>
        </w:trPr>
        <w:tc>
          <w:tcPr>
            <w:tcW w:w="2920" w:type="dxa"/>
            <w:vAlign w:val="bottom"/>
          </w:tcPr>
          <w:p>
            <w:pPr>
              <w:spacing w:after="0"/>
              <w:rPr>
                <w:sz w:val="20"/>
                <w:szCs w:val="20"/>
                <w:color w:val="auto"/>
              </w:rPr>
            </w:pPr>
            <w:r>
              <w:rPr>
                <w:rFonts w:ascii="Courier New" w:cs="Courier New" w:eastAsia="Courier New" w:hAnsi="Courier New"/>
                <w:sz w:val="15"/>
                <w:szCs w:val="15"/>
                <w:color w:val="auto"/>
              </w:rPr>
              <w:t>Accounts receivable - unbilled</w:t>
            </w:r>
          </w:p>
        </w:tc>
        <w:tc>
          <w:tcPr>
            <w:tcW w:w="680" w:type="dxa"/>
            <w:vAlign w:val="bottom"/>
          </w:tcPr>
          <w:p>
            <w:pPr>
              <w:spacing w:after="0"/>
              <w:rPr>
                <w:sz w:val="15"/>
                <w:szCs w:val="15"/>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24,144</w:t>
            </w:r>
          </w:p>
        </w:tc>
        <w:tc>
          <w:tcPr>
            <w:tcW w:w="60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23,272</w:t>
            </w:r>
          </w:p>
        </w:tc>
      </w:tr>
      <w:tr>
        <w:trPr>
          <w:trHeight w:val="173"/>
        </w:trPr>
        <w:tc>
          <w:tcPr>
            <w:tcW w:w="2920" w:type="dxa"/>
            <w:vAlign w:val="bottom"/>
          </w:tcPr>
          <w:p>
            <w:pPr>
              <w:spacing w:after="0"/>
              <w:rPr>
                <w:sz w:val="20"/>
                <w:szCs w:val="20"/>
                <w:color w:val="auto"/>
              </w:rPr>
            </w:pPr>
            <w:r>
              <w:rPr>
                <w:rFonts w:ascii="Courier New" w:cs="Courier New" w:eastAsia="Courier New" w:hAnsi="Courier New"/>
                <w:sz w:val="15"/>
                <w:szCs w:val="15"/>
                <w:color w:val="auto"/>
              </w:rPr>
              <w:t>Less - allowances</w:t>
            </w:r>
          </w:p>
        </w:tc>
        <w:tc>
          <w:tcPr>
            <w:tcW w:w="680" w:type="dxa"/>
            <w:vAlign w:val="bottom"/>
          </w:tcPr>
          <w:p>
            <w:pPr>
              <w:spacing w:after="0"/>
              <w:rPr>
                <w:sz w:val="15"/>
                <w:szCs w:val="15"/>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(26,240)</w:t>
            </w: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(4,118)</w:t>
            </w:r>
          </w:p>
        </w:tc>
      </w:tr>
      <w:tr>
        <w:trPr>
          <w:trHeight w:val="173"/>
        </w:trPr>
        <w:tc>
          <w:tcPr>
            <w:tcW w:w="2920" w:type="dxa"/>
            <w:vAlign w:val="bottom"/>
          </w:tcPr>
          <w:p>
            <w:pPr>
              <w:spacing w:after="0"/>
              <w:rPr>
                <w:sz w:val="15"/>
                <w:szCs w:val="15"/>
                <w:color w:val="auto"/>
              </w:rPr>
            </w:pPr>
          </w:p>
        </w:tc>
        <w:tc>
          <w:tcPr>
            <w:tcW w:w="18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920" w:type="dxa"/>
            <w:vAlign w:val="bottom"/>
          </w:tcPr>
          <w:p>
            <w:pPr>
              <w:spacing w:after="0"/>
              <w:rPr>
                <w:sz w:val="20"/>
                <w:szCs w:val="20"/>
                <w:color w:val="auto"/>
              </w:rPr>
            </w:pPr>
            <w:r>
              <w:rPr>
                <w:rFonts w:ascii="Courier New" w:cs="Courier New" w:eastAsia="Courier New" w:hAnsi="Courier New"/>
                <w:sz w:val="15"/>
                <w:szCs w:val="15"/>
                <w:color w:val="auto"/>
              </w:rPr>
              <w:t>Accounts receivable, net</w:t>
            </w:r>
          </w:p>
        </w:tc>
        <w:tc>
          <w:tcPr>
            <w:tcW w:w="6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312,732</w:t>
            </w:r>
          </w:p>
        </w:tc>
        <w:tc>
          <w:tcPr>
            <w:tcW w:w="6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384,851</w:t>
            </w:r>
          </w:p>
        </w:tc>
      </w:tr>
      <w:tr>
        <w:trPr>
          <w:trHeight w:val="173"/>
        </w:trPr>
        <w:tc>
          <w:tcPr>
            <w:tcW w:w="2920" w:type="dxa"/>
            <w:vAlign w:val="bottom"/>
          </w:tcPr>
          <w:p>
            <w:pPr>
              <w:spacing w:after="0"/>
              <w:rPr>
                <w:sz w:val="15"/>
                <w:szCs w:val="15"/>
                <w:color w:val="auto"/>
              </w:rPr>
            </w:pPr>
          </w:p>
        </w:tc>
        <w:tc>
          <w:tcPr>
            <w:tcW w:w="18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 EQUIPMENT, VEHICLES AND LEASEHOLD IMPROVEMENTS, NET</w:t>
      </w:r>
    </w:p>
    <w:p>
      <w:pPr>
        <w:spacing w:after="0" w:line="177"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Components of equipment, vehicles and leasehold improvements, net are:</w:t>
      </w:r>
    </w:p>
    <w:p>
      <w:pPr>
        <w:spacing w:after="0" w:line="200" w:lineRule="exact"/>
        <w:rPr>
          <w:sz w:val="20"/>
          <w:szCs w:val="20"/>
          <w:color w:val="auto"/>
        </w:rPr>
      </w:pPr>
    </w:p>
    <w:p>
      <w:pPr>
        <w:spacing w:after="0" w:line="324"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25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AS OF SEPTEMBER 30,</w:t>
            </w:r>
          </w:p>
        </w:tc>
      </w:tr>
      <w:tr>
        <w:trPr>
          <w:trHeight w:val="173"/>
        </w:trPr>
        <w:tc>
          <w:tcPr>
            <w:tcW w:w="3160" w:type="dxa"/>
            <w:vAlign w:val="bottom"/>
          </w:tcPr>
          <w:p>
            <w:pPr>
              <w:spacing w:after="0"/>
              <w:rPr>
                <w:sz w:val="15"/>
                <w:szCs w:val="15"/>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160" w:type="dxa"/>
            <w:vAlign w:val="bottom"/>
          </w:tcPr>
          <w:p>
            <w:pPr>
              <w:spacing w:after="0"/>
              <w:rPr>
                <w:sz w:val="15"/>
                <w:szCs w:val="15"/>
                <w:color w:val="auto"/>
              </w:rPr>
            </w:pP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2002</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2001</w:t>
            </w:r>
          </w:p>
        </w:tc>
      </w:tr>
      <w:tr>
        <w:trPr>
          <w:trHeight w:val="173"/>
        </w:trPr>
        <w:tc>
          <w:tcPr>
            <w:tcW w:w="3160" w:type="dxa"/>
            <w:vAlign w:val="bottom"/>
          </w:tcPr>
          <w:p>
            <w:pPr>
              <w:spacing w:after="0"/>
              <w:rPr>
                <w:sz w:val="15"/>
                <w:szCs w:val="15"/>
                <w:color w:val="auto"/>
              </w:rPr>
            </w:pP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160" w:type="dxa"/>
            <w:vAlign w:val="bottom"/>
          </w:tcPr>
          <w:p>
            <w:pPr>
              <w:spacing w:after="0"/>
              <w:rPr>
                <w:sz w:val="20"/>
                <w:szCs w:val="20"/>
                <w:color w:val="auto"/>
              </w:rPr>
            </w:pPr>
            <w:r>
              <w:rPr>
                <w:rFonts w:ascii="Courier New" w:cs="Courier New" w:eastAsia="Courier New" w:hAnsi="Courier New"/>
                <w:sz w:val="15"/>
                <w:szCs w:val="15"/>
                <w:color w:val="auto"/>
              </w:rPr>
              <w:t>Computer equipment</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$211,010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$171,155</w:t>
            </w:r>
          </w:p>
        </w:tc>
      </w:tr>
      <w:tr>
        <w:trPr>
          <w:trHeight w:val="173"/>
        </w:trPr>
        <w:tc>
          <w:tcPr>
            <w:tcW w:w="3160" w:type="dxa"/>
            <w:vAlign w:val="bottom"/>
          </w:tcPr>
          <w:p>
            <w:pPr>
              <w:spacing w:after="0"/>
              <w:rPr>
                <w:sz w:val="20"/>
                <w:szCs w:val="20"/>
                <w:color w:val="auto"/>
              </w:rPr>
            </w:pPr>
            <w:r>
              <w:rPr>
                <w:rFonts w:ascii="Courier New" w:cs="Courier New" w:eastAsia="Courier New" w:hAnsi="Courier New"/>
                <w:sz w:val="15"/>
                <w:szCs w:val="15"/>
                <w:color w:val="auto"/>
              </w:rPr>
              <w:t>Vehicles furnished to employees</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53,696</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54,140</w:t>
            </w:r>
          </w:p>
        </w:tc>
      </w:tr>
      <w:tr>
        <w:trPr>
          <w:trHeight w:val="173"/>
        </w:trPr>
        <w:tc>
          <w:tcPr>
            <w:tcW w:w="316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54,319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49,137</w:t>
            </w:r>
          </w:p>
        </w:tc>
      </w:tr>
      <w:tr>
        <w:trPr>
          <w:trHeight w:val="173"/>
        </w:trPr>
        <w:tc>
          <w:tcPr>
            <w:tcW w:w="316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38,672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31,434</w:t>
            </w:r>
          </w:p>
        </w:tc>
      </w:tr>
      <w:tr>
        <w:trPr>
          <w:trHeight w:val="173"/>
        </w:trPr>
        <w:tc>
          <w:tcPr>
            <w:tcW w:w="3160" w:type="dxa"/>
            <w:vAlign w:val="bottom"/>
          </w:tcPr>
          <w:p>
            <w:pPr>
              <w:spacing w:after="0"/>
              <w:rPr>
                <w:sz w:val="15"/>
                <w:szCs w:val="15"/>
                <w:color w:val="auto"/>
              </w:rPr>
            </w:pP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160" w:type="dxa"/>
            <w:vAlign w:val="bottom"/>
          </w:tcPr>
          <w:p>
            <w:pPr>
              <w:spacing w:after="0"/>
              <w:rPr>
                <w:sz w:val="15"/>
                <w:szCs w:val="15"/>
                <w:color w:val="auto"/>
              </w:rPr>
            </w:pP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357,697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305,866</w:t>
            </w:r>
          </w:p>
        </w:tc>
      </w:tr>
      <w:tr>
        <w:trPr>
          <w:trHeight w:val="173"/>
        </w:trPr>
        <w:tc>
          <w:tcPr>
            <w:tcW w:w="316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196,795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132,171</w:t>
            </w:r>
          </w:p>
        </w:tc>
      </w:tr>
      <w:tr>
        <w:trPr>
          <w:trHeight w:val="173"/>
        </w:trPr>
        <w:tc>
          <w:tcPr>
            <w:tcW w:w="3160" w:type="dxa"/>
            <w:vAlign w:val="bottom"/>
          </w:tcPr>
          <w:p>
            <w:pPr>
              <w:spacing w:after="0"/>
              <w:rPr>
                <w:sz w:val="15"/>
                <w:szCs w:val="15"/>
                <w:color w:val="auto"/>
              </w:rPr>
            </w:pP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160" w:type="dxa"/>
            <w:vAlign w:val="bottom"/>
          </w:tcPr>
          <w:p>
            <w:pPr>
              <w:spacing w:after="0"/>
              <w:rPr>
                <w:sz w:val="15"/>
                <w:szCs w:val="15"/>
                <w:color w:val="auto"/>
              </w:rPr>
            </w:pP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$160,902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$173,695</w:t>
            </w:r>
          </w:p>
        </w:tc>
      </w:tr>
      <w:tr>
        <w:trPr>
          <w:trHeight w:val="173"/>
        </w:trPr>
        <w:tc>
          <w:tcPr>
            <w:tcW w:w="3160" w:type="dxa"/>
            <w:vAlign w:val="bottom"/>
          </w:tcPr>
          <w:p>
            <w:pPr>
              <w:spacing w:after="0"/>
              <w:rPr>
                <w:sz w:val="15"/>
                <w:szCs w:val="15"/>
                <w:color w:val="auto"/>
              </w:rPr>
            </w:pP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The Company has entered into various arrangements for the leasing of vehicles for periods of five years, carrying interest rates of LIBOR plus an interest rate ranging 0.5% to 0.9% (between 2.29% to 2.69% as of September 30, 2002). The Company has accounted for these as capital leases and amortization costs have been included in depreciation expense. Vehicles under capital lease arrangements had cost of $49,582 and</w:t>
      </w:r>
    </w:p>
    <w:p>
      <w:pPr>
        <w:sectPr>
          <w:pgSz w:w="11900" w:h="16838" w:orient="portrait"/>
          <w:cols w:equalWidth="0" w:num="1">
            <w:col w:w="10219"/>
          </w:cols>
          <w:pgMar w:left="240" w:top="464" w:right="1440" w:bottom="1440" w:gutter="0" w:footer="0" w:header="0"/>
        </w:sectPr>
      </w:pPr>
    </w:p>
    <w:bookmarkStart w:id="24" w:name="page25"/>
    <w:bookmarkEnd w:id="24"/>
    <w:p>
      <w:pPr>
        <w:ind w:left="2968"/>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51" w:lineRule="exact"/>
        <w:rPr>
          <w:sz w:val="20"/>
          <w:szCs w:val="20"/>
          <w:color w:val="auto"/>
        </w:rPr>
      </w:pPr>
    </w:p>
    <w:p>
      <w:pPr>
        <w:ind w:left="8" w:right="3559"/>
        <w:spacing w:after="0" w:line="243" w:lineRule="auto"/>
        <w:rPr>
          <w:sz w:val="20"/>
          <w:szCs w:val="20"/>
          <w:color w:val="auto"/>
        </w:rPr>
      </w:pPr>
      <w:r>
        <w:rPr>
          <w:rFonts w:ascii="Courier New" w:cs="Courier New" w:eastAsia="Courier New" w:hAnsi="Courier New"/>
          <w:sz w:val="15"/>
          <w:szCs w:val="15"/>
          <w:color w:val="auto"/>
        </w:rPr>
        <w:t>$52,165 with related accumulated depreciation of $21,520 and $15,351 as of September 30, 2002 and 2001, respectively.</w:t>
      </w:r>
    </w:p>
    <w:p>
      <w:pPr>
        <w:spacing w:after="0" w:line="176" w:lineRule="exact"/>
        <w:rPr>
          <w:sz w:val="20"/>
          <w:szCs w:val="20"/>
          <w:color w:val="auto"/>
        </w:rPr>
      </w:pPr>
    </w:p>
    <w:p>
      <w:pPr>
        <w:ind w:left="8" w:right="3459" w:firstLine="811"/>
        <w:spacing w:after="0" w:line="243" w:lineRule="auto"/>
        <w:rPr>
          <w:sz w:val="20"/>
          <w:szCs w:val="20"/>
          <w:color w:val="auto"/>
        </w:rPr>
      </w:pPr>
      <w:r>
        <w:rPr>
          <w:rFonts w:ascii="Courier New" w:cs="Courier New" w:eastAsia="Courier New" w:hAnsi="Courier New"/>
          <w:sz w:val="15"/>
          <w:szCs w:val="15"/>
          <w:color w:val="auto"/>
        </w:rPr>
        <w:t>Capital lease payments, excluding interest, due over the next five years are as follows:</w:t>
      </w:r>
    </w:p>
    <w:p>
      <w:pPr>
        <w:spacing w:after="0" w:line="200" w:lineRule="exact"/>
        <w:rPr>
          <w:sz w:val="20"/>
          <w:szCs w:val="20"/>
          <w:color w:val="auto"/>
        </w:rPr>
      </w:pPr>
    </w:p>
    <w:p>
      <w:pPr>
        <w:spacing w:after="0" w:line="32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FOR THE YEARS ENDED SEPTEMBER 30,</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tbl>
      <w:tblPr>
        <w:tblLayout w:type="fixed"/>
        <w:tblInd w:w="448" w:type="dxa"/>
        <w:tblCellMar>
          <w:top w:w="0" w:type="dxa"/>
          <w:left w:w="0" w:type="dxa"/>
          <w:bottom w:w="0" w:type="dxa"/>
          <w:right w:w="0" w:type="dxa"/>
        </w:tblCellMar>
      </w:tblPr>
      <w:tr>
        <w:trPr>
          <w:trHeight w:val="170"/>
        </w:trPr>
        <w:tc>
          <w:tcPr>
            <w:tcW w:w="2040" w:type="dxa"/>
            <w:vAlign w:val="bottom"/>
          </w:tcPr>
          <w:p>
            <w:pPr>
              <w:jc w:val="right"/>
              <w:ind w:right="1605"/>
              <w:spacing w:after="0"/>
              <w:rPr>
                <w:sz w:val="20"/>
                <w:szCs w:val="20"/>
                <w:color w:val="auto"/>
              </w:rPr>
            </w:pPr>
            <w:r>
              <w:rPr>
                <w:rFonts w:ascii="Courier New" w:cs="Courier New" w:eastAsia="Courier New" w:hAnsi="Courier New"/>
                <w:sz w:val="15"/>
                <w:szCs w:val="15"/>
                <w:color w:val="auto"/>
                <w:w w:val="94"/>
              </w:rPr>
              <w:t>2003</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  10,347</w:t>
            </w:r>
          </w:p>
        </w:tc>
      </w:tr>
      <w:tr>
        <w:trPr>
          <w:trHeight w:val="173"/>
        </w:trPr>
        <w:tc>
          <w:tcPr>
            <w:tcW w:w="2040" w:type="dxa"/>
            <w:vAlign w:val="bottom"/>
          </w:tcPr>
          <w:p>
            <w:pPr>
              <w:jc w:val="right"/>
              <w:ind w:right="1605"/>
              <w:spacing w:after="0"/>
              <w:rPr>
                <w:sz w:val="20"/>
                <w:szCs w:val="20"/>
                <w:color w:val="auto"/>
              </w:rPr>
            </w:pPr>
            <w:r>
              <w:rPr>
                <w:rFonts w:ascii="Courier New" w:cs="Courier New" w:eastAsia="Courier New" w:hAnsi="Courier New"/>
                <w:sz w:val="15"/>
                <w:szCs w:val="15"/>
                <w:color w:val="auto"/>
                <w:w w:val="94"/>
              </w:rPr>
              <w:t>2004</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6,639</w:t>
            </w:r>
          </w:p>
        </w:tc>
      </w:tr>
      <w:tr>
        <w:trPr>
          <w:trHeight w:val="173"/>
        </w:trPr>
        <w:tc>
          <w:tcPr>
            <w:tcW w:w="2040" w:type="dxa"/>
            <w:vAlign w:val="bottom"/>
          </w:tcPr>
          <w:p>
            <w:pPr>
              <w:jc w:val="right"/>
              <w:ind w:right="1605"/>
              <w:spacing w:after="0"/>
              <w:rPr>
                <w:sz w:val="20"/>
                <w:szCs w:val="20"/>
                <w:color w:val="auto"/>
              </w:rPr>
            </w:pPr>
            <w:r>
              <w:rPr>
                <w:rFonts w:ascii="Courier New" w:cs="Courier New" w:eastAsia="Courier New" w:hAnsi="Courier New"/>
                <w:sz w:val="15"/>
                <w:szCs w:val="15"/>
                <w:color w:val="auto"/>
                <w:w w:val="94"/>
              </w:rPr>
              <w:t>2005</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6,304</w:t>
            </w:r>
          </w:p>
        </w:tc>
      </w:tr>
      <w:tr>
        <w:trPr>
          <w:trHeight w:val="173"/>
        </w:trPr>
        <w:tc>
          <w:tcPr>
            <w:tcW w:w="2040" w:type="dxa"/>
            <w:vAlign w:val="bottom"/>
          </w:tcPr>
          <w:p>
            <w:pPr>
              <w:jc w:val="right"/>
              <w:ind w:right="1605"/>
              <w:spacing w:after="0"/>
              <w:rPr>
                <w:sz w:val="20"/>
                <w:szCs w:val="20"/>
                <w:color w:val="auto"/>
              </w:rPr>
            </w:pPr>
            <w:r>
              <w:rPr>
                <w:rFonts w:ascii="Courier New" w:cs="Courier New" w:eastAsia="Courier New" w:hAnsi="Courier New"/>
                <w:sz w:val="15"/>
                <w:szCs w:val="15"/>
                <w:color w:val="auto"/>
                <w:w w:val="94"/>
              </w:rPr>
              <w:t>2006</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2,079</w:t>
            </w:r>
          </w:p>
        </w:tc>
      </w:tr>
      <w:tr>
        <w:trPr>
          <w:trHeight w:val="173"/>
        </w:trPr>
        <w:tc>
          <w:tcPr>
            <w:tcW w:w="2040" w:type="dxa"/>
            <w:vAlign w:val="bottom"/>
          </w:tcPr>
          <w:p>
            <w:pPr>
              <w:jc w:val="right"/>
              <w:ind w:right="1605"/>
              <w:spacing w:after="0"/>
              <w:rPr>
                <w:sz w:val="20"/>
                <w:szCs w:val="20"/>
                <w:color w:val="auto"/>
              </w:rPr>
            </w:pPr>
            <w:r>
              <w:rPr>
                <w:rFonts w:ascii="Courier New" w:cs="Courier New" w:eastAsia="Courier New" w:hAnsi="Courier New"/>
                <w:sz w:val="15"/>
                <w:szCs w:val="15"/>
                <w:color w:val="auto"/>
                <w:w w:val="94"/>
              </w:rPr>
              <w:t>2007</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118</w:t>
            </w:r>
          </w:p>
        </w:tc>
      </w:tr>
    </w:tbl>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 8 - GOODWILL AND OTHER INTANGIBLE ASSETS, NET</w:t>
      </w:r>
    </w:p>
    <w:p>
      <w:pPr>
        <w:spacing w:after="0" w:line="177"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Goodwill and other intangible assets, net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1660" w:type="dxa"/>
            <w:vAlign w:val="bottom"/>
          </w:tcPr>
          <w:p>
            <w:pPr>
              <w:ind w:left="360"/>
              <w:spacing w:after="0"/>
              <w:rPr>
                <w:sz w:val="20"/>
                <w:szCs w:val="20"/>
                <w:color w:val="auto"/>
              </w:rPr>
            </w:pPr>
            <w:r>
              <w:rPr>
                <w:rFonts w:ascii="Courier New" w:cs="Courier New" w:eastAsia="Courier New" w:hAnsi="Courier New"/>
                <w:sz w:val="15"/>
                <w:szCs w:val="15"/>
                <w:color w:val="auto"/>
              </w:rPr>
              <w:t>ESTIMATED</w:t>
            </w:r>
          </w:p>
        </w:tc>
        <w:tc>
          <w:tcPr>
            <w:tcW w:w="420" w:type="dxa"/>
            <w:vAlign w:val="bottom"/>
          </w:tcPr>
          <w:p>
            <w:pPr>
              <w:spacing w:after="0"/>
              <w:rPr>
                <w:sz w:val="14"/>
                <w:szCs w:val="14"/>
                <w:color w:val="auto"/>
              </w:rPr>
            </w:pPr>
          </w:p>
        </w:tc>
        <w:tc>
          <w:tcPr>
            <w:tcW w:w="27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AS OF SEPTEMBER 30,</w:t>
            </w:r>
          </w:p>
        </w:tc>
      </w:tr>
      <w:tr>
        <w:trPr>
          <w:trHeight w:val="173"/>
        </w:trPr>
        <w:tc>
          <w:tcPr>
            <w:tcW w:w="4140" w:type="dxa"/>
            <w:vAlign w:val="bottom"/>
          </w:tcPr>
          <w:p>
            <w:pPr>
              <w:spacing w:after="0"/>
              <w:rPr>
                <w:sz w:val="15"/>
                <w:szCs w:val="15"/>
                <w:color w:val="auto"/>
              </w:rPr>
            </w:pPr>
          </w:p>
        </w:tc>
        <w:tc>
          <w:tcPr>
            <w:tcW w:w="1660" w:type="dxa"/>
            <w:vAlign w:val="bottom"/>
          </w:tcPr>
          <w:p>
            <w:pPr>
              <w:ind w:left="360"/>
              <w:spacing w:after="0"/>
              <w:rPr>
                <w:sz w:val="20"/>
                <w:szCs w:val="20"/>
                <w:color w:val="auto"/>
              </w:rPr>
            </w:pPr>
            <w:r>
              <w:rPr>
                <w:rFonts w:ascii="Courier New" w:cs="Courier New" w:eastAsia="Courier New" w:hAnsi="Courier New"/>
                <w:sz w:val="15"/>
                <w:szCs w:val="15"/>
                <w:color w:val="auto"/>
              </w:rPr>
              <w:t>USEFUL LIFE</w:t>
            </w:r>
          </w:p>
        </w:tc>
        <w:tc>
          <w:tcPr>
            <w:tcW w:w="1720" w:type="dxa"/>
            <w:vAlign w:val="bottom"/>
            <w:gridSpan w:val="2"/>
          </w:tcPr>
          <w:p>
            <w:pPr>
              <w:ind w:left="320"/>
              <w:spacing w:after="0"/>
              <w:rPr>
                <w:sz w:val="20"/>
                <w:szCs w:val="20"/>
                <w:color w:val="auto"/>
              </w:rPr>
            </w:pPr>
            <w:r>
              <w:rPr>
                <w:rFonts w:ascii="Courier New" w:cs="Courier New" w:eastAsia="Courier New" w:hAnsi="Courier New"/>
                <w:sz w:val="10"/>
                <w:szCs w:val="10"/>
                <w:color w:val="auto"/>
                <w:w w:val="74"/>
              </w:rPr>
              <w:t>-------------------------------</w:t>
            </w:r>
          </w:p>
        </w:tc>
        <w:tc>
          <w:tcPr>
            <w:tcW w:w="1400" w:type="dxa"/>
            <w:vAlign w:val="bottom"/>
          </w:tcPr>
          <w:p>
            <w:pPr>
              <w:spacing w:after="0"/>
              <w:rPr>
                <w:sz w:val="15"/>
                <w:szCs w:val="15"/>
                <w:color w:val="auto"/>
              </w:rPr>
            </w:pPr>
          </w:p>
        </w:tc>
      </w:tr>
      <w:tr>
        <w:trPr>
          <w:trHeight w:val="173"/>
        </w:trPr>
        <w:tc>
          <w:tcPr>
            <w:tcW w:w="4140" w:type="dxa"/>
            <w:vAlign w:val="bottom"/>
          </w:tcPr>
          <w:p>
            <w:pPr>
              <w:spacing w:after="0"/>
              <w:rPr>
                <w:sz w:val="15"/>
                <w:szCs w:val="15"/>
                <w:color w:val="auto"/>
              </w:rPr>
            </w:pPr>
          </w:p>
        </w:tc>
        <w:tc>
          <w:tcPr>
            <w:tcW w:w="1660" w:type="dxa"/>
            <w:vAlign w:val="bottom"/>
          </w:tcPr>
          <w:p>
            <w:pPr>
              <w:ind w:left="360"/>
              <w:spacing w:after="0"/>
              <w:rPr>
                <w:sz w:val="20"/>
                <w:szCs w:val="20"/>
                <w:color w:val="auto"/>
              </w:rPr>
            </w:pPr>
            <w:r>
              <w:rPr>
                <w:rFonts w:ascii="Courier New" w:cs="Courier New" w:eastAsia="Courier New" w:hAnsi="Courier New"/>
                <w:sz w:val="15"/>
                <w:szCs w:val="15"/>
                <w:color w:val="auto"/>
              </w:rPr>
              <w:t>(IN YEARS)</w:t>
            </w:r>
          </w:p>
        </w:tc>
        <w:tc>
          <w:tcPr>
            <w:tcW w:w="420" w:type="dxa"/>
            <w:vAlign w:val="bottom"/>
          </w:tcPr>
          <w:p>
            <w:pPr>
              <w:spacing w:after="0"/>
              <w:rPr>
                <w:sz w:val="15"/>
                <w:szCs w:val="15"/>
                <w:color w:val="auto"/>
              </w:rPr>
            </w:pPr>
          </w:p>
        </w:tc>
        <w:tc>
          <w:tcPr>
            <w:tcW w:w="130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2002</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2001</w:t>
            </w:r>
          </w:p>
        </w:tc>
      </w:tr>
      <w:tr>
        <w:trPr>
          <w:trHeight w:val="173"/>
        </w:trPr>
        <w:tc>
          <w:tcPr>
            <w:tcW w:w="4140" w:type="dxa"/>
            <w:vAlign w:val="bottom"/>
          </w:tcPr>
          <w:p>
            <w:pPr>
              <w:spacing w:after="0"/>
              <w:rPr>
                <w:sz w:val="15"/>
                <w:szCs w:val="15"/>
                <w:color w:val="auto"/>
              </w:rPr>
            </w:pPr>
          </w:p>
        </w:tc>
        <w:tc>
          <w:tcPr>
            <w:tcW w:w="16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30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347"/>
        </w:trPr>
        <w:tc>
          <w:tcPr>
            <w:tcW w:w="4140" w:type="dxa"/>
            <w:vAlign w:val="bottom"/>
          </w:tcPr>
          <w:p>
            <w:pPr>
              <w:spacing w:after="0"/>
              <w:rPr>
                <w:sz w:val="20"/>
                <w:szCs w:val="20"/>
                <w:color w:val="auto"/>
              </w:rPr>
            </w:pPr>
            <w:r>
              <w:rPr>
                <w:rFonts w:ascii="Courier New" w:cs="Courier New" w:eastAsia="Courier New" w:hAnsi="Courier New"/>
                <w:sz w:val="15"/>
                <w:szCs w:val="15"/>
                <w:color w:val="auto"/>
              </w:rPr>
              <w:t>Goodwill (1)(2)</w:t>
            </w:r>
          </w:p>
        </w:tc>
        <w:tc>
          <w:tcPr>
            <w:tcW w:w="166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5-15</w:t>
            </w:r>
          </w:p>
        </w:tc>
        <w:tc>
          <w:tcPr>
            <w:tcW w:w="420" w:type="dxa"/>
            <w:vAlign w:val="bottom"/>
          </w:tcPr>
          <w:p>
            <w:pPr>
              <w:ind w:left="320"/>
              <w:spacing w:after="0"/>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6"/>
              </w:rPr>
              <w:t>1,208,469</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$1,057,314</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Intellectual property rights and purchased</w:t>
            </w:r>
          </w:p>
        </w:tc>
        <w:tc>
          <w:tcPr>
            <w:tcW w:w="1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3"/>
        </w:trPr>
        <w:tc>
          <w:tcPr>
            <w:tcW w:w="4140" w:type="dxa"/>
            <w:vAlign w:val="bottom"/>
          </w:tcPr>
          <w:p>
            <w:pPr>
              <w:ind w:left="180"/>
              <w:spacing w:after="0"/>
              <w:rPr>
                <w:sz w:val="20"/>
                <w:szCs w:val="20"/>
                <w:color w:val="auto"/>
              </w:rPr>
            </w:pPr>
            <w:r>
              <w:rPr>
                <w:rFonts w:ascii="Courier New" w:cs="Courier New" w:eastAsia="Courier New" w:hAnsi="Courier New"/>
                <w:sz w:val="15"/>
                <w:szCs w:val="15"/>
                <w:color w:val="auto"/>
              </w:rPr>
              <w:t>computer software</w:t>
            </w:r>
          </w:p>
        </w:tc>
        <w:tc>
          <w:tcPr>
            <w:tcW w:w="166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2-10</w:t>
            </w:r>
          </w:p>
        </w:tc>
        <w:tc>
          <w:tcPr>
            <w:tcW w:w="42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91,758</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77,358</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Other intangible assets</w:t>
            </w:r>
          </w:p>
        </w:tc>
        <w:tc>
          <w:tcPr>
            <w:tcW w:w="166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3-5</w:t>
            </w:r>
          </w:p>
        </w:tc>
        <w:tc>
          <w:tcPr>
            <w:tcW w:w="42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47,378</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12,403</w:t>
            </w:r>
          </w:p>
        </w:tc>
      </w:tr>
      <w:tr>
        <w:trPr>
          <w:trHeight w:val="173"/>
        </w:trPr>
        <w:tc>
          <w:tcPr>
            <w:tcW w:w="41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72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1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6"/>
              </w:rPr>
              <w:t>1,347,605</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1,147,075</w:t>
            </w:r>
          </w:p>
        </w:tc>
      </w:tr>
      <w:tr>
        <w:trPr>
          <w:trHeight w:val="173"/>
        </w:trPr>
        <w:tc>
          <w:tcPr>
            <w:tcW w:w="4140" w:type="dxa"/>
            <w:vAlign w:val="bottom"/>
          </w:tcPr>
          <w:p>
            <w:pPr>
              <w:spacing w:after="0"/>
              <w:rPr>
                <w:sz w:val="20"/>
                <w:szCs w:val="20"/>
                <w:color w:val="auto"/>
              </w:rPr>
            </w:pPr>
            <w:r>
              <w:rPr>
                <w:rFonts w:ascii="Courier New" w:cs="Courier New" w:eastAsia="Courier New" w:hAnsi="Courier New"/>
                <w:sz w:val="15"/>
                <w:szCs w:val="15"/>
                <w:color w:val="auto"/>
              </w:rPr>
              <w:t>Less accumulated amortization</w:t>
            </w:r>
          </w:p>
        </w:tc>
        <w:tc>
          <w:tcPr>
            <w:tcW w:w="1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597,075</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358,888</w:t>
            </w:r>
          </w:p>
        </w:tc>
      </w:tr>
      <w:tr>
        <w:trPr>
          <w:trHeight w:val="173"/>
        </w:trPr>
        <w:tc>
          <w:tcPr>
            <w:tcW w:w="41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72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1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20" w:type="dxa"/>
            <w:vAlign w:val="bottom"/>
          </w:tcPr>
          <w:p>
            <w:pPr>
              <w:ind w:left="320"/>
              <w:spacing w:after="0"/>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750,530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  788,187</w:t>
            </w:r>
          </w:p>
        </w:tc>
      </w:tr>
      <w:tr>
        <w:trPr>
          <w:trHeight w:val="173"/>
        </w:trPr>
        <w:tc>
          <w:tcPr>
            <w:tcW w:w="41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72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1088" w:right="3279" w:hanging="1088"/>
        <w:spacing w:after="0" w:line="244" w:lineRule="auto"/>
        <w:tabs>
          <w:tab w:leader="none" w:pos="108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SFAS No. 142, goodwill from acquisitions completed after June 30, 2001 is not amortized, but is subject to periodic impairment tests. Under SFAS No. 142, amortization of goodwill will cease, for acquisitions completed prior to July 1, 2001, on October 1, 2002.</w:t>
      </w:r>
    </w:p>
    <w:p>
      <w:pPr>
        <w:spacing w:after="0" w:line="176" w:lineRule="exact"/>
        <w:rPr>
          <w:rFonts w:ascii="Courier New" w:cs="Courier New" w:eastAsia="Courier New" w:hAnsi="Courier New"/>
          <w:sz w:val="15"/>
          <w:szCs w:val="15"/>
          <w:color w:val="auto"/>
        </w:rPr>
      </w:pPr>
    </w:p>
    <w:p>
      <w:pPr>
        <w:jc w:val="both"/>
        <w:ind w:left="1088" w:right="3199" w:hanging="1088"/>
        <w:spacing w:after="0" w:line="244" w:lineRule="auto"/>
        <w:tabs>
          <w:tab w:leader="none" w:pos="108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September 2002, the Company recorded an offsetting reduction of the goodwill related to Solect acquisition due to a release of tax valuation allowance. See Note 10.</w:t>
      </w:r>
    </w:p>
    <w:p>
      <w:pPr>
        <w:sectPr>
          <w:pgSz w:w="11900" w:h="16838" w:orient="portrait"/>
          <w:cols w:equalWidth="0" w:num="1">
            <w:col w:w="10227"/>
          </w:cols>
          <w:pgMar w:left="232" w:top="464" w:right="1440" w:bottom="1440" w:gutter="0" w:footer="0" w:header="0"/>
        </w:sectPr>
      </w:pPr>
    </w:p>
    <w:bookmarkStart w:id="25" w:name="page26"/>
    <w:bookmarkEnd w:id="25"/>
    <w:p>
      <w:pPr>
        <w:ind w:left="2968"/>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 9 - OTHER NONCURRENT ASSETS</w:t>
      </w:r>
    </w:p>
    <w:p>
      <w:pPr>
        <w:spacing w:after="0" w:line="177"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Other noncurrent assets consist of the following:</w:t>
      </w: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AS OF SEPTEMBER 30,</w:t>
            </w:r>
          </w:p>
        </w:tc>
      </w:tr>
      <w:tr>
        <w:trPr>
          <w:trHeight w:val="173"/>
        </w:trPr>
        <w:tc>
          <w:tcPr>
            <w:tcW w:w="4860" w:type="dxa"/>
            <w:vAlign w:val="bottom"/>
          </w:tcPr>
          <w:p>
            <w:pPr>
              <w:spacing w:after="0"/>
              <w:rPr>
                <w:sz w:val="15"/>
                <w:szCs w:val="15"/>
                <w:color w:val="auto"/>
              </w:rPr>
            </w:pPr>
          </w:p>
        </w:tc>
        <w:tc>
          <w:tcPr>
            <w:tcW w:w="22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2002</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2001</w:t>
            </w:r>
          </w:p>
        </w:tc>
      </w:tr>
      <w:tr>
        <w:trPr>
          <w:trHeight w:val="173"/>
        </w:trPr>
        <w:tc>
          <w:tcPr>
            <w:tcW w:w="4860" w:type="dxa"/>
            <w:vAlign w:val="bottom"/>
          </w:tcPr>
          <w:p>
            <w:pPr>
              <w:spacing w:after="0"/>
              <w:rPr>
                <w:sz w:val="15"/>
                <w:szCs w:val="15"/>
                <w:color w:val="auto"/>
              </w:rPr>
            </w:pP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860" w:type="dxa"/>
            <w:vAlign w:val="bottom"/>
          </w:tcPr>
          <w:p>
            <w:pPr>
              <w:spacing w:after="0"/>
              <w:rPr>
                <w:sz w:val="20"/>
                <w:szCs w:val="20"/>
                <w:color w:val="auto"/>
              </w:rPr>
            </w:pPr>
            <w:r>
              <w:rPr>
                <w:rFonts w:ascii="Courier New" w:cs="Courier New" w:eastAsia="Courier New" w:hAnsi="Courier New"/>
                <w:sz w:val="15"/>
                <w:szCs w:val="15"/>
                <w:color w:val="auto"/>
              </w:rPr>
              <w:t>Funded employee benefit costs (1)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40,495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$ 33,624</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Noncurrent investments, at cost (2)(3)</w:t>
            </w:r>
          </w:p>
        </w:tc>
        <w:tc>
          <w:tcPr>
            <w:tcW w:w="36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7,596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6,964</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Noncurrent investment in convertible debentures (2)</w:t>
            </w:r>
          </w:p>
        </w:tc>
        <w:tc>
          <w:tcPr>
            <w:tcW w:w="36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40,857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7,827</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Convertible notes issuance cost, net</w:t>
            </w:r>
          </w:p>
        </w:tc>
        <w:tc>
          <w:tcPr>
            <w:tcW w:w="36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5,934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10,667</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Restricted cash and cash equivalents (4)</w:t>
            </w:r>
          </w:p>
        </w:tc>
        <w:tc>
          <w:tcPr>
            <w:tcW w:w="36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5,072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4,818</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36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10,225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7,053</w:t>
            </w:r>
          </w:p>
        </w:tc>
      </w:tr>
      <w:tr>
        <w:trPr>
          <w:trHeight w:val="173"/>
        </w:trPr>
        <w:tc>
          <w:tcPr>
            <w:tcW w:w="4860" w:type="dxa"/>
            <w:vAlign w:val="bottom"/>
          </w:tcPr>
          <w:p>
            <w:pPr>
              <w:spacing w:after="0"/>
              <w:rPr>
                <w:sz w:val="15"/>
                <w:szCs w:val="15"/>
                <w:color w:val="auto"/>
              </w:rPr>
            </w:pP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8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110,179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$ 70,953</w:t>
            </w:r>
          </w:p>
        </w:tc>
      </w:tr>
      <w:tr>
        <w:trPr>
          <w:trHeight w:val="173"/>
        </w:trPr>
        <w:tc>
          <w:tcPr>
            <w:tcW w:w="4860" w:type="dxa"/>
            <w:vAlign w:val="bottom"/>
          </w:tcPr>
          <w:p>
            <w:pPr>
              <w:spacing w:after="0"/>
              <w:rPr>
                <w:sz w:val="15"/>
                <w:szCs w:val="15"/>
                <w:color w:val="auto"/>
              </w:rPr>
            </w:pP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1088" w:hanging="1088"/>
        <w:spacing w:after="0"/>
        <w:tabs>
          <w:tab w:leader="none" w:pos="108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16.</w:t>
      </w:r>
    </w:p>
    <w:p>
      <w:pPr>
        <w:spacing w:after="0" w:line="177" w:lineRule="exact"/>
        <w:rPr>
          <w:rFonts w:ascii="Courier New" w:cs="Courier New" w:eastAsia="Courier New" w:hAnsi="Courier New"/>
          <w:sz w:val="15"/>
          <w:szCs w:val="15"/>
          <w:color w:val="auto"/>
        </w:rPr>
      </w:pPr>
    </w:p>
    <w:p>
      <w:pPr>
        <w:ind w:left="1088" w:right="3019" w:hanging="1088"/>
        <w:spacing w:after="0" w:line="244" w:lineRule="auto"/>
        <w:tabs>
          <w:tab w:leader="none" w:pos="108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certain investments in non-publicly traded companies under the cost method, including investment in Certen. In January 2001 the Company and Bell Canada formed Certen to provide customer care and billing solutions to Bell Canada and some of its affiliated companies. Certen is owned 90% by Bell Canada and 10% by the Company. Commencing on the 30-month anniversary of the transaction, convertible debentures issued by Certen to the Company will be convertible into an additional 35% ownership interest in Certen. The relative ownership interests of the Company might further be modified through the exercise of a series of contractual rights, commencing on the 30-month anniversary of the transaction. The Company provides the customer care and billing software required by Certen, including customization, installation, maintenance and other services. The Company accounts for the investment in Certen under the cost method. See Note 4.</w:t>
      </w:r>
    </w:p>
    <w:p>
      <w:pPr>
        <w:spacing w:after="0" w:line="182" w:lineRule="exact"/>
        <w:rPr>
          <w:rFonts w:ascii="Courier New" w:cs="Courier New" w:eastAsia="Courier New" w:hAnsi="Courier New"/>
          <w:sz w:val="15"/>
          <w:szCs w:val="15"/>
          <w:color w:val="auto"/>
        </w:rPr>
      </w:pPr>
    </w:p>
    <w:p>
      <w:pPr>
        <w:ind w:left="1088" w:right="3099" w:hanging="1088"/>
        <w:spacing w:after="0" w:line="244" w:lineRule="auto"/>
        <w:tabs>
          <w:tab w:leader="none" w:pos="108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fiscal 2002, the Company recorded pretax charges of $5,500 to adjust the carrying value of two investments, accounted for by the Company under the cost method. In fiscal 2001, the Company recorded pretax charges of $6,750 to adjust the carrying value of four investments, accounted for by the Company under the cost method. Following these adjustments, as of September 30, 2002, the Company had one remaining investment, the investment in Certen, accounted for under the cost method. The Company continues to monitor the economic and financial aspects of its remaining interests in this investment.</w:t>
      </w:r>
    </w:p>
    <w:p>
      <w:pPr>
        <w:spacing w:after="0" w:line="179" w:lineRule="exact"/>
        <w:rPr>
          <w:rFonts w:ascii="Courier New" w:cs="Courier New" w:eastAsia="Courier New" w:hAnsi="Courier New"/>
          <w:sz w:val="15"/>
          <w:szCs w:val="15"/>
          <w:color w:val="auto"/>
        </w:rPr>
      </w:pPr>
    </w:p>
    <w:p>
      <w:pPr>
        <w:ind w:left="1088" w:right="3639" w:hanging="1088"/>
        <w:spacing w:after="0" w:line="244" w:lineRule="auto"/>
        <w:tabs>
          <w:tab w:leader="none" w:pos="108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was required to maintain restricted cash and cash equivalents balances relating to letters of credit and bank guarantees.</w:t>
      </w:r>
    </w:p>
    <w:p>
      <w:pPr>
        <w:sectPr>
          <w:pgSz w:w="11900" w:h="16838" w:orient="portrait"/>
          <w:cols w:equalWidth="0" w:num="1">
            <w:col w:w="10227"/>
          </w:cols>
          <w:pgMar w:left="232" w:top="464" w:right="1440" w:bottom="1440" w:gutter="0" w:footer="0" w:header="0"/>
        </w:sectPr>
      </w:pPr>
    </w:p>
    <w:bookmarkStart w:id="26" w:name="page27"/>
    <w:bookmarkEnd w:id="26"/>
    <w:p>
      <w:pPr>
        <w:ind w:left="2960"/>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 INCOME TAXES</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provision for income taxes consists of the following:</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7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YEAR ENDED SEPTEMBER 30,</w:t>
            </w:r>
          </w:p>
        </w:tc>
        <w:tc>
          <w:tcPr>
            <w:tcW w:w="740" w:type="dxa"/>
            <w:vAlign w:val="bottom"/>
          </w:tcPr>
          <w:p>
            <w:pPr>
              <w:spacing w:after="0"/>
              <w:rPr>
                <w:sz w:val="14"/>
                <w:szCs w:val="14"/>
                <w:color w:val="auto"/>
              </w:rPr>
            </w:pPr>
          </w:p>
        </w:tc>
      </w:tr>
      <w:tr>
        <w:trPr>
          <w:trHeight w:val="173"/>
        </w:trPr>
        <w:tc>
          <w:tcPr>
            <w:tcW w:w="980" w:type="dxa"/>
            <w:vAlign w:val="bottom"/>
          </w:tcPr>
          <w:p>
            <w:pPr>
              <w:spacing w:after="0"/>
              <w:rPr>
                <w:sz w:val="15"/>
                <w:szCs w:val="15"/>
                <w:color w:val="auto"/>
              </w:rPr>
            </w:pPr>
          </w:p>
        </w:tc>
        <w:tc>
          <w:tcPr>
            <w:tcW w:w="3980" w:type="dxa"/>
            <w:vAlign w:val="bottom"/>
            <w:gridSpan w:val="5"/>
          </w:tcPr>
          <w:p>
            <w:pPr>
              <w:ind w:left="28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4"/>
              </w:rPr>
              <w:t>2002</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2001</w:t>
            </w:r>
          </w:p>
        </w:tc>
        <w:tc>
          <w:tcPr>
            <w:tcW w:w="440" w:type="dxa"/>
            <w:vAlign w:val="bottom"/>
          </w:tcPr>
          <w:p>
            <w:pPr>
              <w:spacing w:after="0"/>
              <w:rPr>
                <w:sz w:val="15"/>
                <w:szCs w:val="15"/>
                <w:color w:val="auto"/>
              </w:rPr>
            </w:pPr>
          </w:p>
        </w:tc>
        <w:tc>
          <w:tcPr>
            <w:tcW w:w="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980" w:type="dxa"/>
            <w:vAlign w:val="bottom"/>
          </w:tcPr>
          <w:p>
            <w:pPr>
              <w:spacing w:after="0"/>
              <w:rPr>
                <w:sz w:val="15"/>
                <w:szCs w:val="15"/>
                <w:color w:val="auto"/>
              </w:rPr>
            </w:pP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98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4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75,185</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$ 110,163</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80,076</w:t>
            </w:r>
          </w:p>
        </w:tc>
      </w:tr>
      <w:tr>
        <w:trPr>
          <w:trHeight w:val="173"/>
        </w:trPr>
        <w:tc>
          <w:tcPr>
            <w:tcW w:w="98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46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(1,665)</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5,018</w:t>
            </w: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(1,196)</w:t>
            </w:r>
          </w:p>
        </w:tc>
      </w:tr>
      <w:tr>
        <w:trPr>
          <w:trHeight w:val="173"/>
        </w:trPr>
        <w:tc>
          <w:tcPr>
            <w:tcW w:w="980" w:type="dxa"/>
            <w:vAlign w:val="bottom"/>
          </w:tcPr>
          <w:p>
            <w:pPr>
              <w:spacing w:after="0"/>
              <w:rPr>
                <w:sz w:val="15"/>
                <w:szCs w:val="15"/>
                <w:color w:val="auto"/>
              </w:rPr>
            </w:pP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980" w:type="dxa"/>
            <w:vAlign w:val="bottom"/>
          </w:tcPr>
          <w:p>
            <w:pPr>
              <w:spacing w:after="0"/>
              <w:rPr>
                <w:sz w:val="15"/>
                <w:szCs w:val="15"/>
                <w:color w:val="auto"/>
              </w:rPr>
            </w:pPr>
          </w:p>
        </w:tc>
        <w:tc>
          <w:tcPr>
            <w:tcW w:w="4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73,520</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$ 115,181</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78,880</w:t>
            </w:r>
          </w:p>
        </w:tc>
      </w:tr>
      <w:tr>
        <w:trPr>
          <w:trHeight w:val="173"/>
        </w:trPr>
        <w:tc>
          <w:tcPr>
            <w:tcW w:w="980" w:type="dxa"/>
            <w:vAlign w:val="bottom"/>
          </w:tcPr>
          <w:p>
            <w:pPr>
              <w:spacing w:after="0"/>
              <w:rPr>
                <w:sz w:val="15"/>
                <w:szCs w:val="15"/>
                <w:color w:val="auto"/>
              </w:rPr>
            </w:pP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All income taxes are from continuing operations reported by the Company in the applicable taxing jurisdiction. Income taxes also include anticipated withholding taxes due on subsidiaries' earnings when paid as dividends to the Company.</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Deferred income taxes are comprised of the following components: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40" w:type="dxa"/>
            <w:vAlign w:val="bottom"/>
          </w:tcPr>
          <w:p>
            <w:pPr>
              <w:spacing w:after="0"/>
              <w:rPr>
                <w:sz w:val="14"/>
                <w:szCs w:val="14"/>
                <w:color w:val="auto"/>
              </w:rPr>
            </w:pPr>
          </w:p>
        </w:tc>
        <w:tc>
          <w:tcPr>
            <w:tcW w:w="2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AS OF SEPTEMBER 30,</w:t>
            </w:r>
          </w:p>
        </w:tc>
      </w:tr>
      <w:tr>
        <w:trPr>
          <w:trHeight w:val="173"/>
        </w:trPr>
        <w:tc>
          <w:tcPr>
            <w:tcW w:w="6040" w:type="dxa"/>
            <w:vAlign w:val="bottom"/>
          </w:tcPr>
          <w:p>
            <w:pPr>
              <w:spacing w:after="0"/>
              <w:rPr>
                <w:sz w:val="15"/>
                <w:szCs w:val="15"/>
                <w:color w:val="auto"/>
              </w:rPr>
            </w:pPr>
          </w:p>
        </w:tc>
        <w:tc>
          <w:tcPr>
            <w:tcW w:w="24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spacing w:after="0"/>
              <w:rPr>
                <w:sz w:val="15"/>
                <w:szCs w:val="15"/>
                <w:color w:val="auto"/>
              </w:rPr>
            </w:pP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2002</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2001</w:t>
            </w:r>
          </w:p>
        </w:tc>
      </w:tr>
      <w:tr>
        <w:trPr>
          <w:trHeight w:val="173"/>
        </w:trPr>
        <w:tc>
          <w:tcPr>
            <w:tcW w:w="6040" w:type="dxa"/>
            <w:vAlign w:val="bottom"/>
          </w:tcPr>
          <w:p>
            <w:pPr>
              <w:spacing w:after="0"/>
              <w:rPr>
                <w:sz w:val="15"/>
                <w:szCs w:val="15"/>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60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3"/>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Deferred revenue</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$ 23,303</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$ 18,033</w:t>
            </w:r>
          </w:p>
        </w:tc>
      </w:tr>
      <w:tr>
        <w:trPr>
          <w:trHeight w:val="173"/>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Accrued employee costs</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19,367</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20,589</w:t>
            </w:r>
          </w:p>
        </w:tc>
      </w:tr>
      <w:tr>
        <w:trPr>
          <w:trHeight w:val="173"/>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Intangible assets, computer software and intellectual property</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14,790</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6,553</w:t>
            </w:r>
          </w:p>
        </w:tc>
      </w:tr>
      <w:tr>
        <w:trPr>
          <w:trHeight w:val="173"/>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Net operating loss carry forwards</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22,657</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30,358</w:t>
            </w:r>
          </w:p>
        </w:tc>
      </w:tr>
      <w:tr>
        <w:trPr>
          <w:trHeight w:val="173"/>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11,899</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10,275</w:t>
            </w:r>
          </w:p>
        </w:tc>
      </w:tr>
      <w:tr>
        <w:trPr>
          <w:trHeight w:val="173"/>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Valuation allowances</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(10,704)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(27,907)</w:t>
            </w:r>
          </w:p>
        </w:tc>
      </w:tr>
      <w:tr>
        <w:trPr>
          <w:trHeight w:val="173"/>
        </w:trPr>
        <w:tc>
          <w:tcPr>
            <w:tcW w:w="6040" w:type="dxa"/>
            <w:vAlign w:val="bottom"/>
          </w:tcPr>
          <w:p>
            <w:pPr>
              <w:spacing w:after="0"/>
              <w:rPr>
                <w:sz w:val="15"/>
                <w:szCs w:val="15"/>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Total deferred tax assets</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81,312</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57,901</w:t>
            </w:r>
          </w:p>
        </w:tc>
      </w:tr>
      <w:tr>
        <w:trPr>
          <w:trHeight w:val="173"/>
        </w:trPr>
        <w:tc>
          <w:tcPr>
            <w:tcW w:w="6040" w:type="dxa"/>
            <w:vAlign w:val="bottom"/>
          </w:tcPr>
          <w:p>
            <w:pPr>
              <w:spacing w:after="0"/>
              <w:rPr>
                <w:sz w:val="15"/>
                <w:szCs w:val="15"/>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Anticipated withholdings on subsidiaries' earnings</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(42,149)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(32,730)</w:t>
            </w:r>
          </w:p>
        </w:tc>
      </w:tr>
      <w:tr>
        <w:trPr>
          <w:trHeight w:val="173"/>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Intangible assets, computer software and intellectual property</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(10,007)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(7,410)</w:t>
            </w:r>
          </w:p>
        </w:tc>
      </w:tr>
      <w:tr>
        <w:trPr>
          <w:trHeight w:val="173"/>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(8,522)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(2,185)</w:t>
            </w:r>
          </w:p>
        </w:tc>
      </w:tr>
      <w:tr>
        <w:trPr>
          <w:trHeight w:val="173"/>
        </w:trPr>
        <w:tc>
          <w:tcPr>
            <w:tcW w:w="6040" w:type="dxa"/>
            <w:vAlign w:val="bottom"/>
          </w:tcPr>
          <w:p>
            <w:pPr>
              <w:spacing w:after="0"/>
              <w:rPr>
                <w:sz w:val="15"/>
                <w:szCs w:val="15"/>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Total deferred tax liabilities</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(60,678)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(42,325)</w:t>
            </w:r>
          </w:p>
        </w:tc>
      </w:tr>
      <w:tr>
        <w:trPr>
          <w:trHeight w:val="173"/>
        </w:trPr>
        <w:tc>
          <w:tcPr>
            <w:tcW w:w="6040" w:type="dxa"/>
            <w:vAlign w:val="bottom"/>
          </w:tcPr>
          <w:p>
            <w:pPr>
              <w:spacing w:after="0"/>
              <w:rPr>
                <w:sz w:val="15"/>
                <w:szCs w:val="15"/>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spacing w:after="0"/>
              <w:rPr>
                <w:sz w:val="20"/>
                <w:szCs w:val="20"/>
                <w:color w:val="auto"/>
              </w:rPr>
            </w:pPr>
            <w:r>
              <w:rPr>
                <w:rFonts w:ascii="Courier New" w:cs="Courier New" w:eastAsia="Courier New" w:hAnsi="Courier New"/>
                <w:sz w:val="15"/>
                <w:szCs w:val="15"/>
                <w:color w:val="auto"/>
              </w:rPr>
              <w:t>Net deferred tax assets</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$ 20,634</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$ 15,576</w:t>
            </w:r>
          </w:p>
        </w:tc>
      </w:tr>
      <w:tr>
        <w:trPr>
          <w:trHeight w:val="173"/>
        </w:trPr>
        <w:tc>
          <w:tcPr>
            <w:tcW w:w="6040" w:type="dxa"/>
            <w:vAlign w:val="bottom"/>
          </w:tcPr>
          <w:p>
            <w:pPr>
              <w:spacing w:after="0"/>
              <w:rPr>
                <w:sz w:val="15"/>
                <w:szCs w:val="15"/>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464" w:right="1440" w:bottom="1440" w:gutter="0" w:footer="0" w:header="0"/>
        </w:sectPr>
      </w:pPr>
    </w:p>
    <w:bookmarkStart w:id="27" w:name="page28"/>
    <w:bookmarkEnd w:id="27"/>
    <w:p>
      <w:pPr>
        <w:ind w:left="2960"/>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51" w:lineRule="exact"/>
        <w:rPr>
          <w:sz w:val="20"/>
          <w:szCs w:val="20"/>
          <w:color w:val="auto"/>
        </w:rPr>
      </w:pPr>
    </w:p>
    <w:p>
      <w:pPr>
        <w:ind w:right="3279" w:firstLine="811"/>
        <w:spacing w:after="0" w:line="243" w:lineRule="auto"/>
        <w:rPr>
          <w:sz w:val="20"/>
          <w:szCs w:val="20"/>
          <w:color w:val="auto"/>
        </w:rPr>
      </w:pPr>
      <w:r>
        <w:rPr>
          <w:rFonts w:ascii="Courier New" w:cs="Courier New" w:eastAsia="Courier New" w:hAnsi="Courier New"/>
          <w:sz w:val="15"/>
          <w:szCs w:val="15"/>
          <w:color w:val="auto"/>
        </w:rPr>
        <w:t>The effective income tax rate varied from the statutory Guernsey tax rate as follows: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284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YEAR ENDED SEPTEMBER 30,</w:t>
            </w:r>
          </w:p>
        </w:tc>
      </w:tr>
      <w:tr>
        <w:trPr>
          <w:trHeight w:val="173"/>
        </w:trPr>
        <w:tc>
          <w:tcPr>
            <w:tcW w:w="4900" w:type="dxa"/>
            <w:vAlign w:val="bottom"/>
          </w:tcPr>
          <w:p>
            <w:pPr>
              <w:spacing w:after="0"/>
              <w:rPr>
                <w:sz w:val="15"/>
                <w:szCs w:val="15"/>
                <w:color w:val="auto"/>
              </w:rPr>
            </w:pPr>
          </w:p>
        </w:tc>
        <w:tc>
          <w:tcPr>
            <w:tcW w:w="2840" w:type="dxa"/>
            <w:vAlign w:val="bottom"/>
            <w:gridSpan w:val="3"/>
          </w:tcPr>
          <w:p>
            <w:pPr>
              <w:jc w:val="center"/>
              <w:ind w:left="2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9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2002</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2001</w:t>
            </w:r>
          </w:p>
        </w:tc>
        <w:tc>
          <w:tcPr>
            <w:tcW w:w="72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2000</w:t>
            </w:r>
          </w:p>
        </w:tc>
      </w:tr>
      <w:tr>
        <w:trPr>
          <w:trHeight w:val="173"/>
        </w:trPr>
        <w:tc>
          <w:tcPr>
            <w:tcW w:w="49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4900" w:type="dxa"/>
            <w:vAlign w:val="bottom"/>
          </w:tcPr>
          <w:p>
            <w:pPr>
              <w:spacing w:after="0"/>
              <w:rPr>
                <w:sz w:val="20"/>
                <w:szCs w:val="20"/>
                <w:color w:val="auto"/>
              </w:rPr>
            </w:pPr>
            <w:r>
              <w:rPr>
                <w:rFonts w:ascii="Courier New" w:cs="Courier New" w:eastAsia="Courier New" w:hAnsi="Courier New"/>
                <w:sz w:val="15"/>
                <w:szCs w:val="15"/>
                <w:color w:val="auto"/>
              </w:rPr>
              <w:t>Statutory Guernsey tax rate</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Guernsey tax-exempt status</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(20)</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(20)</w:t>
            </w:r>
          </w:p>
        </w:tc>
        <w:tc>
          <w:tcPr>
            <w:tcW w:w="72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(20)</w:t>
            </w: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Foreign taxes</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28</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30</w:t>
            </w:r>
          </w:p>
        </w:tc>
        <w:tc>
          <w:tcPr>
            <w:tcW w:w="720" w:type="dxa"/>
            <w:vAlign w:val="bottom"/>
          </w:tcPr>
          <w:p>
            <w:pPr>
              <w:jc w:val="center"/>
              <w:ind w:left="305"/>
              <w:spacing w:after="0"/>
              <w:rPr>
                <w:sz w:val="20"/>
                <w:szCs w:val="20"/>
                <w:color w:val="auto"/>
              </w:rPr>
            </w:pPr>
            <w:r>
              <w:rPr>
                <w:rFonts w:ascii="Courier New" w:cs="Courier New" w:eastAsia="Courier New" w:hAnsi="Courier New"/>
                <w:sz w:val="15"/>
                <w:szCs w:val="15"/>
                <w:color w:val="auto"/>
                <w:w w:val="99"/>
              </w:rPr>
              <w:t>30</w:t>
            </w:r>
          </w:p>
        </w:tc>
      </w:tr>
      <w:tr>
        <w:trPr>
          <w:trHeight w:val="173"/>
        </w:trPr>
        <w:tc>
          <w:tcPr>
            <w:tcW w:w="49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Income tax rate before effect of</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acquisitions-related costs and restructuring</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charges</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28</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30</w:t>
            </w:r>
          </w:p>
        </w:tc>
        <w:tc>
          <w:tcPr>
            <w:tcW w:w="720" w:type="dxa"/>
            <w:vAlign w:val="bottom"/>
          </w:tcPr>
          <w:p>
            <w:pPr>
              <w:jc w:val="center"/>
              <w:ind w:left="305"/>
              <w:spacing w:after="0"/>
              <w:rPr>
                <w:sz w:val="20"/>
                <w:szCs w:val="20"/>
                <w:color w:val="auto"/>
              </w:rPr>
            </w:pPr>
            <w:r>
              <w:rPr>
                <w:rFonts w:ascii="Courier New" w:cs="Courier New" w:eastAsia="Courier New" w:hAnsi="Courier New"/>
                <w:sz w:val="15"/>
                <w:szCs w:val="15"/>
                <w:color w:val="auto"/>
                <w:w w:val="99"/>
              </w:rPr>
              <w:t>30</w:t>
            </w: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Effect of acquisition-related costs</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48</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33</w:t>
            </w:r>
          </w:p>
        </w:tc>
        <w:tc>
          <w:tcPr>
            <w:tcW w:w="720" w:type="dxa"/>
            <w:vAlign w:val="bottom"/>
          </w:tcPr>
          <w:p>
            <w:pPr>
              <w:jc w:val="center"/>
              <w:ind w:left="305"/>
              <w:spacing w:after="0"/>
              <w:rPr>
                <w:sz w:val="20"/>
                <w:szCs w:val="20"/>
                <w:color w:val="auto"/>
              </w:rPr>
            </w:pPr>
            <w:r>
              <w:rPr>
                <w:rFonts w:ascii="Courier New" w:cs="Courier New" w:eastAsia="Courier New" w:hAnsi="Courier New"/>
                <w:sz w:val="15"/>
                <w:szCs w:val="15"/>
                <w:color w:val="auto"/>
                <w:w w:val="99"/>
              </w:rPr>
              <w:t>19</w:t>
            </w:r>
          </w:p>
        </w:tc>
      </w:tr>
      <w:tr>
        <w:trPr>
          <w:trHeight w:val="173"/>
        </w:trPr>
        <w:tc>
          <w:tcPr>
            <w:tcW w:w="49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Income tax rate before restructuring charges,</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in-process research and development and gain from</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the repurchase of Notes</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76</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63</w:t>
            </w:r>
          </w:p>
        </w:tc>
        <w:tc>
          <w:tcPr>
            <w:tcW w:w="720" w:type="dxa"/>
            <w:vAlign w:val="bottom"/>
          </w:tcPr>
          <w:p>
            <w:pPr>
              <w:jc w:val="center"/>
              <w:ind w:left="305"/>
              <w:spacing w:after="0"/>
              <w:rPr>
                <w:sz w:val="20"/>
                <w:szCs w:val="20"/>
                <w:color w:val="auto"/>
              </w:rPr>
            </w:pPr>
            <w:r>
              <w:rPr>
                <w:rFonts w:ascii="Courier New" w:cs="Courier New" w:eastAsia="Courier New" w:hAnsi="Courier New"/>
                <w:sz w:val="15"/>
                <w:szCs w:val="15"/>
                <w:color w:val="auto"/>
                <w:w w:val="99"/>
              </w:rPr>
              <w:t>49</w:t>
            </w: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Restructuring charges and in-process research</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development and gain from the repurchase of Notes</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31</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center"/>
              <w:ind w:left="305"/>
              <w:spacing w:after="0"/>
              <w:rPr>
                <w:sz w:val="20"/>
                <w:szCs w:val="20"/>
                <w:color w:val="auto"/>
              </w:rPr>
            </w:pPr>
            <w:r>
              <w:rPr>
                <w:rFonts w:ascii="Courier New" w:cs="Courier New" w:eastAsia="Courier New" w:hAnsi="Courier New"/>
                <w:sz w:val="15"/>
                <w:szCs w:val="15"/>
                <w:color w:val="auto"/>
                <w:w w:val="99"/>
              </w:rPr>
              <w:t>44</w:t>
            </w:r>
          </w:p>
        </w:tc>
      </w:tr>
      <w:tr>
        <w:trPr>
          <w:trHeight w:val="173"/>
        </w:trPr>
        <w:tc>
          <w:tcPr>
            <w:tcW w:w="49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90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107%</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r>
      <w:tr>
        <w:trPr>
          <w:trHeight w:val="173"/>
        </w:trPr>
        <w:tc>
          <w:tcPr>
            <w:tcW w:w="49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w:t>
            </w:r>
          </w:p>
        </w:tc>
      </w:tr>
    </w:tbl>
    <w:p>
      <w:pPr>
        <w:spacing w:after="0" w:line="351"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These high effective tax rates were primarily attributable to amortization of goodwill related to the Company's acquisitions, much of which is not tax deductible. In the year ended September 30, 2002 the Company's effective tax rate was also adversely affected by the fixed non-deductible expenditures representing a larger component of the Company's pretax income.</w:t>
      </w:r>
    </w:p>
    <w:p>
      <w:pPr>
        <w:spacing w:after="0" w:line="176"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As of September 30, 2002, the Company had deferred tax assets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$22,657 derived primarily from Canadian net operating loss carry-forwards.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operating loss carry-forwards will expire within eight to ten years. Until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2002 the realization of these assets through future taxable earnings was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uncertain, and as a result a valuation allowance was recorded. As of September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 2002, the Company estimated that operating losses acquired in the Solect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 would be realized through future taxable earnings. As a result,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related valuation allowance of $8,957 was released as an offsetting reduction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goodwill recorded in the Solect transaction. The remainder of the valuation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allowance of $10,704 is related to Canadian operating losses other than those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acquired in the Solect transaction.</w:t>
      </w:r>
    </w:p>
    <w:p>
      <w:pPr>
        <w:sectPr>
          <w:pgSz w:w="11900" w:h="16838" w:orient="portrait"/>
          <w:cols w:equalWidth="0" w:num="1">
            <w:col w:w="10219"/>
          </w:cols>
          <w:pgMar w:left="240" w:top="464" w:right="1440" w:bottom="1440" w:gutter="0" w:footer="0" w:header="0"/>
        </w:sectPr>
      </w:pPr>
    </w:p>
    <w:bookmarkStart w:id="28" w:name="page29"/>
    <w:bookmarkEnd w:id="28"/>
    <w:p>
      <w:pPr>
        <w:ind w:left="2960"/>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11 - SHORT-TERM FINANCING ARRANGEMENTS</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Company's financing transactions are described below:</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As of September 30, 2002, the Company had available short-term general revolving lines of credit totaling $40,000. During fiscal 2002 and as of September 30, 2002, there was no outstanding balance under any of these credit lines.</w:t>
      </w:r>
    </w:p>
    <w:p>
      <w:pPr>
        <w:spacing w:after="0" w:line="176" w:lineRule="exact"/>
        <w:rPr>
          <w:sz w:val="20"/>
          <w:szCs w:val="20"/>
          <w:color w:val="auto"/>
        </w:rPr>
      </w:pPr>
    </w:p>
    <w:p>
      <w:pPr>
        <w:ind w:right="3019" w:firstLine="811"/>
        <w:spacing w:after="0" w:line="265" w:lineRule="auto"/>
        <w:rPr>
          <w:sz w:val="20"/>
          <w:szCs w:val="20"/>
          <w:color w:val="auto"/>
        </w:rPr>
      </w:pPr>
      <w:r>
        <w:rPr>
          <w:rFonts w:ascii="Courier New" w:cs="Courier New" w:eastAsia="Courier New" w:hAnsi="Courier New"/>
          <w:sz w:val="14"/>
          <w:szCs w:val="14"/>
          <w:color w:val="auto"/>
        </w:rPr>
        <w:t>In addition, as of September 30, 2002, the Company had credit facilities totaling $43,840, limited for the use of letters of credit and bank guarantees from various banks. Outstanding letters of credit and bank guarantees as of September 30, 2002 totaled $24,460. These were mostly supported by a combination of the credit facilities described above and restricted cash balances that the Company maintains with the issuing banks. See Note 9.</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 CONVERTIBLE NOTES</w:t>
      </w:r>
    </w:p>
    <w:p>
      <w:pPr>
        <w:spacing w:after="0" w:line="178"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In May 2001 the Company issued $500,000 aggregate principal amount of 2% Convertible Notes due June 1, 2008 (the "Notes"). The Company is obligated to pay interest on the Notes semi-annually on June 1 and December 1 of each year. The Notes are senior unsecured obligations of the Company and rank equal in right of payment with all of existing and future senior unsecured indebtedness of the Company. The Notes are convertible, at the option of the holders at any time before the maturity date, into Ordinary Shares of the Company at a conversion rate of 10.8587 shares per one thousand dollars principal amount, representing a conversion price of approximately $92.09 per share. The Notes are subject to redemption at any time on or after June 1, 2006, in whole or in part, at the option of the Company, at a redemption price of 100% of the principal amount plus accrued and unpaid interest. The Notes are subject to repurchase, at the holders' option, on June 1, 2004 and June 1, 2006, at a repurchase price equal to 100% of the principal amount plus accrued and unpaid interest, if any, on such repurchase date. The Company may choose to pay the repurchase price in cash, Ordinary Shares or a combination of cash and Ordinary Shares.</w:t>
      </w:r>
    </w:p>
    <w:p>
      <w:pPr>
        <w:spacing w:after="0" w:line="16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On July 23, 2002, the board of directors authorized the Company to repurchase the Notes, in such amounts, at such prices and at such times considered appropriate. Such repurchases may be made on the open market, in privately negotiated transactions or otherwise, in accordance with any applicable laws and the terms of the Notes. During the fourth quarter of fiscal 2002, the Company had repurchased $54,946 aggregate principal amount of the Notes at an average price of $890 per $1,000 principal amount, resulting in a gain of $6,012. See Note 14. The Company funded these repurchases, and intends to fund any future repurchases, with available funds. As of September 30, 2002, $445,054 aggregate principal amount of the Notes was outstanding.</w:t>
      </w:r>
    </w:p>
    <w:p>
      <w:pPr>
        <w:sectPr>
          <w:pgSz w:w="11900" w:h="16838" w:orient="portrait"/>
          <w:cols w:equalWidth="0" w:num="1">
            <w:col w:w="10219"/>
          </w:cols>
          <w:pgMar w:left="240" w:top="464" w:right="1440" w:bottom="1440" w:gutter="0" w:footer="0" w:header="0"/>
        </w:sectPr>
      </w:pPr>
    </w:p>
    <w:bookmarkStart w:id="29" w:name="page30"/>
    <w:bookmarkEnd w:id="29"/>
    <w:p>
      <w:pPr>
        <w:ind w:left="2960"/>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NONCURRENT LIABILITIES AND OTHER</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Noncurrent liabilities and other consist of the following:</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2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AS OF SEPTEMBER 30,</w:t>
            </w:r>
          </w:p>
        </w:tc>
      </w:tr>
      <w:tr>
        <w:trPr>
          <w:trHeight w:val="173"/>
        </w:trPr>
        <w:tc>
          <w:tcPr>
            <w:tcW w:w="4420" w:type="dxa"/>
            <w:vAlign w:val="bottom"/>
          </w:tcPr>
          <w:p>
            <w:pPr>
              <w:spacing w:after="0"/>
              <w:rPr>
                <w:sz w:val="15"/>
                <w:szCs w:val="15"/>
                <w:color w:val="auto"/>
              </w:rPr>
            </w:pPr>
          </w:p>
        </w:tc>
        <w:tc>
          <w:tcPr>
            <w:tcW w:w="2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420" w:type="dxa"/>
            <w:vAlign w:val="bottom"/>
          </w:tcPr>
          <w:p>
            <w:pPr>
              <w:spacing w:after="0"/>
              <w:rPr>
                <w:sz w:val="15"/>
                <w:szCs w:val="15"/>
                <w:color w:val="auto"/>
              </w:rPr>
            </w:pP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2002</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2001</w:t>
            </w:r>
          </w:p>
        </w:tc>
      </w:tr>
      <w:tr>
        <w:trPr>
          <w:trHeight w:val="173"/>
        </w:trPr>
        <w:tc>
          <w:tcPr>
            <w:tcW w:w="4420" w:type="dxa"/>
            <w:vAlign w:val="bottom"/>
          </w:tcPr>
          <w:p>
            <w:pPr>
              <w:spacing w:after="0"/>
              <w:rPr>
                <w:sz w:val="15"/>
                <w:szCs w:val="15"/>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420" w:type="dxa"/>
            <w:vAlign w:val="bottom"/>
          </w:tcPr>
          <w:p>
            <w:pPr>
              <w:spacing w:after="0"/>
              <w:rPr>
                <w:sz w:val="20"/>
                <w:szCs w:val="20"/>
                <w:color w:val="auto"/>
              </w:rPr>
            </w:pPr>
            <w:r>
              <w:rPr>
                <w:rFonts w:ascii="Courier New" w:cs="Courier New" w:eastAsia="Courier New" w:hAnsi="Courier New"/>
                <w:sz w:val="15"/>
                <w:szCs w:val="15"/>
                <w:color w:val="auto"/>
              </w:rPr>
              <w:t>Accrued employees costs</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$ 66,850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$ 62,663</w:t>
            </w:r>
          </w:p>
        </w:tc>
      </w:tr>
      <w:tr>
        <w:trPr>
          <w:trHeight w:val="173"/>
        </w:trPr>
        <w:tc>
          <w:tcPr>
            <w:tcW w:w="4420" w:type="dxa"/>
            <w:vAlign w:val="bottom"/>
          </w:tcPr>
          <w:p>
            <w:pPr>
              <w:spacing w:after="0"/>
              <w:rPr>
                <w:sz w:val="20"/>
                <w:szCs w:val="20"/>
                <w:color w:val="auto"/>
              </w:rPr>
            </w:pPr>
            <w:r>
              <w:rPr>
                <w:rFonts w:ascii="Courier New" w:cs="Courier New" w:eastAsia="Courier New" w:hAnsi="Courier New"/>
                <w:sz w:val="15"/>
                <w:szCs w:val="15"/>
                <w:color w:val="auto"/>
              </w:rPr>
              <w:t>Noncurrent customer advances</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24,146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420" w:type="dxa"/>
            <w:vAlign w:val="bottom"/>
          </w:tcPr>
          <w:p>
            <w:pPr>
              <w:spacing w:after="0"/>
              <w:rPr>
                <w:sz w:val="20"/>
                <w:szCs w:val="20"/>
                <w:color w:val="auto"/>
              </w:rPr>
            </w:pPr>
            <w:r>
              <w:rPr>
                <w:rFonts w:ascii="Courier New" w:cs="Courier New" w:eastAsia="Courier New" w:hAnsi="Courier New"/>
                <w:sz w:val="15"/>
                <w:szCs w:val="15"/>
                <w:color w:val="auto"/>
              </w:rPr>
              <w:t>Long-term portion of capital lease obligations</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15,138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24,779</w:t>
            </w:r>
          </w:p>
        </w:tc>
      </w:tr>
      <w:tr>
        <w:trPr>
          <w:trHeight w:val="173"/>
        </w:trPr>
        <w:tc>
          <w:tcPr>
            <w:tcW w:w="4420" w:type="dxa"/>
            <w:vAlign w:val="bottom"/>
          </w:tcPr>
          <w:p>
            <w:pPr>
              <w:spacing w:after="0"/>
              <w:rPr>
                <w:sz w:val="20"/>
                <w:szCs w:val="20"/>
                <w:color w:val="auto"/>
              </w:rPr>
            </w:pPr>
            <w:r>
              <w:rPr>
                <w:rFonts w:ascii="Courier New" w:cs="Courier New" w:eastAsia="Courier New" w:hAnsi="Courier New"/>
                <w:sz w:val="15"/>
                <w:szCs w:val="15"/>
                <w:color w:val="auto"/>
              </w:rPr>
              <w:t>Noncurrent forward exchange obligations</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2,265</w:t>
            </w:r>
          </w:p>
        </w:tc>
      </w:tr>
      <w:tr>
        <w:trPr>
          <w:trHeight w:val="173"/>
        </w:trPr>
        <w:tc>
          <w:tcPr>
            <w:tcW w:w="4420" w:type="dxa"/>
            <w:vAlign w:val="bottom"/>
          </w:tcPr>
          <w:p>
            <w:pPr>
              <w:spacing w:after="0"/>
              <w:rPr>
                <w:sz w:val="20"/>
                <w:szCs w:val="20"/>
                <w:color w:val="auto"/>
              </w:rPr>
            </w:pPr>
            <w:r>
              <w:rPr>
                <w:rFonts w:ascii="Courier New" w:cs="Courier New" w:eastAsia="Courier New" w:hAnsi="Courier New"/>
                <w:sz w:val="15"/>
                <w:szCs w:val="15"/>
                <w:color w:val="auto"/>
              </w:rPr>
              <w:t>Accrued lease obligations</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14,031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2,166</w:t>
            </w:r>
          </w:p>
        </w:tc>
      </w:tr>
      <w:tr>
        <w:trPr>
          <w:trHeight w:val="173"/>
        </w:trPr>
        <w:tc>
          <w:tcPr>
            <w:tcW w:w="44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3,914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1,086</w:t>
            </w:r>
          </w:p>
        </w:tc>
      </w:tr>
      <w:tr>
        <w:trPr>
          <w:trHeight w:val="173"/>
        </w:trPr>
        <w:tc>
          <w:tcPr>
            <w:tcW w:w="4420" w:type="dxa"/>
            <w:vAlign w:val="bottom"/>
          </w:tcPr>
          <w:p>
            <w:pPr>
              <w:spacing w:after="0"/>
              <w:rPr>
                <w:sz w:val="15"/>
                <w:szCs w:val="15"/>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420" w:type="dxa"/>
            <w:vAlign w:val="bottom"/>
          </w:tcPr>
          <w:p>
            <w:pPr>
              <w:spacing w:after="0"/>
              <w:rPr>
                <w:sz w:val="15"/>
                <w:szCs w:val="15"/>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$124,079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$ 92,959</w:t>
            </w:r>
          </w:p>
        </w:tc>
      </w:tr>
      <w:tr>
        <w:trPr>
          <w:trHeight w:val="173"/>
        </w:trPr>
        <w:tc>
          <w:tcPr>
            <w:tcW w:w="4420" w:type="dxa"/>
            <w:vAlign w:val="bottom"/>
          </w:tcPr>
          <w:p>
            <w:pPr>
              <w:spacing w:after="0"/>
              <w:rPr>
                <w:sz w:val="15"/>
                <w:szCs w:val="15"/>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 INTEREST INCOME AND OTHER, NET</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Interest income and other, net consists of the following:</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40" w:type="dxa"/>
            <w:vAlign w:val="bottom"/>
            <w:gridSpan w:val="3"/>
          </w:tcPr>
          <w:p>
            <w:pPr>
              <w:jc w:val="right"/>
              <w:ind w:right="565"/>
              <w:spacing w:after="0"/>
              <w:rPr>
                <w:sz w:val="20"/>
                <w:szCs w:val="20"/>
                <w:color w:val="auto"/>
              </w:rPr>
            </w:pPr>
            <w:r>
              <w:rPr>
                <w:rFonts w:ascii="Courier New" w:cs="Courier New" w:eastAsia="Courier New" w:hAnsi="Courier New"/>
                <w:sz w:val="15"/>
                <w:szCs w:val="15"/>
                <w:color w:val="auto"/>
              </w:rPr>
              <w:t>YEAR ENDED SEPTEMBER 30,</w:t>
            </w:r>
          </w:p>
        </w:tc>
      </w:tr>
      <w:tr>
        <w:trPr>
          <w:trHeight w:val="173"/>
        </w:trPr>
        <w:tc>
          <w:tcPr>
            <w:tcW w:w="3140" w:type="dxa"/>
            <w:vAlign w:val="bottom"/>
          </w:tcPr>
          <w:p>
            <w:pPr>
              <w:spacing w:after="0"/>
              <w:rPr>
                <w:sz w:val="15"/>
                <w:szCs w:val="15"/>
                <w:color w:val="auto"/>
              </w:rPr>
            </w:pPr>
          </w:p>
        </w:tc>
        <w:tc>
          <w:tcPr>
            <w:tcW w:w="3800" w:type="dxa"/>
            <w:vAlign w:val="bottom"/>
            <w:gridSpan w:val="4"/>
          </w:tcPr>
          <w:p>
            <w:pPr>
              <w:ind w:left="28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2002</w:t>
            </w:r>
          </w:p>
        </w:tc>
        <w:tc>
          <w:tcPr>
            <w:tcW w:w="13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2001</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3140" w:type="dxa"/>
            <w:vAlign w:val="bottom"/>
          </w:tcPr>
          <w:p>
            <w:pPr>
              <w:spacing w:after="0"/>
              <w:rPr>
                <w:sz w:val="15"/>
                <w:szCs w:val="15"/>
                <w:color w:val="auto"/>
              </w:rPr>
            </w:pPr>
          </w:p>
        </w:tc>
        <w:tc>
          <w:tcPr>
            <w:tcW w:w="13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314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31,856</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$ 32,156</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$ 14,254</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3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(16,004)</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(8,678)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(2,528)</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Gain from repurchase of Notes(*)</w:t>
            </w:r>
          </w:p>
        </w:tc>
        <w:tc>
          <w:tcPr>
            <w:tcW w:w="36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6,012</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360" w:type="dxa"/>
            <w:vAlign w:val="bottom"/>
          </w:tcPr>
          <w:p>
            <w:pPr>
              <w:spacing w:after="0"/>
              <w:rPr>
                <w:sz w:val="15"/>
                <w:szCs w:val="15"/>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(2,566)</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(1,192)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(992)</w:t>
            </w:r>
          </w:p>
        </w:tc>
      </w:tr>
      <w:tr>
        <w:trPr>
          <w:trHeight w:val="173"/>
        </w:trPr>
        <w:tc>
          <w:tcPr>
            <w:tcW w:w="3140" w:type="dxa"/>
            <w:vAlign w:val="bottom"/>
          </w:tcPr>
          <w:p>
            <w:pPr>
              <w:spacing w:after="0"/>
              <w:rPr>
                <w:sz w:val="15"/>
                <w:szCs w:val="15"/>
                <w:color w:val="auto"/>
              </w:rPr>
            </w:pPr>
          </w:p>
        </w:tc>
        <w:tc>
          <w:tcPr>
            <w:tcW w:w="13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15"/>
                <w:szCs w:val="15"/>
                <w:color w:val="auto"/>
              </w:rPr>
            </w:pP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19,298</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$ 22,286</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$ 10,734</w:t>
            </w:r>
          </w:p>
        </w:tc>
      </w:tr>
      <w:tr>
        <w:trPr>
          <w:trHeight w:val="173"/>
        </w:trPr>
        <w:tc>
          <w:tcPr>
            <w:tcW w:w="3140" w:type="dxa"/>
            <w:vAlign w:val="bottom"/>
          </w:tcPr>
          <w:p>
            <w:pPr>
              <w:spacing w:after="0"/>
              <w:rPr>
                <w:sz w:val="15"/>
                <w:szCs w:val="15"/>
                <w:color w:val="auto"/>
              </w:rPr>
            </w:pPr>
          </w:p>
        </w:tc>
        <w:tc>
          <w:tcPr>
            <w:tcW w:w="13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See Note 12.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15 - CONTINGENCIES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Commitments</w:t>
      </w:r>
    </w:p>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The Company leases office space under non-cancelable operating leases in various countries in which it does business. Future minimum non-cancelable lease payments required after October 1, 2002 are as follows:</w:t>
      </w:r>
    </w:p>
    <w:p>
      <w:pPr>
        <w:spacing w:after="0" w:line="200" w:lineRule="exact"/>
        <w:rPr>
          <w:sz w:val="20"/>
          <w:szCs w:val="20"/>
          <w:color w:val="auto"/>
        </w:rPr>
      </w:pPr>
    </w:p>
    <w:p>
      <w:pPr>
        <w:spacing w:after="0" w:line="32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 THE YEARS ENDED SEPTEMBER 30,</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2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43,794</w:t>
            </w:r>
          </w:p>
        </w:tc>
      </w:tr>
      <w:tr>
        <w:trPr>
          <w:trHeight w:val="173"/>
        </w:trPr>
        <w:tc>
          <w:tcPr>
            <w:tcW w:w="298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2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40,681</w:t>
            </w:r>
          </w:p>
        </w:tc>
      </w:tr>
      <w:tr>
        <w:trPr>
          <w:trHeight w:val="173"/>
        </w:trPr>
        <w:tc>
          <w:tcPr>
            <w:tcW w:w="298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2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36,540</w:t>
            </w:r>
          </w:p>
        </w:tc>
      </w:tr>
      <w:tr>
        <w:trPr>
          <w:trHeight w:val="173"/>
        </w:trPr>
        <w:tc>
          <w:tcPr>
            <w:tcW w:w="2980" w:type="dxa"/>
            <w:vAlign w:val="bottom"/>
          </w:tcPr>
          <w:p>
            <w:pPr>
              <w:spacing w:after="0"/>
              <w:rPr>
                <w:sz w:val="20"/>
                <w:szCs w:val="20"/>
                <w:color w:val="auto"/>
              </w:rPr>
            </w:pPr>
            <w:r>
              <w:rPr>
                <w:rFonts w:ascii="Courier New" w:cs="Courier New" w:eastAsia="Courier New" w:hAnsi="Courier New"/>
                <w:sz w:val="15"/>
                <w:szCs w:val="15"/>
                <w:color w:val="auto"/>
              </w:rPr>
              <w:t>2006</w:t>
            </w:r>
          </w:p>
        </w:tc>
        <w:tc>
          <w:tcPr>
            <w:tcW w:w="2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32,945</w:t>
            </w:r>
          </w:p>
        </w:tc>
      </w:tr>
      <w:tr>
        <w:trPr>
          <w:trHeight w:val="173"/>
        </w:trPr>
        <w:tc>
          <w:tcPr>
            <w:tcW w:w="2980" w:type="dxa"/>
            <w:vAlign w:val="bottom"/>
          </w:tcPr>
          <w:p>
            <w:pPr>
              <w:spacing w:after="0"/>
              <w:rPr>
                <w:sz w:val="20"/>
                <w:szCs w:val="20"/>
                <w:color w:val="auto"/>
              </w:rPr>
            </w:pPr>
            <w:r>
              <w:rPr>
                <w:rFonts w:ascii="Courier New" w:cs="Courier New" w:eastAsia="Courier New" w:hAnsi="Courier New"/>
                <w:sz w:val="15"/>
                <w:szCs w:val="15"/>
                <w:color w:val="auto"/>
              </w:rPr>
              <w:t>2007</w:t>
            </w:r>
          </w:p>
        </w:tc>
        <w:tc>
          <w:tcPr>
            <w:tcW w:w="2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23,805</w:t>
            </w:r>
          </w:p>
        </w:tc>
      </w:tr>
      <w:tr>
        <w:trPr>
          <w:trHeight w:val="173"/>
        </w:trPr>
        <w:tc>
          <w:tcPr>
            <w:tcW w:w="298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2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26,416</w:t>
            </w:r>
          </w:p>
        </w:tc>
      </w:tr>
      <w:tr>
        <w:trPr>
          <w:trHeight w:val="173"/>
        </w:trPr>
        <w:tc>
          <w:tcPr>
            <w:tcW w:w="2980" w:type="dxa"/>
            <w:vAlign w:val="bottom"/>
          </w:tcPr>
          <w:p>
            <w:pPr>
              <w:spacing w:after="0"/>
              <w:rPr>
                <w:sz w:val="15"/>
                <w:szCs w:val="15"/>
                <w:color w:val="auto"/>
              </w:rPr>
            </w:pPr>
          </w:p>
        </w:tc>
        <w:tc>
          <w:tcPr>
            <w:tcW w:w="3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980" w:type="dxa"/>
            <w:vAlign w:val="bottom"/>
          </w:tcPr>
          <w:p>
            <w:pPr>
              <w:spacing w:after="0"/>
              <w:rPr>
                <w:sz w:val="15"/>
                <w:szCs w:val="15"/>
                <w:color w:val="auto"/>
              </w:rPr>
            </w:pPr>
          </w:p>
        </w:tc>
        <w:tc>
          <w:tcPr>
            <w:tcW w:w="2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204,181</w:t>
            </w:r>
          </w:p>
        </w:tc>
      </w:tr>
      <w:tr>
        <w:trPr>
          <w:trHeight w:val="173"/>
        </w:trPr>
        <w:tc>
          <w:tcPr>
            <w:tcW w:w="2980" w:type="dxa"/>
            <w:vAlign w:val="bottom"/>
          </w:tcPr>
          <w:p>
            <w:pPr>
              <w:spacing w:after="0"/>
              <w:rPr>
                <w:sz w:val="15"/>
                <w:szCs w:val="15"/>
                <w:color w:val="auto"/>
              </w:rPr>
            </w:pPr>
          </w:p>
        </w:tc>
        <w:tc>
          <w:tcPr>
            <w:tcW w:w="3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464" w:right="1440" w:bottom="1440" w:gutter="0" w:footer="0" w:header="0"/>
        </w:sectPr>
      </w:pPr>
    </w:p>
    <w:bookmarkStart w:id="30" w:name="page31"/>
    <w:bookmarkEnd w:id="30"/>
    <w:p>
      <w:pPr>
        <w:ind w:left="2960"/>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51"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Future minimum non-cancelable lease payments, as stated above, do not reflect committed future sublease income of $2,634, $2,681, $1,794, $1,444, $914 and $1,746 for the years ended September 30, 2003, 2004, 2005, 2006, 2007 and thereafter, respectively. Of the $192,968 net operating leases, net of $11,213 of sublease income, $11,087 has been included in accrued restructuring charges as of September 30, 2002.</w:t>
      </w:r>
    </w:p>
    <w:p>
      <w:pPr>
        <w:spacing w:after="0" w:line="177" w:lineRule="exact"/>
        <w:rPr>
          <w:sz w:val="20"/>
          <w:szCs w:val="20"/>
          <w:color w:val="auto"/>
        </w:rPr>
      </w:pPr>
    </w:p>
    <w:p>
      <w:pPr>
        <w:ind w:right="3559" w:firstLine="811"/>
        <w:spacing w:after="0" w:line="244" w:lineRule="auto"/>
        <w:rPr>
          <w:sz w:val="20"/>
          <w:szCs w:val="20"/>
          <w:color w:val="auto"/>
        </w:rPr>
      </w:pPr>
      <w:r>
        <w:rPr>
          <w:rFonts w:ascii="Courier New" w:cs="Courier New" w:eastAsia="Courier New" w:hAnsi="Courier New"/>
          <w:sz w:val="15"/>
          <w:szCs w:val="15"/>
          <w:color w:val="auto"/>
        </w:rPr>
        <w:t>Rent expense, including accruals for future lease losses, was approximately $39,141, $40,506 and $20,400 for fiscal 2002, 2001 and 2000, respectively.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Litigation</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Beginning on June 24, 2002, a number of complaints were filed by holders of the Company's Ordinary Shares against the Company and four of its officers and directors, in the United States District Courts for the Eastern District of Missouri and the Southern District of New York. The complaints allege violations of the Securities Exchange Act of 1934, as amended, and Rule 10b-5 promulgated thereunder. Each plaintiff seeks to represent a putative class of all purchasers of the Company's Ordinary Shares between July 18, 2000 (or, in some of the complaints, July 24, 2001) and June 20, 2002. The complaints generally allege that, during that period, the Company and the individual defendants made false or misleading statements, in press releases and Securities and Exchange Commission filings, regarding among other things the Company's future prospects, backlog, revenue, gross margin, acquisitions and accounting practices. Each plaintiff seeks unspecified monetary damages and other relief against all defendants. The parties in the New York cases have stipulated to transfer them to the Eastern District of Missouri. The court has not yet appointed a lead plaintiff. The Company disputes the allegations of wrongdoing in these complaints and intends to defend itself vigorously.</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16 - EMPLOYEE BENEFITS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Company accrues severance pay for the employees of its Israeli operations in accordance with Israeli law and certain employment procedures on the basis of the latest monthly salary paid to these employees and the length of time that they have worked for the Israeli operations. The severance pay liability, which is included in noncurrent liabilities and other, is partially funded by amounts on deposit with insurance companies, which are included in other noncurrent assets. Severance expenses were approximately $9,953, $17,242 and $17,614 for fiscal 2002, 2001 and 2000, respectively.</w:t>
      </w:r>
    </w:p>
    <w:p>
      <w:pPr>
        <w:spacing w:after="0" w:line="178" w:lineRule="exact"/>
        <w:rPr>
          <w:sz w:val="20"/>
          <w:szCs w:val="20"/>
          <w:color w:val="auto"/>
        </w:rPr>
      </w:pPr>
    </w:p>
    <w:p>
      <w:pPr>
        <w:ind w:right="3019" w:firstLine="1082"/>
        <w:spacing w:after="0" w:line="244" w:lineRule="auto"/>
        <w:rPr>
          <w:sz w:val="20"/>
          <w:szCs w:val="20"/>
          <w:color w:val="auto"/>
        </w:rPr>
      </w:pPr>
      <w:r>
        <w:rPr>
          <w:rFonts w:ascii="Courier New" w:cs="Courier New" w:eastAsia="Courier New" w:hAnsi="Courier New"/>
          <w:sz w:val="15"/>
          <w:szCs w:val="15"/>
          <w:color w:val="auto"/>
        </w:rPr>
        <w:t>The Company sponsors defined contribution plans covering certain employees in the U.S., U.K. and Canada. The plans provide for Company matching contributions based upon a percentage of the employees' voluntary contributions. The Company's fiscal 2002, 2001 and 2000 plan contributions were not significant.</w:t>
      </w:r>
    </w:p>
    <w:p>
      <w:pPr>
        <w:sectPr>
          <w:pgSz w:w="11900" w:h="16838" w:orient="portrait"/>
          <w:cols w:equalWidth="0" w:num="1">
            <w:col w:w="10219"/>
          </w:cols>
          <w:pgMar w:left="240" w:top="464" w:right="1440" w:bottom="1440" w:gutter="0" w:footer="0" w:header="0"/>
        </w:sectPr>
      </w:pPr>
    </w:p>
    <w:bookmarkStart w:id="31" w:name="page32"/>
    <w:bookmarkEnd w:id="31"/>
    <w:p>
      <w:pPr>
        <w:ind w:left="2960"/>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17 - CAPITAL TRANSACTIONS</w:t>
      </w:r>
    </w:p>
    <w:p>
      <w:pPr>
        <w:spacing w:after="0" w:line="178" w:lineRule="exact"/>
        <w:rPr>
          <w:sz w:val="20"/>
          <w:szCs w:val="20"/>
          <w:color w:val="auto"/>
        </w:rPr>
      </w:pPr>
    </w:p>
    <w:p>
      <w:pPr>
        <w:ind w:right="4099" w:firstLine="811"/>
        <w:spacing w:after="0" w:line="243" w:lineRule="auto"/>
        <w:rPr>
          <w:sz w:val="20"/>
          <w:szCs w:val="20"/>
          <w:color w:val="auto"/>
        </w:rPr>
      </w:pPr>
      <w:r>
        <w:rPr>
          <w:rFonts w:ascii="Courier New" w:cs="Courier New" w:eastAsia="Courier New" w:hAnsi="Courier New"/>
          <w:sz w:val="15"/>
          <w:szCs w:val="15"/>
          <w:color w:val="auto"/>
        </w:rPr>
        <w:t>The following are details of the Ordinary Shares issued and outstanding:</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40" w:type="dxa"/>
            <w:vAlign w:val="bottom"/>
          </w:tcPr>
          <w:p>
            <w:pPr>
              <w:spacing w:after="0"/>
              <w:rPr>
                <w:sz w:val="14"/>
                <w:szCs w:val="14"/>
                <w:color w:val="auto"/>
              </w:rPr>
            </w:pPr>
          </w:p>
        </w:tc>
        <w:tc>
          <w:tcPr>
            <w:tcW w:w="230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AS OF SEPTEMBER 30,</w:t>
            </w:r>
          </w:p>
        </w:tc>
      </w:tr>
      <w:tr>
        <w:trPr>
          <w:trHeight w:val="173"/>
        </w:trPr>
        <w:tc>
          <w:tcPr>
            <w:tcW w:w="2740" w:type="dxa"/>
            <w:vAlign w:val="bottom"/>
          </w:tcPr>
          <w:p>
            <w:pPr>
              <w:spacing w:after="0"/>
              <w:rPr>
                <w:sz w:val="15"/>
                <w:szCs w:val="15"/>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740" w:type="dxa"/>
            <w:vAlign w:val="bottom"/>
          </w:tcPr>
          <w:p>
            <w:pPr>
              <w:spacing w:after="0"/>
              <w:rPr>
                <w:sz w:val="15"/>
                <w:szCs w:val="15"/>
                <w:color w:val="auto"/>
              </w:rPr>
            </w:pPr>
          </w:p>
        </w:tc>
        <w:tc>
          <w:tcPr>
            <w:tcW w:w="1360" w:type="dxa"/>
            <w:vAlign w:val="bottom"/>
          </w:tcPr>
          <w:p>
            <w:pPr>
              <w:ind w:left="500"/>
              <w:spacing w:after="0"/>
              <w:rPr>
                <w:sz w:val="20"/>
                <w:szCs w:val="20"/>
                <w:color w:val="auto"/>
              </w:rPr>
            </w:pPr>
            <w:r>
              <w:rPr>
                <w:rFonts w:ascii="Courier New" w:cs="Courier New" w:eastAsia="Courier New" w:hAnsi="Courier New"/>
                <w:sz w:val="15"/>
                <w:szCs w:val="15"/>
                <w:color w:val="auto"/>
              </w:rPr>
              <w:t>2002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r>
      <w:tr>
        <w:trPr>
          <w:trHeight w:val="173"/>
        </w:trPr>
        <w:tc>
          <w:tcPr>
            <w:tcW w:w="2740" w:type="dxa"/>
            <w:vAlign w:val="bottom"/>
          </w:tcPr>
          <w:p>
            <w:pPr>
              <w:spacing w:after="0"/>
              <w:rPr>
                <w:sz w:val="15"/>
                <w:szCs w:val="15"/>
                <w:color w:val="auto"/>
              </w:rPr>
            </w:pP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740" w:type="dxa"/>
            <w:vAlign w:val="bottom"/>
          </w:tcPr>
          <w:p>
            <w:pPr>
              <w:spacing w:after="0"/>
              <w:rPr>
                <w:sz w:val="20"/>
                <w:szCs w:val="20"/>
                <w:color w:val="auto"/>
              </w:rPr>
            </w:pPr>
            <w:r>
              <w:rPr>
                <w:rFonts w:ascii="Courier New" w:cs="Courier New" w:eastAsia="Courier New" w:hAnsi="Courier New"/>
                <w:sz w:val="15"/>
                <w:szCs w:val="15"/>
                <w:color w:val="auto"/>
              </w:rPr>
              <w:t>Voting Ordinary Shares</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220,780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211,849</w:t>
            </w:r>
          </w:p>
        </w:tc>
      </w:tr>
      <w:tr>
        <w:trPr>
          <w:trHeight w:val="173"/>
        </w:trPr>
        <w:tc>
          <w:tcPr>
            <w:tcW w:w="2740" w:type="dxa"/>
            <w:vAlign w:val="bottom"/>
          </w:tcPr>
          <w:p>
            <w:pPr>
              <w:spacing w:after="0"/>
              <w:rPr>
                <w:sz w:val="20"/>
                <w:szCs w:val="20"/>
                <w:color w:val="auto"/>
              </w:rPr>
            </w:pPr>
            <w:r>
              <w:rPr>
                <w:rFonts w:ascii="Courier New" w:cs="Courier New" w:eastAsia="Courier New" w:hAnsi="Courier New"/>
                <w:sz w:val="15"/>
                <w:szCs w:val="15"/>
                <w:color w:val="auto"/>
              </w:rPr>
              <w:t>Non-Voting Ordinary Shares</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2,535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10,779</w:t>
            </w:r>
          </w:p>
        </w:tc>
      </w:tr>
      <w:tr>
        <w:trPr>
          <w:trHeight w:val="173"/>
        </w:trPr>
        <w:tc>
          <w:tcPr>
            <w:tcW w:w="2740" w:type="dxa"/>
            <w:vAlign w:val="bottom"/>
          </w:tcPr>
          <w:p>
            <w:pPr>
              <w:spacing w:after="0"/>
              <w:rPr>
                <w:sz w:val="15"/>
                <w:szCs w:val="15"/>
                <w:color w:val="auto"/>
              </w:rPr>
            </w:pP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740" w:type="dxa"/>
            <w:vAlign w:val="bottom"/>
          </w:tcPr>
          <w:p>
            <w:pPr>
              <w:spacing w:after="0"/>
              <w:rPr>
                <w:sz w:val="20"/>
                <w:szCs w:val="20"/>
                <w:color w:val="auto"/>
              </w:rPr>
            </w:pPr>
            <w:r>
              <w:rPr>
                <w:rFonts w:ascii="Courier New" w:cs="Courier New" w:eastAsia="Courier New" w:hAnsi="Courier New"/>
                <w:sz w:val="15"/>
                <w:szCs w:val="15"/>
                <w:color w:val="auto"/>
              </w:rPr>
              <w:t>Ordinary Shares issued</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223,315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222,628</w:t>
            </w:r>
          </w:p>
        </w:tc>
      </w:tr>
      <w:tr>
        <w:trPr>
          <w:trHeight w:val="173"/>
        </w:trPr>
        <w:tc>
          <w:tcPr>
            <w:tcW w:w="2740" w:type="dxa"/>
            <w:vAlign w:val="bottom"/>
          </w:tcPr>
          <w:p>
            <w:pPr>
              <w:spacing w:after="0"/>
              <w:rPr>
                <w:sz w:val="20"/>
                <w:szCs w:val="20"/>
                <w:color w:val="auto"/>
              </w:rPr>
            </w:pPr>
            <w:r>
              <w:rPr>
                <w:rFonts w:ascii="Courier New" w:cs="Courier New" w:eastAsia="Courier New" w:hAnsi="Courier New"/>
                <w:sz w:val="15"/>
                <w:szCs w:val="15"/>
                <w:color w:val="auto"/>
              </w:rPr>
              <w:t>Less - treasury stock</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(7,732)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740" w:type="dxa"/>
            <w:vAlign w:val="bottom"/>
          </w:tcPr>
          <w:p>
            <w:pPr>
              <w:spacing w:after="0"/>
              <w:rPr>
                <w:sz w:val="15"/>
                <w:szCs w:val="15"/>
                <w:color w:val="auto"/>
              </w:rPr>
            </w:pP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740" w:type="dxa"/>
            <w:vAlign w:val="bottom"/>
          </w:tcPr>
          <w:p>
            <w:pPr>
              <w:spacing w:after="0"/>
              <w:rPr>
                <w:sz w:val="20"/>
                <w:szCs w:val="20"/>
                <w:color w:val="auto"/>
              </w:rPr>
            </w:pPr>
            <w:r>
              <w:rPr>
                <w:rFonts w:ascii="Courier New" w:cs="Courier New" w:eastAsia="Courier New" w:hAnsi="Courier New"/>
                <w:sz w:val="15"/>
                <w:szCs w:val="15"/>
                <w:color w:val="auto"/>
              </w:rPr>
              <w:t>Ordinary Shares outstanding</w:t>
            </w: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215,583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222,628</w:t>
            </w:r>
          </w:p>
        </w:tc>
      </w:tr>
      <w:tr>
        <w:trPr>
          <w:trHeight w:val="173"/>
        </w:trPr>
        <w:tc>
          <w:tcPr>
            <w:tcW w:w="2740" w:type="dxa"/>
            <w:vAlign w:val="bottom"/>
          </w:tcPr>
          <w:p>
            <w:pPr>
              <w:spacing w:after="0"/>
              <w:rPr>
                <w:sz w:val="15"/>
                <w:szCs w:val="15"/>
                <w:color w:val="auto"/>
              </w:rPr>
            </w:pPr>
          </w:p>
        </w:tc>
        <w:tc>
          <w:tcPr>
            <w:tcW w:w="13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All the Non-Voting Ordinary Shares are held by a single shareholder. Under the Company's Articles of Association, upon the transfer or sale of such shares to another party, the shares automatically convert to Voting Ordinary Shares.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Company's capital transactions are described below:</w:t>
      </w:r>
    </w:p>
    <w:p>
      <w:pPr>
        <w:spacing w:after="0" w:line="178" w:lineRule="exact"/>
        <w:rPr>
          <w:sz w:val="20"/>
          <w:szCs w:val="20"/>
          <w:color w:val="auto"/>
        </w:rPr>
      </w:pPr>
    </w:p>
    <w:p>
      <w:pPr>
        <w:ind w:right="3379" w:firstLine="811"/>
        <w:spacing w:after="0" w:line="244" w:lineRule="auto"/>
        <w:rPr>
          <w:sz w:val="20"/>
          <w:szCs w:val="20"/>
          <w:color w:val="auto"/>
        </w:rPr>
      </w:pPr>
      <w:r>
        <w:rPr>
          <w:rFonts w:ascii="Courier New" w:cs="Courier New" w:eastAsia="Courier New" w:hAnsi="Courier New"/>
          <w:sz w:val="15"/>
          <w:szCs w:val="15"/>
          <w:color w:val="auto"/>
        </w:rPr>
        <w:t>On November 30, 1999 the Company issued 6,461 Ordinary Shares in connection with the acquisition of ITDS. On April 5, 2000 the Company issued 13,846 exchangeable shares in connection with the acquisition of Solect. See Note 3.</w:t>
      </w:r>
    </w:p>
    <w:p>
      <w:pPr>
        <w:spacing w:after="0" w:line="176" w:lineRule="exact"/>
        <w:rPr>
          <w:sz w:val="20"/>
          <w:szCs w:val="20"/>
          <w:color w:val="auto"/>
        </w:rPr>
      </w:pPr>
    </w:p>
    <w:p>
      <w:pPr>
        <w:ind w:right="3099" w:firstLine="811"/>
        <w:spacing w:after="0" w:line="243" w:lineRule="auto"/>
        <w:rPr>
          <w:sz w:val="20"/>
          <w:szCs w:val="20"/>
          <w:color w:val="auto"/>
        </w:rPr>
      </w:pPr>
      <w:r>
        <w:rPr>
          <w:rFonts w:ascii="Courier New" w:cs="Courier New" w:eastAsia="Courier New" w:hAnsi="Courier New"/>
          <w:sz w:val="15"/>
          <w:szCs w:val="15"/>
          <w:color w:val="auto"/>
        </w:rPr>
        <w:t>Total proceeds from the exercise of employee stock options amounted to $5,161, $13,967 and $21,360 in fiscal 2002, 2001 and 2000, respectively.</w:t>
      </w:r>
    </w:p>
    <w:p>
      <w:pPr>
        <w:spacing w:after="0" w:line="176"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On November 6, 2001, the Company announced that its board of directors had approved a twelve-month share repurchase program authorizing the repurchase of up to 11,000 Ordinary Shares, or approximately 5% of the Company's outstanding Ordinary Shares as of that date. On April 23, 2002, the Company announced that its board of directors had expanded the existing stock repurchase plan to authorize the purchase of up to 20,000 shares, or approximately 9% of the Company's outstanding Ordinary Shares. Under the program, from time to time through November 2002, the Company was authorized to repurchase shares on the open market, in privately negotiated transactions or otherwise, in accordance with any applicable laws, and at times and prices considered appropriate by the Company. During fiscal 2002 the Company repurchased 7,732 Ordinary Shares, at an average price of $14.13 per share. The Company funded these repurchases, and intends to fund any future repurchases, with available funds.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18 - STOCK OPTION AND INCENTIVE PLAN</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In January 1998, the Company first adopted, and in each of January 1999, January 2000 and January 2001 the Company has amended, the Amdocs Limited 1998 Stock Option and Incentive Plan (the "Plan"). Under the provisions of the Plan, 32,300</w:t>
      </w:r>
    </w:p>
    <w:p>
      <w:pPr>
        <w:sectPr>
          <w:pgSz w:w="11900" w:h="16838" w:orient="portrait"/>
          <w:cols w:equalWidth="0" w:num="1">
            <w:col w:w="10219"/>
          </w:cols>
          <w:pgMar w:left="240" w:top="464" w:right="1440" w:bottom="1440" w:gutter="0" w:footer="0" w:header="0"/>
        </w:sectPr>
      </w:pPr>
    </w:p>
    <w:bookmarkStart w:id="32" w:name="page33"/>
    <w:bookmarkEnd w:id="32"/>
    <w:p>
      <w:pPr>
        <w:ind w:left="2960"/>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5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Ordinary Shares are available to be granted to officers, directors, employees and consultants. Such options fully vest over one to nine years and have a term of ten years.</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On November 30, 1999, the Company issued additional options to purchase 1,103 Ordinary Shares in connection with the acquisition of ITDS to replace issued ITDS options. On April 5, 2000, the Company issued additional options to purchase 1,654 Ordinary Shares in connection with the acquisition of Solect to replace issued Solect options. See Note 3.</w:t>
      </w:r>
    </w:p>
    <w:p>
      <w:pPr>
        <w:spacing w:after="0" w:line="177" w:lineRule="exact"/>
        <w:rPr>
          <w:sz w:val="20"/>
          <w:szCs w:val="20"/>
          <w:color w:val="auto"/>
        </w:rPr>
      </w:pPr>
    </w:p>
    <w:p>
      <w:pPr>
        <w:ind w:right="3019" w:firstLine="811"/>
        <w:spacing w:after="0" w:line="243" w:lineRule="auto"/>
        <w:rPr>
          <w:sz w:val="20"/>
          <w:szCs w:val="20"/>
          <w:color w:val="auto"/>
        </w:rPr>
      </w:pPr>
      <w:r>
        <w:rPr>
          <w:rFonts w:ascii="Courier New" w:cs="Courier New" w:eastAsia="Courier New" w:hAnsi="Courier New"/>
          <w:sz w:val="15"/>
          <w:szCs w:val="15"/>
          <w:color w:val="auto"/>
        </w:rPr>
        <w:t>The following table summarizes information about share options, as well as changes during the years ended September 30, 2002, 2001 and 2000:</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NUMBER OF</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WEIGHTED</w:t>
            </w:r>
          </w:p>
        </w:tc>
      </w:tr>
      <w:tr>
        <w:trPr>
          <w:trHeight w:val="173"/>
        </w:trPr>
        <w:tc>
          <w:tcPr>
            <w:tcW w:w="35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rPr>
              <w:t>SHARE</w:t>
            </w:r>
          </w:p>
        </w:tc>
        <w:tc>
          <w:tcPr>
            <w:tcW w:w="1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AVERAGE</w:t>
            </w:r>
          </w:p>
        </w:tc>
      </w:tr>
      <w:tr>
        <w:trPr>
          <w:trHeight w:val="173"/>
        </w:trPr>
        <w:tc>
          <w:tcPr>
            <w:tcW w:w="35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rPr>
              <w:t>OPTIONS</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EXERCISE PRICE</w:t>
            </w:r>
          </w:p>
        </w:tc>
      </w:tr>
      <w:tr>
        <w:trPr>
          <w:trHeight w:val="173"/>
        </w:trPr>
        <w:tc>
          <w:tcPr>
            <w:tcW w:w="3500" w:type="dxa"/>
            <w:vAlign w:val="bottom"/>
          </w:tcPr>
          <w:p>
            <w:pPr>
              <w:spacing w:after="0"/>
              <w:rPr>
                <w:sz w:val="15"/>
                <w:szCs w:val="15"/>
                <w:color w:val="auto"/>
              </w:rPr>
            </w:pPr>
          </w:p>
        </w:tc>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500" w:type="dxa"/>
            <w:vAlign w:val="bottom"/>
          </w:tcPr>
          <w:p>
            <w:pPr>
              <w:spacing w:after="0"/>
              <w:rPr>
                <w:sz w:val="20"/>
                <w:szCs w:val="20"/>
                <w:color w:val="auto"/>
              </w:rPr>
            </w:pPr>
            <w:r>
              <w:rPr>
                <w:rFonts w:ascii="Courier New" w:cs="Courier New" w:eastAsia="Courier New" w:hAnsi="Courier New"/>
                <w:sz w:val="15"/>
                <w:szCs w:val="15"/>
                <w:color w:val="auto"/>
              </w:rPr>
              <w:t>Outstanding as of October 1, 1999</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6,236.9</w:t>
            </w:r>
          </w:p>
        </w:tc>
        <w:tc>
          <w:tcPr>
            <w:tcW w:w="15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11.75</w:t>
            </w:r>
          </w:p>
        </w:tc>
      </w:tr>
      <w:tr>
        <w:trPr>
          <w:trHeight w:val="347"/>
        </w:trPr>
        <w:tc>
          <w:tcPr>
            <w:tcW w:w="350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4,948.7</w:t>
            </w:r>
          </w:p>
        </w:tc>
        <w:tc>
          <w:tcPr>
            <w:tcW w:w="15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52.82</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Options exchanged in acquisitions</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2,756.7</w:t>
            </w:r>
          </w:p>
        </w:tc>
        <w:tc>
          <w:tcPr>
            <w:tcW w:w="15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18.24</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4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(2,057.5)</w:t>
            </w:r>
          </w:p>
        </w:tc>
        <w:tc>
          <w:tcPr>
            <w:tcW w:w="15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10.38</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4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(656.7)</w:t>
            </w:r>
          </w:p>
        </w:tc>
        <w:tc>
          <w:tcPr>
            <w:tcW w:w="15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30.11</w:t>
            </w:r>
          </w:p>
        </w:tc>
      </w:tr>
      <w:tr>
        <w:trPr>
          <w:trHeight w:val="173"/>
        </w:trPr>
        <w:tc>
          <w:tcPr>
            <w:tcW w:w="35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spacing w:after="0"/>
              <w:rPr>
                <w:sz w:val="15"/>
                <w:szCs w:val="15"/>
                <w:color w:val="auto"/>
              </w:rPr>
            </w:pP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Outstanding as of September 30, 2000</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11,228.1</w:t>
            </w:r>
          </w:p>
        </w:tc>
        <w:tc>
          <w:tcPr>
            <w:tcW w:w="15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30.62</w:t>
            </w:r>
          </w:p>
        </w:tc>
      </w:tr>
      <w:tr>
        <w:trPr>
          <w:trHeight w:val="347"/>
        </w:trPr>
        <w:tc>
          <w:tcPr>
            <w:tcW w:w="350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5,745.2</w:t>
            </w:r>
          </w:p>
        </w:tc>
        <w:tc>
          <w:tcPr>
            <w:tcW w:w="15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50.15</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4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(1,462.8)</w:t>
            </w:r>
          </w:p>
        </w:tc>
        <w:tc>
          <w:tcPr>
            <w:tcW w:w="15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9.73</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4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(1,359.3)</w:t>
            </w:r>
          </w:p>
        </w:tc>
        <w:tc>
          <w:tcPr>
            <w:tcW w:w="15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49.59</w:t>
            </w:r>
          </w:p>
        </w:tc>
      </w:tr>
      <w:tr>
        <w:trPr>
          <w:trHeight w:val="173"/>
        </w:trPr>
        <w:tc>
          <w:tcPr>
            <w:tcW w:w="35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spacing w:after="0"/>
              <w:rPr>
                <w:sz w:val="15"/>
                <w:szCs w:val="15"/>
                <w:color w:val="auto"/>
              </w:rPr>
            </w:pP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Outstanding as of September 30, 2001</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14,151.2</w:t>
            </w:r>
          </w:p>
        </w:tc>
        <w:tc>
          <w:tcPr>
            <w:tcW w:w="15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38.89</w:t>
            </w:r>
          </w:p>
        </w:tc>
      </w:tr>
      <w:tr>
        <w:trPr>
          <w:trHeight w:val="347"/>
        </w:trPr>
        <w:tc>
          <w:tcPr>
            <w:tcW w:w="350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16,648.5</w:t>
            </w:r>
          </w:p>
        </w:tc>
        <w:tc>
          <w:tcPr>
            <w:tcW w:w="15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23.88</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4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(688.9)</w:t>
            </w:r>
          </w:p>
        </w:tc>
        <w:tc>
          <w:tcPr>
            <w:tcW w:w="15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7.49</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4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(2,418.8)</w:t>
            </w:r>
          </w:p>
        </w:tc>
        <w:tc>
          <w:tcPr>
            <w:tcW w:w="15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44.02</w:t>
            </w:r>
          </w:p>
        </w:tc>
      </w:tr>
      <w:tr>
        <w:trPr>
          <w:trHeight w:val="173"/>
        </w:trPr>
        <w:tc>
          <w:tcPr>
            <w:tcW w:w="35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spacing w:after="0"/>
              <w:rPr>
                <w:sz w:val="15"/>
                <w:szCs w:val="15"/>
                <w:color w:val="auto"/>
              </w:rPr>
            </w:pP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Outstanding as of September 30, 2002</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27,692.0</w:t>
            </w:r>
          </w:p>
        </w:tc>
        <w:tc>
          <w:tcPr>
            <w:tcW w:w="15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30.30</w:t>
            </w:r>
          </w:p>
        </w:tc>
      </w:tr>
      <w:tr>
        <w:trPr>
          <w:trHeight w:val="173"/>
        </w:trPr>
        <w:tc>
          <w:tcPr>
            <w:tcW w:w="35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spacing w:after="0"/>
              <w:rPr>
                <w:sz w:val="15"/>
                <w:szCs w:val="15"/>
                <w:color w:val="auto"/>
              </w:rPr>
            </w:pPr>
          </w:p>
        </w:tc>
      </w:tr>
    </w:tbl>
    <w:p>
      <w:pPr>
        <w:sectPr>
          <w:pgSz w:w="11900" w:h="16838" w:orient="portrait"/>
          <w:cols w:equalWidth="0" w:num="1">
            <w:col w:w="10219"/>
          </w:cols>
          <w:pgMar w:left="240" w:top="464" w:right="1440" w:bottom="1440" w:gutter="0" w:footer="0" w:header="0"/>
        </w:sectPr>
      </w:pPr>
    </w:p>
    <w:bookmarkStart w:id="33" w:name="page34"/>
    <w:bookmarkEnd w:id="33"/>
    <w:p>
      <w:pPr>
        <w:ind w:left="2960"/>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51" w:lineRule="exact"/>
        <w:rPr>
          <w:sz w:val="20"/>
          <w:szCs w:val="20"/>
          <w:color w:val="auto"/>
        </w:rPr>
      </w:pPr>
    </w:p>
    <w:p>
      <w:pPr>
        <w:ind w:right="4320" w:firstLine="811"/>
        <w:spacing w:after="0" w:line="243" w:lineRule="auto"/>
        <w:rPr>
          <w:sz w:val="20"/>
          <w:szCs w:val="20"/>
          <w:color w:val="auto"/>
        </w:rPr>
      </w:pPr>
      <w:r>
        <w:rPr>
          <w:rFonts w:ascii="Courier New" w:cs="Courier New" w:eastAsia="Courier New" w:hAnsi="Courier New"/>
          <w:sz w:val="15"/>
          <w:szCs w:val="15"/>
          <w:color w:val="auto"/>
        </w:rPr>
        <w:t>The following table summarizes information about share options outstanding as of September 30, 2002:</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OUTSTANDING AS OF</w:t>
            </w:r>
          </w:p>
        </w:tc>
        <w:tc>
          <w:tcPr>
            <w:tcW w:w="15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46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EXERCISABLE AS OF</w:t>
            </w:r>
          </w:p>
        </w:tc>
      </w:tr>
      <w:tr>
        <w:trPr>
          <w:trHeight w:val="173"/>
        </w:trPr>
        <w:tc>
          <w:tcPr>
            <w:tcW w:w="224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SEPTEMBER 30, 2002</w:t>
            </w:r>
          </w:p>
        </w:tc>
        <w:tc>
          <w:tcPr>
            <w:tcW w:w="15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46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SEPTEMBER 30, 2002</w:t>
            </w:r>
          </w:p>
        </w:tc>
      </w:tr>
      <w:tr>
        <w:trPr>
          <w:trHeight w:val="173"/>
        </w:trPr>
        <w:tc>
          <w:tcPr>
            <w:tcW w:w="4100" w:type="dxa"/>
            <w:vAlign w:val="bottom"/>
            <w:gridSpan w:val="2"/>
          </w:tcPr>
          <w:p>
            <w:pPr>
              <w:spacing w:after="0"/>
              <w:rPr>
                <w:sz w:val="20"/>
                <w:szCs w:val="20"/>
                <w:color w:val="auto"/>
              </w:rPr>
            </w:pPr>
            <w:r>
              <w:rPr>
                <w:rFonts w:ascii="Courier New" w:cs="Courier New" w:eastAsia="Courier New" w:hAnsi="Courier New"/>
                <w:sz w:val="12"/>
                <w:szCs w:val="12"/>
                <w:color w:val="auto"/>
                <w:w w:val="72"/>
              </w:rPr>
              <w:t>- ----------------------------------------------------------------------------</w:t>
            </w:r>
          </w:p>
        </w:tc>
        <w:tc>
          <w:tcPr>
            <w:tcW w:w="15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46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22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WEIGHTED</w:t>
            </w:r>
          </w:p>
        </w:tc>
        <w:tc>
          <w:tcPr>
            <w:tcW w:w="16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73"/>
        </w:trPr>
        <w:tc>
          <w:tcPr>
            <w:tcW w:w="22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5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AVERAGE</w:t>
            </w:r>
          </w:p>
        </w:tc>
        <w:tc>
          <w:tcPr>
            <w:tcW w:w="16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73"/>
        </w:trPr>
        <w:tc>
          <w:tcPr>
            <w:tcW w:w="22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REMAINING</w:t>
            </w:r>
          </w:p>
        </w:tc>
        <w:tc>
          <w:tcPr>
            <w:tcW w:w="16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WEIGHTED</w:t>
            </w:r>
          </w:p>
        </w:tc>
        <w:tc>
          <w:tcPr>
            <w:tcW w:w="17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73"/>
        </w:trPr>
        <w:tc>
          <w:tcPr>
            <w:tcW w:w="22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5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CONTRACTUAL</w:t>
            </w:r>
          </w:p>
        </w:tc>
        <w:tc>
          <w:tcPr>
            <w:tcW w:w="16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AVERAGE</w:t>
            </w:r>
          </w:p>
        </w:tc>
        <w:tc>
          <w:tcPr>
            <w:tcW w:w="1700" w:type="dxa"/>
            <w:vAlign w:val="bottom"/>
          </w:tcPr>
          <w:p>
            <w:pPr>
              <w:spacing w:after="0"/>
              <w:rPr>
                <w:sz w:val="15"/>
                <w:szCs w:val="15"/>
                <w:color w:val="auto"/>
              </w:rPr>
            </w:pPr>
          </w:p>
        </w:tc>
        <w:tc>
          <w:tcPr>
            <w:tcW w:w="1760" w:type="dxa"/>
            <w:vAlign w:val="bottom"/>
          </w:tcPr>
          <w:p>
            <w:pPr>
              <w:ind w:left="580"/>
              <w:spacing w:after="0"/>
              <w:rPr>
                <w:sz w:val="20"/>
                <w:szCs w:val="20"/>
                <w:color w:val="auto"/>
              </w:rPr>
            </w:pPr>
            <w:r>
              <w:rPr>
                <w:rFonts w:ascii="Courier New" w:cs="Courier New" w:eastAsia="Courier New" w:hAnsi="Courier New"/>
                <w:sz w:val="15"/>
                <w:szCs w:val="15"/>
                <w:color w:val="auto"/>
              </w:rPr>
              <w:t>WEIGHTED</w:t>
            </w:r>
          </w:p>
        </w:tc>
      </w:tr>
      <w:tr>
        <w:trPr>
          <w:trHeight w:val="173"/>
        </w:trPr>
        <w:tc>
          <w:tcPr>
            <w:tcW w:w="2240" w:type="dxa"/>
            <w:vAlign w:val="bottom"/>
          </w:tcPr>
          <w:p>
            <w:pPr>
              <w:spacing w:after="0"/>
              <w:rPr>
                <w:sz w:val="15"/>
                <w:szCs w:val="15"/>
                <w:color w:val="auto"/>
              </w:rPr>
            </w:pPr>
          </w:p>
        </w:tc>
        <w:tc>
          <w:tcPr>
            <w:tcW w:w="18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NUMBER</w:t>
            </w:r>
          </w:p>
        </w:tc>
        <w:tc>
          <w:tcPr>
            <w:tcW w:w="15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LIFE</w:t>
            </w:r>
          </w:p>
        </w:tc>
        <w:tc>
          <w:tcPr>
            <w:tcW w:w="16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EXERCISE</w:t>
            </w:r>
          </w:p>
        </w:tc>
        <w:tc>
          <w:tcPr>
            <w:tcW w:w="1700" w:type="dxa"/>
            <w:vAlign w:val="bottom"/>
          </w:tcPr>
          <w:p>
            <w:pPr>
              <w:ind w:left="580"/>
              <w:spacing w:after="0"/>
              <w:rPr>
                <w:sz w:val="20"/>
                <w:szCs w:val="20"/>
                <w:color w:val="auto"/>
              </w:rPr>
            </w:pPr>
            <w:r>
              <w:rPr>
                <w:rFonts w:ascii="Courier New" w:cs="Courier New" w:eastAsia="Courier New" w:hAnsi="Courier New"/>
                <w:sz w:val="15"/>
                <w:szCs w:val="15"/>
                <w:color w:val="auto"/>
              </w:rPr>
              <w:t>NUMBER</w:t>
            </w:r>
          </w:p>
        </w:tc>
        <w:tc>
          <w:tcPr>
            <w:tcW w:w="1760" w:type="dxa"/>
            <w:vAlign w:val="bottom"/>
          </w:tcPr>
          <w:p>
            <w:pPr>
              <w:ind w:left="580"/>
              <w:spacing w:after="0"/>
              <w:rPr>
                <w:sz w:val="20"/>
                <w:szCs w:val="20"/>
                <w:color w:val="auto"/>
              </w:rPr>
            </w:pPr>
            <w:r>
              <w:rPr>
                <w:rFonts w:ascii="Courier New" w:cs="Courier New" w:eastAsia="Courier New" w:hAnsi="Courier New"/>
                <w:sz w:val="15"/>
                <w:szCs w:val="15"/>
                <w:color w:val="auto"/>
              </w:rPr>
              <w:t>AVERAGE</w:t>
            </w:r>
          </w:p>
        </w:tc>
      </w:tr>
      <w:tr>
        <w:trPr>
          <w:trHeight w:val="173"/>
        </w:trPr>
        <w:tc>
          <w:tcPr>
            <w:tcW w:w="22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EXERCISE PRICE</w:t>
            </w:r>
          </w:p>
        </w:tc>
        <w:tc>
          <w:tcPr>
            <w:tcW w:w="1860" w:type="dxa"/>
            <w:vAlign w:val="bottom"/>
          </w:tcPr>
          <w:p>
            <w:pPr>
              <w:jc w:val="right"/>
              <w:ind w:right="785"/>
              <w:spacing w:after="0"/>
              <w:rPr>
                <w:sz w:val="20"/>
                <w:szCs w:val="20"/>
                <w:color w:val="auto"/>
              </w:rPr>
            </w:pPr>
            <w:r>
              <w:rPr>
                <w:rFonts w:ascii="Courier New" w:cs="Courier New" w:eastAsia="Courier New" w:hAnsi="Courier New"/>
                <w:sz w:val="15"/>
                <w:szCs w:val="15"/>
                <w:color w:val="auto"/>
                <w:w w:val="98"/>
              </w:rPr>
              <w:t>OUTSTANDING</w:t>
            </w:r>
          </w:p>
        </w:tc>
        <w:tc>
          <w:tcPr>
            <w:tcW w:w="15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(IN YEARS)</w:t>
            </w:r>
          </w:p>
        </w:tc>
        <w:tc>
          <w:tcPr>
            <w:tcW w:w="16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PRICE</w:t>
            </w:r>
          </w:p>
        </w:tc>
        <w:tc>
          <w:tcPr>
            <w:tcW w:w="17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EXERCISABLE</w:t>
            </w:r>
          </w:p>
        </w:tc>
        <w:tc>
          <w:tcPr>
            <w:tcW w:w="1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EXERCISE PRICE</w:t>
            </w:r>
          </w:p>
        </w:tc>
      </w:tr>
      <w:tr>
        <w:trPr>
          <w:trHeight w:val="173"/>
        </w:trPr>
        <w:tc>
          <w:tcPr>
            <w:tcW w:w="22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785"/>
              <w:spacing w:after="0"/>
              <w:rPr>
                <w:sz w:val="20"/>
                <w:szCs w:val="20"/>
                <w:color w:val="auto"/>
              </w:rPr>
            </w:pPr>
            <w:r>
              <w:rPr>
                <w:rFonts w:ascii="Courier New" w:cs="Courier New" w:eastAsia="Courier New" w:hAnsi="Courier New"/>
                <w:sz w:val="15"/>
                <w:szCs w:val="15"/>
                <w:color w:val="auto"/>
                <w:w w:val="98"/>
              </w:rPr>
              <w:t>-----------</w:t>
            </w:r>
          </w:p>
        </w:tc>
        <w:tc>
          <w:tcPr>
            <w:tcW w:w="15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2240" w:type="dxa"/>
            <w:vAlign w:val="bottom"/>
          </w:tcPr>
          <w:p>
            <w:pPr>
              <w:spacing w:after="0"/>
              <w:rPr>
                <w:sz w:val="20"/>
                <w:szCs w:val="20"/>
                <w:color w:val="auto"/>
              </w:rPr>
            </w:pPr>
            <w:r>
              <w:rPr>
                <w:rFonts w:ascii="Courier New" w:cs="Courier New" w:eastAsia="Courier New" w:hAnsi="Courier New"/>
                <w:sz w:val="15"/>
                <w:szCs w:val="15"/>
                <w:color w:val="auto"/>
              </w:rPr>
              <w:t>$ 0-3.01</w:t>
            </w:r>
          </w:p>
        </w:tc>
        <w:tc>
          <w:tcPr>
            <w:tcW w:w="186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993.9</w:t>
            </w:r>
          </w:p>
        </w:tc>
        <w:tc>
          <w:tcPr>
            <w:tcW w:w="15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5.70</w:t>
            </w:r>
          </w:p>
        </w:tc>
        <w:tc>
          <w:tcPr>
            <w:tcW w:w="16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$ 2.02</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857.3</w:t>
            </w:r>
          </w:p>
        </w:tc>
        <w:tc>
          <w:tcPr>
            <w:tcW w:w="17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$ 1.95</w:t>
            </w:r>
          </w:p>
        </w:tc>
      </w:tr>
      <w:tr>
        <w:trPr>
          <w:trHeight w:val="173"/>
        </w:trPr>
        <w:tc>
          <w:tcPr>
            <w:tcW w:w="224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6.40-18.60</w:t>
            </w:r>
          </w:p>
        </w:tc>
        <w:tc>
          <w:tcPr>
            <w:tcW w:w="1860" w:type="dxa"/>
            <w:vAlign w:val="bottom"/>
          </w:tcPr>
          <w:p>
            <w:pPr>
              <w:jc w:val="right"/>
              <w:ind w:right="1145"/>
              <w:spacing w:after="0"/>
              <w:rPr>
                <w:sz w:val="20"/>
                <w:szCs w:val="20"/>
                <w:color w:val="auto"/>
              </w:rPr>
            </w:pPr>
            <w:r>
              <w:rPr>
                <w:rFonts w:ascii="Courier New" w:cs="Courier New" w:eastAsia="Courier New" w:hAnsi="Courier New"/>
                <w:sz w:val="15"/>
                <w:szCs w:val="15"/>
                <w:color w:val="auto"/>
                <w:w w:val="98"/>
              </w:rPr>
              <w:t>6,163.5</w:t>
            </w:r>
          </w:p>
        </w:tc>
        <w:tc>
          <w:tcPr>
            <w:tcW w:w="15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9.23</w:t>
            </w:r>
          </w:p>
        </w:tc>
        <w:tc>
          <w:tcPr>
            <w:tcW w:w="16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8.70</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766.1</w:t>
            </w:r>
          </w:p>
        </w:tc>
        <w:tc>
          <w:tcPr>
            <w:tcW w:w="17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11.93</w:t>
            </w:r>
          </w:p>
        </w:tc>
      </w:tr>
      <w:tr>
        <w:trPr>
          <w:trHeight w:val="173"/>
        </w:trPr>
        <w:tc>
          <w:tcPr>
            <w:tcW w:w="224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20.85-28.60</w:t>
            </w:r>
          </w:p>
        </w:tc>
        <w:tc>
          <w:tcPr>
            <w:tcW w:w="1860" w:type="dxa"/>
            <w:vAlign w:val="bottom"/>
          </w:tcPr>
          <w:p>
            <w:pPr>
              <w:jc w:val="right"/>
              <w:ind w:right="1145"/>
              <w:spacing w:after="0"/>
              <w:rPr>
                <w:sz w:val="20"/>
                <w:szCs w:val="20"/>
                <w:color w:val="auto"/>
              </w:rPr>
            </w:pPr>
            <w:r>
              <w:rPr>
                <w:rFonts w:ascii="Courier New" w:cs="Courier New" w:eastAsia="Courier New" w:hAnsi="Courier New"/>
                <w:sz w:val="15"/>
                <w:szCs w:val="15"/>
                <w:color w:val="auto"/>
                <w:w w:val="98"/>
              </w:rPr>
              <w:t>4,238.3</w:t>
            </w:r>
          </w:p>
        </w:tc>
        <w:tc>
          <w:tcPr>
            <w:tcW w:w="15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8.41</w:t>
            </w:r>
          </w:p>
        </w:tc>
        <w:tc>
          <w:tcPr>
            <w:tcW w:w="16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26.36</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418.7</w:t>
            </w:r>
          </w:p>
        </w:tc>
        <w:tc>
          <w:tcPr>
            <w:tcW w:w="17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23.91</w:t>
            </w:r>
          </w:p>
        </w:tc>
      </w:tr>
      <w:tr>
        <w:trPr>
          <w:trHeight w:val="173"/>
        </w:trPr>
        <w:tc>
          <w:tcPr>
            <w:tcW w:w="224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30.94-31.90</w:t>
            </w:r>
          </w:p>
        </w:tc>
        <w:tc>
          <w:tcPr>
            <w:tcW w:w="1860" w:type="dxa"/>
            <w:vAlign w:val="bottom"/>
          </w:tcPr>
          <w:p>
            <w:pPr>
              <w:jc w:val="right"/>
              <w:ind w:right="1145"/>
              <w:spacing w:after="0"/>
              <w:rPr>
                <w:sz w:val="20"/>
                <w:szCs w:val="20"/>
                <w:color w:val="auto"/>
              </w:rPr>
            </w:pPr>
            <w:r>
              <w:rPr>
                <w:rFonts w:ascii="Courier New" w:cs="Courier New" w:eastAsia="Courier New" w:hAnsi="Courier New"/>
                <w:sz w:val="15"/>
                <w:szCs w:val="15"/>
                <w:color w:val="auto"/>
                <w:w w:val="98"/>
              </w:rPr>
              <w:t>6,257.0</w:t>
            </w:r>
          </w:p>
        </w:tc>
        <w:tc>
          <w:tcPr>
            <w:tcW w:w="15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9.20</w:t>
            </w:r>
          </w:p>
        </w:tc>
        <w:tc>
          <w:tcPr>
            <w:tcW w:w="16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31.01</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4.6</w:t>
            </w:r>
          </w:p>
        </w:tc>
        <w:tc>
          <w:tcPr>
            <w:tcW w:w="17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30.94</w:t>
            </w:r>
          </w:p>
        </w:tc>
      </w:tr>
      <w:tr>
        <w:trPr>
          <w:trHeight w:val="173"/>
        </w:trPr>
        <w:tc>
          <w:tcPr>
            <w:tcW w:w="224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33.07-47.25</w:t>
            </w:r>
          </w:p>
        </w:tc>
        <w:tc>
          <w:tcPr>
            <w:tcW w:w="1860" w:type="dxa"/>
            <w:vAlign w:val="bottom"/>
          </w:tcPr>
          <w:p>
            <w:pPr>
              <w:jc w:val="right"/>
              <w:ind w:right="1145"/>
              <w:spacing w:after="0"/>
              <w:rPr>
                <w:sz w:val="20"/>
                <w:szCs w:val="20"/>
                <w:color w:val="auto"/>
              </w:rPr>
            </w:pPr>
            <w:r>
              <w:rPr>
                <w:rFonts w:ascii="Courier New" w:cs="Courier New" w:eastAsia="Courier New" w:hAnsi="Courier New"/>
                <w:sz w:val="15"/>
                <w:szCs w:val="15"/>
                <w:color w:val="auto"/>
                <w:w w:val="98"/>
              </w:rPr>
              <w:t>5,732.8</w:t>
            </w:r>
          </w:p>
        </w:tc>
        <w:tc>
          <w:tcPr>
            <w:tcW w:w="15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8.51</w:t>
            </w:r>
          </w:p>
        </w:tc>
        <w:tc>
          <w:tcPr>
            <w:tcW w:w="16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37.63</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1,256.6</w:t>
            </w:r>
          </w:p>
        </w:tc>
        <w:tc>
          <w:tcPr>
            <w:tcW w:w="17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38.29</w:t>
            </w:r>
          </w:p>
        </w:tc>
      </w:tr>
      <w:tr>
        <w:trPr>
          <w:trHeight w:val="173"/>
        </w:trPr>
        <w:tc>
          <w:tcPr>
            <w:tcW w:w="224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47.90-65.01</w:t>
            </w:r>
          </w:p>
        </w:tc>
        <w:tc>
          <w:tcPr>
            <w:tcW w:w="1860" w:type="dxa"/>
            <w:vAlign w:val="bottom"/>
          </w:tcPr>
          <w:p>
            <w:pPr>
              <w:jc w:val="right"/>
              <w:ind w:right="1145"/>
              <w:spacing w:after="0"/>
              <w:rPr>
                <w:sz w:val="20"/>
                <w:szCs w:val="20"/>
                <w:color w:val="auto"/>
              </w:rPr>
            </w:pPr>
            <w:r>
              <w:rPr>
                <w:rFonts w:ascii="Courier New" w:cs="Courier New" w:eastAsia="Courier New" w:hAnsi="Courier New"/>
                <w:sz w:val="15"/>
                <w:szCs w:val="15"/>
                <w:color w:val="auto"/>
                <w:w w:val="98"/>
              </w:rPr>
              <w:t>3,528.4</w:t>
            </w:r>
          </w:p>
        </w:tc>
        <w:tc>
          <w:tcPr>
            <w:tcW w:w="15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7.98</w:t>
            </w:r>
          </w:p>
        </w:tc>
        <w:tc>
          <w:tcPr>
            <w:tcW w:w="16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58.58</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1,240.1</w:t>
            </w:r>
          </w:p>
        </w:tc>
        <w:tc>
          <w:tcPr>
            <w:tcW w:w="17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58.34</w:t>
            </w:r>
          </w:p>
        </w:tc>
      </w:tr>
      <w:tr>
        <w:trPr>
          <w:trHeight w:val="173"/>
        </w:trPr>
        <w:tc>
          <w:tcPr>
            <w:tcW w:w="224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66.25-78.31</w:t>
            </w:r>
          </w:p>
        </w:tc>
        <w:tc>
          <w:tcPr>
            <w:tcW w:w="186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778.1</w:t>
            </w:r>
          </w:p>
        </w:tc>
        <w:tc>
          <w:tcPr>
            <w:tcW w:w="15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7.81</w:t>
            </w:r>
          </w:p>
        </w:tc>
        <w:tc>
          <w:tcPr>
            <w:tcW w:w="16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71.04</w:t>
            </w: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358.5</w:t>
            </w:r>
          </w:p>
        </w:tc>
        <w:tc>
          <w:tcPr>
            <w:tcW w:w="17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71.03</w:t>
            </w:r>
          </w:p>
        </w:tc>
      </w:tr>
    </w:tbl>
    <w:p>
      <w:pPr>
        <w:spacing w:after="0" w:line="200" w:lineRule="exact"/>
        <w:rPr>
          <w:sz w:val="20"/>
          <w:szCs w:val="20"/>
          <w:color w:val="auto"/>
        </w:rPr>
      </w:pPr>
    </w:p>
    <w:p>
      <w:pPr>
        <w:spacing w:after="0" w:line="324" w:lineRule="exact"/>
        <w:rPr>
          <w:sz w:val="20"/>
          <w:szCs w:val="20"/>
          <w:color w:val="auto"/>
        </w:rPr>
      </w:pPr>
    </w:p>
    <w:p>
      <w:pPr>
        <w:ind w:right="3520" w:firstLine="811"/>
        <w:spacing w:after="0" w:line="244" w:lineRule="auto"/>
        <w:rPr>
          <w:sz w:val="20"/>
          <w:szCs w:val="20"/>
          <w:color w:val="auto"/>
        </w:rPr>
      </w:pPr>
      <w:r>
        <w:rPr>
          <w:rFonts w:ascii="Courier New" w:cs="Courier New" w:eastAsia="Courier New" w:hAnsi="Courier New"/>
          <w:sz w:val="15"/>
          <w:szCs w:val="15"/>
          <w:color w:val="auto"/>
        </w:rPr>
        <w:t>The weighted average grant-date fair value of the 16,648.5, 5,745.2 and 4,948.7 options granted in fiscal 2002, 2001 and 2000, respectively, amounted to $10.93, $23.07 and $35.71, respectively, per option. The Company utilized the Black-Scholes option-pricing model to estimate fair value, utilizing the following assumptions for the year (all in weighted averages):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00" w:type="dxa"/>
            <w:vAlign w:val="bottom"/>
          </w:tcPr>
          <w:p>
            <w:pPr>
              <w:spacing w:after="0"/>
              <w:rPr>
                <w:sz w:val="14"/>
                <w:szCs w:val="14"/>
                <w:color w:val="auto"/>
              </w:rPr>
            </w:pPr>
          </w:p>
        </w:tc>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SEPTEMBER</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30,</w:t>
            </w:r>
          </w:p>
        </w:tc>
      </w:tr>
      <w:tr>
        <w:trPr>
          <w:trHeight w:val="173"/>
        </w:trPr>
        <w:tc>
          <w:tcPr>
            <w:tcW w:w="2600" w:type="dxa"/>
            <w:vAlign w:val="bottom"/>
          </w:tcPr>
          <w:p>
            <w:pPr>
              <w:spacing w:after="0"/>
              <w:rPr>
                <w:sz w:val="15"/>
                <w:szCs w:val="15"/>
                <w:color w:val="auto"/>
              </w:rPr>
            </w:pPr>
          </w:p>
        </w:tc>
        <w:tc>
          <w:tcPr>
            <w:tcW w:w="29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60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2002</w:t>
            </w:r>
          </w:p>
        </w:tc>
        <w:tc>
          <w:tcPr>
            <w:tcW w:w="13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2001</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260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347"/>
        </w:trPr>
        <w:tc>
          <w:tcPr>
            <w:tcW w:w="260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2.85%</w:t>
            </w: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5.15%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5.75%</w:t>
            </w:r>
          </w:p>
        </w:tc>
      </w:tr>
      <w:tr>
        <w:trPr>
          <w:trHeight w:val="173"/>
        </w:trPr>
        <w:tc>
          <w:tcPr>
            <w:tcW w:w="2600" w:type="dxa"/>
            <w:vAlign w:val="bottom"/>
          </w:tcPr>
          <w:p>
            <w:pPr>
              <w:spacing w:after="0"/>
              <w:rPr>
                <w:sz w:val="20"/>
                <w:szCs w:val="20"/>
                <w:color w:val="auto"/>
              </w:rPr>
            </w:pPr>
            <w:r>
              <w:rPr>
                <w:rFonts w:ascii="Courier New" w:cs="Courier New" w:eastAsia="Courier New" w:hAnsi="Courier New"/>
                <w:sz w:val="15"/>
                <w:szCs w:val="15"/>
                <w:color w:val="auto"/>
              </w:rPr>
              <w:t>Expected life of options</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2.89</w:t>
            </w:r>
          </w:p>
        </w:tc>
        <w:tc>
          <w:tcPr>
            <w:tcW w:w="13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3.26</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3.23</w:t>
            </w:r>
          </w:p>
        </w:tc>
      </w:tr>
      <w:tr>
        <w:trPr>
          <w:trHeight w:val="173"/>
        </w:trPr>
        <w:tc>
          <w:tcPr>
            <w:tcW w:w="2600" w:type="dxa"/>
            <w:vAlign w:val="bottom"/>
          </w:tcPr>
          <w:p>
            <w:pPr>
              <w:spacing w:after="0"/>
              <w:rPr>
                <w:sz w:val="20"/>
                <w:szCs w:val="20"/>
                <w:color w:val="auto"/>
              </w:rPr>
            </w:pPr>
            <w:r>
              <w:rPr>
                <w:rFonts w:ascii="Courier New" w:cs="Courier New" w:eastAsia="Courier New" w:hAnsi="Courier New"/>
                <w:sz w:val="15"/>
                <w:szCs w:val="15"/>
                <w:color w:val="auto"/>
              </w:rPr>
              <w:t>Expected annual volatility</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0.756</w:t>
            </w:r>
          </w:p>
        </w:tc>
        <w:tc>
          <w:tcPr>
            <w:tcW w:w="13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0.660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1.086</w:t>
            </w:r>
          </w:p>
        </w:tc>
      </w:tr>
      <w:tr>
        <w:trPr>
          <w:trHeight w:val="173"/>
        </w:trPr>
        <w:tc>
          <w:tcPr>
            <w:tcW w:w="2600" w:type="dxa"/>
            <w:vAlign w:val="bottom"/>
          </w:tcPr>
          <w:p>
            <w:pPr>
              <w:spacing w:after="0"/>
              <w:rPr>
                <w:sz w:val="20"/>
                <w:szCs w:val="20"/>
                <w:color w:val="auto"/>
              </w:rPr>
            </w:pPr>
            <w:r>
              <w:rPr>
                <w:rFonts w:ascii="Courier New" w:cs="Courier New" w:eastAsia="Courier New" w:hAnsi="Courier New"/>
                <w:sz w:val="15"/>
                <w:szCs w:val="15"/>
                <w:color w:val="auto"/>
              </w:rPr>
              <w:t>Expected dividend yield</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None</w:t>
            </w:r>
          </w:p>
        </w:tc>
        <w:tc>
          <w:tcPr>
            <w:tcW w:w="13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None</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None</w:t>
            </w:r>
          </w:p>
        </w:tc>
      </w:tr>
    </w:tbl>
    <w:p>
      <w:pPr>
        <w:spacing w:after="0" w:line="200" w:lineRule="exact"/>
        <w:rPr>
          <w:sz w:val="20"/>
          <w:szCs w:val="20"/>
          <w:color w:val="auto"/>
        </w:rPr>
      </w:pPr>
    </w:p>
    <w:p>
      <w:pPr>
        <w:spacing w:after="0" w:line="324" w:lineRule="exact"/>
        <w:rPr>
          <w:sz w:val="20"/>
          <w:szCs w:val="20"/>
          <w:color w:val="auto"/>
        </w:rPr>
      </w:pPr>
    </w:p>
    <w:p>
      <w:pPr>
        <w:jc w:val="both"/>
        <w:ind w:right="3700" w:firstLine="811"/>
        <w:spacing w:after="0" w:line="244" w:lineRule="auto"/>
        <w:rPr>
          <w:sz w:val="20"/>
          <w:szCs w:val="20"/>
          <w:color w:val="auto"/>
        </w:rPr>
      </w:pPr>
      <w:r>
        <w:rPr>
          <w:rFonts w:ascii="Courier New" w:cs="Courier New" w:eastAsia="Courier New" w:hAnsi="Courier New"/>
          <w:sz w:val="15"/>
          <w:szCs w:val="15"/>
          <w:color w:val="auto"/>
        </w:rPr>
        <w:t>Had compensation cost for the Company's options been determined based on fair value at the grant dates for awards made in fiscal 2002, 2001 and 2000 in accordance with SFAS No. 123, the Company's pro forma net loss and loss per share would have been as follows: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SEPTEMBER</w:t>
            </w:r>
          </w:p>
        </w:tc>
        <w:tc>
          <w:tcPr>
            <w:tcW w:w="11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30,</w:t>
            </w:r>
          </w:p>
        </w:tc>
      </w:tr>
      <w:tr>
        <w:trPr>
          <w:trHeight w:val="173"/>
        </w:trPr>
        <w:tc>
          <w:tcPr>
            <w:tcW w:w="3140" w:type="dxa"/>
            <w:vAlign w:val="bottom"/>
          </w:tcPr>
          <w:p>
            <w:pPr>
              <w:spacing w:after="0"/>
              <w:rPr>
                <w:sz w:val="15"/>
                <w:szCs w:val="15"/>
                <w:color w:val="auto"/>
              </w:rPr>
            </w:pPr>
          </w:p>
        </w:tc>
        <w:tc>
          <w:tcPr>
            <w:tcW w:w="442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15"/>
                <w:szCs w:val="15"/>
                <w:color w:val="auto"/>
              </w:rPr>
            </w:pP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2002</w:t>
            </w:r>
          </w:p>
        </w:tc>
        <w:tc>
          <w:tcPr>
            <w:tcW w:w="780" w:type="dxa"/>
            <w:vAlign w:val="bottom"/>
          </w:tcPr>
          <w:p>
            <w:pPr>
              <w:spacing w:after="0"/>
              <w:rPr>
                <w:sz w:val="15"/>
                <w:szCs w:val="15"/>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2001</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3140" w:type="dxa"/>
            <w:vAlign w:val="bottom"/>
          </w:tcPr>
          <w:p>
            <w:pPr>
              <w:spacing w:after="0"/>
              <w:rPr>
                <w:sz w:val="15"/>
                <w:szCs w:val="15"/>
                <w:color w:val="auto"/>
              </w:rPr>
            </w:pPr>
          </w:p>
        </w:tc>
        <w:tc>
          <w:tcPr>
            <w:tcW w:w="14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3140" w:type="dxa"/>
            <w:vAlign w:val="bottom"/>
          </w:tcPr>
          <w:p>
            <w:pPr>
              <w:spacing w:after="0"/>
              <w:rPr>
                <w:sz w:val="20"/>
                <w:szCs w:val="20"/>
                <w:color w:val="auto"/>
              </w:rPr>
            </w:pPr>
            <w:r>
              <w:rPr>
                <w:rFonts w:ascii="Courier New" w:cs="Courier New" w:eastAsia="Courier New" w:hAnsi="Courier New"/>
                <w:sz w:val="15"/>
                <w:szCs w:val="15"/>
                <w:color w:val="auto"/>
              </w:rPr>
              <w:t>Pro forma net loss</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  (115,224)</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(3,502)</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   (23,022)</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Pro forma diluted loss per share</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(0.52)</w:t>
            </w:r>
          </w:p>
        </w:tc>
        <w:tc>
          <w:tcPr>
            <w:tcW w:w="780" w:type="dxa"/>
            <w:vAlign w:val="bottom"/>
          </w:tcPr>
          <w:p>
            <w:pPr>
              <w:spacing w:after="0"/>
              <w:rPr>
                <w:sz w:val="15"/>
                <w:szCs w:val="15"/>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(0.02)</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(0.11)</w:t>
            </w:r>
          </w:p>
        </w:tc>
      </w:tr>
    </w:tbl>
    <w:p>
      <w:pPr>
        <w:sectPr>
          <w:pgSz w:w="11900" w:h="16838" w:orient="portrait"/>
          <w:cols w:equalWidth="0" w:num="1">
            <w:col w:w="10720"/>
          </w:cols>
          <w:pgMar w:left="240" w:top="464" w:right="939" w:bottom="1440" w:gutter="0" w:footer="0" w:header="0"/>
        </w:sectPr>
      </w:pPr>
    </w:p>
    <w:bookmarkStart w:id="34" w:name="page35"/>
    <w:bookmarkEnd w:id="34"/>
    <w:p>
      <w:pPr>
        <w:ind w:left="2968"/>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 19 - (LOSS) EARNINGS PER SHARE</w:t>
      </w:r>
    </w:p>
    <w:p>
      <w:pPr>
        <w:spacing w:after="0" w:line="178" w:lineRule="exact"/>
        <w:rPr>
          <w:sz w:val="20"/>
          <w:szCs w:val="20"/>
          <w:color w:val="auto"/>
        </w:rPr>
      </w:pPr>
    </w:p>
    <w:p>
      <w:pPr>
        <w:ind w:left="8" w:right="3379" w:firstLine="811"/>
        <w:spacing w:after="0" w:line="243" w:lineRule="auto"/>
        <w:rPr>
          <w:sz w:val="20"/>
          <w:szCs w:val="20"/>
          <w:color w:val="auto"/>
        </w:rPr>
      </w:pPr>
      <w:r>
        <w:rPr>
          <w:rFonts w:ascii="Courier New" w:cs="Courier New" w:eastAsia="Courier New" w:hAnsi="Courier New"/>
          <w:sz w:val="15"/>
          <w:szCs w:val="15"/>
          <w:color w:val="auto"/>
        </w:rPr>
        <w:t>The following table sets forth the computation of basic and diluted (loss) earnings per share:</w:t>
      </w:r>
    </w:p>
    <w:p>
      <w:pPr>
        <w:spacing w:after="0" w:line="200" w:lineRule="exact"/>
        <w:rPr>
          <w:sz w:val="20"/>
          <w:szCs w:val="20"/>
          <w:color w:val="auto"/>
        </w:rPr>
      </w:pPr>
    </w:p>
    <w:p>
      <w:pPr>
        <w:spacing w:after="0" w:line="32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SEPTEMBER 30,</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3"/>
        </w:trPr>
        <w:tc>
          <w:tcPr>
            <w:tcW w:w="5220" w:type="dxa"/>
            <w:vAlign w:val="bottom"/>
          </w:tcPr>
          <w:p>
            <w:pPr>
              <w:spacing w:after="0"/>
              <w:rPr>
                <w:sz w:val="15"/>
                <w:szCs w:val="15"/>
                <w:color w:val="auto"/>
              </w:rPr>
            </w:pPr>
          </w:p>
        </w:tc>
        <w:tc>
          <w:tcPr>
            <w:tcW w:w="38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2002</w:t>
            </w:r>
          </w:p>
        </w:tc>
        <w:tc>
          <w:tcPr>
            <w:tcW w:w="400" w:type="dxa"/>
            <w:vAlign w:val="bottom"/>
          </w:tcPr>
          <w:p>
            <w:pPr>
              <w:spacing w:after="0"/>
              <w:rPr>
                <w:sz w:val="15"/>
                <w:szCs w:val="15"/>
                <w:color w:val="auto"/>
              </w:rPr>
            </w:pPr>
          </w:p>
        </w:tc>
        <w:tc>
          <w:tcPr>
            <w:tcW w:w="12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2001</w:t>
            </w:r>
          </w:p>
        </w:tc>
        <w:tc>
          <w:tcPr>
            <w:tcW w:w="140" w:type="dxa"/>
            <w:vAlign w:val="bottom"/>
          </w:tcPr>
          <w:p>
            <w:pPr>
              <w:spacing w:after="0"/>
              <w:rPr>
                <w:sz w:val="15"/>
                <w:szCs w:val="15"/>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5220" w:type="dxa"/>
            <w:vAlign w:val="bottom"/>
          </w:tcPr>
          <w:p>
            <w:pPr>
              <w:spacing w:after="0"/>
              <w:rPr>
                <w:sz w:val="15"/>
                <w:szCs w:val="15"/>
                <w:color w:val="auto"/>
              </w:rPr>
            </w:pP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522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3"/>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Net (loss) income</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(5,061)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66,386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5,978</w:t>
            </w:r>
          </w:p>
        </w:tc>
      </w:tr>
      <w:tr>
        <w:trPr>
          <w:trHeight w:val="173"/>
        </w:trPr>
        <w:tc>
          <w:tcPr>
            <w:tcW w:w="5220" w:type="dxa"/>
            <w:vAlign w:val="bottom"/>
          </w:tcPr>
          <w:p>
            <w:pPr>
              <w:spacing w:after="0"/>
              <w:rPr>
                <w:sz w:val="15"/>
                <w:szCs w:val="15"/>
                <w:color w:val="auto"/>
              </w:rPr>
            </w:pP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5220" w:type="dxa"/>
            <w:vAlign w:val="bottom"/>
          </w:tcPr>
          <w:p>
            <w:pPr>
              <w:ind w:left="260"/>
              <w:spacing w:after="0"/>
              <w:rPr>
                <w:sz w:val="20"/>
                <w:szCs w:val="20"/>
                <w:color w:val="auto"/>
              </w:rPr>
            </w:pPr>
            <w:r>
              <w:rPr>
                <w:rFonts w:ascii="Courier New" w:cs="Courier New" w:eastAsia="Courier New" w:hAnsi="Courier New"/>
                <w:sz w:val="15"/>
                <w:szCs w:val="15"/>
                <w:color w:val="auto"/>
              </w:rPr>
              <w:t>Denominator for basic (loss) earnings per share -</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5220" w:type="dxa"/>
            <w:vAlign w:val="bottom"/>
          </w:tcPr>
          <w:p>
            <w:pPr>
              <w:ind w:left="440"/>
              <w:spacing w:after="0"/>
              <w:rPr>
                <w:sz w:val="20"/>
                <w:szCs w:val="20"/>
                <w:color w:val="auto"/>
              </w:rPr>
            </w:pPr>
            <w:r>
              <w:rPr>
                <w:rFonts w:ascii="Courier New" w:cs="Courier New" w:eastAsia="Courier New" w:hAnsi="Courier New"/>
                <w:sz w:val="15"/>
                <w:szCs w:val="15"/>
                <w:color w:val="auto"/>
              </w:rPr>
              <w:t>weighted average number of shares outstanding (1)</w:t>
            </w:r>
          </w:p>
        </w:tc>
        <w:tc>
          <w:tcPr>
            <w:tcW w:w="46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220,361</w:t>
            </w:r>
          </w:p>
        </w:tc>
        <w:tc>
          <w:tcPr>
            <w:tcW w:w="400" w:type="dxa"/>
            <w:vAlign w:val="bottom"/>
          </w:tcPr>
          <w:p>
            <w:pPr>
              <w:spacing w:after="0"/>
              <w:rPr>
                <w:sz w:val="15"/>
                <w:szCs w:val="15"/>
                <w:color w:val="auto"/>
              </w:rPr>
            </w:pP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222,002</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212,005</w:t>
            </w:r>
          </w:p>
        </w:tc>
      </w:tr>
      <w:tr>
        <w:trPr>
          <w:trHeight w:val="173"/>
        </w:trPr>
        <w:tc>
          <w:tcPr>
            <w:tcW w:w="5220" w:type="dxa"/>
            <w:vAlign w:val="bottom"/>
          </w:tcPr>
          <w:p>
            <w:pPr>
              <w:ind w:left="260"/>
              <w:spacing w:after="0"/>
              <w:rPr>
                <w:sz w:val="20"/>
                <w:szCs w:val="20"/>
                <w:color w:val="auto"/>
              </w:rPr>
            </w:pPr>
            <w:r>
              <w:rPr>
                <w:rFonts w:ascii="Courier New" w:cs="Courier New" w:eastAsia="Courier New" w:hAnsi="Courier New"/>
                <w:sz w:val="15"/>
                <w:szCs w:val="15"/>
                <w:color w:val="auto"/>
              </w:rPr>
              <w:t>Effect of dilutive stock options granted (2)</w:t>
            </w:r>
          </w:p>
        </w:tc>
        <w:tc>
          <w:tcPr>
            <w:tcW w:w="46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4,830</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4,930</w:t>
            </w:r>
          </w:p>
        </w:tc>
      </w:tr>
      <w:tr>
        <w:trPr>
          <w:trHeight w:val="173"/>
        </w:trPr>
        <w:tc>
          <w:tcPr>
            <w:tcW w:w="5220" w:type="dxa"/>
            <w:vAlign w:val="bottom"/>
          </w:tcPr>
          <w:p>
            <w:pPr>
              <w:spacing w:after="0"/>
              <w:rPr>
                <w:sz w:val="15"/>
                <w:szCs w:val="15"/>
                <w:color w:val="auto"/>
              </w:rPr>
            </w:pP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220" w:type="dxa"/>
            <w:vAlign w:val="bottom"/>
          </w:tcPr>
          <w:p>
            <w:pPr>
              <w:ind w:left="260"/>
              <w:spacing w:after="0"/>
              <w:rPr>
                <w:sz w:val="20"/>
                <w:szCs w:val="20"/>
                <w:color w:val="auto"/>
              </w:rPr>
            </w:pPr>
            <w:r>
              <w:rPr>
                <w:rFonts w:ascii="Courier New" w:cs="Courier New" w:eastAsia="Courier New" w:hAnsi="Courier New"/>
                <w:sz w:val="15"/>
                <w:szCs w:val="15"/>
                <w:color w:val="auto"/>
              </w:rPr>
              <w:t>Denominator for dilutive (loss) earnings per share -</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5220" w:type="dxa"/>
            <w:vAlign w:val="bottom"/>
          </w:tcPr>
          <w:p>
            <w:pPr>
              <w:ind w:left="440"/>
              <w:spacing w:after="0"/>
              <w:rPr>
                <w:sz w:val="20"/>
                <w:szCs w:val="20"/>
                <w:color w:val="auto"/>
              </w:rPr>
            </w:pPr>
            <w:r>
              <w:rPr>
                <w:rFonts w:ascii="Courier New" w:cs="Courier New" w:eastAsia="Courier New" w:hAnsi="Courier New"/>
                <w:sz w:val="15"/>
                <w:szCs w:val="15"/>
                <w:color w:val="auto"/>
              </w:rPr>
              <w:t>adjusted weighted average shares and assumed</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5220" w:type="dxa"/>
            <w:vAlign w:val="bottom"/>
          </w:tcPr>
          <w:p>
            <w:pPr>
              <w:ind w:left="440"/>
              <w:spacing w:after="0"/>
              <w:rPr>
                <w:sz w:val="20"/>
                <w:szCs w:val="20"/>
                <w:color w:val="auto"/>
              </w:rPr>
            </w:pPr>
            <w:r>
              <w:rPr>
                <w:rFonts w:ascii="Courier New" w:cs="Courier New" w:eastAsia="Courier New" w:hAnsi="Courier New"/>
                <w:sz w:val="15"/>
                <w:szCs w:val="15"/>
                <w:color w:val="auto"/>
              </w:rPr>
              <w:t>conversions (1)</w:t>
            </w:r>
          </w:p>
        </w:tc>
        <w:tc>
          <w:tcPr>
            <w:tcW w:w="46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220,361</w:t>
            </w:r>
          </w:p>
        </w:tc>
        <w:tc>
          <w:tcPr>
            <w:tcW w:w="400" w:type="dxa"/>
            <w:vAlign w:val="bottom"/>
          </w:tcPr>
          <w:p>
            <w:pPr>
              <w:spacing w:after="0"/>
              <w:rPr>
                <w:sz w:val="15"/>
                <w:szCs w:val="15"/>
                <w:color w:val="auto"/>
              </w:rPr>
            </w:pP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226,832</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216,935</w:t>
            </w:r>
          </w:p>
        </w:tc>
      </w:tr>
      <w:tr>
        <w:trPr>
          <w:trHeight w:val="173"/>
        </w:trPr>
        <w:tc>
          <w:tcPr>
            <w:tcW w:w="5220" w:type="dxa"/>
            <w:vAlign w:val="bottom"/>
          </w:tcPr>
          <w:p>
            <w:pPr>
              <w:spacing w:after="0"/>
              <w:rPr>
                <w:sz w:val="15"/>
                <w:szCs w:val="15"/>
                <w:color w:val="auto"/>
              </w:rPr>
            </w:pP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Basic (loss) earnings per share</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0.30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r>
      <w:tr>
        <w:trPr>
          <w:trHeight w:val="173"/>
        </w:trPr>
        <w:tc>
          <w:tcPr>
            <w:tcW w:w="5220" w:type="dxa"/>
            <w:vAlign w:val="bottom"/>
          </w:tcPr>
          <w:p>
            <w:pPr>
              <w:spacing w:after="0"/>
              <w:rPr>
                <w:sz w:val="15"/>
                <w:szCs w:val="15"/>
                <w:color w:val="auto"/>
              </w:rPr>
            </w:pP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Diluted (loss) earnings per share</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0.29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r>
      <w:tr>
        <w:trPr>
          <w:trHeight w:val="173"/>
        </w:trPr>
        <w:tc>
          <w:tcPr>
            <w:tcW w:w="5220" w:type="dxa"/>
            <w:vAlign w:val="bottom"/>
          </w:tcPr>
          <w:p>
            <w:pPr>
              <w:spacing w:after="0"/>
              <w:rPr>
                <w:sz w:val="15"/>
                <w:szCs w:val="15"/>
                <w:color w:val="auto"/>
              </w:rPr>
            </w:pP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r>
    </w:tbl>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1088" w:right="3019" w:hanging="1088"/>
        <w:spacing w:after="0" w:line="244" w:lineRule="auto"/>
        <w:tabs>
          <w:tab w:leader="none" w:pos="108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weighted average number of shares outstanding includes exchangeable shares issued to shareholders of Amdocs Canada, Inc. (formerly Solect) pursuant to the Company's acquisition of Solect in April 2000, which are exchangeable for the Company's Ordinary Shares on a one-for-one basis.</w:t>
      </w:r>
    </w:p>
    <w:p>
      <w:pPr>
        <w:spacing w:after="0" w:line="176" w:lineRule="exact"/>
        <w:rPr>
          <w:rFonts w:ascii="Courier New" w:cs="Courier New" w:eastAsia="Courier New" w:hAnsi="Courier New"/>
          <w:sz w:val="15"/>
          <w:szCs w:val="15"/>
          <w:color w:val="auto"/>
        </w:rPr>
      </w:pPr>
    </w:p>
    <w:p>
      <w:pPr>
        <w:ind w:left="1088" w:right="3279" w:hanging="1088"/>
        <w:spacing w:after="0" w:line="243" w:lineRule="auto"/>
        <w:tabs>
          <w:tab w:leader="none" w:pos="108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Due to net loss, 2,201 anti-dilutive securities are excluded from the computation of diluted average number of shares outstanding.</w:t>
      </w:r>
    </w:p>
    <w:p>
      <w:pPr>
        <w:spacing w:after="0" w:line="176"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The effect of the Notes on diluted (loss) earnings per share was anti-dilutive for the years ended September 30, 2002 and 2001, and therefore was not included in the calculation above. The weighted average effect of the repurchase of Ordinary Shares by the Company has been included in the calculation of basic (loss) earnings per share. See Note 17.</w:t>
      </w:r>
    </w:p>
    <w:p>
      <w:pPr>
        <w:sectPr>
          <w:pgSz w:w="11900" w:h="16838" w:orient="portrait"/>
          <w:cols w:equalWidth="0" w:num="1">
            <w:col w:w="10227"/>
          </w:cols>
          <w:pgMar w:left="232" w:top="464" w:right="1440" w:bottom="1440" w:gutter="0" w:footer="0" w:header="0"/>
        </w:sectPr>
      </w:pPr>
    </w:p>
    <w:bookmarkStart w:id="35" w:name="page36"/>
    <w:bookmarkEnd w:id="35"/>
    <w:p>
      <w:pPr>
        <w:ind w:left="2968"/>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 20 - SEGMENT INFORMATION AND SALES TO SIGNIFICANT CUSTOMERS</w:t>
      </w:r>
    </w:p>
    <w:p>
      <w:pPr>
        <w:spacing w:after="0" w:line="178" w:lineRule="exact"/>
        <w:rPr>
          <w:sz w:val="20"/>
          <w:szCs w:val="20"/>
          <w:color w:val="auto"/>
        </w:rPr>
      </w:pPr>
    </w:p>
    <w:p>
      <w:pPr>
        <w:ind w:left="8" w:right="3559" w:firstLine="811"/>
        <w:spacing w:after="0" w:line="244" w:lineRule="auto"/>
        <w:rPr>
          <w:sz w:val="20"/>
          <w:szCs w:val="20"/>
          <w:color w:val="auto"/>
        </w:rPr>
      </w:pPr>
      <w:r>
        <w:rPr>
          <w:rFonts w:ascii="Courier New" w:cs="Courier New" w:eastAsia="Courier New" w:hAnsi="Courier New"/>
          <w:sz w:val="15"/>
          <w:szCs w:val="15"/>
          <w:color w:val="auto"/>
        </w:rPr>
        <w:t>The Company and its subsidiaries operate in one business segment, providing business support systems and related services primarily for the communications industry.</w:t>
      </w:r>
    </w:p>
    <w:p>
      <w:pPr>
        <w:spacing w:after="0" w:line="175"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GEOGRAPHIC INFORMATION</w:t>
      </w:r>
    </w:p>
    <w:p>
      <w:pPr>
        <w:spacing w:after="0" w:line="178" w:lineRule="exact"/>
        <w:rPr>
          <w:sz w:val="20"/>
          <w:szCs w:val="20"/>
          <w:color w:val="auto"/>
        </w:rPr>
      </w:pPr>
    </w:p>
    <w:p>
      <w:pPr>
        <w:ind w:left="8" w:right="3739" w:firstLine="811"/>
        <w:spacing w:after="0" w:line="244" w:lineRule="auto"/>
        <w:rPr>
          <w:sz w:val="20"/>
          <w:szCs w:val="20"/>
          <w:color w:val="auto"/>
        </w:rPr>
      </w:pPr>
      <w:r>
        <w:rPr>
          <w:rFonts w:ascii="Courier New" w:cs="Courier New" w:eastAsia="Courier New" w:hAnsi="Courier New"/>
          <w:sz w:val="15"/>
          <w:szCs w:val="15"/>
          <w:color w:val="auto"/>
        </w:rPr>
        <w:t>The following is a summary of revenue and long-lived assets by geographic area. Revenue is attributed to geographic region based on the location of the customers.</w:t>
      </w:r>
    </w:p>
    <w:p>
      <w:pPr>
        <w:spacing w:after="0" w:line="200" w:lineRule="exact"/>
        <w:rPr>
          <w:sz w:val="20"/>
          <w:szCs w:val="20"/>
          <w:color w:val="auto"/>
        </w:rPr>
      </w:pPr>
    </w:p>
    <w:p>
      <w:pPr>
        <w:spacing w:after="0" w:line="32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520" w:type="dxa"/>
            <w:vAlign w:val="bottom"/>
            <w:gridSpan w:val="4"/>
          </w:tcPr>
          <w:p>
            <w:pPr>
              <w:jc w:val="right"/>
              <w:ind w:right="745"/>
              <w:spacing w:after="0"/>
              <w:rPr>
                <w:sz w:val="20"/>
                <w:szCs w:val="20"/>
                <w:color w:val="auto"/>
              </w:rPr>
            </w:pPr>
            <w:r>
              <w:rPr>
                <w:rFonts w:ascii="Courier New" w:cs="Courier New" w:eastAsia="Courier New" w:hAnsi="Courier New"/>
                <w:sz w:val="15"/>
                <w:szCs w:val="15"/>
                <w:color w:val="auto"/>
              </w:rPr>
              <w:t>YEAR ENDED SEPTEMBER 30,</w:t>
            </w:r>
          </w:p>
        </w:tc>
      </w:tr>
      <w:tr>
        <w:trPr>
          <w:trHeight w:val="173"/>
        </w:trPr>
        <w:tc>
          <w:tcPr>
            <w:tcW w:w="1800" w:type="dxa"/>
            <w:vAlign w:val="bottom"/>
          </w:tcPr>
          <w:p>
            <w:pPr>
              <w:spacing w:after="0"/>
              <w:rPr>
                <w:sz w:val="15"/>
                <w:szCs w:val="15"/>
                <w:color w:val="auto"/>
              </w:rPr>
            </w:pPr>
          </w:p>
        </w:tc>
        <w:tc>
          <w:tcPr>
            <w:tcW w:w="40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2002</w:t>
            </w:r>
          </w:p>
        </w:tc>
        <w:tc>
          <w:tcPr>
            <w:tcW w:w="440" w:type="dxa"/>
            <w:vAlign w:val="bottom"/>
          </w:tcPr>
          <w:p>
            <w:pPr>
              <w:spacing w:after="0"/>
              <w:rPr>
                <w:sz w:val="15"/>
                <w:szCs w:val="15"/>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2001</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1800" w:type="dxa"/>
            <w:vAlign w:val="bottom"/>
          </w:tcPr>
          <w:p>
            <w:pPr>
              <w:spacing w:after="0"/>
              <w:rPr>
                <w:sz w:val="15"/>
                <w:szCs w:val="15"/>
                <w:color w:val="auto"/>
              </w:rPr>
            </w:pP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800" w:type="dxa"/>
            <w:vAlign w:val="bottom"/>
          </w:tcPr>
          <w:p>
            <w:pPr>
              <w:ind w:left="440"/>
              <w:spacing w:after="0"/>
              <w:rPr>
                <w:sz w:val="20"/>
                <w:szCs w:val="20"/>
                <w:color w:val="auto"/>
              </w:rPr>
            </w:pPr>
            <w:r>
              <w:rPr>
                <w:rFonts w:ascii="Courier New" w:cs="Courier New" w:eastAsia="Courier New" w:hAnsi="Courier New"/>
                <w:sz w:val="15"/>
                <w:szCs w:val="15"/>
                <w:color w:val="auto"/>
              </w:rPr>
              <w:t>REVENUE</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North America</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999,037</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825,309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  510,129</w:t>
            </w: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Europe</w:t>
            </w:r>
          </w:p>
        </w:tc>
        <w:tc>
          <w:tcPr>
            <w:tcW w:w="54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466,098</w:t>
            </w:r>
          </w:p>
        </w:tc>
        <w:tc>
          <w:tcPr>
            <w:tcW w:w="440" w:type="dxa"/>
            <w:vAlign w:val="bottom"/>
          </w:tcPr>
          <w:p>
            <w:pPr>
              <w:spacing w:after="0"/>
              <w:rPr>
                <w:sz w:val="15"/>
                <w:szCs w:val="15"/>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549,106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474,300</w:t>
            </w: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Rest of the world</w:t>
            </w:r>
          </w:p>
        </w:tc>
        <w:tc>
          <w:tcPr>
            <w:tcW w:w="54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148,430</w:t>
            </w:r>
          </w:p>
        </w:tc>
        <w:tc>
          <w:tcPr>
            <w:tcW w:w="440" w:type="dxa"/>
            <w:vAlign w:val="bottom"/>
          </w:tcPr>
          <w:p>
            <w:pPr>
              <w:spacing w:after="0"/>
              <w:rPr>
                <w:sz w:val="15"/>
                <w:szCs w:val="15"/>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159,495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133,891</w:t>
            </w:r>
          </w:p>
        </w:tc>
      </w:tr>
      <w:tr>
        <w:trPr>
          <w:trHeight w:val="173"/>
        </w:trPr>
        <w:tc>
          <w:tcPr>
            <w:tcW w:w="1800" w:type="dxa"/>
            <w:vAlign w:val="bottom"/>
          </w:tcPr>
          <w:p>
            <w:pPr>
              <w:spacing w:after="0"/>
              <w:rPr>
                <w:sz w:val="15"/>
                <w:szCs w:val="15"/>
                <w:color w:val="auto"/>
              </w:rPr>
            </w:pP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$1,613,565</w:t>
            </w: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$1,533,910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$1,118,320</w:t>
            </w:r>
          </w:p>
        </w:tc>
      </w:tr>
      <w:tr>
        <w:trPr>
          <w:trHeight w:val="173"/>
        </w:trPr>
        <w:tc>
          <w:tcPr>
            <w:tcW w:w="1800" w:type="dxa"/>
            <w:vAlign w:val="bottom"/>
          </w:tcPr>
          <w:p>
            <w:pPr>
              <w:spacing w:after="0"/>
              <w:rPr>
                <w:sz w:val="15"/>
                <w:szCs w:val="15"/>
                <w:color w:val="auto"/>
              </w:rPr>
            </w:pP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800" w:type="dxa"/>
            <w:vAlign w:val="bottom"/>
          </w:tcPr>
          <w:p>
            <w:pPr>
              <w:spacing w:after="0"/>
              <w:rPr>
                <w:sz w:val="20"/>
                <w:szCs w:val="20"/>
                <w:color w:val="auto"/>
              </w:rPr>
            </w:pPr>
            <w:r>
              <w:rPr>
                <w:rFonts w:ascii="Courier New" w:cs="Courier New" w:eastAsia="Courier New" w:hAnsi="Courier New"/>
                <w:sz w:val="15"/>
                <w:szCs w:val="15"/>
                <w:color w:val="auto"/>
              </w:rPr>
              <w:t>LONG-LIVED ASSETS</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North America (1)</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842,782</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866,846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$1,041,383</w:t>
            </w: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Israel (2)</w:t>
            </w:r>
          </w:p>
        </w:tc>
        <w:tc>
          <w:tcPr>
            <w:tcW w:w="54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77,988</w:t>
            </w:r>
          </w:p>
        </w:tc>
        <w:tc>
          <w:tcPr>
            <w:tcW w:w="440" w:type="dxa"/>
            <w:vAlign w:val="bottom"/>
          </w:tcPr>
          <w:p>
            <w:pPr>
              <w:spacing w:after="0"/>
              <w:rPr>
                <w:sz w:val="15"/>
                <w:szCs w:val="15"/>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88,794</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85,518</w:t>
            </w: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Rest of the world</w:t>
            </w:r>
          </w:p>
        </w:tc>
        <w:tc>
          <w:tcPr>
            <w:tcW w:w="54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60,346</w:t>
            </w:r>
          </w:p>
        </w:tc>
        <w:tc>
          <w:tcPr>
            <w:tcW w:w="440" w:type="dxa"/>
            <w:vAlign w:val="bottom"/>
          </w:tcPr>
          <w:p>
            <w:pPr>
              <w:spacing w:after="0"/>
              <w:rPr>
                <w:sz w:val="15"/>
                <w:szCs w:val="15"/>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43,571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33,466</w:t>
            </w:r>
          </w:p>
        </w:tc>
      </w:tr>
      <w:tr>
        <w:trPr>
          <w:trHeight w:val="173"/>
        </w:trPr>
        <w:tc>
          <w:tcPr>
            <w:tcW w:w="1800" w:type="dxa"/>
            <w:vAlign w:val="bottom"/>
          </w:tcPr>
          <w:p>
            <w:pPr>
              <w:spacing w:after="0"/>
              <w:rPr>
                <w:sz w:val="15"/>
                <w:szCs w:val="15"/>
                <w:color w:val="auto"/>
              </w:rPr>
            </w:pP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8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981,116</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999,211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$1,160,367</w:t>
            </w:r>
          </w:p>
        </w:tc>
      </w:tr>
      <w:tr>
        <w:trPr>
          <w:trHeight w:val="173"/>
        </w:trPr>
        <w:tc>
          <w:tcPr>
            <w:tcW w:w="1800" w:type="dxa"/>
            <w:vAlign w:val="bottom"/>
          </w:tcPr>
          <w:p>
            <w:pPr>
              <w:spacing w:after="0"/>
              <w:rPr>
                <w:sz w:val="15"/>
                <w:szCs w:val="15"/>
                <w:color w:val="auto"/>
              </w:rPr>
            </w:pP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1088" w:right="3459" w:hanging="1088"/>
        <w:spacing w:after="0" w:line="243" w:lineRule="auto"/>
        <w:tabs>
          <w:tab w:leader="none" w:pos="108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goodwill, computer software and intellectual property rights.</w:t>
      </w:r>
    </w:p>
    <w:p>
      <w:pPr>
        <w:spacing w:after="0" w:line="175" w:lineRule="exact"/>
        <w:rPr>
          <w:rFonts w:ascii="Courier New" w:cs="Courier New" w:eastAsia="Courier New" w:hAnsi="Courier New"/>
          <w:sz w:val="15"/>
          <w:szCs w:val="15"/>
          <w:color w:val="auto"/>
        </w:rPr>
      </w:pPr>
    </w:p>
    <w:p>
      <w:pPr>
        <w:ind w:left="1088" w:hanging="1088"/>
        <w:spacing w:after="0"/>
        <w:tabs>
          <w:tab w:leader="none" w:pos="108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computers and vehicles.</w:t>
      </w:r>
    </w:p>
    <w:p>
      <w:pPr>
        <w:spacing w:after="0" w:line="200" w:lineRule="exact"/>
        <w:rPr>
          <w:sz w:val="20"/>
          <w:szCs w:val="20"/>
          <w:color w:val="auto"/>
        </w:rPr>
      </w:pPr>
    </w:p>
    <w:p>
      <w:pPr>
        <w:spacing w:after="0" w:line="32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REVENUE AND CUSTOMER INFORMATION</w:t>
      </w:r>
    </w:p>
    <w:p>
      <w:pPr>
        <w:spacing w:after="0" w:line="178"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Customer care and billing, customer relationship management or CRM, and order management systems (collectively, "CC&amp;B") include systems for wireline, wireless, voice, data, broadband, content, electronic and mobile commerce and IP services. Directory includes directory sales and publishing systems for publishers of both traditional printed yellow pages and white pages directories and electronic Internet directories.</w:t>
      </w:r>
    </w:p>
    <w:p>
      <w:pPr>
        <w:spacing w:after="0" w:line="200" w:lineRule="exact"/>
        <w:rPr>
          <w:sz w:val="20"/>
          <w:szCs w:val="20"/>
          <w:color w:val="auto"/>
        </w:rPr>
      </w:pPr>
    </w:p>
    <w:p>
      <w:pPr>
        <w:spacing w:after="0" w:line="32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90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w w:val="99"/>
              </w:rPr>
              <w:t>YEAR ENDED SEPTEMBER 30,</w:t>
            </w:r>
          </w:p>
        </w:tc>
      </w:tr>
      <w:tr>
        <w:trPr>
          <w:trHeight w:val="173"/>
        </w:trPr>
        <w:tc>
          <w:tcPr>
            <w:tcW w:w="1080" w:type="dxa"/>
            <w:vAlign w:val="bottom"/>
          </w:tcPr>
          <w:p>
            <w:pPr>
              <w:spacing w:after="0"/>
              <w:rPr>
                <w:sz w:val="15"/>
                <w:szCs w:val="15"/>
                <w:color w:val="auto"/>
              </w:rPr>
            </w:pPr>
          </w:p>
        </w:tc>
        <w:tc>
          <w:tcPr>
            <w:tcW w:w="4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080" w:type="dxa"/>
            <w:vAlign w:val="bottom"/>
          </w:tcPr>
          <w:p>
            <w:pPr>
              <w:spacing w:after="0"/>
              <w:rPr>
                <w:sz w:val="15"/>
                <w:szCs w:val="15"/>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2002</w:t>
            </w:r>
          </w:p>
        </w:tc>
        <w:tc>
          <w:tcPr>
            <w:tcW w:w="17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2001</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10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080" w:type="dxa"/>
            <w:vAlign w:val="bottom"/>
          </w:tcPr>
          <w:p>
            <w:pPr>
              <w:spacing w:after="0"/>
              <w:rPr>
                <w:sz w:val="20"/>
                <w:szCs w:val="20"/>
                <w:color w:val="auto"/>
              </w:rPr>
            </w:pPr>
            <w:r>
              <w:rPr>
                <w:rFonts w:ascii="Courier New" w:cs="Courier New" w:eastAsia="Courier New" w:hAnsi="Courier New"/>
                <w:sz w:val="15"/>
                <w:szCs w:val="15"/>
                <w:color w:val="auto"/>
              </w:rPr>
              <w:t>CC&amp;B</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$1,439,980</w:t>
            </w:r>
          </w:p>
        </w:tc>
        <w:tc>
          <w:tcPr>
            <w:tcW w:w="1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$1,379,654</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  986,553</w:t>
            </w: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Directory</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173,585</w:t>
            </w:r>
          </w:p>
        </w:tc>
        <w:tc>
          <w:tcPr>
            <w:tcW w:w="1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154,256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131,767</w:t>
            </w:r>
          </w:p>
        </w:tc>
      </w:tr>
      <w:tr>
        <w:trPr>
          <w:trHeight w:val="173"/>
        </w:trPr>
        <w:tc>
          <w:tcPr>
            <w:tcW w:w="10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0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$1,613,565</w:t>
            </w:r>
          </w:p>
        </w:tc>
        <w:tc>
          <w:tcPr>
            <w:tcW w:w="1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$1,533,910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$1,118,320</w:t>
            </w:r>
          </w:p>
        </w:tc>
      </w:tr>
      <w:tr>
        <w:trPr>
          <w:trHeight w:val="173"/>
        </w:trPr>
        <w:tc>
          <w:tcPr>
            <w:tcW w:w="10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27"/>
          </w:cols>
          <w:pgMar w:left="232" w:top="464" w:right="1440" w:bottom="1440" w:gutter="0" w:footer="0" w:header="0"/>
        </w:sectPr>
      </w:pPr>
    </w:p>
    <w:bookmarkStart w:id="36" w:name="page37"/>
    <w:bookmarkEnd w:id="36"/>
    <w:p>
      <w:pPr>
        <w:ind w:left="2960"/>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5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SALES TO SIGNIFICANT CUSTOMERS</w:t>
      </w:r>
    </w:p>
    <w:p>
      <w:pPr>
        <w:spacing w:after="0" w:line="178" w:lineRule="exact"/>
        <w:rPr>
          <w:sz w:val="20"/>
          <w:szCs w:val="20"/>
          <w:color w:val="auto"/>
        </w:rPr>
      </w:pPr>
    </w:p>
    <w:p>
      <w:pPr>
        <w:ind w:right="3199" w:firstLine="811"/>
        <w:spacing w:after="0" w:line="278" w:lineRule="auto"/>
        <w:rPr>
          <w:sz w:val="20"/>
          <w:szCs w:val="20"/>
          <w:color w:val="auto"/>
        </w:rPr>
      </w:pPr>
      <w:r>
        <w:rPr>
          <w:rFonts w:ascii="Courier New" w:cs="Courier New" w:eastAsia="Courier New" w:hAnsi="Courier New"/>
          <w:sz w:val="14"/>
          <w:szCs w:val="14"/>
          <w:color w:val="auto"/>
        </w:rPr>
        <w:t>The following table summarizes the percentage of sales to significant customers groups (when they exceed 10 percent of total revenue for the year).</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20" w:type="dxa"/>
            <w:vAlign w:val="bottom"/>
          </w:tcPr>
          <w:p>
            <w:pPr>
              <w:spacing w:after="0"/>
              <w:rPr>
                <w:sz w:val="14"/>
                <w:szCs w:val="14"/>
                <w:color w:val="auto"/>
              </w:rPr>
            </w:pPr>
          </w:p>
        </w:tc>
        <w:tc>
          <w:tcPr>
            <w:tcW w:w="2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SEPTEMBER 30,</w:t>
            </w:r>
          </w:p>
        </w:tc>
      </w:tr>
      <w:tr>
        <w:trPr>
          <w:trHeight w:val="173"/>
        </w:trPr>
        <w:tc>
          <w:tcPr>
            <w:tcW w:w="4320" w:type="dxa"/>
            <w:vAlign w:val="bottom"/>
          </w:tcPr>
          <w:p>
            <w:pPr>
              <w:spacing w:after="0"/>
              <w:rPr>
                <w:sz w:val="15"/>
                <w:szCs w:val="15"/>
                <w:color w:val="auto"/>
              </w:rPr>
            </w:pPr>
          </w:p>
        </w:tc>
        <w:tc>
          <w:tcPr>
            <w:tcW w:w="2340" w:type="dxa"/>
            <w:vAlign w:val="bottom"/>
            <w:gridSpan w:val="3"/>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3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2002</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2001</w:t>
            </w:r>
          </w:p>
        </w:tc>
        <w:tc>
          <w:tcPr>
            <w:tcW w:w="68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2000</w:t>
            </w:r>
          </w:p>
        </w:tc>
      </w:tr>
      <w:tr>
        <w:trPr>
          <w:trHeight w:val="173"/>
        </w:trPr>
        <w:tc>
          <w:tcPr>
            <w:tcW w:w="43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68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4320" w:type="dxa"/>
            <w:vAlign w:val="bottom"/>
          </w:tcPr>
          <w:p>
            <w:pPr>
              <w:spacing w:after="0"/>
              <w:rPr>
                <w:sz w:val="20"/>
                <w:szCs w:val="20"/>
                <w:color w:val="auto"/>
              </w:rPr>
            </w:pPr>
            <w:r>
              <w:rPr>
                <w:rFonts w:ascii="Courier New" w:cs="Courier New" w:eastAsia="Courier New" w:hAnsi="Courier New"/>
                <w:sz w:val="15"/>
                <w:szCs w:val="15"/>
                <w:color w:val="auto"/>
              </w:rPr>
              <w:t>Nextel Communications group</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SBC Communications Inc. group, a related party</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11</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13</w:t>
            </w:r>
          </w:p>
        </w:tc>
        <w:tc>
          <w:tcPr>
            <w:tcW w:w="68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13</w:t>
            </w:r>
          </w:p>
        </w:tc>
      </w:tr>
      <w:tr>
        <w:trPr>
          <w:trHeight w:val="173"/>
        </w:trPr>
        <w:tc>
          <w:tcPr>
            <w:tcW w:w="4320" w:type="dxa"/>
            <w:vAlign w:val="bottom"/>
          </w:tcPr>
          <w:p>
            <w:pPr>
              <w:spacing w:after="0"/>
              <w:rPr>
                <w:sz w:val="20"/>
                <w:szCs w:val="20"/>
                <w:color w:val="auto"/>
              </w:rPr>
            </w:pPr>
            <w:r>
              <w:rPr>
                <w:rFonts w:ascii="Courier New" w:cs="Courier New" w:eastAsia="Courier New" w:hAnsi="Courier New"/>
                <w:sz w:val="15"/>
                <w:szCs w:val="15"/>
                <w:color w:val="auto"/>
              </w:rPr>
              <w:t>Vodafone group</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10</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9"/>
              </w:rPr>
              <w:t>11</w:t>
            </w:r>
          </w:p>
        </w:tc>
        <w:tc>
          <w:tcPr>
            <w:tcW w:w="68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14</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Less than 10 percent of total revenue</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21 - OPERATIONAL EFFICIENCY AND COST REDUCTION PROGRAM</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In October 2001, as part of a plan to achieve increased operational efficiency and to more closely monitor and reduce costs, the Company consolidated its Stamford, Connecticut data center into its Champaign, Illinois facility, and closed the Stamford facility. As a direct result of this closure, the Company recorded a nonrecurring charge of $13,311 in the first quarter of fiscal 2002, primarily for the write-off of leasehold improvements and rent obligations, with the remainder for employee separation costs. In addition, as part of a general effort to reduce costs, the Company has decreased its overall commitments for employee compensation, through a lesser reliance on fixed compensation programs and a greater reliance on discretionary arrangements.</w:t>
      </w:r>
    </w:p>
    <w:p>
      <w:pPr>
        <w:spacing w:after="0" w:line="18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On June 20, 2002, the Company announced its intention to implement a cost reduction program to reduce costs by approximately 10% in response to a decline of the Company's forecasted revenue for the third and fourth quarters of fiscal 2002. The decline resulted from, among other factors, slowdowns in customer buying decisions in the third quarter of fiscal 2002, stemming from overall reductions in the capital investment budgets of many communications service providers, leading to fewer new contracts for the Company than it had expected, as well as smaller than expected initial spending commitments and reduced discretionary spending under the Company's contracts with some of its customers.</w:t>
      </w:r>
    </w:p>
    <w:p>
      <w:pPr>
        <w:spacing w:after="0" w:line="180"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The Company recorded a charge of $20,919 in the fourth quarter of fiscal 2002, consisting primarily of employee separation costs in connection with the elimination of approximately one thousand positions of software and information technology specialists and administrative professionals that have been eliminated by the Company, with the remainder for the write-off of leasehold improvements and rent obligations. Except for certain lease termination costs that will be paid over the respective lease terms, the</w:t>
      </w:r>
    </w:p>
    <w:p>
      <w:pPr>
        <w:sectPr>
          <w:pgSz w:w="11900" w:h="16838" w:orient="portrait"/>
          <w:cols w:equalWidth="0" w:num="1">
            <w:col w:w="10219"/>
          </w:cols>
          <w:pgMar w:left="240" w:top="464" w:right="1440" w:bottom="1440" w:gutter="0" w:footer="0" w:header="0"/>
        </w:sectPr>
      </w:pPr>
    </w:p>
    <w:bookmarkStart w:id="37" w:name="page38"/>
    <w:bookmarkEnd w:id="37"/>
    <w:p>
      <w:pPr>
        <w:ind w:left="2968"/>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51" w:lineRule="exact"/>
        <w:rPr>
          <w:sz w:val="20"/>
          <w:szCs w:val="20"/>
          <w:color w:val="auto"/>
        </w:rPr>
      </w:pPr>
    </w:p>
    <w:p>
      <w:pPr>
        <w:ind w:left="8" w:right="3019"/>
        <w:spacing w:after="0" w:line="243" w:lineRule="auto"/>
        <w:rPr>
          <w:sz w:val="20"/>
          <w:szCs w:val="20"/>
          <w:color w:val="auto"/>
        </w:rPr>
      </w:pPr>
      <w:r>
        <w:rPr>
          <w:rFonts w:ascii="Courier New" w:cs="Courier New" w:eastAsia="Courier New" w:hAnsi="Courier New"/>
          <w:sz w:val="15"/>
          <w:szCs w:val="15"/>
          <w:color w:val="auto"/>
        </w:rPr>
        <w:t>Company expects to pay substantially all of the remaining accrual balance of the cost reduction program in the first quarter of fiscal 2003.</w:t>
      </w:r>
    </w:p>
    <w:p>
      <w:pPr>
        <w:spacing w:after="0" w:line="176" w:lineRule="exact"/>
        <w:rPr>
          <w:sz w:val="20"/>
          <w:szCs w:val="20"/>
          <w:color w:val="auto"/>
        </w:rPr>
      </w:pPr>
    </w:p>
    <w:p>
      <w:pPr>
        <w:ind w:left="8" w:right="3199" w:firstLine="811"/>
        <w:spacing w:after="0" w:line="244" w:lineRule="auto"/>
        <w:rPr>
          <w:sz w:val="20"/>
          <w:szCs w:val="20"/>
          <w:color w:val="auto"/>
        </w:rPr>
      </w:pPr>
      <w:r>
        <w:rPr>
          <w:rFonts w:ascii="Courier New" w:cs="Courier New" w:eastAsia="Courier New" w:hAnsi="Courier New"/>
          <w:sz w:val="15"/>
          <w:szCs w:val="15"/>
          <w:color w:val="auto"/>
        </w:rPr>
        <w:t>These charges are included in "restructuring charges, in-process research and development and other indirect acquisition-related costs" for the year ended September 30, 2002.</w:t>
      </w:r>
    </w:p>
    <w:p>
      <w:pPr>
        <w:spacing w:after="0" w:line="175"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As of September 30, 2002, the remaining restructuring expense reserves were $14,884. The remaining employee separation costs are expected to be paid out through the first quarter of fiscal 2003. Facility related costs are expected to be paid out through April 2012. Actual future cash requirements may differ materially from the accrual as of September 30, 2002, particularly if actual sublease income is significantly different from current estimates.</w:t>
      </w:r>
    </w:p>
    <w:p>
      <w:pPr>
        <w:spacing w:after="0" w:line="177" w:lineRule="exact"/>
        <w:rPr>
          <w:sz w:val="20"/>
          <w:szCs w:val="20"/>
          <w:color w:val="auto"/>
        </w:rPr>
      </w:pPr>
    </w:p>
    <w:p>
      <w:pPr>
        <w:ind w:left="8" w:right="3199" w:firstLine="811"/>
        <w:spacing w:after="0" w:line="243" w:lineRule="auto"/>
        <w:rPr>
          <w:sz w:val="20"/>
          <w:szCs w:val="20"/>
          <w:color w:val="auto"/>
        </w:rPr>
      </w:pPr>
      <w:r>
        <w:rPr>
          <w:rFonts w:ascii="Courier New" w:cs="Courier New" w:eastAsia="Courier New" w:hAnsi="Courier New"/>
          <w:sz w:val="15"/>
          <w:szCs w:val="15"/>
          <w:color w:val="auto"/>
        </w:rPr>
        <w:t>A summary of restructuring activities along with respective remaining reserves follows:</w:t>
      </w:r>
    </w:p>
    <w:p>
      <w:pPr>
        <w:spacing w:after="0" w:line="200" w:lineRule="exact"/>
        <w:rPr>
          <w:sz w:val="20"/>
          <w:szCs w:val="20"/>
          <w:color w:val="auto"/>
        </w:rPr>
      </w:pPr>
    </w:p>
    <w:p>
      <w:pPr>
        <w:spacing w:after="0" w:line="32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Balance as of</w:t>
            </w:r>
          </w:p>
        </w:tc>
      </w:tr>
      <w:tr>
        <w:trPr>
          <w:trHeight w:val="173"/>
        </w:trPr>
        <w:tc>
          <w:tcPr>
            <w:tcW w:w="1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Restructuring Charges</w:t>
            </w: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Cash</w:t>
            </w:r>
          </w:p>
        </w:tc>
        <w:tc>
          <w:tcPr>
            <w:tcW w:w="36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Non-cash</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September 30, 2002</w:t>
            </w:r>
          </w:p>
        </w:tc>
      </w:tr>
      <w:tr>
        <w:trPr>
          <w:trHeight w:val="173"/>
        </w:trPr>
        <w:tc>
          <w:tcPr>
            <w:tcW w:w="1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Plan 1(*)</w:t>
            </w: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8"/>
              </w:rPr>
              <w:t>Plan 2(*)</w:t>
            </w:r>
          </w:p>
        </w:tc>
        <w:tc>
          <w:tcPr>
            <w:tcW w:w="1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73"/>
        </w:trPr>
        <w:tc>
          <w:tcPr>
            <w:tcW w:w="1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347"/>
        </w:trPr>
        <w:tc>
          <w:tcPr>
            <w:tcW w:w="1980" w:type="dxa"/>
            <w:vAlign w:val="bottom"/>
          </w:tcPr>
          <w:p>
            <w:pPr>
              <w:spacing w:after="0"/>
              <w:rPr>
                <w:sz w:val="20"/>
                <w:szCs w:val="20"/>
                <w:color w:val="auto"/>
              </w:rPr>
            </w:pPr>
            <w:r>
              <w:rPr>
                <w:rFonts w:ascii="Courier New" w:cs="Courier New" w:eastAsia="Courier New" w:hAnsi="Courier New"/>
                <w:sz w:val="15"/>
                <w:szCs w:val="15"/>
                <w:color w:val="auto"/>
              </w:rPr>
              <w:t>Employee separation</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73"/>
        </w:trPr>
        <w:tc>
          <w:tcPr>
            <w:tcW w:w="1980" w:type="dxa"/>
            <w:vAlign w:val="bottom"/>
          </w:tcPr>
          <w:p>
            <w:pPr>
              <w:ind w:left="180"/>
              <w:spacing w:after="0"/>
              <w:rPr>
                <w:sz w:val="20"/>
                <w:szCs w:val="20"/>
                <w:color w:val="auto"/>
              </w:rPr>
            </w:pPr>
            <w:r>
              <w:rPr>
                <w:rFonts w:ascii="Courier New" w:cs="Courier New" w:eastAsia="Courier New" w:hAnsi="Courier New"/>
                <w:sz w:val="15"/>
                <w:szCs w:val="15"/>
                <w:color w:val="auto"/>
              </w:rPr>
              <w:t>costs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2,530</w:t>
            </w: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w w:val="97"/>
              </w:rPr>
              <w:t>$ 11,353</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$(10,525)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3,357</w:t>
            </w:r>
          </w:p>
        </w:tc>
      </w:tr>
      <w:tr>
        <w:trPr>
          <w:trHeight w:val="173"/>
        </w:trPr>
        <w:tc>
          <w:tcPr>
            <w:tcW w:w="1980" w:type="dxa"/>
            <w:vAlign w:val="bottom"/>
          </w:tcPr>
          <w:p>
            <w:pPr>
              <w:spacing w:after="0"/>
              <w:rPr>
                <w:sz w:val="20"/>
                <w:szCs w:val="20"/>
                <w:color w:val="auto"/>
              </w:rPr>
            </w:pPr>
            <w:r>
              <w:rPr>
                <w:rFonts w:ascii="Courier New" w:cs="Courier New" w:eastAsia="Courier New" w:hAnsi="Courier New"/>
                <w:sz w:val="15"/>
                <w:szCs w:val="15"/>
                <w:color w:val="auto"/>
              </w:rPr>
              <w:t>Facilities</w:t>
            </w:r>
          </w:p>
        </w:tc>
        <w:tc>
          <w:tcPr>
            <w:tcW w:w="360" w:type="dxa"/>
            <w:vAlign w:val="bottom"/>
          </w:tcPr>
          <w:p>
            <w:pPr>
              <w:spacing w:after="0"/>
              <w:rPr>
                <w:sz w:val="15"/>
                <w:szCs w:val="15"/>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6,255</w:t>
            </w: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7,880</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(3,048)</w:t>
            </w:r>
          </w:p>
        </w:tc>
        <w:tc>
          <w:tcPr>
            <w:tcW w:w="36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11,087</w:t>
            </w:r>
          </w:p>
        </w:tc>
      </w:tr>
      <w:tr>
        <w:trPr>
          <w:trHeight w:val="173"/>
        </w:trPr>
        <w:tc>
          <w:tcPr>
            <w:tcW w:w="1980" w:type="dxa"/>
            <w:vAlign w:val="bottom"/>
          </w:tcPr>
          <w:p>
            <w:pPr>
              <w:spacing w:after="0"/>
              <w:rPr>
                <w:sz w:val="20"/>
                <w:szCs w:val="20"/>
                <w:color w:val="auto"/>
              </w:rPr>
            </w:pPr>
            <w:r>
              <w:rPr>
                <w:rFonts w:ascii="Courier New" w:cs="Courier New" w:eastAsia="Courier New" w:hAnsi="Courier New"/>
                <w:sz w:val="15"/>
                <w:szCs w:val="15"/>
                <w:color w:val="auto"/>
              </w:rPr>
              <w:t>Asset write-offs</w:t>
            </w:r>
          </w:p>
        </w:tc>
        <w:tc>
          <w:tcPr>
            <w:tcW w:w="360" w:type="dxa"/>
            <w:vAlign w:val="bottom"/>
          </w:tcPr>
          <w:p>
            <w:pPr>
              <w:spacing w:after="0"/>
              <w:rPr>
                <w:sz w:val="15"/>
                <w:szCs w:val="15"/>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4,126</w:t>
            </w: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1,584</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(5,710)</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19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360" w:type="dxa"/>
            <w:vAlign w:val="bottom"/>
          </w:tcPr>
          <w:p>
            <w:pPr>
              <w:spacing w:after="0"/>
              <w:rPr>
                <w:sz w:val="15"/>
                <w:szCs w:val="15"/>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400</w:t>
            </w: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102</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(62)</w:t>
            </w:r>
          </w:p>
        </w:tc>
        <w:tc>
          <w:tcPr>
            <w:tcW w:w="360" w:type="dxa"/>
            <w:vAlign w:val="bottom"/>
          </w:tcPr>
          <w:p>
            <w:pPr>
              <w:spacing w:after="0"/>
              <w:rPr>
                <w:sz w:val="15"/>
                <w:szCs w:val="15"/>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440</w:t>
            </w:r>
          </w:p>
        </w:tc>
      </w:tr>
      <w:tr>
        <w:trPr>
          <w:trHeight w:val="173"/>
        </w:trPr>
        <w:tc>
          <w:tcPr>
            <w:tcW w:w="1980" w:type="dxa"/>
            <w:vAlign w:val="bottom"/>
          </w:tcPr>
          <w:p>
            <w:pPr>
              <w:spacing w:after="0"/>
              <w:rPr>
                <w:sz w:val="15"/>
                <w:szCs w:val="15"/>
                <w:color w:val="auto"/>
              </w:rPr>
            </w:pPr>
          </w:p>
        </w:tc>
        <w:tc>
          <w:tcPr>
            <w:tcW w:w="15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w w:val="97"/>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19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13,311</w:t>
            </w: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w w:val="97"/>
              </w:rPr>
              <w:t>$ 20,919</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$(13,635)</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(5,710)</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$ 14,884</w:t>
            </w:r>
          </w:p>
        </w:tc>
      </w:tr>
      <w:tr>
        <w:trPr>
          <w:trHeight w:val="173"/>
        </w:trPr>
        <w:tc>
          <w:tcPr>
            <w:tcW w:w="1980" w:type="dxa"/>
            <w:vAlign w:val="bottom"/>
          </w:tcPr>
          <w:p>
            <w:pPr>
              <w:spacing w:after="0"/>
              <w:rPr>
                <w:sz w:val="15"/>
                <w:szCs w:val="15"/>
                <w:color w:val="auto"/>
              </w:rPr>
            </w:pPr>
          </w:p>
        </w:tc>
        <w:tc>
          <w:tcPr>
            <w:tcW w:w="15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w w:val="97"/>
              </w:rPr>
              <w:t>========</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1088" w:right="3099" w:hanging="1088"/>
        <w:spacing w:after="0" w:line="244" w:lineRule="auto"/>
        <w:tabs>
          <w:tab w:leader="none" w:pos="108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1 refers to the closure of the Stamford facility in the first quarter of fiscal 2002. Plan 2 refers to the cost reduction program implemented in the fourth quarter of fiscal 2002.</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 additional cost reduction measures, see Note 24.</w:t>
      </w:r>
    </w:p>
    <w:p>
      <w:pPr>
        <w:sectPr>
          <w:pgSz w:w="11900" w:h="16838" w:orient="portrait"/>
          <w:cols w:equalWidth="0" w:num="1">
            <w:col w:w="10227"/>
          </w:cols>
          <w:pgMar w:left="232" w:top="464" w:right="1440" w:bottom="1440" w:gutter="0" w:footer="0" w:header="0"/>
        </w:sectPr>
      </w:pPr>
    </w:p>
    <w:bookmarkStart w:id="38" w:name="page39"/>
    <w:bookmarkEnd w:id="38"/>
    <w:p>
      <w:pPr>
        <w:ind w:left="2960"/>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22 - FINANCIAL INSTRUMENTS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Company enters into forward contracts to sell foreign currency in order to hedge its exposure associated with some firm commitments from customers in non-U.S. dollar-based currencies and treats these for accounting purposes as fair value hedges. The Company also enters into forward contracts in foreign currency to reduce the exposure associated with estimated receipts from customers and with anticipated costs (primarily personnel costs), in non-U.S. dollar-based currencies and treats these as cash flow hedges. The derivative financial instruments are afforded hedge accounting because they are effective in managing foreign exchange risks and are appropriately assigned to the underlying exposures. The Company does not engage in currency speculation. Generally, the Company measures the differential between forward rates and spot rates on forward exchange contracts as the inherent ineffectiveness of a hedging arrangement. Accordingly, changes in the fair value of forward exchange contracts, which are classified as fair value hedges, offset the change in the fair value of the hedged item to the extent of the arrangement's effectiveness. The effective portion of the change in the fair value of forward exchange contracts, which are classified as cash flow hedges, is recorded as comprehensive income until the underlying transaction is recognized in earnings. Forward contracts, which are not designated as hedging instruments under SFAS No. 133, are used to hedge the impact of the variability in exchange rates on certain accounts receivables and investment in Certen convertible debentures denominated in foreign currencies.</w:t>
      </w:r>
    </w:p>
    <w:p>
      <w:pPr>
        <w:spacing w:after="0" w:line="187" w:lineRule="exact"/>
        <w:rPr>
          <w:sz w:val="20"/>
          <w:szCs w:val="20"/>
          <w:color w:val="auto"/>
        </w:rPr>
      </w:pPr>
    </w:p>
    <w:p>
      <w:pPr>
        <w:jc w:val="both"/>
        <w:ind w:right="3099" w:firstLine="811"/>
        <w:spacing w:after="0" w:line="244" w:lineRule="auto"/>
        <w:rPr>
          <w:sz w:val="20"/>
          <w:szCs w:val="20"/>
          <w:color w:val="auto"/>
        </w:rPr>
      </w:pPr>
      <w:r>
        <w:rPr>
          <w:rFonts w:ascii="Courier New" w:cs="Courier New" w:eastAsia="Courier New" w:hAnsi="Courier New"/>
          <w:sz w:val="15"/>
          <w:szCs w:val="15"/>
          <w:color w:val="auto"/>
        </w:rPr>
        <w:t>The fair values of the forward derivatives were $(7,125) and $(11,298) on September 30, 2002 and 2001, respectively. The Company currently enters into forward exchange contracts exclusively with major financial institutions.</w:t>
      </w:r>
    </w:p>
    <w:p>
      <w:pPr>
        <w:spacing w:after="0" w:line="17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During fiscal 2002 and 2001, there were no significant gains or losses recognized in earnings for hedge ineffectiveness, and the Company did not recognize in earnings any significant gains or losses resulting from a hedged firm commitment that no longer qualified as a fair value hedge. During fiscal 2002, the Company recognized in earnings $25 loss resulting from hedged forecasted cash flows that no longer qualified as cash flow hedges.</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Derivatives gains and losses, that are included in other comprehensive income, are reclassified into earnings at the time the forecasted revenue or operation expenses are recognized. The Company estimates that a $4,874 derivative net loss included in other comprehensive income will be reclassified into earnings within the next twelve months.</w:t>
      </w:r>
    </w:p>
    <w:p>
      <w:pPr>
        <w:sectPr>
          <w:pgSz w:w="11900" w:h="16838" w:orient="portrait"/>
          <w:cols w:equalWidth="0" w:num="1">
            <w:col w:w="10219"/>
          </w:cols>
          <w:pgMar w:left="240" w:top="464" w:right="1440" w:bottom="1440" w:gutter="0" w:footer="0" w:header="0"/>
        </w:sectPr>
      </w:pPr>
    </w:p>
    <w:bookmarkStart w:id="39" w:name="page40"/>
    <w:bookmarkEnd w:id="39"/>
    <w:p>
      <w:pPr>
        <w:ind w:left="2968"/>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 23 - SELECTED QUARTERLY RESULTS OF OPERATIONS (UNAUDITED)</w:t>
      </w:r>
    </w:p>
    <w:p>
      <w:pPr>
        <w:spacing w:after="0" w:line="178" w:lineRule="exact"/>
        <w:rPr>
          <w:sz w:val="20"/>
          <w:szCs w:val="20"/>
          <w:color w:val="auto"/>
        </w:rPr>
      </w:pPr>
    </w:p>
    <w:p>
      <w:pPr>
        <w:ind w:left="8" w:right="1180" w:firstLine="811"/>
        <w:spacing w:after="0" w:line="243" w:lineRule="auto"/>
        <w:rPr>
          <w:sz w:val="20"/>
          <w:szCs w:val="20"/>
          <w:color w:val="auto"/>
        </w:rPr>
      </w:pPr>
      <w:r>
        <w:rPr>
          <w:rFonts w:ascii="Courier New" w:cs="Courier New" w:eastAsia="Courier New" w:hAnsi="Courier New"/>
          <w:sz w:val="15"/>
          <w:szCs w:val="15"/>
          <w:color w:val="auto"/>
        </w:rPr>
        <w:t>The following are details of the unaudited quarterly results of operations for the three months ended:</w:t>
      </w:r>
    </w:p>
    <w:p>
      <w:pPr>
        <w:spacing w:after="0" w:line="200" w:lineRule="exact"/>
        <w:rPr>
          <w:sz w:val="20"/>
          <w:szCs w:val="20"/>
          <w:color w:val="auto"/>
        </w:rPr>
      </w:pPr>
    </w:p>
    <w:p>
      <w:pPr>
        <w:spacing w:after="0" w:line="32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4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SEPTEMBER</w:t>
            </w: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3"/>
        </w:trPr>
        <w:tc>
          <w:tcPr>
            <w:tcW w:w="3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30,</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JUNE 30,</w:t>
            </w: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MARCH 31,</w:t>
            </w:r>
          </w:p>
        </w:tc>
      </w:tr>
      <w:tr>
        <w:trPr>
          <w:trHeight w:val="173"/>
        </w:trPr>
        <w:tc>
          <w:tcPr>
            <w:tcW w:w="3600" w:type="dxa"/>
            <w:vAlign w:val="bottom"/>
          </w:tcPr>
          <w:p>
            <w:pPr>
              <w:spacing w:after="0"/>
              <w:rPr>
                <w:sz w:val="15"/>
                <w:szCs w:val="15"/>
                <w:color w:val="auto"/>
              </w:rPr>
            </w:pP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3600" w:type="dxa"/>
            <w:vAlign w:val="bottom"/>
          </w:tcPr>
          <w:p>
            <w:pPr>
              <w:spacing w:after="0"/>
              <w:rPr>
                <w:sz w:val="20"/>
                <w:szCs w:val="20"/>
                <w:color w:val="auto"/>
              </w:rPr>
            </w:pPr>
            <w:r>
              <w:rPr>
                <w:rFonts w:ascii="Courier New" w:cs="Courier New" w:eastAsia="Courier New" w:hAnsi="Courier New"/>
                <w:sz w:val="15"/>
                <w:szCs w:val="15"/>
                <w:color w:val="auto"/>
              </w:rPr>
              <w:t>2002 (*)</w:t>
            </w: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355,520</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$ 380,135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455,269</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Operating (loss) income</w:t>
            </w:r>
          </w:p>
        </w:tc>
        <w:tc>
          <w:tcPr>
            <w:tcW w:w="40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(25,385)</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2,503</w:t>
            </w:r>
          </w:p>
        </w:tc>
        <w:tc>
          <w:tcPr>
            <w:tcW w:w="36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50,813</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Net (loss) income</w:t>
            </w:r>
          </w:p>
        </w:tc>
        <w:tc>
          <w:tcPr>
            <w:tcW w:w="40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(8,986)</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(26,851)</w:t>
            </w:r>
          </w:p>
        </w:tc>
        <w:tc>
          <w:tcPr>
            <w:tcW w:w="36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26,441</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Basic and diluted (loss) earnings per</w:t>
            </w: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3600" w:type="dxa"/>
            <w:vAlign w:val="bottom"/>
          </w:tcPr>
          <w:p>
            <w:pPr>
              <w:ind w:left="180"/>
              <w:spacing w:after="0"/>
              <w:rPr>
                <w:sz w:val="20"/>
                <w:szCs w:val="20"/>
                <w:color w:val="auto"/>
              </w:rPr>
            </w:pPr>
            <w:r>
              <w:rPr>
                <w:rFonts w:ascii="Courier New" w:cs="Courier New" w:eastAsia="Courier New" w:hAnsi="Courier New"/>
                <w:sz w:val="15"/>
                <w:szCs w:val="15"/>
                <w:color w:val="auto"/>
              </w:rPr>
              <w:t>share</w:t>
            </w:r>
          </w:p>
        </w:tc>
        <w:tc>
          <w:tcPr>
            <w:tcW w:w="40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(0.04)</w:t>
            </w:r>
          </w:p>
        </w:tc>
        <w:tc>
          <w:tcPr>
            <w:tcW w:w="14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(0.12)</w:t>
            </w:r>
          </w:p>
        </w:tc>
        <w:tc>
          <w:tcPr>
            <w:tcW w:w="36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0.12</w:t>
            </w:r>
          </w:p>
        </w:tc>
      </w:tr>
      <w:tr>
        <w:trPr>
          <w:trHeight w:val="347"/>
        </w:trPr>
        <w:tc>
          <w:tcPr>
            <w:tcW w:w="360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415,447</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$ 404,007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372,289</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4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49,529</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44,864</w:t>
            </w:r>
          </w:p>
        </w:tc>
        <w:tc>
          <w:tcPr>
            <w:tcW w:w="36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37,356</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19,905</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18,492</w:t>
            </w:r>
          </w:p>
        </w:tc>
        <w:tc>
          <w:tcPr>
            <w:tcW w:w="36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15,413</w:t>
            </w:r>
          </w:p>
        </w:tc>
      </w:tr>
      <w:tr>
        <w:trPr>
          <w:trHeight w:val="173"/>
        </w:trPr>
        <w:tc>
          <w:tcPr>
            <w:tcW w:w="3600" w:type="dxa"/>
            <w:vAlign w:val="bottom"/>
          </w:tcPr>
          <w:p>
            <w:pPr>
              <w:spacing w:after="0"/>
              <w:rPr>
                <w:sz w:val="20"/>
                <w:szCs w:val="20"/>
                <w:color w:val="auto"/>
              </w:rPr>
            </w:pPr>
            <w:r>
              <w:rPr>
                <w:rFonts w:ascii="Courier New" w:cs="Courier New" w:eastAsia="Courier New" w:hAnsi="Courier New"/>
                <w:sz w:val="15"/>
                <w:szCs w:val="15"/>
                <w:color w:val="auto"/>
              </w:rPr>
              <w:t>Basic and diluted earnings per share</w:t>
            </w:r>
          </w:p>
        </w:tc>
        <w:tc>
          <w:tcPr>
            <w:tcW w:w="40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0.09</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0.08</w:t>
            </w:r>
          </w:p>
        </w:tc>
        <w:tc>
          <w:tcPr>
            <w:tcW w:w="36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0.07</w:t>
            </w:r>
          </w:p>
        </w:tc>
      </w:tr>
    </w:tbl>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1088" w:right="720" w:hanging="1088"/>
        <w:spacing w:after="0" w:line="244" w:lineRule="auto"/>
        <w:tabs>
          <w:tab w:leader="none" w:pos="108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fiscal 2002, the fiscal quarters ended December 31, 2001 and September 30, 2002 included restructuring charges, purchased in-process research and development expense and gain from the repurchase of Notes of $30,711, $20,919 and $6,012, respectively.</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 24 - SUBSEQUENT EVENT</w:t>
      </w:r>
    </w:p>
    <w:p>
      <w:pPr>
        <w:spacing w:after="0" w:line="178" w:lineRule="exact"/>
        <w:rPr>
          <w:sz w:val="20"/>
          <w:szCs w:val="20"/>
          <w:color w:val="auto"/>
        </w:rPr>
      </w:pPr>
    </w:p>
    <w:p>
      <w:pPr>
        <w:ind w:left="8" w:right="540" w:firstLine="811"/>
        <w:spacing w:after="0" w:line="244" w:lineRule="auto"/>
        <w:rPr>
          <w:sz w:val="20"/>
          <w:szCs w:val="20"/>
          <w:color w:val="auto"/>
        </w:rPr>
      </w:pPr>
      <w:r>
        <w:rPr>
          <w:rFonts w:ascii="Courier New" w:cs="Courier New" w:eastAsia="Courier New" w:hAnsi="Courier New"/>
          <w:sz w:val="15"/>
          <w:szCs w:val="15"/>
          <w:color w:val="auto"/>
        </w:rPr>
        <w:t>On November 27, 2002 the Company announced a series of measures designed to reduce costs and improve productivity. As part of this plan, the Company will reduce its workforce by approximately 400 positions out of a total workforce of 9,000 employees. The reductions will be from different centers around the world. In addition, the Company will implement other cost reduction measures, including travel cuts and reductions in other discretionary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61" w:lineRule="exact"/>
        <w:rPr>
          <w:sz w:val="20"/>
          <w:szCs w:val="20"/>
          <w:color w:val="auto"/>
        </w:rPr>
      </w:pPr>
    </w:p>
    <w:p>
      <w:pPr>
        <w:ind w:left="260" w:hanging="173"/>
        <w:spacing w:after="0"/>
        <w:tabs>
          <w:tab w:leader="none" w:pos="2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422,641</w:t>
      </w:r>
    </w:p>
    <w:p>
      <w:pPr>
        <w:spacing w:after="0" w:line="3"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21,229</w:t>
      </w:r>
    </w:p>
    <w:p>
      <w:pPr>
        <w:spacing w:after="0" w:line="3"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4,334</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0.02</w:t>
      </w:r>
    </w:p>
    <w:p>
      <w:pPr>
        <w:spacing w:after="0" w:line="350" w:lineRule="exact"/>
        <w:rPr>
          <w:sz w:val="20"/>
          <w:szCs w:val="20"/>
          <w:color w:val="auto"/>
        </w:rPr>
      </w:pPr>
    </w:p>
    <w:p>
      <w:pPr>
        <w:ind w:left="260" w:hanging="173"/>
        <w:spacing w:after="0"/>
        <w:tabs>
          <w:tab w:leader="none" w:pos="2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342,167</w:t>
      </w:r>
    </w:p>
    <w:p>
      <w:pPr>
        <w:spacing w:after="0" w:line="3"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27,532</w:t>
      </w:r>
    </w:p>
    <w:p>
      <w:pPr>
        <w:spacing w:after="0" w:line="3"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12,576</w:t>
      </w:r>
    </w:p>
    <w:p>
      <w:pPr>
        <w:spacing w:after="0" w:line="3"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0.06</w:t>
      </w:r>
    </w:p>
    <w:p>
      <w:pPr>
        <w:sectPr>
          <w:pgSz w:w="11900" w:h="16838" w:orient="portrait"/>
          <w:cols w:equalWidth="0" w:num="2">
            <w:col w:w="7668" w:space="360"/>
            <w:col w:w="2199"/>
          </w:cols>
          <w:pgMar w:left="232" w:top="464" w:right="1440" w:bottom="1440" w:gutter="0" w:footer="0" w:header="0"/>
        </w:sectPr>
      </w:pPr>
    </w:p>
    <w:bookmarkStart w:id="40" w:name="page41"/>
    <w:bookmarkEnd w:id="40"/>
    <w:p>
      <w:pPr>
        <w:ind w:left="808"/>
        <w:spacing w:after="0"/>
        <w:tabs>
          <w:tab w:leader="none" w:pos="1687"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Financial Statement Schedule</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VALUATION AND QUALIFYING ACCOUNTS</w:t>
      </w:r>
    </w:p>
    <w:p>
      <w:pPr>
        <w:spacing w:after="0" w:line="200" w:lineRule="exact"/>
        <w:rPr>
          <w:sz w:val="20"/>
          <w:szCs w:val="20"/>
          <w:color w:val="auto"/>
        </w:rPr>
      </w:pPr>
    </w:p>
    <w:p>
      <w:pPr>
        <w:spacing w:after="0" w:line="324" w:lineRule="exact"/>
        <w:rPr>
          <w:sz w:val="20"/>
          <w:szCs w:val="20"/>
          <w:color w:val="auto"/>
        </w:rPr>
      </w:pPr>
    </w:p>
    <w:p>
      <w:pPr>
        <w:jc w:val="center"/>
        <w:ind w:right="-307"/>
        <w:spacing w:after="0"/>
        <w:rPr>
          <w:sz w:val="20"/>
          <w:szCs w:val="20"/>
          <w:color w:val="auto"/>
        </w:rPr>
      </w:pPr>
      <w:r>
        <w:rPr>
          <w:rFonts w:ascii="Courier New" w:cs="Courier New" w:eastAsia="Courier New" w:hAnsi="Courier New"/>
          <w:sz w:val="15"/>
          <w:szCs w:val="15"/>
          <w:color w:val="auto"/>
        </w:rPr>
        <w:t>Additions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1940" w:type="dxa"/>
            <w:vAlign w:val="bottom"/>
          </w:tcPr>
          <w:p>
            <w:pPr>
              <w:ind w:left="680"/>
              <w:spacing w:after="0"/>
              <w:rPr>
                <w:sz w:val="20"/>
                <w:szCs w:val="20"/>
                <w:color w:val="auto"/>
              </w:rPr>
            </w:pPr>
            <w:r>
              <w:rPr>
                <w:rFonts w:ascii="Courier New" w:cs="Courier New" w:eastAsia="Courier New" w:hAnsi="Courier New"/>
                <w:sz w:val="15"/>
                <w:szCs w:val="15"/>
                <w:color w:val="auto"/>
              </w:rPr>
              <w:t>Balance at</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Charged to</w:t>
            </w:r>
          </w:p>
        </w:tc>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Charged to other</w:t>
            </w:r>
          </w:p>
        </w:tc>
        <w:tc>
          <w:tcPr>
            <w:tcW w:w="1480" w:type="dxa"/>
            <w:vAlign w:val="bottom"/>
          </w:tcPr>
          <w:p>
            <w:pPr>
              <w:ind w:left="320"/>
              <w:spacing w:after="0"/>
              <w:rPr>
                <w:sz w:val="20"/>
                <w:szCs w:val="20"/>
                <w:color w:val="auto"/>
              </w:rPr>
            </w:pPr>
            <w:r>
              <w:rPr>
                <w:rFonts w:ascii="Courier New" w:cs="Courier New" w:eastAsia="Courier New" w:hAnsi="Courier New"/>
                <w:sz w:val="15"/>
                <w:szCs w:val="15"/>
                <w:color w:val="auto"/>
              </w:rPr>
              <w:t>Deductions</w:t>
            </w:r>
          </w:p>
        </w:tc>
        <w:tc>
          <w:tcPr>
            <w:tcW w:w="1440" w:type="dxa"/>
            <w:vAlign w:val="bottom"/>
          </w:tcPr>
          <w:p>
            <w:pPr>
              <w:ind w:left="280"/>
              <w:spacing w:after="0"/>
              <w:rPr>
                <w:sz w:val="20"/>
                <w:szCs w:val="20"/>
                <w:color w:val="auto"/>
              </w:rPr>
            </w:pPr>
            <w:r>
              <w:rPr>
                <w:rFonts w:ascii="Courier New" w:cs="Courier New" w:eastAsia="Courier New" w:hAnsi="Courier New"/>
                <w:sz w:val="15"/>
                <w:szCs w:val="15"/>
                <w:color w:val="auto"/>
              </w:rPr>
              <w:t>Balance at</w:t>
            </w:r>
          </w:p>
        </w:tc>
      </w:tr>
      <w:tr>
        <w:trPr>
          <w:trHeight w:val="173"/>
        </w:trPr>
        <w:tc>
          <w:tcPr>
            <w:tcW w:w="1660" w:type="dxa"/>
            <w:vAlign w:val="bottom"/>
          </w:tcPr>
          <w:p>
            <w:pPr>
              <w:spacing w:after="0"/>
              <w:rPr>
                <w:sz w:val="15"/>
                <w:szCs w:val="15"/>
                <w:color w:val="auto"/>
              </w:rPr>
            </w:pPr>
          </w:p>
        </w:tc>
        <w:tc>
          <w:tcPr>
            <w:tcW w:w="1940" w:type="dxa"/>
            <w:vAlign w:val="bottom"/>
          </w:tcPr>
          <w:p>
            <w:pPr>
              <w:ind w:left="680"/>
              <w:spacing w:after="0"/>
              <w:rPr>
                <w:sz w:val="20"/>
                <w:szCs w:val="20"/>
                <w:color w:val="auto"/>
              </w:rPr>
            </w:pPr>
            <w:r>
              <w:rPr>
                <w:rFonts w:ascii="Courier New" w:cs="Courier New" w:eastAsia="Courier New" w:hAnsi="Courier New"/>
                <w:sz w:val="15"/>
                <w:szCs w:val="15"/>
                <w:color w:val="auto"/>
              </w:rPr>
              <w:t>beginning of</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costs and</w:t>
            </w:r>
          </w:p>
        </w:tc>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accounts</w:t>
            </w:r>
          </w:p>
        </w:tc>
        <w:tc>
          <w:tcPr>
            <w:tcW w:w="1480" w:type="dxa"/>
            <w:vAlign w:val="bottom"/>
          </w:tcPr>
          <w:p>
            <w:pPr>
              <w:spacing w:after="0"/>
              <w:rPr>
                <w:sz w:val="15"/>
                <w:szCs w:val="15"/>
                <w:color w:val="auto"/>
              </w:rPr>
            </w:pPr>
          </w:p>
        </w:tc>
        <w:tc>
          <w:tcPr>
            <w:tcW w:w="1440" w:type="dxa"/>
            <w:vAlign w:val="bottom"/>
          </w:tcPr>
          <w:p>
            <w:pPr>
              <w:ind w:left="280"/>
              <w:spacing w:after="0"/>
              <w:rPr>
                <w:sz w:val="20"/>
                <w:szCs w:val="20"/>
                <w:color w:val="auto"/>
              </w:rPr>
            </w:pPr>
            <w:r>
              <w:rPr>
                <w:rFonts w:ascii="Courier New" w:cs="Courier New" w:eastAsia="Courier New" w:hAnsi="Courier New"/>
                <w:sz w:val="15"/>
                <w:szCs w:val="15"/>
                <w:color w:val="auto"/>
                <w:w w:val="97"/>
              </w:rPr>
              <w:t>end of period</w:t>
            </w:r>
          </w:p>
        </w:tc>
      </w:tr>
      <w:tr>
        <w:trPr>
          <w:trHeight w:val="173"/>
        </w:trPr>
        <w:tc>
          <w:tcPr>
            <w:tcW w:w="1660" w:type="dxa"/>
            <w:vAlign w:val="bottom"/>
          </w:tcPr>
          <w:p>
            <w:pPr>
              <w:spacing w:after="0"/>
              <w:rPr>
                <w:sz w:val="15"/>
                <w:szCs w:val="15"/>
                <w:color w:val="auto"/>
              </w:rPr>
            </w:pPr>
          </w:p>
        </w:tc>
        <w:tc>
          <w:tcPr>
            <w:tcW w:w="1940" w:type="dxa"/>
            <w:vAlign w:val="bottom"/>
          </w:tcPr>
          <w:p>
            <w:pPr>
              <w:ind w:left="680"/>
              <w:spacing w:after="0"/>
              <w:rPr>
                <w:sz w:val="20"/>
                <w:szCs w:val="20"/>
                <w:color w:val="auto"/>
              </w:rPr>
            </w:pPr>
            <w:r>
              <w:rPr>
                <w:rFonts w:ascii="Courier New" w:cs="Courier New" w:eastAsia="Courier New" w:hAnsi="Courier New"/>
                <w:sz w:val="15"/>
                <w:szCs w:val="15"/>
                <w:color w:val="auto"/>
              </w:rPr>
              <w:t>period</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expenses</w:t>
            </w:r>
          </w:p>
        </w:tc>
        <w:tc>
          <w:tcPr>
            <w:tcW w:w="1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40" w:type="dxa"/>
            <w:vAlign w:val="bottom"/>
          </w:tcPr>
          <w:p>
            <w:pPr>
              <w:spacing w:after="0"/>
              <w:rPr>
                <w:sz w:val="15"/>
                <w:szCs w:val="15"/>
                <w:color w:val="auto"/>
              </w:rPr>
            </w:pP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120" w:type="dxa"/>
            <w:vAlign w:val="bottom"/>
          </w:tcPr>
          <w:p>
            <w:pPr>
              <w:spacing w:after="0"/>
              <w:rPr>
                <w:sz w:val="20"/>
                <w:szCs w:val="20"/>
                <w:color w:val="auto"/>
              </w:rPr>
            </w:pPr>
            <w:r>
              <w:rPr>
                <w:rFonts w:ascii="Courier New" w:cs="Courier New" w:eastAsia="Courier New" w:hAnsi="Courier New"/>
                <w:sz w:val="15"/>
                <w:szCs w:val="15"/>
                <w:color w:val="auto"/>
              </w:rPr>
              <w:t>Accounts receivable</w:t>
            </w: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4,118</w:t>
            </w:r>
          </w:p>
        </w:tc>
        <w:tc>
          <w:tcPr>
            <w:tcW w:w="13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22,859(*)</w:t>
            </w:r>
          </w:p>
        </w:tc>
        <w:tc>
          <w:tcPr>
            <w:tcW w:w="18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(737)</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26,240</w:t>
            </w:r>
          </w:p>
        </w:tc>
      </w:tr>
      <w:tr>
        <w:trPr>
          <w:trHeight w:val="173"/>
        </w:trPr>
        <w:tc>
          <w:tcPr>
            <w:tcW w:w="2120" w:type="dxa"/>
            <w:vAlign w:val="bottom"/>
          </w:tcPr>
          <w:p>
            <w:pPr>
              <w:spacing w:after="0"/>
              <w:rPr>
                <w:sz w:val="20"/>
                <w:szCs w:val="20"/>
                <w:color w:val="auto"/>
              </w:rPr>
            </w:pPr>
            <w:r>
              <w:rPr>
                <w:rFonts w:ascii="Courier New" w:cs="Courier New" w:eastAsia="Courier New" w:hAnsi="Courier New"/>
                <w:sz w:val="15"/>
                <w:szCs w:val="15"/>
                <w:color w:val="auto"/>
              </w:rPr>
              <w:t>allowances</w:t>
            </w:r>
          </w:p>
        </w:tc>
        <w:tc>
          <w:tcPr>
            <w:tcW w:w="1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3"/>
        </w:trPr>
        <w:tc>
          <w:tcPr>
            <w:tcW w:w="2120" w:type="dxa"/>
            <w:vAlign w:val="bottom"/>
          </w:tcPr>
          <w:p>
            <w:pPr>
              <w:spacing w:after="0"/>
              <w:rPr>
                <w:sz w:val="20"/>
                <w:szCs w:val="20"/>
                <w:color w:val="auto"/>
              </w:rPr>
            </w:pPr>
            <w:r>
              <w:rPr>
                <w:rFonts w:ascii="Courier New" w:cs="Courier New" w:eastAsia="Courier New" w:hAnsi="Courier New"/>
                <w:sz w:val="15"/>
                <w:szCs w:val="15"/>
                <w:color w:val="auto"/>
              </w:rPr>
              <w:t>Valuation allowances</w:t>
            </w: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27,907</w:t>
            </w:r>
          </w:p>
        </w:tc>
        <w:tc>
          <w:tcPr>
            <w:tcW w:w="13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(17,203)</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10,704</w:t>
            </w:r>
          </w:p>
        </w:tc>
      </w:tr>
    </w:tbl>
    <w:p>
      <w:pPr>
        <w:spacing w:after="0" w:line="351" w:lineRule="exact"/>
        <w:rPr>
          <w:sz w:val="20"/>
          <w:szCs w:val="20"/>
          <w:color w:val="auto"/>
        </w:rPr>
      </w:pPr>
    </w:p>
    <w:p>
      <w:pPr>
        <w:ind w:left="8" w:right="3279" w:hanging="8"/>
        <w:spacing w:after="0" w:line="243" w:lineRule="auto"/>
        <w:tabs>
          <w:tab w:leader="none" w:pos="36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accounts receivable allowance of $13,777 acquired as part of the acquisition of Clarify.</w:t>
      </w:r>
    </w:p>
    <w:p>
      <w:pPr>
        <w:sectPr>
          <w:pgSz w:w="11900" w:h="16838" w:orient="portrait"/>
          <w:cols w:equalWidth="0" w:num="1">
            <w:col w:w="10227"/>
          </w:cols>
          <w:pgMar w:left="232" w:top="464" w:right="1440" w:bottom="1440" w:gutter="0" w:footer="0" w:header="0"/>
        </w:sectPr>
      </w:pPr>
    </w:p>
    <w:bookmarkStart w:id="41" w:name="page42"/>
    <w:bookmarkEnd w:id="41"/>
    <w:p>
      <w:pPr>
        <w:ind w:left="980"/>
        <w:spacing w:after="0"/>
        <w:tabs>
          <w:tab w:leader="none" w:pos="1860" w:val="left"/>
        </w:tabs>
        <w:rPr>
          <w:sz w:val="20"/>
          <w:szCs w:val="20"/>
          <w:color w:val="auto"/>
        </w:rPr>
      </w:pPr>
      <w:r>
        <w:rPr>
          <w:rFonts w:ascii="Courier New" w:cs="Courier New" w:eastAsia="Courier New" w:hAnsi="Courier New"/>
          <w:sz w:val="15"/>
          <w:szCs w:val="15"/>
          <w:color w:val="auto"/>
        </w:rPr>
        <w:t>Item 3.</w:t>
        <w:tab/>
        <w:t>Operating and Financial Review and Prospects</w:t>
      </w:r>
    </w:p>
    <w:p>
      <w:pPr>
        <w:spacing w:after="0" w:line="35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OPERATING AND FINANCIAL REVIEW AND PROSPECTS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8" w:lineRule="exact"/>
        <w:rPr>
          <w:sz w:val="20"/>
          <w:szCs w:val="20"/>
          <w:color w:val="auto"/>
        </w:rPr>
      </w:pPr>
    </w:p>
    <w:p>
      <w:pPr>
        <w:ind w:right="3379" w:firstLine="811"/>
        <w:spacing w:after="0" w:line="243" w:lineRule="auto"/>
        <w:rPr>
          <w:sz w:val="20"/>
          <w:szCs w:val="20"/>
          <w:color w:val="auto"/>
        </w:rPr>
      </w:pPr>
      <w:r>
        <w:rPr>
          <w:rFonts w:ascii="Courier New" w:cs="Courier New" w:eastAsia="Courier New" w:hAnsi="Courier New"/>
          <w:sz w:val="15"/>
          <w:szCs w:val="15"/>
          <w:color w:val="auto"/>
        </w:rPr>
        <w:t>In this section, we discuss the general financial condition and the results of operations for Amdocs and its subsidiaries including:</w:t>
      </w:r>
    </w:p>
    <w:p>
      <w:pPr>
        <w:spacing w:after="0" w:line="175" w:lineRule="exact"/>
        <w:rPr>
          <w:sz w:val="20"/>
          <w:szCs w:val="20"/>
          <w:color w:val="auto"/>
        </w:rPr>
      </w:pPr>
    </w:p>
    <w:p>
      <w:pPr>
        <w:ind w:left="1620" w:hanging="816"/>
        <w:spacing w:after="0"/>
        <w:tabs>
          <w:tab w:leader="none" w:pos="1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factors that affect our business,</w:t>
      </w:r>
    </w:p>
    <w:p>
      <w:pPr>
        <w:spacing w:after="0" w:line="177" w:lineRule="exact"/>
        <w:rPr>
          <w:rFonts w:ascii="Courier New" w:cs="Courier New" w:eastAsia="Courier New" w:hAnsi="Courier New"/>
          <w:sz w:val="15"/>
          <w:szCs w:val="15"/>
          <w:color w:val="auto"/>
        </w:rPr>
      </w:pPr>
    </w:p>
    <w:p>
      <w:pPr>
        <w:ind w:left="1620" w:right="3019" w:hanging="816"/>
        <w:spacing w:after="0" w:line="243" w:lineRule="auto"/>
        <w:tabs>
          <w:tab w:leader="none" w:pos="1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revenue and costs for the fiscal years ended September 30, 2002, 2001 and 2000,</w:t>
      </w:r>
    </w:p>
    <w:p>
      <w:pPr>
        <w:spacing w:after="0" w:line="176" w:lineRule="exact"/>
        <w:rPr>
          <w:rFonts w:ascii="Courier New" w:cs="Courier New" w:eastAsia="Courier New" w:hAnsi="Courier New"/>
          <w:sz w:val="15"/>
          <w:szCs w:val="15"/>
          <w:color w:val="auto"/>
        </w:rPr>
      </w:pPr>
    </w:p>
    <w:p>
      <w:pPr>
        <w:ind w:left="1620" w:right="3379" w:hanging="816"/>
        <w:spacing w:after="0" w:line="243" w:lineRule="auto"/>
        <w:tabs>
          <w:tab w:leader="none" w:pos="1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reasons why such revenue and costs were different from year to year,</w:t>
      </w:r>
    </w:p>
    <w:p>
      <w:pPr>
        <w:spacing w:after="0" w:line="175" w:lineRule="exact"/>
        <w:rPr>
          <w:rFonts w:ascii="Courier New" w:cs="Courier New" w:eastAsia="Courier New" w:hAnsi="Courier New"/>
          <w:sz w:val="15"/>
          <w:szCs w:val="15"/>
          <w:color w:val="auto"/>
        </w:rPr>
      </w:pPr>
    </w:p>
    <w:p>
      <w:pPr>
        <w:ind w:left="1620" w:hanging="816"/>
        <w:spacing w:after="0"/>
        <w:tabs>
          <w:tab w:leader="none" w:pos="1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revenue,</w:t>
      </w:r>
    </w:p>
    <w:p>
      <w:pPr>
        <w:spacing w:after="0" w:line="177" w:lineRule="exact"/>
        <w:rPr>
          <w:rFonts w:ascii="Courier New" w:cs="Courier New" w:eastAsia="Courier New" w:hAnsi="Courier New"/>
          <w:sz w:val="15"/>
          <w:szCs w:val="15"/>
          <w:color w:val="auto"/>
        </w:rPr>
      </w:pPr>
    </w:p>
    <w:p>
      <w:pPr>
        <w:ind w:left="1620" w:right="3559" w:hanging="816"/>
        <w:spacing w:after="0" w:line="243" w:lineRule="auto"/>
        <w:tabs>
          <w:tab w:leader="none" w:pos="1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impact of changes we have made to our organizational structure,</w:t>
      </w:r>
    </w:p>
    <w:p>
      <w:pPr>
        <w:spacing w:after="0" w:line="175" w:lineRule="exact"/>
        <w:rPr>
          <w:rFonts w:ascii="Courier New" w:cs="Courier New" w:eastAsia="Courier New" w:hAnsi="Courier New"/>
          <w:sz w:val="15"/>
          <w:szCs w:val="15"/>
          <w:color w:val="auto"/>
        </w:rPr>
      </w:pPr>
    </w:p>
    <w:p>
      <w:pPr>
        <w:ind w:left="1620" w:hanging="816"/>
        <w:spacing w:after="0"/>
        <w:tabs>
          <w:tab w:leader="none" w:pos="1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all of this affects our overall financial condition,</w:t>
      </w:r>
    </w:p>
    <w:p>
      <w:pPr>
        <w:spacing w:after="0" w:line="177" w:lineRule="exact"/>
        <w:rPr>
          <w:rFonts w:ascii="Courier New" w:cs="Courier New" w:eastAsia="Courier New" w:hAnsi="Courier New"/>
          <w:sz w:val="15"/>
          <w:szCs w:val="15"/>
          <w:color w:val="auto"/>
        </w:rPr>
      </w:pPr>
    </w:p>
    <w:p>
      <w:pPr>
        <w:ind w:left="1620" w:right="3459" w:hanging="816"/>
        <w:spacing w:after="0" w:line="243" w:lineRule="auto"/>
        <w:tabs>
          <w:tab w:leader="none" w:pos="1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expenditures for the fiscal years ended September 30, 2002, 2001 and 2000, and</w:t>
      </w:r>
    </w:p>
    <w:p>
      <w:pPr>
        <w:spacing w:after="0" w:line="176" w:lineRule="exact"/>
        <w:rPr>
          <w:rFonts w:ascii="Courier New" w:cs="Courier New" w:eastAsia="Courier New" w:hAnsi="Courier New"/>
          <w:sz w:val="15"/>
          <w:szCs w:val="15"/>
          <w:color w:val="auto"/>
        </w:rPr>
      </w:pPr>
    </w:p>
    <w:p>
      <w:pPr>
        <w:ind w:left="1620" w:right="3019" w:hanging="816"/>
        <w:spacing w:after="0" w:line="243" w:lineRule="auto"/>
        <w:tabs>
          <w:tab w:leader="none" w:pos="1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cash to pay for future capital expenditures and possible acquisitions.</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In this section, we also analyze and explain the annual changes in the specific line items in our consolidated statements of operations. You should read this section in conjunction with our consolidated financial statements, which follow.</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 OF BUSINESS AND TREND INFORMATION</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Our market focus is the communications industry, and we are a leading provider of software products and services to that industry. The products and services that we provide are known as business support systems, which we refer to as "BSS". Our BSS products consist primarily of customer care and billing, customer relationship management and order management systems. We refer to these, collectively, as "CC&amp;B Systems". We refer to our customer relationship management products as "CRM" products. Our products also include a full range of directory sales and publishing systems, which we refer to as "Directory Systems", for publishers of both traditional printed yellow page and white page directories and electronic Internet directories.</w:t>
      </w:r>
    </w:p>
    <w:p>
      <w:pPr>
        <w:spacing w:after="0" w:line="18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Our CC&amp;B Systems and our Directory Systems are designed to meet the mission-critical needs of leading communications service providers. We support a wide range of communications services, including wireline, wireless, voice, data, broadband, content,</w:t>
      </w:r>
    </w:p>
    <w:p>
      <w:pPr>
        <w:sectPr>
          <w:pgSz w:w="11900" w:h="16838" w:orient="portrait"/>
          <w:cols w:equalWidth="0" w:num="1">
            <w:col w:w="10219"/>
          </w:cols>
          <w:pgMar w:left="240" w:top="464" w:right="1440" w:bottom="1440" w:gutter="0" w:footer="0" w:header="0"/>
        </w:sectPr>
      </w:pPr>
    </w:p>
    <w:bookmarkStart w:id="42" w:name="page43"/>
    <w:bookmarkEnd w:id="42"/>
    <w:p>
      <w:pPr>
        <w:jc w:val="center"/>
        <w:ind w:right="3019"/>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OPERATING AND FINANCIAL REVIEW AND PROSPECTS - (CONTINUED)</w:t>
      </w:r>
    </w:p>
    <w:p>
      <w:pPr>
        <w:spacing w:after="0" w:line="35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electronic and mobile commerce and Internet Protocol ("IP") based services. We also support companies that offer multiple service packages, commonly referred to as convergent services. Because of the complexity of BSS projects and the expertise required for system support, we also provide extensive customization, implementation, system integration, ongoing support, system enhancement, maintenance and outsourcing services, such as the operation of data centers and the provision of communications facility management services, in all cases on either or a combination of a fixed or unit charge basis to our customers.</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As part of our strategy, we may pursue acquisitions and other initiatives in order to offer new products or services or otherwise enhance our market position or strategic strengths. See the discussion below under the caption "Acquisitions".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We derive our revenue principally from:</w:t>
      </w:r>
    </w:p>
    <w:p>
      <w:pPr>
        <w:spacing w:after="0" w:line="178" w:lineRule="exact"/>
        <w:rPr>
          <w:sz w:val="20"/>
          <w:szCs w:val="20"/>
          <w:color w:val="auto"/>
        </w:rPr>
      </w:pPr>
    </w:p>
    <w:p>
      <w:pPr>
        <w:jc w:val="both"/>
        <w:ind w:left="1620" w:right="3559" w:hanging="816"/>
        <w:spacing w:after="0" w:line="270" w:lineRule="auto"/>
        <w:tabs>
          <w:tab w:leader="none" w:pos="16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of licenses for our products, including initial license fees and incremental license fees resulting from increases in a customer's business volume,</w:t>
      </w:r>
    </w:p>
    <w:p>
      <w:pPr>
        <w:spacing w:after="0" w:line="158" w:lineRule="exact"/>
        <w:rPr>
          <w:rFonts w:ascii="Courier New" w:cs="Courier New" w:eastAsia="Courier New" w:hAnsi="Courier New"/>
          <w:sz w:val="14"/>
          <w:szCs w:val="14"/>
          <w:color w:val="auto"/>
        </w:rPr>
      </w:pPr>
    </w:p>
    <w:p>
      <w:pPr>
        <w:jc w:val="both"/>
        <w:ind w:left="1620" w:right="3639" w:hanging="816"/>
        <w:spacing w:after="0" w:line="243" w:lineRule="auto"/>
        <w:tabs>
          <w:tab w:leader="none" w:pos="1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services related to our products, including customization, implementation and integration services,</w:t>
      </w:r>
    </w:p>
    <w:p>
      <w:pPr>
        <w:spacing w:after="0" w:line="176" w:lineRule="exact"/>
        <w:rPr>
          <w:rFonts w:ascii="Courier New" w:cs="Courier New" w:eastAsia="Courier New" w:hAnsi="Courier New"/>
          <w:sz w:val="15"/>
          <w:szCs w:val="15"/>
          <w:color w:val="auto"/>
        </w:rPr>
      </w:pPr>
    </w:p>
    <w:p>
      <w:pPr>
        <w:ind w:left="1620" w:right="3739" w:hanging="816"/>
        <w:spacing w:after="0" w:line="243" w:lineRule="auto"/>
        <w:tabs>
          <w:tab w:leader="none" w:pos="1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recurring revenue from ongoing support and maintenance provided to our customers, and</w:t>
      </w:r>
    </w:p>
    <w:p>
      <w:pPr>
        <w:spacing w:after="0" w:line="176" w:lineRule="exact"/>
        <w:rPr>
          <w:rFonts w:ascii="Courier New" w:cs="Courier New" w:eastAsia="Courier New" w:hAnsi="Courier New"/>
          <w:sz w:val="15"/>
          <w:szCs w:val="15"/>
          <w:color w:val="auto"/>
        </w:rPr>
      </w:pPr>
    </w:p>
    <w:p>
      <w:pPr>
        <w:ind w:left="1620" w:right="3559" w:hanging="816"/>
        <w:spacing w:after="0" w:line="243" w:lineRule="auto"/>
        <w:tabs>
          <w:tab w:leader="none" w:pos="1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outsourcing and other related services for our customers.</w:t>
      </w:r>
    </w:p>
    <w:p>
      <w:pPr>
        <w:spacing w:after="0" w:line="349"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We usually sell our software as part of an overall solution offered to a customer, in which significant customization and modification to our software generally is required. As a result, we generally recognize revenue over the course of these long-term projects. Initial license fee revenue is recognized as work is performed, using the percentage of completion method of accounting. Subsequent license fee revenue is recognized upon completion of specified conditions in each contract. Service revenue that involves significant ongoing obligations, including fees for software customization, implementation and modification, also is recognized as work is performed, under the percentage of completion method of accounting. Revenue from software solutions that do not require significant customization and modification is recognized upon delivery. In outsourcing contracts, we recognize revenue from the operation and maintenance of customers' billing systems in the period in which the bills are produced. Revenue from ongoing support services is recognized as work is performed. Revenue from third-party hardware and software sales is recognized upon delivery. Maintenance revenue is recognized ratably over the term of the maintenance agreement. As a result of a substantial portion of our revenue being subject to the percentage of completion accounting method, the size and timing of customer projects and our progress in</w:t>
      </w:r>
    </w:p>
    <w:p>
      <w:pPr>
        <w:sectPr>
          <w:pgSz w:w="11900" w:h="16838" w:orient="portrait"/>
          <w:cols w:equalWidth="0" w:num="1">
            <w:col w:w="10219"/>
          </w:cols>
          <w:pgMar w:left="240" w:top="464" w:right="1440" w:bottom="1440" w:gutter="0" w:footer="0" w:header="0"/>
        </w:sectPr>
      </w:pPr>
    </w:p>
    <w:bookmarkStart w:id="43" w:name="page44"/>
    <w:bookmarkEnd w:id="43"/>
    <w:p>
      <w:pPr>
        <w:jc w:val="center"/>
        <w:ind w:right="3019"/>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OPERATING AND FINANCIAL REVIEW AND PROSPECTS - (CONTINUED)</w:t>
      </w:r>
    </w:p>
    <w:p>
      <w:pPr>
        <w:spacing w:after="0" w:line="351" w:lineRule="exact"/>
        <w:rPr>
          <w:sz w:val="20"/>
          <w:szCs w:val="20"/>
          <w:color w:val="auto"/>
        </w:rPr>
      </w:pPr>
    </w:p>
    <w:p>
      <w:pPr>
        <w:ind w:right="3559"/>
        <w:spacing w:after="0" w:line="243" w:lineRule="auto"/>
        <w:rPr>
          <w:sz w:val="20"/>
          <w:szCs w:val="20"/>
          <w:color w:val="auto"/>
        </w:rPr>
      </w:pPr>
      <w:r>
        <w:rPr>
          <w:rFonts w:ascii="Courier New" w:cs="Courier New" w:eastAsia="Courier New" w:hAnsi="Courier New"/>
          <w:sz w:val="15"/>
          <w:szCs w:val="15"/>
          <w:color w:val="auto"/>
        </w:rPr>
        <w:t>completing such projects may significantly affect our annual and quarterly operating results.</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Our business is subject to the effects of general global economic conditions and, in particular, market conditions in the communications industry. As a result of the slowdown in the communications industry, the market value, financial results and prospects, and capital spending levels of communications companies have declined or degraded.</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The persistence and worsening of the downturn in the communications industry have significantly impacted our business. Over the past year, further slowdowns in customer buying decisions stemming from overall reductions in the capital investment budgets of many communications service providers have led to fewer new contracts than we had expected, as well as smaller than expected initial spending commitments and reduced discretionary spending under our contracts with some of our customers. These factors, combined with the continuing general economic slowdown, resulted in our achieving lower revenue levels than expected during the second half of fiscal 2002.</w:t>
      </w:r>
    </w:p>
    <w:p>
      <w:pPr>
        <w:spacing w:after="0" w:line="179"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Due to our heavy dependence on the communications industry, we can be adversely affected by bankruptcies or other business failures in that industry. Failures in the communications industry could harm our business and might have a material adverse effect on our operating results and financial condition.</w:t>
      </w:r>
    </w:p>
    <w:p>
      <w:pPr>
        <w:spacing w:after="0" w:line="176" w:lineRule="exact"/>
        <w:rPr>
          <w:sz w:val="20"/>
          <w:szCs w:val="20"/>
          <w:color w:val="auto"/>
        </w:rPr>
      </w:pPr>
    </w:p>
    <w:p>
      <w:pPr>
        <w:jc w:val="both"/>
        <w:ind w:right="3199" w:firstLine="811"/>
        <w:spacing w:after="0" w:line="244" w:lineRule="auto"/>
        <w:rPr>
          <w:sz w:val="20"/>
          <w:szCs w:val="20"/>
          <w:color w:val="auto"/>
        </w:rPr>
      </w:pPr>
      <w:r>
        <w:rPr>
          <w:rFonts w:ascii="Courier New" w:cs="Courier New" w:eastAsia="Courier New" w:hAnsi="Courier New"/>
          <w:sz w:val="15"/>
          <w:szCs w:val="15"/>
          <w:color w:val="auto"/>
        </w:rPr>
        <w:t>Total license and service revenue for the fiscal year ended September 30, 2002 was $1,613.6 million, compared to $1,533.9 million in fiscal 2001 and $1,118.3 million in fiscal 2000.</w:t>
      </w:r>
    </w:p>
    <w:p>
      <w:pPr>
        <w:spacing w:after="0" w:line="17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License and service fees from the sale of CC&amp;B Systems amounted to $1,440.0 million in the year ended September 30, 2002, compared to $1,379.7 million in fiscal 2001 and $986.5 million in fiscal 2000. In fiscal 2002, license and service fees from the sale of CC&amp;B Systems represented 89.2% of our total revenue, compared to 89.9% in fiscal 2001 and 88.2% in fiscal 2000.</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We believe that we are a leading global provider of CC&amp;B Systems. We provide a broad set of CC&amp;B Systems, with proven functionality and scalability, accompanied by a comprehensive range of support services.</w:t>
      </w:r>
    </w:p>
    <w:p>
      <w:pPr>
        <w:spacing w:after="0" w:line="175" w:lineRule="exact"/>
        <w:rPr>
          <w:sz w:val="20"/>
          <w:szCs w:val="20"/>
          <w:color w:val="auto"/>
        </w:rPr>
      </w:pPr>
    </w:p>
    <w:p>
      <w:pPr>
        <w:ind w:right="3199" w:firstLine="811"/>
        <w:spacing w:after="0" w:line="243" w:lineRule="auto"/>
        <w:rPr>
          <w:sz w:val="20"/>
          <w:szCs w:val="20"/>
          <w:color w:val="auto"/>
        </w:rPr>
      </w:pPr>
      <w:r>
        <w:rPr>
          <w:rFonts w:ascii="Courier New" w:cs="Courier New" w:eastAsia="Courier New" w:hAnsi="Courier New"/>
          <w:sz w:val="15"/>
          <w:szCs w:val="15"/>
          <w:color w:val="auto"/>
        </w:rPr>
        <w:t>We believe that demand for our CC&amp;B Systems is driven by, among other key factors:</w:t>
      </w:r>
    </w:p>
    <w:p>
      <w:pPr>
        <w:spacing w:after="0" w:line="175" w:lineRule="exact"/>
        <w:rPr>
          <w:sz w:val="20"/>
          <w:szCs w:val="20"/>
          <w:color w:val="auto"/>
        </w:rPr>
      </w:pPr>
    </w:p>
    <w:p>
      <w:pPr>
        <w:ind w:left="1620" w:hanging="816"/>
        <w:spacing w:after="0"/>
        <w:tabs>
          <w:tab w:leader="none" w:pos="1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global penetration of communications service providers,</w:t>
      </w:r>
    </w:p>
    <w:p>
      <w:pPr>
        <w:spacing w:after="0" w:line="177" w:lineRule="exact"/>
        <w:rPr>
          <w:rFonts w:ascii="Courier New" w:cs="Courier New" w:eastAsia="Courier New" w:hAnsi="Courier New"/>
          <w:sz w:val="15"/>
          <w:szCs w:val="15"/>
          <w:color w:val="auto"/>
        </w:rPr>
      </w:pPr>
    </w:p>
    <w:p>
      <w:pPr>
        <w:ind w:left="1620" w:right="3379" w:hanging="816"/>
        <w:spacing w:after="0" w:line="243" w:lineRule="auto"/>
        <w:tabs>
          <w:tab w:leader="none" w:pos="1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emergence of new communications products and services, especially IP, data and content services,</w:t>
      </w:r>
    </w:p>
    <w:p>
      <w:pPr>
        <w:sectPr>
          <w:pgSz w:w="11900" w:h="16838" w:orient="portrait"/>
          <w:cols w:equalWidth="0" w:num="1">
            <w:col w:w="10219"/>
          </w:cols>
          <w:pgMar w:left="240" w:top="464" w:right="1440" w:bottom="1440" w:gutter="0" w:footer="0" w:header="0"/>
        </w:sectPr>
      </w:pPr>
    </w:p>
    <w:bookmarkStart w:id="44" w:name="page45"/>
    <w:bookmarkEnd w:id="44"/>
    <w:p>
      <w:pPr>
        <w:jc w:val="center"/>
        <w:ind w:right="3019"/>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OPERATING AND FINANCIAL REVIEW AND PROSPECTS - (CONTINUED)</w:t>
      </w:r>
    </w:p>
    <w:p>
      <w:pPr>
        <w:spacing w:after="0" w:line="351" w:lineRule="exact"/>
        <w:rPr>
          <w:sz w:val="20"/>
          <w:szCs w:val="20"/>
          <w:color w:val="auto"/>
        </w:rPr>
      </w:pPr>
    </w:p>
    <w:p>
      <w:pPr>
        <w:ind w:left="1620" w:right="3019" w:hanging="816"/>
        <w:spacing w:after="0" w:line="270" w:lineRule="auto"/>
        <w:tabs>
          <w:tab w:leader="none" w:pos="16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technological changes, such as the introduction of wireless Internet services via GPRS (General Packet Radio Services) and UMTS (Universal Mobile Telecommunications System) technology,</w:t>
      </w:r>
    </w:p>
    <w:p>
      <w:pPr>
        <w:spacing w:after="0" w:line="158" w:lineRule="exact"/>
        <w:rPr>
          <w:rFonts w:ascii="Courier New" w:cs="Courier New" w:eastAsia="Courier New" w:hAnsi="Courier New"/>
          <w:sz w:val="14"/>
          <w:szCs w:val="14"/>
          <w:color w:val="auto"/>
        </w:rPr>
      </w:pPr>
    </w:p>
    <w:p>
      <w:pPr>
        <w:ind w:left="1620" w:right="3459" w:hanging="816"/>
        <w:spacing w:after="0" w:line="243" w:lineRule="auto"/>
        <w:tabs>
          <w:tab w:leader="none" w:pos="1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needs of communications service providers to reduce costs and retain customers, and</w:t>
      </w:r>
    </w:p>
    <w:p>
      <w:pPr>
        <w:spacing w:after="0" w:line="175" w:lineRule="exact"/>
        <w:rPr>
          <w:rFonts w:ascii="Courier New" w:cs="Courier New" w:eastAsia="Courier New" w:hAnsi="Courier New"/>
          <w:sz w:val="15"/>
          <w:szCs w:val="15"/>
          <w:color w:val="auto"/>
        </w:rPr>
      </w:pPr>
    </w:p>
    <w:p>
      <w:pPr>
        <w:ind w:left="1620" w:hanging="816"/>
        <w:spacing w:after="0"/>
        <w:tabs>
          <w:tab w:leader="none" w:pos="1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shift from in-house management to vendor solutions.</w:t>
      </w:r>
    </w:p>
    <w:p>
      <w:pPr>
        <w:spacing w:after="0" w:line="178"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We also believe that additional drivers of demand are the continuing trend for communications service providers to offer to their subscribers multiple service packages, commonly referred to as convergent services (combinations of voice, broadband, electronic and mobile commerce and IP services), and the ability of our CC&amp;B Systems to improve productivity and reduce costs of communications providers.</w:t>
      </w:r>
    </w:p>
    <w:p>
      <w:pPr>
        <w:spacing w:after="0" w:line="177" w:lineRule="exact"/>
        <w:rPr>
          <w:sz w:val="20"/>
          <w:szCs w:val="20"/>
          <w:color w:val="auto"/>
        </w:rPr>
      </w:pPr>
    </w:p>
    <w:p>
      <w:pPr>
        <w:jc w:val="both"/>
        <w:ind w:right="3199" w:firstLine="811"/>
        <w:spacing w:after="0" w:line="244" w:lineRule="auto"/>
        <w:rPr>
          <w:sz w:val="20"/>
          <w:szCs w:val="20"/>
          <w:color w:val="auto"/>
        </w:rPr>
      </w:pPr>
      <w:r>
        <w:rPr>
          <w:rFonts w:ascii="Courier New" w:cs="Courier New" w:eastAsia="Courier New" w:hAnsi="Courier New"/>
          <w:sz w:val="15"/>
          <w:szCs w:val="15"/>
          <w:color w:val="auto"/>
        </w:rPr>
        <w:t>Another key to demand for our CC&amp;B Systems is the practice by certain communications service providers to outsource entirely their customer care and billing functions.</w:t>
      </w:r>
    </w:p>
    <w:p>
      <w:pPr>
        <w:spacing w:after="0" w:line="175"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Although we are unable at this time to forecast demand for our CC&amp;B Systems, we could experience additional revenue softness in the future as a result of the downturn in the communications industry. This industry-wide downturn had a direct negative impact on our results in fiscal 2002, reducing both the number of new contracts we have been able to obtain, and the initial spending commitments and discretionary spending levels of some of our customers. As a result, we expect that revenue attributable to our CC&amp;B Systems will decrease in the first quarter of fiscal 2003. As of November 30, 2002 we have no clear indication for the second quarter of fiscal 2003 or subsequent periods. Accordingly, at this point, we cannot predict whether revenue levels will continue to deteriorate or have stabilized. However, we expect that revenue attributable to our CC&amp;B Systems in fiscal 2003 will be lower than in fiscal 2002.</w:t>
      </w:r>
    </w:p>
    <w:p>
      <w:pPr>
        <w:spacing w:after="0" w:line="182" w:lineRule="exact"/>
        <w:rPr>
          <w:sz w:val="20"/>
          <w:szCs w:val="20"/>
          <w:color w:val="auto"/>
        </w:rPr>
      </w:pPr>
    </w:p>
    <w:p>
      <w:pPr>
        <w:ind w:right="3019" w:firstLine="811"/>
        <w:spacing w:after="0" w:line="266" w:lineRule="auto"/>
        <w:rPr>
          <w:sz w:val="20"/>
          <w:szCs w:val="20"/>
          <w:color w:val="auto"/>
        </w:rPr>
      </w:pPr>
      <w:r>
        <w:rPr>
          <w:rFonts w:ascii="Courier New" w:cs="Courier New" w:eastAsia="Courier New" w:hAnsi="Courier New"/>
          <w:sz w:val="14"/>
          <w:szCs w:val="14"/>
          <w:color w:val="auto"/>
        </w:rPr>
        <w:t>License and service fees from the sale of Directory Systems amounted to $173.6 million in the year ended September 30, 2002, compared to $154.2 million in fiscal 2001 and $131.8 million in fiscal 2000. In fiscal 2002, license and service fees from the sale of Directory Systems represented 10.8% of our total revenue, compared to 10.1% in fiscal 2001 and 11.8% in fiscal 2000.</w:t>
      </w:r>
    </w:p>
    <w:p>
      <w:pPr>
        <w:spacing w:after="0" w:line="161" w:lineRule="exact"/>
        <w:rPr>
          <w:sz w:val="20"/>
          <w:szCs w:val="20"/>
          <w:color w:val="auto"/>
        </w:rPr>
      </w:pPr>
    </w:p>
    <w:p>
      <w:pPr>
        <w:ind w:right="3019" w:firstLine="811"/>
        <w:spacing w:after="0" w:line="267" w:lineRule="auto"/>
        <w:rPr>
          <w:sz w:val="20"/>
          <w:szCs w:val="20"/>
          <w:color w:val="auto"/>
        </w:rPr>
      </w:pPr>
      <w:r>
        <w:rPr>
          <w:rFonts w:ascii="Courier New" w:cs="Courier New" w:eastAsia="Courier New" w:hAnsi="Courier New"/>
          <w:sz w:val="14"/>
          <w:szCs w:val="14"/>
          <w:color w:val="auto"/>
        </w:rPr>
        <w:t>We believe that we are a leading provider of Directory Systems in most of the markets that we serve. We are unable at this time to forecast demand for our Directory Systems and related outsourcing projects for fiscal 2003 because our results are highly dependent on our ability to secure certain new contracts.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MANAGEMENT TRANSITION AND NEW ORGANIZATIONAL STRUCTURE</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In March 2002, we announced a senior management transition. Effective July 1, 2002, Dov Baharav, who previously had served as Chief Financial Officer of Amdocs</w:t>
      </w:r>
    </w:p>
    <w:p>
      <w:pPr>
        <w:sectPr>
          <w:pgSz w:w="11900" w:h="16838" w:orient="portrait"/>
          <w:cols w:equalWidth="0" w:num="1">
            <w:col w:w="10219"/>
          </w:cols>
          <w:pgMar w:left="240" w:top="464" w:right="1440" w:bottom="1440" w:gutter="0" w:footer="0" w:header="0"/>
        </w:sectPr>
      </w:pPr>
    </w:p>
    <w:bookmarkStart w:id="45" w:name="page46"/>
    <w:bookmarkEnd w:id="45"/>
    <w:p>
      <w:pPr>
        <w:jc w:val="center"/>
        <w:ind w:right="3019"/>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OPERATING AND FINANCIAL REVIEW AND PROSPECTS - (CONTINUED)</w:t>
      </w:r>
    </w:p>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Management Limited, assumed the role of President and Chief Executive Officer. Ron Moskovitz, who previously had served as Vice President of Finance for Amdocs Management Limited, took over the role of Chief Financial Officer. Mr. Baharav replaced Avinoam Naor in the positions of President and Chief Executive Officer of Amdocs Management Limited. Mr. Naor became the Vice Chairman of our board of directors.</w:t>
      </w:r>
    </w:p>
    <w:p>
      <w:pPr>
        <w:spacing w:after="0" w:line="177" w:lineRule="exact"/>
        <w:rPr>
          <w:sz w:val="20"/>
          <w:szCs w:val="20"/>
          <w:color w:val="auto"/>
        </w:rPr>
      </w:pPr>
    </w:p>
    <w:p>
      <w:pPr>
        <w:ind w:right="3019" w:firstLine="811"/>
        <w:spacing w:after="0" w:line="265" w:lineRule="auto"/>
        <w:rPr>
          <w:sz w:val="20"/>
          <w:szCs w:val="20"/>
          <w:color w:val="auto"/>
        </w:rPr>
      </w:pPr>
      <w:r>
        <w:rPr>
          <w:rFonts w:ascii="Courier New" w:cs="Courier New" w:eastAsia="Courier New" w:hAnsi="Courier New"/>
          <w:sz w:val="14"/>
          <w:szCs w:val="14"/>
          <w:color w:val="auto"/>
        </w:rPr>
        <w:t>Under the leadership of our new management team and in response to changing market conditions, we implemented a new organizational structure during the fourth quarter of fiscal 2002. Our operations are now centered around two main groups, the Offering Group and the Delivery Group. The Offering Group is responsible for developing and marketing our BSS products, while the Delivery Group is responsible for project and service delivery to our customers.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OPERATIONAL EFFICIENCY AND COST REDUCTION PROGRAM</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In October 2001, as part of a plan to achieve increased operational efficiency and to more closely monitor and reduce costs, we consolidated our Stamford, Connecticut data center into our Champaign, Illinois facility, and we closed the Stamford facility. As a direct result of this closure, we recorded a nonrecurring charge of $13.3 million in the first quarter of fiscal 2002, primarily for the write-off of leasehold improvements and rent obligations, with the remainder for employee separation costs.</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In addition, in the first quarter of fiscal 2002, as part of a general effort to reduce costs, we have decreased our overall commitments for employee compensation, through a lesser reliance on fixed compensation programs and a greater reliance on discretionary arrangements.</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On June 20, 2002, we announced our intention to implement a cost reduction program to reduce costs by approximately 10% in response to a decline of our forecasted revenue for the third and fourth quarters of fiscal 2002. The decline resulted from, among other factors, slowdowns in customer buying decisions in the third quarter of fiscal 2002, stemming from overall reductions in the capital investment budgets of many communications service providers, leading to fewer new contracts than we had expected, as well as smaller than expected initial spending commitments and reduced discretionary spending under our contracts with some of our customers.</w:t>
      </w:r>
    </w:p>
    <w:p>
      <w:pPr>
        <w:spacing w:after="0" w:line="179"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We recorded a charge of $20.9 million in the fourth quarter of fiscal 2002, consisting primarily of employee separation costs in connection with the elimination of approximately 1,000 positions, with the remainder for the write-off of leasehold improvements and rent obligations. Except for certain lease termination costs that will be paid over the respective lease terms, we expect to pay substantially all of the remaining accrual balance of the cost reduction program in the first quarter of fiscal 2003.</w:t>
      </w:r>
    </w:p>
    <w:p>
      <w:pPr>
        <w:sectPr>
          <w:pgSz w:w="11900" w:h="16838" w:orient="portrait"/>
          <w:cols w:equalWidth="0" w:num="1">
            <w:col w:w="10219"/>
          </w:cols>
          <w:pgMar w:left="240" w:top="464" w:right="1440" w:bottom="1440" w:gutter="0" w:footer="0" w:header="0"/>
        </w:sectPr>
      </w:pPr>
    </w:p>
    <w:bookmarkStart w:id="46" w:name="page47"/>
    <w:bookmarkEnd w:id="46"/>
    <w:p>
      <w:pPr>
        <w:jc w:val="center"/>
        <w:ind w:right="3019"/>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OPERATING AND FINANCIAL REVIEW AND PROSPECTS - (CONTINUED)</w:t>
      </w:r>
    </w:p>
    <w:p>
      <w:pPr>
        <w:spacing w:after="0" w:line="351" w:lineRule="exact"/>
        <w:rPr>
          <w:sz w:val="20"/>
          <w:szCs w:val="20"/>
          <w:color w:val="auto"/>
        </w:rPr>
      </w:pPr>
    </w:p>
    <w:p>
      <w:pPr>
        <w:jc w:val="both"/>
        <w:ind w:right="3019" w:firstLine="541"/>
        <w:spacing w:after="0" w:line="244" w:lineRule="auto"/>
        <w:rPr>
          <w:sz w:val="20"/>
          <w:szCs w:val="20"/>
          <w:color w:val="auto"/>
        </w:rPr>
      </w:pPr>
      <w:r>
        <w:rPr>
          <w:rFonts w:ascii="Courier New" w:cs="Courier New" w:eastAsia="Courier New" w:hAnsi="Courier New"/>
          <w:sz w:val="15"/>
          <w:szCs w:val="15"/>
          <w:color w:val="auto"/>
        </w:rPr>
        <w:t>These charges are included in "restructuring charges, in-process research and development and other indirect acquisition-related costs" for the year ended September 30, 2002.</w:t>
      </w:r>
    </w:p>
    <w:p>
      <w:pPr>
        <w:spacing w:after="0" w:line="175"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Implementation of our cost reduction program permitted us to achieve cost savings of approximately $18 million in the fourth quarter of fiscal 2002. We believe that the cost reduction program will create additional quarterly cost savings of approximately $12 million, which will achieve an overall savings of $30 million each quarter on an ongoing basis compared to the expense level in the third quarter of fiscal 2002. During the fourth quarter of fiscal 2002 we notified all affected employees of their termination. However, some of these individuals remained on our payroll as our employees through the end of the fourth quarter. As a result, the cost savings achieved in the fourth quarter were partial.</w:t>
      </w:r>
    </w:p>
    <w:p>
      <w:pPr>
        <w:spacing w:after="0" w:line="180" w:lineRule="exact"/>
        <w:rPr>
          <w:sz w:val="20"/>
          <w:szCs w:val="20"/>
          <w:color w:val="auto"/>
        </w:rPr>
      </w:pPr>
    </w:p>
    <w:p>
      <w:pPr>
        <w:ind w:right="3019" w:firstLine="541"/>
        <w:spacing w:after="0" w:line="243" w:lineRule="auto"/>
        <w:rPr>
          <w:sz w:val="20"/>
          <w:szCs w:val="20"/>
          <w:color w:val="auto"/>
        </w:rPr>
      </w:pPr>
      <w:r>
        <w:rPr>
          <w:rFonts w:ascii="Courier New" w:cs="Courier New" w:eastAsia="Courier New" w:hAnsi="Courier New"/>
          <w:sz w:val="15"/>
          <w:szCs w:val="15"/>
          <w:color w:val="auto"/>
        </w:rPr>
        <w:t>For additional cost reduction measures, see the discussion below under the caption "Subsequent Event".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ADOPTION OF NEW ACCOUNTING STANDARDS</w:t>
      </w:r>
    </w:p>
    <w:p>
      <w:pPr>
        <w:spacing w:after="0" w:line="178" w:lineRule="exact"/>
        <w:rPr>
          <w:sz w:val="20"/>
          <w:szCs w:val="20"/>
          <w:color w:val="auto"/>
        </w:rPr>
      </w:pPr>
    </w:p>
    <w:p>
      <w:pPr>
        <w:ind w:right="3379" w:firstLine="541"/>
        <w:spacing w:after="0" w:line="244" w:lineRule="auto"/>
        <w:rPr>
          <w:sz w:val="20"/>
          <w:szCs w:val="20"/>
          <w:color w:val="auto"/>
        </w:rPr>
      </w:pPr>
      <w:r>
        <w:rPr>
          <w:rFonts w:ascii="Courier New" w:cs="Courier New" w:eastAsia="Courier New" w:hAnsi="Courier New"/>
          <w:sz w:val="15"/>
          <w:szCs w:val="15"/>
          <w:color w:val="auto"/>
        </w:rPr>
        <w:t>In June 2001, the Financial Accounting Standards Board ("FASB") issued Statements of Financial Accounting Standards ("SFAS") No. 141, "Business Combinations" ("SFAS No. 141"), and No. 142, "Goodwill and Other Intangible Assets" ("SFAS No. 142").</w:t>
      </w:r>
    </w:p>
    <w:p>
      <w:pPr>
        <w:spacing w:after="0" w:line="176" w:lineRule="exact"/>
        <w:rPr>
          <w:sz w:val="20"/>
          <w:szCs w:val="20"/>
          <w:color w:val="auto"/>
        </w:rPr>
      </w:pPr>
    </w:p>
    <w:p>
      <w:pPr>
        <w:ind w:right="3199" w:firstLine="541"/>
        <w:spacing w:after="0" w:line="243" w:lineRule="auto"/>
        <w:rPr>
          <w:sz w:val="20"/>
          <w:szCs w:val="20"/>
          <w:color w:val="auto"/>
        </w:rPr>
      </w:pPr>
      <w:r>
        <w:rPr>
          <w:rFonts w:ascii="Courier New" w:cs="Courier New" w:eastAsia="Courier New" w:hAnsi="Courier New"/>
          <w:sz w:val="15"/>
          <w:szCs w:val="15"/>
          <w:color w:val="auto"/>
        </w:rPr>
        <w:t>SFAS No. 141 requires that the purchase method of accounting be used for all business combinations initiated after June 30, 2001.</w:t>
      </w:r>
    </w:p>
    <w:p>
      <w:pPr>
        <w:spacing w:after="0" w:line="176" w:lineRule="exact"/>
        <w:rPr>
          <w:sz w:val="20"/>
          <w:szCs w:val="20"/>
          <w:color w:val="auto"/>
        </w:rPr>
      </w:pPr>
    </w:p>
    <w:p>
      <w:pPr>
        <w:ind w:right="3279" w:firstLine="541"/>
        <w:spacing w:after="0" w:line="244" w:lineRule="auto"/>
        <w:rPr>
          <w:sz w:val="20"/>
          <w:szCs w:val="20"/>
          <w:color w:val="auto"/>
        </w:rPr>
      </w:pPr>
      <w:r>
        <w:rPr>
          <w:rFonts w:ascii="Courier New" w:cs="Courier New" w:eastAsia="Courier New" w:hAnsi="Courier New"/>
          <w:sz w:val="15"/>
          <w:szCs w:val="15"/>
          <w:color w:val="auto"/>
        </w:rPr>
        <w:t>SFAS No. 142 is effective for fiscal years beginning after December 15, 2001. Under SFAS No. 142, goodwill and intangible assets deemed to have indefinite lives will no longer be amortized but, instead, will be subject to periodic impairment tests in accordance with the Statement. Other intangible assets will continue to be amortized over their useful lives.</w:t>
      </w:r>
    </w:p>
    <w:p>
      <w:pPr>
        <w:spacing w:after="0" w:line="177" w:lineRule="exact"/>
        <w:rPr>
          <w:sz w:val="20"/>
          <w:szCs w:val="20"/>
          <w:color w:val="auto"/>
        </w:rPr>
      </w:pPr>
    </w:p>
    <w:p>
      <w:pPr>
        <w:ind w:right="3099" w:firstLine="541"/>
        <w:spacing w:after="0" w:line="243" w:lineRule="auto"/>
        <w:rPr>
          <w:sz w:val="20"/>
          <w:szCs w:val="20"/>
          <w:color w:val="auto"/>
        </w:rPr>
      </w:pPr>
      <w:r>
        <w:rPr>
          <w:rFonts w:ascii="Courier New" w:cs="Courier New" w:eastAsia="Courier New" w:hAnsi="Courier New"/>
          <w:sz w:val="15"/>
          <w:szCs w:val="15"/>
          <w:color w:val="auto"/>
        </w:rPr>
        <w:t>Other intangible assets, such as workforce-in-place, will be reclassified to goodwill, according to SFAS No. 141's new definition of intangible assets.</w:t>
      </w:r>
    </w:p>
    <w:p>
      <w:pPr>
        <w:spacing w:after="0" w:line="176"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Effective October 1, 2002 we will adopt SFAS No. 142. Subsequent to the adoption of the new rules, we will perform the first of the required periodic impairment tests of goodwill and intangible assets recorded as of October 1, 2002. Thereafter, a periodic impairment test will be performed at least annually. We have not yet determined what the effect of these tests will be on our earnings and financial position. We recorded goodwill and workforce-in-place amortization of $204.6 million in fiscal 2002, $204.6 million in fiscal 2001 and $104.3 million in fiscal 2000. See the discussion below under the caption "Acquisitions".</w:t>
      </w:r>
    </w:p>
    <w:p>
      <w:pPr>
        <w:spacing w:after="0" w:line="179" w:lineRule="exact"/>
        <w:rPr>
          <w:sz w:val="20"/>
          <w:szCs w:val="20"/>
          <w:color w:val="auto"/>
        </w:rPr>
      </w:pPr>
    </w:p>
    <w:p>
      <w:pPr>
        <w:ind w:right="3919" w:firstLine="541"/>
        <w:spacing w:after="0" w:line="243" w:lineRule="auto"/>
        <w:rPr>
          <w:sz w:val="20"/>
          <w:szCs w:val="20"/>
          <w:color w:val="auto"/>
        </w:rPr>
      </w:pPr>
      <w:r>
        <w:rPr>
          <w:rFonts w:ascii="Courier New" w:cs="Courier New" w:eastAsia="Courier New" w:hAnsi="Courier New"/>
          <w:sz w:val="15"/>
          <w:szCs w:val="15"/>
          <w:color w:val="auto"/>
        </w:rPr>
        <w:t>In April 2002, the FASB issued SFAS No. 145, "Rescission of FASB Statements</w:t>
      </w:r>
    </w:p>
    <w:p>
      <w:pPr>
        <w:sectPr>
          <w:pgSz w:w="11900" w:h="16838" w:orient="portrait"/>
          <w:cols w:equalWidth="0" w:num="1">
            <w:col w:w="10219"/>
          </w:cols>
          <w:pgMar w:left="240" w:top="464" w:right="1440" w:bottom="1440" w:gutter="0" w:footer="0" w:header="0"/>
        </w:sectPr>
      </w:pPr>
    </w:p>
    <w:bookmarkStart w:id="47" w:name="page48"/>
    <w:bookmarkEnd w:id="47"/>
    <w:p>
      <w:pPr>
        <w:jc w:val="center"/>
        <w:ind w:right="3019"/>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OPERATING AND FINANCIAL REVIEW AND PROSPECTS - (CONTINUED)</w:t>
      </w:r>
    </w:p>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No. 4, 44, and 64, Amendment of FASB Statement No. 13, and Technical Corrections" ("SFAS No. 145"). SFAS No. 145 eliminates previous requirements to classify gains and losses from extinguishment of debt as extraordinary items in earnings. Gains or losses from extinguishment of debt for fiscal years beginning after May 15, 2002 shall not be classified as extraordinary items unless certain provisions are met. Early adoption was encouraged. We adopted SFAS No. 145 in the fourth quarter of fiscal 2002 in connection with the gain related to the repurchase of our convertible notes. See the discussion below under the caption "Convertible Notes".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line="178"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As part of our strategy, we may pursue acquisitions in order to offer new products or services or otherwise enhance our market position or strategic strengths.</w:t>
      </w:r>
    </w:p>
    <w:p>
      <w:pPr>
        <w:spacing w:after="0" w:line="175"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In November 1999, we acquired International Telecommunication Data Systems, Inc. ("ITDS") in a stock-for-stock acquisition. The acquisition of ITDS, a leading provider of solutions to communications companies for outsourcing of billing operations, expanded the scope of our CC&amp;B Systems offerings. We believe that this acquisition further established our leadership in providing total solutions to the communications industry. The total purchase price of $189.0 million consisted of the issuance of 6,461,376 ordinary shares, the grant of options to purchase 1,102,955 ordinary shares and transaction costs. We have since renamed ITDS, Amdocs Stamford, Inc.</w:t>
      </w:r>
    </w:p>
    <w:p>
      <w:pPr>
        <w:spacing w:after="0" w:line="179"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In April 2000, we acquired Solect Technology Group Inc. ("Solect") in a stock-for-stock acquisition. The acquisition of Solect, a leading provider of billing and customer care software to IP service providers, including wireless and application service providers, or ASPs, expanded our IP service provider customer base for CC&amp;B Systems. In the acquisition, all then outstanding common shares of Solect were exchanged for shares of a newly issued class of exchangeable shares of Solect. The exchangeable shares entitle holders to dividends and other rights economically equivalent to our ordinary shares, including the right, through a voting trust, to vote at our shareholder meetings. The exchangeable shares are exchangeable at the option of the holders into our ordinary shares on a one-for-one basis. The total purchase price of $1,087.7 million consisted of the issuance of 13,846,302 exchangeable shares, the grant of options to purchase 1,653,662 ordinary shares and transaction costs. We have since renamed Solect, Amdocs Canada, Inc.</w:t>
      </w:r>
    </w:p>
    <w:p>
      <w:pPr>
        <w:spacing w:after="0" w:line="182"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On November 28, 2001, we purchased from Nortel Networks Corporation substantially all of the assets of its Clarify business ("Clarify"), a leading provider of CRM software to communications companies and other enterprise sectors. This acquisition positioned us as a leading provider of CRM software to the communications industry and, through our addition of Clarify's CRM software to our CC&amp;B Systems offerings, reinforced our leadership in delivering a comprehensive portfolio of business software applications. Following the acquisition, we have continued to sell Clarify's CRM software to customers other than communication service providers. Although these</w:t>
      </w:r>
    </w:p>
    <w:p>
      <w:pPr>
        <w:sectPr>
          <w:pgSz w:w="11900" w:h="16838" w:orient="portrait"/>
          <w:cols w:equalWidth="0" w:num="1">
            <w:col w:w="10219"/>
          </w:cols>
          <w:pgMar w:left="240" w:top="464" w:right="1440" w:bottom="1440" w:gutter="0" w:footer="0" w:header="0"/>
        </w:sectPr>
      </w:pPr>
    </w:p>
    <w:bookmarkStart w:id="48" w:name="page49"/>
    <w:bookmarkEnd w:id="48"/>
    <w:p>
      <w:pPr>
        <w:jc w:val="center"/>
        <w:ind w:right="3019"/>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OPERATING AND FINANCIAL REVIEW AND PROSPECTS - (CONTINUED)</w:t>
      </w:r>
    </w:p>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customers are not the primary focus of our business, we believe that revenue from such customers will slightly increase over time. The total purchase price for Clarify, as of September 30, 2002, was $212.0 million in cash, including transaction costs of $8.3 million. The purchase price was subject to final price adjustments that were settled in October 2002 and resulted in an $11.3 million reduction of the purchase price to $200.7 million in the first quarter of fiscal 2003.</w:t>
      </w:r>
    </w:p>
    <w:p>
      <w:pPr>
        <w:spacing w:after="0" w:line="178" w:lineRule="exact"/>
        <w:rPr>
          <w:sz w:val="20"/>
          <w:szCs w:val="20"/>
          <w:color w:val="auto"/>
        </w:rPr>
      </w:pPr>
    </w:p>
    <w:p>
      <w:pPr>
        <w:ind w:right="3019" w:firstLine="541"/>
        <w:spacing w:after="0" w:line="263" w:lineRule="auto"/>
        <w:rPr>
          <w:sz w:val="20"/>
          <w:szCs w:val="20"/>
          <w:color w:val="auto"/>
        </w:rPr>
      </w:pPr>
      <w:r>
        <w:rPr>
          <w:rFonts w:ascii="Courier New" w:cs="Courier New" w:eastAsia="Courier New" w:hAnsi="Courier New"/>
          <w:sz w:val="14"/>
          <w:szCs w:val="14"/>
          <w:color w:val="auto"/>
        </w:rPr>
        <w:t>We accounted for the ITDS, Solect and Clarify acquisitions using the purchase method of accounting. We have included the fair market value of the assets and liabilities acquired in these transactions in our balance sheet and the results of operations for the acquired entities in our consolidated statements of operations as of the closing date of each acquisition. In each case, we obtained a valuation of the intangible assets acquired. The value of the acquired technology included both existing technology and in-process research and development. The valuation of these items was estimated by applying the income forecast method, which considered the present value of cash flows by product lines. We amortized the fair value of existing technology products over two years, commencing as of the closing date of the applicable acquisition. We charged as an expense in-process research and development immediately following the completion of each acquisition in accordance with FASB Interpretation No. 4, "Applicability of FASB Statement No. 2 to Business Combinations Accounted for by the Purchase Method", because in each case such technology had not reached technological feasibility and had no alternative use. We are amortizing the fair value of customer arrangements and workforce-in-place over five years in the case of ITDS and three years in the case of Solect and Clarify. These amortizations commenced on the closing date of the applicable acquisition.</w:t>
      </w:r>
    </w:p>
    <w:p>
      <w:pPr>
        <w:spacing w:after="0" w:line="339"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The excess of the purchase price over the fair value of the net assets acquired constitutes goodwill. We began amortizing goodwill from the ITDS acquisition over a 15-year period and from the Solect acquisition over a five-year period, in each case commencing on the closing date of the applicable acquisition. According to the transition provisions of SFAS No. 142, goodwill for acquisitions completed subsequent to June 30, 2001 is not amortized and goodwill for acquisitions completed prior to June 30, 2001 is amortized only through September 30, 2002. See the discussion above under the caption "Adoption of New Accounting Standards". In accordance with these provisions, the goodwill relating to the Clarify acquisition has been not amortized. Commencing October 1, 2002, as a result of our adoption of SFAS No. 142, we will cease amortizing goodwill related to the ITDS and Solect acquisitions and all goodwill will be subject to periodic impairment tests. Also effective October 1, 2002, we adopted SFAS No. 141 for acquisitions prior to July 1, 2001, which requires us to reclassify to goodwill certain other intangible assets, such as workforce-in-place. The amount assigned to Clarify goodwill was subject to possible purchase price adjustments and other contingencies, which were settled in October 2002, as discussed above.</w:t>
      </w:r>
    </w:p>
    <w:p>
      <w:pPr>
        <w:spacing w:after="0" w:line="185" w:lineRule="exact"/>
        <w:rPr>
          <w:sz w:val="20"/>
          <w:szCs w:val="20"/>
          <w:color w:val="auto"/>
        </w:rPr>
      </w:pPr>
    </w:p>
    <w:p>
      <w:pPr>
        <w:ind w:right="3639" w:firstLine="541"/>
        <w:spacing w:after="0" w:line="243" w:lineRule="auto"/>
        <w:rPr>
          <w:sz w:val="20"/>
          <w:szCs w:val="20"/>
          <w:color w:val="auto"/>
        </w:rPr>
      </w:pPr>
      <w:r>
        <w:rPr>
          <w:rFonts w:ascii="Courier New" w:cs="Courier New" w:eastAsia="Courier New" w:hAnsi="Courier New"/>
          <w:sz w:val="15"/>
          <w:szCs w:val="15"/>
          <w:color w:val="auto"/>
        </w:rPr>
        <w:t>No further investments were made in the projects written-off in our acquisitions.</w:t>
      </w:r>
    </w:p>
    <w:p>
      <w:pPr>
        <w:sectPr>
          <w:pgSz w:w="11900" w:h="16838" w:orient="portrait"/>
          <w:cols w:equalWidth="0" w:num="1">
            <w:col w:w="10219"/>
          </w:cols>
          <w:pgMar w:left="240" w:top="464" w:right="1440" w:bottom="1440" w:gutter="0" w:footer="0" w:header="0"/>
        </w:sectPr>
      </w:pPr>
    </w:p>
    <w:bookmarkStart w:id="49" w:name="page50"/>
    <w:bookmarkEnd w:id="49"/>
    <w:p>
      <w:pPr>
        <w:jc w:val="center"/>
        <w:ind w:right="3019"/>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OPERATING AND FINANCIAL REVIEW AND PROSPECTS - (CONTINUED)</w:t>
      </w:r>
    </w:p>
    <w:p>
      <w:pPr>
        <w:spacing w:after="0" w:line="351" w:lineRule="exact"/>
        <w:rPr>
          <w:sz w:val="20"/>
          <w:szCs w:val="20"/>
          <w:color w:val="auto"/>
        </w:rPr>
      </w:pPr>
    </w:p>
    <w:p>
      <w:pPr>
        <w:ind w:right="3199" w:firstLine="541"/>
        <w:spacing w:after="0" w:line="243" w:lineRule="auto"/>
        <w:rPr>
          <w:sz w:val="20"/>
          <w:szCs w:val="20"/>
          <w:color w:val="auto"/>
        </w:rPr>
      </w:pPr>
      <w:r>
        <w:rPr>
          <w:rFonts w:ascii="Courier New" w:cs="Courier New" w:eastAsia="Courier New" w:hAnsi="Courier New"/>
          <w:sz w:val="15"/>
          <w:szCs w:val="15"/>
          <w:color w:val="auto"/>
        </w:rPr>
        <w:t>For more information on our acquisitions, see Note 3 to the consolidated financial statements included in this document.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PATENTS AND LICENSES</w:t>
      </w:r>
    </w:p>
    <w:p>
      <w:pPr>
        <w:spacing w:after="0" w:line="178" w:lineRule="exact"/>
        <w:rPr>
          <w:sz w:val="20"/>
          <w:szCs w:val="20"/>
          <w:color w:val="auto"/>
        </w:rPr>
      </w:pPr>
    </w:p>
    <w:p>
      <w:pPr>
        <w:ind w:right="3019" w:firstLine="541"/>
        <w:spacing w:after="0" w:line="262" w:lineRule="auto"/>
        <w:rPr>
          <w:sz w:val="20"/>
          <w:szCs w:val="20"/>
          <w:color w:val="auto"/>
        </w:rPr>
      </w:pPr>
      <w:r>
        <w:rPr>
          <w:rFonts w:ascii="Courier New" w:cs="Courier New" w:eastAsia="Courier New" w:hAnsi="Courier New"/>
          <w:sz w:val="14"/>
          <w:szCs w:val="14"/>
          <w:color w:val="auto"/>
        </w:rPr>
        <w:t>Our research and development activities involve the development of new software modules and product offerings in response to an identified market demand, either in conjunction with a customer project or as part of our internal product development programs. We also expend additional amounts on applied research and software development activities to keep abreast of new technologies in the communications markets and to provide new and enhanced functionality to our existing product offerings. Research and development expenditures were $124.1 million, $105.8 million and $74.9 million in the fiscal years ended September 30, 2002, 2001 and 2000, respectively, representing 7.7%, 6.9% and</w:t>
      </w:r>
    </w:p>
    <w:p>
      <w:pPr>
        <w:spacing w:after="0" w:line="2"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6.7%, respectively, of our revenue in these fiscal years. We believe that our research and development efforts are a key element of our strategy and are essential to our success. Although we intend to continue to devote resources to research and development as required to maintain and further strengthen our market position, our research and development budget, like all of our costs, is sensitive to our overall financial condition. A decrease in our total revenue could, in certain circumstances, lead to reductions in the levels of our research and development expenditures.</w:t>
      </w:r>
    </w:p>
    <w:p>
      <w:pPr>
        <w:spacing w:after="0" w:line="178"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We regard significant portions of our software products and systems as proprietary. We rely on a combination of statutory and common law copyright, trademark and trade secret laws, customer licensing agreements, employee and third-party nondisclosure agreements and other methods to protect our proprietary rights. We generally enter into confidentiality agreements with our employees, consultants, subcontractors, customers and potential customers and limit access to, and distribution of, our proprietary information. We believe that the sophistication and complexity of our BSS offerings make it very difficult to copy such information or to subject such information to unauthorized use. We maintain sole ownership of our software products.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NOTES</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 May 2001 we issued $500.0 million aggregate principal amount of 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Notes due June 1, 2008 (the "Notes"). We are obligated to pay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on the Notes semi-annually on June 1 and December 1 of each year.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are our senior unsecured obligations and rank equal in right of payment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all of our existing and future senior unsecured indebtedness. The Notes are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at the option of the holders at any time before the maturity date,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into our ordinary shares at a conversion rate of 10.8587 shares per $1,000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amount of Notes, representing a conversion price of approximately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$92.09 per share. The Notes are subject to redemption at any time on or after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 2006, in whole or in part, at our option, at a redemption price of 100%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principal amount plus accrued and unpaid interest. The Notes are subject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repurchase, at the holder's option, on June 1, 2004 and June 1, 2006, at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repurchase price equal to</w:t>
      </w:r>
    </w:p>
    <w:p>
      <w:pPr>
        <w:sectPr>
          <w:pgSz w:w="11900" w:h="16838" w:orient="portrait"/>
          <w:cols w:equalWidth="0" w:num="1">
            <w:col w:w="10219"/>
          </w:cols>
          <w:pgMar w:left="240" w:top="464" w:right="1440" w:bottom="1440" w:gutter="0" w:footer="0" w:header="0"/>
        </w:sectPr>
      </w:pPr>
    </w:p>
    <w:bookmarkStart w:id="50" w:name="page51"/>
    <w:bookmarkEnd w:id="50"/>
    <w:p>
      <w:pPr>
        <w:jc w:val="center"/>
        <w:ind w:right="3019"/>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OPERATING AND FINANCIAL REVIEW AND PROSPECTS - (CONTINUED)</w:t>
      </w:r>
    </w:p>
    <w:p>
      <w:pPr>
        <w:spacing w:after="0" w:line="351"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100% of the principal amount plus accrued and unpaid interest, if any, on such repurchase date. We may choose to pay the repurchase price in cash, ordinary shares or a combination of cash and ordinary shares.</w:t>
      </w:r>
    </w:p>
    <w:p>
      <w:pPr>
        <w:spacing w:after="0" w:line="175"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On July 23, 2002, our board of directors authorized us to repurchase Notes, in such amounts, at such prices and at such times considered appropriate. Such repurchases may be made on the open market, in privately negotiated transactions or otherwise, in accordance with any applicable laws and the terms of the Notes. As of September 30, 2002, we had repurchased $54.9 million aggregate principal amount of the Notes, at an average price of $890 per $1,000 principal amount. We funded these repurchases, and intend to fund any future repurchases, with available funds. As of September 30, 2002, $445.1 million aggregate principal amount of the Notes was outstanding.</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REPURCHASE PROGRAM</w:t>
      </w:r>
    </w:p>
    <w:p>
      <w:pPr>
        <w:spacing w:after="0" w:line="178" w:lineRule="exact"/>
        <w:rPr>
          <w:sz w:val="20"/>
          <w:szCs w:val="20"/>
          <w:color w:val="auto"/>
        </w:rPr>
      </w:pPr>
    </w:p>
    <w:p>
      <w:pPr>
        <w:ind w:right="3199" w:firstLine="541"/>
        <w:spacing w:after="0" w:line="244" w:lineRule="auto"/>
        <w:rPr>
          <w:sz w:val="20"/>
          <w:szCs w:val="20"/>
          <w:color w:val="auto"/>
        </w:rPr>
      </w:pPr>
      <w:r>
        <w:rPr>
          <w:rFonts w:ascii="Courier New" w:cs="Courier New" w:eastAsia="Courier New" w:hAnsi="Courier New"/>
          <w:sz w:val="15"/>
          <w:szCs w:val="15"/>
          <w:color w:val="auto"/>
        </w:rPr>
        <w:t>In November 2001, our board of directors approved a twelve-month share repurchase program, authorizing the repurchase of up to 11 million of our ordinary shares, or approximately 5% of our outstanding ordinary shares as of that date. In April 2002, our board of directors expanded the stock repurchase plan to authorize the purchase of up to 20 million shares, or approximately 9% of our then outstanding ordinary shares. Under the program, from time to time through November 2002, we were authorized to repurchase shares on the open market, in privately negotiated transactions or otherwise, in accordance with any applicable laws, and at times and prices as we deemed appropriate. During 2002 we repurchased 7.7 million of our ordinary shares at a weighted average price of $14.13 per share. We funded these repurchases, and intend to fund any future repurchases, with available funds.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w:t>
      </w:r>
    </w:p>
    <w:p>
      <w:pPr>
        <w:spacing w:after="0" w:line="178" w:lineRule="exact"/>
        <w:rPr>
          <w:sz w:val="20"/>
          <w:szCs w:val="20"/>
          <w:color w:val="auto"/>
        </w:rPr>
      </w:pPr>
    </w:p>
    <w:p>
      <w:pPr>
        <w:jc w:val="both"/>
        <w:ind w:right="3559" w:firstLine="541"/>
        <w:spacing w:after="0" w:line="262" w:lineRule="auto"/>
        <w:rPr>
          <w:sz w:val="20"/>
          <w:szCs w:val="20"/>
          <w:color w:val="auto"/>
        </w:rPr>
      </w:pPr>
      <w:r>
        <w:rPr>
          <w:rFonts w:ascii="Courier New" w:cs="Courier New" w:eastAsia="Courier New" w:hAnsi="Courier New"/>
          <w:sz w:val="14"/>
          <w:szCs w:val="14"/>
          <w:color w:val="auto"/>
        </w:rPr>
        <w:t>In January 2001 we formed Certen Inc. ("Certen") with Bell Canada to provide customer care and billing solutions to Bell Canada and some of its affiliated companies. Certen is owned 90% by Bell Canada and 10% by us.</w:t>
      </w:r>
    </w:p>
    <w:p>
      <w:pPr>
        <w:spacing w:after="0" w:line="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Commencing on the 30-month anniversary of the transaction, convertible debentures issued by Certen to us will be convertible into an additional 35% ownership interest in Certen. Our relative ownership interests might be modified further through the exercise of a series of contractual rights, commencing on the 30-month anniversary of the transaction. We are providing the customer care and billing software required by Certen, including customization, installation, maintenance and other services. We account for our investment in Certen under the cost method.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ADJUSTMENT TO THE BASIS OF INVESTMENTS</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In fiscal 2002, we recorded pretax charges of $5.5 million to adjust the carrying value of two investments, accounted for by us under the cost method. In fiscal 2001, we recorded pretax charges of $6.8 million to adjust the carrying value of four investments, accounted for by us under the cost method. We periodically monitor the economic and</w:t>
      </w:r>
    </w:p>
    <w:p>
      <w:pPr>
        <w:sectPr>
          <w:pgSz w:w="11900" w:h="16838" w:orient="portrait"/>
          <w:cols w:equalWidth="0" w:num="1">
            <w:col w:w="10219"/>
          </w:cols>
          <w:pgMar w:left="240" w:top="464" w:right="1440" w:bottom="1440" w:gutter="0" w:footer="0" w:header="0"/>
        </w:sectPr>
      </w:pPr>
    </w:p>
    <w:bookmarkStart w:id="51" w:name="page52"/>
    <w:bookmarkEnd w:id="51"/>
    <w:p>
      <w:pPr>
        <w:jc w:val="center"/>
        <w:ind w:right="3019"/>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OPERATING AND FINANCIAL REVIEW AND PROSPECTS - (CONTINUED)</w:t>
      </w:r>
    </w:p>
    <w:p>
      <w:pPr>
        <w:spacing w:after="0" w:line="351"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financial aspects of our interests in all of our investments. Following these adjustments, as of September 30, 2002, our only remaining investment accounted for under the cost method was Certen.</w:t>
      </w:r>
    </w:p>
    <w:p>
      <w:pPr>
        <w:sectPr>
          <w:pgSz w:w="11900" w:h="16838" w:orient="portrait"/>
          <w:cols w:equalWidth="0" w:num="1">
            <w:col w:w="10219"/>
          </w:cols>
          <w:pgMar w:left="240" w:top="464" w:right="1440" w:bottom="1440" w:gutter="0" w:footer="0" w:header="0"/>
        </w:sectPr>
      </w:pPr>
    </w:p>
    <w:bookmarkStart w:id="52" w:name="page53"/>
    <w:bookmarkEnd w:id="52"/>
    <w:p>
      <w:pPr>
        <w:jc w:val="center"/>
        <w:ind w:right="4312"/>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jc w:val="center"/>
        <w:ind w:right="4312"/>
        <w:spacing w:after="0"/>
        <w:rPr>
          <w:sz w:val="20"/>
          <w:szCs w:val="20"/>
          <w:color w:val="auto"/>
        </w:rPr>
      </w:pPr>
      <w:r>
        <w:rPr>
          <w:rFonts w:ascii="Courier New" w:cs="Courier New" w:eastAsia="Courier New" w:hAnsi="Courier New"/>
          <w:sz w:val="15"/>
          <w:szCs w:val="15"/>
          <w:color w:val="auto"/>
        </w:rPr>
        <w:t>OPERATING AND FINANCIAL REVIEW AND PROSPECTS - (CONTINUED)</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OPERATING RESULTS</w:t>
      </w:r>
    </w:p>
    <w:p>
      <w:pPr>
        <w:spacing w:after="0" w:line="178" w:lineRule="exact"/>
        <w:rPr>
          <w:sz w:val="20"/>
          <w:szCs w:val="20"/>
          <w:color w:val="auto"/>
        </w:rPr>
      </w:pPr>
    </w:p>
    <w:p>
      <w:pPr>
        <w:ind w:left="8" w:right="4500" w:firstLine="541"/>
        <w:spacing w:after="0" w:line="244" w:lineRule="auto"/>
        <w:rPr>
          <w:sz w:val="20"/>
          <w:szCs w:val="20"/>
          <w:color w:val="auto"/>
        </w:rPr>
      </w:pPr>
      <w:r>
        <w:rPr>
          <w:rFonts w:ascii="Courier New" w:cs="Courier New" w:eastAsia="Courier New" w:hAnsi="Courier New"/>
          <w:sz w:val="15"/>
          <w:szCs w:val="15"/>
          <w:color w:val="auto"/>
        </w:rPr>
        <w:t>The following table sets forth for the fiscal years ended September 30, 2002, 2001 and 2000 certain items in our consolidated statements of operations reflected as a percentage of total revenue:</w:t>
      </w:r>
    </w:p>
    <w:p>
      <w:pPr>
        <w:spacing w:after="0" w:line="200" w:lineRule="exact"/>
        <w:rPr>
          <w:sz w:val="20"/>
          <w:szCs w:val="20"/>
          <w:color w:val="auto"/>
        </w:rPr>
      </w:pPr>
    </w:p>
    <w:p>
      <w:pPr>
        <w:spacing w:after="0" w:line="32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8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YEAR ENDED SEPTEMBER 30,</w:t>
            </w:r>
          </w:p>
        </w:tc>
        <w:tc>
          <w:tcPr>
            <w:tcW w:w="10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3"/>
        </w:trPr>
        <w:tc>
          <w:tcPr>
            <w:tcW w:w="3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88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3"/>
        </w:trPr>
        <w:tc>
          <w:tcPr>
            <w:tcW w:w="3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6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2002</w:t>
            </w:r>
          </w:p>
        </w:tc>
        <w:tc>
          <w:tcPr>
            <w:tcW w:w="1160" w:type="dxa"/>
            <w:vAlign w:val="bottom"/>
          </w:tcPr>
          <w:p>
            <w:pPr>
              <w:spacing w:after="0"/>
              <w:rPr>
                <w:sz w:val="15"/>
                <w:szCs w:val="15"/>
                <w:color w:val="auto"/>
              </w:rPr>
            </w:pPr>
          </w:p>
        </w:tc>
        <w:tc>
          <w:tcPr>
            <w:tcW w:w="172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2001</w:t>
            </w:r>
          </w:p>
        </w:tc>
        <w:tc>
          <w:tcPr>
            <w:tcW w:w="1040" w:type="dxa"/>
            <w:vAlign w:val="bottom"/>
          </w:tcPr>
          <w:p>
            <w:pPr>
              <w:spacing w:after="0"/>
              <w:rPr>
                <w:sz w:val="15"/>
                <w:szCs w:val="15"/>
                <w:color w:val="auto"/>
              </w:rPr>
            </w:pPr>
          </w:p>
        </w:tc>
        <w:tc>
          <w:tcPr>
            <w:tcW w:w="156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3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6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5"/>
                <w:szCs w:val="15"/>
                <w:color w:val="auto"/>
              </w:rPr>
            </w:pPr>
          </w:p>
        </w:tc>
        <w:tc>
          <w:tcPr>
            <w:tcW w:w="172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5"/>
                <w:szCs w:val="15"/>
                <w:color w:val="auto"/>
              </w:rPr>
            </w:pPr>
          </w:p>
        </w:tc>
        <w:tc>
          <w:tcPr>
            <w:tcW w:w="156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w:t>
            </w:r>
          </w:p>
        </w:tc>
      </w:tr>
      <w:tr>
        <w:trPr>
          <w:trHeight w:val="173"/>
        </w:trPr>
        <w:tc>
          <w:tcPr>
            <w:tcW w:w="320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PRO</w:t>
            </w:r>
          </w:p>
        </w:tc>
        <w:tc>
          <w:tcPr>
            <w:tcW w:w="1760" w:type="dxa"/>
            <w:vAlign w:val="bottom"/>
          </w:tcPr>
          <w:p>
            <w:pPr>
              <w:spacing w:after="0"/>
              <w:rPr>
                <w:sz w:val="15"/>
                <w:szCs w:val="15"/>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PRO</w:t>
            </w:r>
          </w:p>
        </w:tc>
        <w:tc>
          <w:tcPr>
            <w:tcW w:w="1720" w:type="dxa"/>
            <w:vAlign w:val="bottom"/>
          </w:tcPr>
          <w:p>
            <w:pPr>
              <w:spacing w:after="0"/>
              <w:rPr>
                <w:sz w:val="15"/>
                <w:szCs w:val="15"/>
                <w:color w:val="auto"/>
              </w:rPr>
            </w:pPr>
          </w:p>
        </w:tc>
        <w:tc>
          <w:tcPr>
            <w:tcW w:w="10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PRO</w:t>
            </w:r>
          </w:p>
        </w:tc>
        <w:tc>
          <w:tcPr>
            <w:tcW w:w="1560" w:type="dxa"/>
            <w:vAlign w:val="bottom"/>
          </w:tcPr>
          <w:p>
            <w:pPr>
              <w:spacing w:after="0"/>
              <w:rPr>
                <w:sz w:val="15"/>
                <w:szCs w:val="15"/>
                <w:color w:val="auto"/>
              </w:rPr>
            </w:pPr>
          </w:p>
        </w:tc>
      </w:tr>
      <w:tr>
        <w:trPr>
          <w:trHeight w:val="173"/>
        </w:trPr>
        <w:tc>
          <w:tcPr>
            <w:tcW w:w="320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FORMA(*)</w:t>
            </w:r>
          </w:p>
        </w:tc>
        <w:tc>
          <w:tcPr>
            <w:tcW w:w="17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AS REPORTED</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FORMA(*)</w:t>
            </w:r>
          </w:p>
        </w:tc>
        <w:tc>
          <w:tcPr>
            <w:tcW w:w="1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AS REPORTED</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FORMA (*)</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AS REPORTED</w:t>
            </w:r>
          </w:p>
        </w:tc>
      </w:tr>
      <w:tr>
        <w:trPr>
          <w:trHeight w:val="173"/>
        </w:trPr>
        <w:tc>
          <w:tcPr>
            <w:tcW w:w="320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2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3"/>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License........................</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9.5%</w:t>
            </w:r>
          </w:p>
        </w:tc>
        <w:tc>
          <w:tcPr>
            <w:tcW w:w="17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9.5%</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11.2%</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11.2%</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11.2%</w:t>
            </w:r>
          </w:p>
        </w:tc>
        <w:tc>
          <w:tcPr>
            <w:tcW w:w="1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11.2%</w:t>
            </w:r>
          </w:p>
        </w:tc>
      </w:tr>
      <w:tr>
        <w:trPr>
          <w:trHeight w:val="173"/>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Service........................</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90.5</w:t>
            </w:r>
          </w:p>
        </w:tc>
        <w:tc>
          <w:tcPr>
            <w:tcW w:w="17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90.5</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88.8</w:t>
            </w:r>
          </w:p>
        </w:tc>
        <w:tc>
          <w:tcPr>
            <w:tcW w:w="17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88.8</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88.8</w:t>
            </w:r>
          </w:p>
        </w:tc>
        <w:tc>
          <w:tcPr>
            <w:tcW w:w="15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88.8</w:t>
            </w:r>
          </w:p>
        </w:tc>
      </w:tr>
      <w:tr>
        <w:trPr>
          <w:trHeight w:val="173"/>
        </w:trPr>
        <w:tc>
          <w:tcPr>
            <w:tcW w:w="320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20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100.0</w:t>
            </w:r>
          </w:p>
        </w:tc>
        <w:tc>
          <w:tcPr>
            <w:tcW w:w="17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100.0</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100.0</w:t>
            </w:r>
          </w:p>
        </w:tc>
        <w:tc>
          <w:tcPr>
            <w:tcW w:w="17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100.0</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100.0</w:t>
            </w:r>
          </w:p>
        </w:tc>
        <w:tc>
          <w:tcPr>
            <w:tcW w:w="15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100.0</w:t>
            </w:r>
          </w:p>
        </w:tc>
      </w:tr>
      <w:tr>
        <w:trPr>
          <w:trHeight w:val="173"/>
        </w:trPr>
        <w:tc>
          <w:tcPr>
            <w:tcW w:w="320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2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0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3"/>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Cost of license................</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0.3</w:t>
            </w:r>
          </w:p>
        </w:tc>
        <w:tc>
          <w:tcPr>
            <w:tcW w:w="17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0.3</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0.4</w:t>
            </w:r>
          </w:p>
        </w:tc>
        <w:tc>
          <w:tcPr>
            <w:tcW w:w="17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0.4</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0.5</w:t>
            </w:r>
          </w:p>
        </w:tc>
        <w:tc>
          <w:tcPr>
            <w:tcW w:w="15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0.5</w:t>
            </w:r>
          </w:p>
        </w:tc>
      </w:tr>
      <w:tr>
        <w:trPr>
          <w:trHeight w:val="173"/>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Cost of service................</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57.5</w:t>
            </w:r>
          </w:p>
        </w:tc>
        <w:tc>
          <w:tcPr>
            <w:tcW w:w="17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57.5</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55.3</w:t>
            </w:r>
          </w:p>
        </w:tc>
        <w:tc>
          <w:tcPr>
            <w:tcW w:w="17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55.3</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57.2</w:t>
            </w:r>
          </w:p>
        </w:tc>
        <w:tc>
          <w:tcPr>
            <w:tcW w:w="15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57.2</w:t>
            </w:r>
          </w:p>
        </w:tc>
      </w:tr>
      <w:tr>
        <w:trPr>
          <w:trHeight w:val="173"/>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Research and development.......</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7.7</w:t>
            </w:r>
          </w:p>
        </w:tc>
        <w:tc>
          <w:tcPr>
            <w:tcW w:w="17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7.7</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6.9</w:t>
            </w:r>
          </w:p>
        </w:tc>
        <w:tc>
          <w:tcPr>
            <w:tcW w:w="17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6.9</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6.7</w:t>
            </w:r>
          </w:p>
        </w:tc>
        <w:tc>
          <w:tcPr>
            <w:tcW w:w="15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6.7</w:t>
            </w:r>
          </w:p>
        </w:tc>
      </w:tr>
      <w:tr>
        <w:trPr>
          <w:trHeight w:val="173"/>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w:t>
            </w:r>
          </w:p>
        </w:tc>
        <w:tc>
          <w:tcPr>
            <w:tcW w:w="10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3"/>
        </w:trPr>
        <w:tc>
          <w:tcPr>
            <w:tcW w:w="3200" w:type="dxa"/>
            <w:vAlign w:val="bottom"/>
          </w:tcPr>
          <w:p>
            <w:pPr>
              <w:ind w:left="360"/>
              <w:spacing w:after="0"/>
              <w:rPr>
                <w:sz w:val="20"/>
                <w:szCs w:val="20"/>
                <w:color w:val="auto"/>
              </w:rPr>
            </w:pPr>
            <w:r>
              <w:rPr>
                <w:rFonts w:ascii="Courier New" w:cs="Courier New" w:eastAsia="Courier New" w:hAnsi="Courier New"/>
                <w:sz w:val="15"/>
                <w:szCs w:val="15"/>
                <w:color w:val="auto"/>
              </w:rPr>
              <w:t>administrative...............</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13.9</w:t>
            </w:r>
          </w:p>
        </w:tc>
        <w:tc>
          <w:tcPr>
            <w:tcW w:w="17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13.9</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12.7</w:t>
            </w:r>
          </w:p>
        </w:tc>
        <w:tc>
          <w:tcPr>
            <w:tcW w:w="17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12.7</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12.3</w:t>
            </w:r>
          </w:p>
        </w:tc>
        <w:tc>
          <w:tcPr>
            <w:tcW w:w="15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12.3</w:t>
            </w:r>
          </w:p>
        </w:tc>
      </w:tr>
      <w:tr>
        <w:trPr>
          <w:trHeight w:val="173"/>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goodwill and</w:t>
            </w:r>
          </w:p>
        </w:tc>
        <w:tc>
          <w:tcPr>
            <w:tcW w:w="10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3"/>
        </w:trPr>
        <w:tc>
          <w:tcPr>
            <w:tcW w:w="3200" w:type="dxa"/>
            <w:vAlign w:val="bottom"/>
          </w:tcPr>
          <w:p>
            <w:pPr>
              <w:ind w:left="360"/>
              <w:spacing w:after="0"/>
              <w:rPr>
                <w:sz w:val="20"/>
                <w:szCs w:val="20"/>
                <w:color w:val="auto"/>
              </w:rPr>
            </w:pPr>
            <w:r>
              <w:rPr>
                <w:rFonts w:ascii="Courier New" w:cs="Courier New" w:eastAsia="Courier New" w:hAnsi="Courier New"/>
                <w:sz w:val="15"/>
                <w:szCs w:val="15"/>
                <w:color w:val="auto"/>
              </w:rPr>
              <w:t>purchased intangible assets..</w:t>
            </w:r>
          </w:p>
        </w:tc>
        <w:tc>
          <w:tcPr>
            <w:tcW w:w="10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3"/>
        </w:trPr>
        <w:tc>
          <w:tcPr>
            <w:tcW w:w="320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14.4</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14.3</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9.9</w:t>
            </w:r>
          </w:p>
        </w:tc>
      </w:tr>
      <w:tr>
        <w:trPr>
          <w:trHeight w:val="173"/>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Restructuring charges,</w:t>
            </w:r>
          </w:p>
        </w:tc>
        <w:tc>
          <w:tcPr>
            <w:tcW w:w="10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3"/>
        </w:trPr>
        <w:tc>
          <w:tcPr>
            <w:tcW w:w="3200" w:type="dxa"/>
            <w:vAlign w:val="bottom"/>
          </w:tcPr>
          <w:p>
            <w:pPr>
              <w:ind w:left="360"/>
              <w:spacing w:after="0"/>
              <w:rPr>
                <w:sz w:val="20"/>
                <w:szCs w:val="20"/>
                <w:color w:val="auto"/>
              </w:rPr>
            </w:pPr>
            <w:r>
              <w:rPr>
                <w:rFonts w:ascii="Courier New" w:cs="Courier New" w:eastAsia="Courier New" w:hAnsi="Courier New"/>
                <w:sz w:val="15"/>
                <w:szCs w:val="15"/>
                <w:color w:val="auto"/>
              </w:rPr>
              <w:t>in-process research and</w:t>
            </w:r>
          </w:p>
        </w:tc>
        <w:tc>
          <w:tcPr>
            <w:tcW w:w="10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3"/>
        </w:trPr>
        <w:tc>
          <w:tcPr>
            <w:tcW w:w="3200" w:type="dxa"/>
            <w:vAlign w:val="bottom"/>
          </w:tcPr>
          <w:p>
            <w:pPr>
              <w:ind w:left="360"/>
              <w:spacing w:after="0"/>
              <w:rPr>
                <w:sz w:val="20"/>
                <w:szCs w:val="20"/>
                <w:color w:val="auto"/>
              </w:rPr>
            </w:pPr>
            <w:r>
              <w:rPr>
                <w:rFonts w:ascii="Courier New" w:cs="Courier New" w:eastAsia="Courier New" w:hAnsi="Courier New"/>
                <w:sz w:val="15"/>
                <w:szCs w:val="15"/>
                <w:color w:val="auto"/>
              </w:rPr>
              <w:t>development and other</w:t>
            </w:r>
          </w:p>
        </w:tc>
        <w:tc>
          <w:tcPr>
            <w:tcW w:w="10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3"/>
        </w:trPr>
        <w:tc>
          <w:tcPr>
            <w:tcW w:w="3200" w:type="dxa"/>
            <w:vAlign w:val="bottom"/>
          </w:tcPr>
          <w:p>
            <w:pPr>
              <w:ind w:left="360"/>
              <w:spacing w:after="0"/>
              <w:rPr>
                <w:sz w:val="20"/>
                <w:szCs w:val="20"/>
                <w:color w:val="auto"/>
              </w:rPr>
            </w:pPr>
            <w:r>
              <w:rPr>
                <w:rFonts w:ascii="Courier New" w:cs="Courier New" w:eastAsia="Courier New" w:hAnsi="Courier New"/>
                <w:sz w:val="15"/>
                <w:szCs w:val="15"/>
                <w:color w:val="auto"/>
              </w:rPr>
              <w:t>indirect acquisition-related</w:t>
            </w:r>
          </w:p>
        </w:tc>
        <w:tc>
          <w:tcPr>
            <w:tcW w:w="10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3"/>
        </w:trPr>
        <w:tc>
          <w:tcPr>
            <w:tcW w:w="3200" w:type="dxa"/>
            <w:vAlign w:val="bottom"/>
          </w:tcPr>
          <w:p>
            <w:pPr>
              <w:ind w:left="360"/>
              <w:spacing w:after="0"/>
              <w:rPr>
                <w:sz w:val="20"/>
                <w:szCs w:val="20"/>
                <w:color w:val="auto"/>
              </w:rPr>
            </w:pPr>
            <w:r>
              <w:rPr>
                <w:rFonts w:ascii="Courier New" w:cs="Courier New" w:eastAsia="Courier New" w:hAnsi="Courier New"/>
                <w:sz w:val="15"/>
                <w:szCs w:val="15"/>
                <w:color w:val="auto"/>
              </w:rPr>
              <w:t>costs........................</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3.2</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6.8</w:t>
            </w:r>
          </w:p>
        </w:tc>
      </w:tr>
      <w:tr>
        <w:trPr>
          <w:trHeight w:val="173"/>
        </w:trPr>
        <w:tc>
          <w:tcPr>
            <w:tcW w:w="320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20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79.4</w:t>
            </w:r>
          </w:p>
        </w:tc>
        <w:tc>
          <w:tcPr>
            <w:tcW w:w="17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97.0</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75.3</w:t>
            </w:r>
          </w:p>
        </w:tc>
        <w:tc>
          <w:tcPr>
            <w:tcW w:w="17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89.6</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76.7</w:t>
            </w:r>
          </w:p>
        </w:tc>
        <w:tc>
          <w:tcPr>
            <w:tcW w:w="15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93.4</w:t>
            </w:r>
          </w:p>
        </w:tc>
      </w:tr>
      <w:tr>
        <w:trPr>
          <w:trHeight w:val="173"/>
        </w:trPr>
        <w:tc>
          <w:tcPr>
            <w:tcW w:w="320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2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20.6</w:t>
            </w:r>
          </w:p>
        </w:tc>
        <w:tc>
          <w:tcPr>
            <w:tcW w:w="17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3.0</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24.7</w:t>
            </w:r>
          </w:p>
        </w:tc>
        <w:tc>
          <w:tcPr>
            <w:tcW w:w="17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10.4</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23.3</w:t>
            </w:r>
          </w:p>
        </w:tc>
        <w:tc>
          <w:tcPr>
            <w:tcW w:w="15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6.6</w:t>
            </w:r>
          </w:p>
        </w:tc>
      </w:tr>
      <w:tr>
        <w:trPr>
          <w:trHeight w:val="173"/>
        </w:trPr>
        <w:tc>
          <w:tcPr>
            <w:tcW w:w="320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w:t>
            </w:r>
          </w:p>
        </w:tc>
        <w:tc>
          <w:tcPr>
            <w:tcW w:w="10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3"/>
        </w:trPr>
        <w:tc>
          <w:tcPr>
            <w:tcW w:w="3200" w:type="dxa"/>
            <w:vAlign w:val="bottom"/>
          </w:tcPr>
          <w:p>
            <w:pPr>
              <w:spacing w:after="0"/>
              <w:rPr>
                <w:sz w:val="15"/>
                <w:szCs w:val="15"/>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0.8</w:t>
            </w:r>
          </w:p>
        </w:tc>
        <w:tc>
          <w:tcPr>
            <w:tcW w:w="17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1.2</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w:t>
            </w:r>
          </w:p>
        </w:tc>
        <w:tc>
          <w:tcPr>
            <w:tcW w:w="17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1.4</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w:t>
            </w:r>
          </w:p>
        </w:tc>
        <w:tc>
          <w:tcPr>
            <w:tcW w:w="15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1.0</w:t>
            </w:r>
          </w:p>
        </w:tc>
      </w:tr>
      <w:tr>
        <w:trPr>
          <w:trHeight w:val="173"/>
        </w:trPr>
        <w:tc>
          <w:tcPr>
            <w:tcW w:w="320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20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21.4</w:t>
            </w:r>
          </w:p>
        </w:tc>
        <w:tc>
          <w:tcPr>
            <w:tcW w:w="17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4.2</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26.1</w:t>
            </w:r>
          </w:p>
        </w:tc>
        <w:tc>
          <w:tcPr>
            <w:tcW w:w="17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11.8</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24.3</w:t>
            </w:r>
          </w:p>
        </w:tc>
        <w:tc>
          <w:tcPr>
            <w:tcW w:w="15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7.6</w:t>
            </w:r>
          </w:p>
        </w:tc>
      </w:tr>
      <w:tr>
        <w:trPr>
          <w:trHeight w:val="173"/>
        </w:trPr>
        <w:tc>
          <w:tcPr>
            <w:tcW w:w="32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6.0</w:t>
            </w:r>
          </w:p>
        </w:tc>
        <w:tc>
          <w:tcPr>
            <w:tcW w:w="176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4.6</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7.8</w:t>
            </w:r>
          </w:p>
        </w:tc>
        <w:tc>
          <w:tcPr>
            <w:tcW w:w="17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7.5</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7.3</w:t>
            </w:r>
          </w:p>
        </w:tc>
        <w:tc>
          <w:tcPr>
            <w:tcW w:w="15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7.1</w:t>
            </w:r>
          </w:p>
        </w:tc>
      </w:tr>
      <w:tr>
        <w:trPr>
          <w:trHeight w:val="173"/>
        </w:trPr>
        <w:tc>
          <w:tcPr>
            <w:tcW w:w="320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200" w:type="dxa"/>
            <w:vAlign w:val="bottom"/>
          </w:tcPr>
          <w:p>
            <w:pPr>
              <w:spacing w:after="0"/>
              <w:rPr>
                <w:sz w:val="20"/>
                <w:szCs w:val="20"/>
                <w:color w:val="auto"/>
              </w:rPr>
            </w:pPr>
            <w:r>
              <w:rPr>
                <w:rFonts w:ascii="Courier New" w:cs="Courier New" w:eastAsia="Courier New" w:hAnsi="Courier New"/>
                <w:sz w:val="15"/>
                <w:szCs w:val="15"/>
                <w:color w:val="auto"/>
              </w:rPr>
              <w:t>Net (loss) income</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15.4%</w:t>
            </w:r>
          </w:p>
        </w:tc>
        <w:tc>
          <w:tcPr>
            <w:tcW w:w="17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(0.3)%</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18.3%</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4.3%</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17.0%</w:t>
            </w:r>
          </w:p>
        </w:tc>
        <w:tc>
          <w:tcPr>
            <w:tcW w:w="1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w:t>
            </w:r>
          </w:p>
        </w:tc>
      </w:tr>
      <w:tr>
        <w:trPr>
          <w:trHeight w:val="173"/>
        </w:trPr>
        <w:tc>
          <w:tcPr>
            <w:tcW w:w="320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548" w:right="4320" w:hanging="548"/>
        <w:spacing w:after="0" w:line="244" w:lineRule="auto"/>
        <w:tabs>
          <w:tab w:leader="none" w:pos="5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above pro forma financial information regarding our operating results is provided as a complement to results reported in accordance with accounting principles generally accepted in the United States. We use this pro forma financial information in our internal analysis because it enables us to consistently analyze the critical components and results of operations and to have a meaningful comparison to prior years. This pro forma financial information excludes (i) amortization of goodwill and purchased intangible assets, (ii) for fiscal 2002 and 2000 only, $17.4 million and $75.6 million, respectively, for purchased in-process research and development and other indirect acquisition-related costs, attributable to our acquisitions, (iii) for fiscal 2002 only, $13.3 million for a nonrecurring charge related to the consolidation of data centers and the resulting closure of our Stamford, Connecticut facility, $20.9 million for restructuring charge related to the cost reduction program, (iv) for fiscal 2002 only, $6.0 million gain attributable to the repurchase of Notes and (v) all related tax effects attributable to the above of $23.3 million, $5.3 million and $2.6 million for fiscal 2002, 2001 and 2000, respectively. We refer to the items in clauses (i) and (ii) collectively, as the "acquisition-related charges".</w:t>
      </w:r>
    </w:p>
    <w:p>
      <w:pPr>
        <w:sectPr>
          <w:pgSz w:w="11900" w:h="16838" w:orient="portrait"/>
          <w:cols w:equalWidth="0" w:num="1">
            <w:col w:w="11528"/>
          </w:cols>
          <w:pgMar w:left="232" w:top="464" w:right="139" w:bottom="1440" w:gutter="0" w:footer="0" w:header="0"/>
        </w:sectPr>
      </w:pPr>
    </w:p>
    <w:bookmarkStart w:id="53" w:name="page54"/>
    <w:bookmarkEnd w:id="53"/>
    <w:p>
      <w:pPr>
        <w:jc w:val="center"/>
        <w:ind w:right="187"/>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jc w:val="center"/>
        <w:ind w:right="187"/>
        <w:spacing w:after="0"/>
        <w:rPr>
          <w:sz w:val="20"/>
          <w:szCs w:val="20"/>
          <w:color w:val="auto"/>
        </w:rPr>
      </w:pPr>
      <w:r>
        <w:rPr>
          <w:rFonts w:ascii="Courier New" w:cs="Courier New" w:eastAsia="Courier New" w:hAnsi="Courier New"/>
          <w:sz w:val="15"/>
          <w:szCs w:val="15"/>
          <w:color w:val="auto"/>
        </w:rPr>
        <w:t>OPERATING AND FINANCIAL REVIEW AND PROSPECTS - (CONTINUED)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YEARS ENDED SEPTEMBER 30, 2002 AND 2001</w:t>
      </w:r>
    </w:p>
    <w:p>
      <w:pPr>
        <w:spacing w:after="0" w:line="178" w:lineRule="exact"/>
        <w:rPr>
          <w:sz w:val="20"/>
          <w:szCs w:val="20"/>
          <w:color w:val="auto"/>
        </w:rPr>
      </w:pPr>
    </w:p>
    <w:p>
      <w:pPr>
        <w:ind w:right="187" w:firstLine="541"/>
        <w:spacing w:after="0" w:line="244" w:lineRule="auto"/>
        <w:rPr>
          <w:sz w:val="20"/>
          <w:szCs w:val="20"/>
          <w:color w:val="auto"/>
        </w:rPr>
      </w:pPr>
      <w:r>
        <w:rPr>
          <w:rFonts w:ascii="Courier New" w:cs="Courier New" w:eastAsia="Courier New" w:hAnsi="Courier New"/>
          <w:sz w:val="15"/>
          <w:szCs w:val="15"/>
          <w:color w:val="auto"/>
        </w:rPr>
        <w:t>Revenue. Total revenue for the year ended September 30, 2002 was $1,613.6 million, an increase of $79.7 million, or 5.2%, over fiscal 2001. This growth rate was significantly less than the 37.2% revenue increase we had been able to achieve between fiscal 2000 and 2001, primarily as a result of the pronounced decrease in our CC&amp;B Systems revenue in the second half of fiscal 2002, partially offset by revenue attributable to our acquisition of Clarify. While CC&amp;B Systems revenue levels in the first six months of fiscal 2002 were 23.8% higher than revenue levels for CC&amp;B Systems in the comparable period of fiscal 2001, and 6.3% higher sequentially based on a comparison of our second to our first fiscal quarters of 2002, CC&amp;B Systems revenue declined significantly in the second six months of fiscal 2002. The Company experienced a $130.6 million, or 16.6%, decline in revenue from our CC&amp;B Systems between the first half and second half of fiscal 2002 and sequential declines of $65.9 million or 16.3% and $23.0 million or 6.8%, between the second and third fiscal quarters and third and fourth fiscal quarters of 2002, respectively.</w:t>
      </w:r>
    </w:p>
    <w:p>
      <w:pPr>
        <w:spacing w:after="0" w:line="183" w:lineRule="exact"/>
        <w:rPr>
          <w:sz w:val="20"/>
          <w:szCs w:val="20"/>
          <w:color w:val="auto"/>
        </w:rPr>
      </w:pPr>
    </w:p>
    <w:p>
      <w:pPr>
        <w:ind w:right="267" w:firstLine="541"/>
        <w:spacing w:after="0" w:line="243" w:lineRule="auto"/>
        <w:rPr>
          <w:sz w:val="20"/>
          <w:szCs w:val="20"/>
          <w:color w:val="auto"/>
        </w:rPr>
      </w:pPr>
      <w:r>
        <w:rPr>
          <w:rFonts w:ascii="Courier New" w:cs="Courier New" w:eastAsia="Courier New" w:hAnsi="Courier New"/>
          <w:sz w:val="15"/>
          <w:szCs w:val="15"/>
          <w:color w:val="auto"/>
        </w:rPr>
        <w:t>The recent quarterly trends in our total revenue are summarized below (in millions):</w:t>
      </w:r>
    </w:p>
    <w:p>
      <w:pPr>
        <w:spacing w:after="0" w:line="200" w:lineRule="exact"/>
        <w:rPr>
          <w:sz w:val="20"/>
          <w:szCs w:val="20"/>
          <w:color w:val="auto"/>
        </w:rPr>
      </w:pPr>
    </w:p>
    <w:p>
      <w:pPr>
        <w:spacing w:after="0" w:line="322"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Q1</w:t>
            </w:r>
          </w:p>
        </w:tc>
        <w:tc>
          <w:tcPr>
            <w:tcW w:w="760" w:type="dxa"/>
            <w:vAlign w:val="bottom"/>
          </w:tcPr>
          <w:p>
            <w:pPr>
              <w:spacing w:after="0"/>
              <w:rPr>
                <w:sz w:val="14"/>
                <w:szCs w:val="14"/>
                <w:color w:val="auto"/>
              </w:rPr>
            </w:pPr>
          </w:p>
        </w:tc>
        <w:tc>
          <w:tcPr>
            <w:tcW w:w="1180" w:type="dxa"/>
            <w:vAlign w:val="bottom"/>
          </w:tcPr>
          <w:p>
            <w:pPr>
              <w:ind w:left="240"/>
              <w:spacing w:after="0"/>
              <w:rPr>
                <w:sz w:val="20"/>
                <w:szCs w:val="20"/>
                <w:color w:val="auto"/>
              </w:rPr>
            </w:pPr>
            <w:r>
              <w:rPr>
                <w:rFonts w:ascii="Courier New" w:cs="Courier New" w:eastAsia="Courier New" w:hAnsi="Courier New"/>
                <w:sz w:val="15"/>
                <w:szCs w:val="15"/>
                <w:color w:val="auto"/>
              </w:rPr>
              <w:t>Q2</w:t>
            </w:r>
          </w:p>
        </w:tc>
        <w:tc>
          <w:tcPr>
            <w:tcW w:w="76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Q3</w:t>
            </w:r>
          </w:p>
        </w:tc>
      </w:tr>
      <w:tr>
        <w:trPr>
          <w:trHeight w:val="173"/>
        </w:trPr>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5"/>
                <w:szCs w:val="15"/>
                <w:color w:val="auto"/>
              </w:rPr>
            </w:pPr>
          </w:p>
        </w:tc>
        <w:tc>
          <w:tcPr>
            <w:tcW w:w="11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5"/>
                <w:szCs w:val="15"/>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7"/>
        </w:trPr>
        <w:tc>
          <w:tcPr>
            <w:tcW w:w="580" w:type="dxa"/>
            <w:vAlign w:val="bottom"/>
          </w:tcPr>
          <w:p>
            <w:pPr>
              <w:spacing w:after="0"/>
              <w:rPr>
                <w:sz w:val="20"/>
                <w:szCs w:val="20"/>
                <w:color w:val="auto"/>
              </w:rPr>
            </w:pPr>
            <w:r>
              <w:rPr>
                <w:rFonts w:ascii="Courier New" w:cs="Courier New" w:eastAsia="Courier New" w:hAnsi="Courier New"/>
                <w:sz w:val="15"/>
                <w:szCs w:val="15"/>
                <w:color w:val="auto"/>
              </w:rPr>
              <w:t>Fiscal</w:t>
            </w:r>
          </w:p>
        </w:tc>
        <w:tc>
          <w:tcPr>
            <w:tcW w:w="100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2002</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422.6</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240"/>
              <w:spacing w:after="0"/>
              <w:rPr>
                <w:sz w:val="20"/>
                <w:szCs w:val="20"/>
                <w:color w:val="auto"/>
              </w:rPr>
            </w:pPr>
            <w:r>
              <w:rPr>
                <w:rFonts w:ascii="Courier New" w:cs="Courier New" w:eastAsia="Courier New" w:hAnsi="Courier New"/>
                <w:sz w:val="15"/>
                <w:szCs w:val="15"/>
                <w:color w:val="auto"/>
              </w:rPr>
              <w:t>455.3</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380.1</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Fiscal</w:t>
            </w:r>
          </w:p>
        </w:tc>
        <w:tc>
          <w:tcPr>
            <w:tcW w:w="100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2001</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342.2</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240"/>
              <w:spacing w:after="0"/>
              <w:rPr>
                <w:sz w:val="20"/>
                <w:szCs w:val="20"/>
                <w:color w:val="auto"/>
              </w:rPr>
            </w:pPr>
            <w:r>
              <w:rPr>
                <w:rFonts w:ascii="Courier New" w:cs="Courier New" w:eastAsia="Courier New" w:hAnsi="Courier New"/>
                <w:sz w:val="15"/>
                <w:szCs w:val="15"/>
                <w:color w:val="auto"/>
              </w:rPr>
              <w:t>372.3</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404.0</w:t>
            </w:r>
          </w:p>
        </w:tc>
      </w:tr>
    </w:tbl>
    <w:p>
      <w:pPr>
        <w:spacing w:after="0" w:line="351" w:lineRule="exact"/>
        <w:rPr>
          <w:sz w:val="20"/>
          <w:szCs w:val="20"/>
          <w:color w:val="auto"/>
        </w:rPr>
      </w:pPr>
    </w:p>
    <w:p>
      <w:pPr>
        <w:ind w:right="187" w:firstLine="541"/>
        <w:spacing w:after="0" w:line="244" w:lineRule="auto"/>
        <w:rPr>
          <w:sz w:val="20"/>
          <w:szCs w:val="20"/>
          <w:color w:val="auto"/>
        </w:rPr>
      </w:pPr>
      <w:r>
        <w:rPr>
          <w:rFonts w:ascii="Courier New" w:cs="Courier New" w:eastAsia="Courier New" w:hAnsi="Courier New"/>
          <w:sz w:val="15"/>
          <w:szCs w:val="15"/>
          <w:color w:val="auto"/>
        </w:rPr>
        <w:t>As of November 30, 2002 we expect that total revenue for the first quarter of fiscal 2003 will be in the range of $333 million to $338 million. We are unable at this time to forecast beyond the first quarter of fiscal 2003. We could experience stabilization of revenue levels or additional revenue softness in future quarters. However, we expect that our revenue in fiscal 2003 will be lower than in fiscal 2002.</w:t>
      </w:r>
    </w:p>
    <w:p>
      <w:pPr>
        <w:spacing w:after="0" w:line="177" w:lineRule="exact"/>
        <w:rPr>
          <w:sz w:val="20"/>
          <w:szCs w:val="20"/>
          <w:color w:val="auto"/>
        </w:rPr>
      </w:pPr>
    </w:p>
    <w:p>
      <w:pPr>
        <w:ind w:right="187" w:firstLine="541"/>
        <w:spacing w:after="0" w:line="263" w:lineRule="auto"/>
        <w:rPr>
          <w:sz w:val="20"/>
          <w:szCs w:val="20"/>
          <w:color w:val="auto"/>
        </w:rPr>
      </w:pPr>
      <w:r>
        <w:rPr>
          <w:rFonts w:ascii="Courier New" w:cs="Courier New" w:eastAsia="Courier New" w:hAnsi="Courier New"/>
          <w:sz w:val="14"/>
          <w:szCs w:val="14"/>
          <w:color w:val="auto"/>
        </w:rPr>
        <w:t>License revenue decreased from $171.4 million in the year ended September 30, 2001 to $153.7 million in the year ended September 30, 2002, a decrease of 10.4%, while service revenue increased 7.2% to $1,459.9 million in the year ended September 30, 2002 from $1,362.5 million in the year ended September 30, 2001. The decrease in license revenue and the smaller than expected growth in service revenue are attributable primarily to the slowdown in customer buying decisions in the second half of fiscal 2002, stemming from overall reductions in the capital investment budgets of many communications service providers. This reduction in investment by our customers has resulted in our obtaining fewer new contracts than expected and smaller than expected initial spending commitments under contracts with some of our customers. The smaller than anticipated increase in service revenue is also attributable, in part, to reduced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53"/>
        <w:spacing w:after="0"/>
        <w:rPr>
          <w:sz w:val="20"/>
          <w:szCs w:val="20"/>
          <w:color w:val="auto"/>
        </w:rPr>
      </w:pPr>
      <w:r>
        <w:rPr>
          <w:rFonts w:ascii="Courier New" w:cs="Courier New" w:eastAsia="Courier New" w:hAnsi="Courier New"/>
          <w:sz w:val="15"/>
          <w:szCs w:val="15"/>
          <w:color w:val="auto"/>
        </w:rPr>
        <w:t>Q4</w:t>
      </w:r>
    </w:p>
    <w:p>
      <w:pPr>
        <w:spacing w:after="0" w:line="3" w:lineRule="exact"/>
        <w:rPr>
          <w:sz w:val="20"/>
          <w:szCs w:val="20"/>
          <w:color w:val="auto"/>
        </w:rPr>
      </w:pPr>
    </w:p>
    <w:p>
      <w:pPr>
        <w:ind w:left="453"/>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533" w:hanging="533"/>
        <w:spacing w:after="0"/>
        <w:tabs>
          <w:tab w:leader="none" w:pos="533"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355.5</w:t>
      </w:r>
    </w:p>
    <w:p>
      <w:pPr>
        <w:spacing w:after="0" w:line="3" w:lineRule="exact"/>
        <w:rPr>
          <w:rFonts w:ascii="Courier New" w:cs="Courier New" w:eastAsia="Courier New" w:hAnsi="Courier New"/>
          <w:sz w:val="15"/>
          <w:szCs w:val="15"/>
          <w:color w:val="auto"/>
        </w:rPr>
      </w:pPr>
    </w:p>
    <w:p>
      <w:pPr>
        <w:ind w:left="533" w:hanging="533"/>
        <w:spacing w:after="0"/>
        <w:tabs>
          <w:tab w:leader="none" w:pos="533"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415.4</w:t>
      </w:r>
    </w:p>
    <w:p>
      <w:pPr>
        <w:sectPr>
          <w:pgSz w:w="11900" w:h="16838" w:orient="portrait"/>
          <w:cols w:equalWidth="0" w:num="2">
            <w:col w:w="7387" w:space="720"/>
            <w:col w:w="2113"/>
          </w:cols>
          <w:pgMar w:left="240" w:top="464" w:right="1440" w:bottom="1440" w:gutter="0" w:footer="0" w:header="0"/>
        </w:sectPr>
      </w:pPr>
    </w:p>
    <w:bookmarkStart w:id="54" w:name="page55"/>
    <w:bookmarkEnd w:id="54"/>
    <w:p>
      <w:pPr>
        <w:jc w:val="center"/>
        <w:ind w:right="3019"/>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OPERATING AND FINANCIAL REVIEW AND PROSPECTS - (CONTINUED)</w:t>
      </w:r>
    </w:p>
    <w:p>
      <w:pPr>
        <w:spacing w:after="0" w:line="351" w:lineRule="exact"/>
        <w:rPr>
          <w:sz w:val="20"/>
          <w:szCs w:val="20"/>
          <w:color w:val="auto"/>
        </w:rPr>
      </w:pPr>
    </w:p>
    <w:p>
      <w:pPr>
        <w:ind w:right="3379"/>
        <w:spacing w:after="0" w:line="243" w:lineRule="auto"/>
        <w:rPr>
          <w:sz w:val="20"/>
          <w:szCs w:val="20"/>
          <w:color w:val="auto"/>
        </w:rPr>
      </w:pPr>
      <w:r>
        <w:rPr>
          <w:rFonts w:ascii="Courier New" w:cs="Courier New" w:eastAsia="Courier New" w:hAnsi="Courier New"/>
          <w:sz w:val="15"/>
          <w:szCs w:val="15"/>
          <w:color w:val="auto"/>
        </w:rPr>
        <w:t>discretionary spending under our contracts with some of our customers in the second half of fiscal 2002.</w:t>
      </w:r>
    </w:p>
    <w:p>
      <w:pPr>
        <w:spacing w:after="0" w:line="176"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Total CC&amp;B Systems revenue for the year ended September 30, 2002 was $1,440.0 million, an increase of $60.3 million, or 4.4%, over fiscal 2001. During fiscal 2002, the demand for our CC&amp;B Systems was primarily driven by the need for communications companies to continue to upgrade their customer care and billing, CRM software and order management systems in response to competition in the subscriber markets, the need to offer new data services and the need to improve productivity and operational efficiency. In addition, demand for our CC&amp;B Systems was enhanced by our acquisition of Clarify, which added Clarify's CRM software to our CC&amp;B Systems offerings. As a result of the Clarify acquisition, we derived a portion of our CC&amp;B Systems revenue in fiscal 2002 from customers other than communications service providers. For the year ended September 30, 2002, $59.9 million of our CC&amp;B Systems revenue was attributable to such customers. Although our business is not focused on such non-communications service provider customers, we believe that revenue from such customers will slightly increase over time.</w:t>
      </w:r>
    </w:p>
    <w:p>
      <w:pPr>
        <w:spacing w:after="0" w:line="183" w:lineRule="exact"/>
        <w:rPr>
          <w:sz w:val="20"/>
          <w:szCs w:val="20"/>
          <w:color w:val="auto"/>
        </w:rPr>
      </w:pPr>
    </w:p>
    <w:p>
      <w:pPr>
        <w:ind w:right="3279" w:firstLine="541"/>
        <w:spacing w:after="0" w:line="244" w:lineRule="auto"/>
        <w:rPr>
          <w:sz w:val="20"/>
          <w:szCs w:val="20"/>
          <w:color w:val="auto"/>
        </w:rPr>
      </w:pPr>
      <w:r>
        <w:rPr>
          <w:rFonts w:ascii="Courier New" w:cs="Courier New" w:eastAsia="Courier New" w:hAnsi="Courier New"/>
          <w:sz w:val="15"/>
          <w:szCs w:val="15"/>
          <w:color w:val="auto"/>
        </w:rPr>
        <w:t>Revenue from Directory Systems was $173.6 million for the year ended September 30, 2002, an increase of $19.3 million, or 12.5%, over fiscal 2001. The increase is attributable primarily to extensions of agreements with and additional services rendered to existing customers.</w:t>
      </w:r>
    </w:p>
    <w:p>
      <w:pPr>
        <w:spacing w:after="0" w:line="176"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In the year ended September 30, 2002, revenue from customers in North America, Europe and the rest of the world accounted for 61.9%, 28.9% and 9.2%, respectively, compared to 53.8%, 35.8% and 10.4%, respectively, for fiscal 2001. The growth in North American revenue in the year ended September 30, 2002, was attributable primarily to increased activity from existing customers.</w:t>
      </w:r>
    </w:p>
    <w:p>
      <w:pPr>
        <w:spacing w:after="0" w:line="177"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Cost of License. Cost of license for the year ended September 30, 2002 was $5.1 million, a decrease of $0.6 million, or 10.6%, over the cost of license for fiscal 2001. Cost of license includes amortization of purchased computer software and intellectual property rights, and is decreasing as a result of our amortizing on a faster than straight-line basis.</w:t>
      </w:r>
    </w:p>
    <w:p>
      <w:pPr>
        <w:spacing w:after="0" w:line="177"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Cost of Service. Cost of service for the year ended September 30, 2002 was $928.3 million, an increase of $80.7 million, or 9.5%, over the cost of service of $847.6 million for fiscal 2001. As a percentage of revenue, cost of service increased to 57.5% in fiscal 2002 from 55.3% in fiscal 2001. The increase in cost of service as a percentage of revenue is attributable to the decrease in license revenue and the slight decrease in the gross margin of our service revenue in the second half of fiscal 2002. As a result of general economic and other factors negatively impacting our markets, we took steps to decrease our costs. See the discussion above under the caption "Operational Efficiency and Cost Reduction Program".</w:t>
      </w:r>
    </w:p>
    <w:p>
      <w:pPr>
        <w:sectPr>
          <w:pgSz w:w="11900" w:h="16838" w:orient="portrait"/>
          <w:cols w:equalWidth="0" w:num="1">
            <w:col w:w="10219"/>
          </w:cols>
          <w:pgMar w:left="240" w:top="464" w:right="1440" w:bottom="1440" w:gutter="0" w:footer="0" w:header="0"/>
        </w:sectPr>
      </w:pPr>
    </w:p>
    <w:bookmarkStart w:id="55" w:name="page56"/>
    <w:bookmarkEnd w:id="55"/>
    <w:p>
      <w:pPr>
        <w:jc w:val="center"/>
        <w:ind w:right="3019"/>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OPERATING AND FINANCIAL REVIEW AND PROSPECTS - (CONTINUED)</w:t>
      </w:r>
    </w:p>
    <w:p>
      <w:pPr>
        <w:spacing w:after="0" w:line="351"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Research and Development. Research and development expense was primarily comprised of compensation expense attributable to research and development activities, either in conjunction with customer projects or as part of our internal product development program. For the year ended September 30, 2002, research and development expense was $124.1 million, or 7.7% of revenue, compared with $105.8 million, or 6.9% of revenue, in fiscal 2001. The increase in expense reflects ongoing expenditures primarily for CC&amp;B Systems. Our research and development budget, like all of our costs, is sensitive to our overall financial condition. A decrease in our total revenue could, in certain circumstances, lead to reductions in the levels of our research and development expenditures. See the discussion above under the caption "Research and Development, Patents and Licenses".</w:t>
      </w:r>
    </w:p>
    <w:p>
      <w:pPr>
        <w:spacing w:after="0" w:line="181" w:lineRule="exact"/>
        <w:rPr>
          <w:sz w:val="20"/>
          <w:szCs w:val="20"/>
          <w:color w:val="auto"/>
        </w:rPr>
      </w:pPr>
    </w:p>
    <w:p>
      <w:pPr>
        <w:ind w:right="3199" w:firstLine="541"/>
        <w:spacing w:after="0" w:line="244"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was primarily comprised of compensation expense and increased by 14.3% to $223.6 million, or 13.9% of revenue, in the year ended September 30, 2002 from $195.6 million, or 12.7% of revenue, in fiscal 2001. The increase in selling, general and administrative expense as a percentage of revenue is attributable primarily to the increase in our selling and marketing efforts in fiscal 2002 and, to a lesser degree, to the reduction in our revenue growth, which was not offset by a corresponding decrease in our selling, general and administrative expense.</w:t>
      </w:r>
    </w:p>
    <w:p>
      <w:pPr>
        <w:spacing w:after="0" w:line="179"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Amortization of Goodwill and Purchased Intangible Assets. Amortization of goodwill and purchased intangible assets for the year ended September 30, 2002 was $231.8 million, compared to $220.0 million in fiscal 2001. The increase in amortization expense in fiscal 2002 is due to non-goodwill related amortization resulting from the Clarify acquisition. In accordance with SFAS No. 142, goodwill related to Clarify, an acquisition completed after July 1, 2001, is not amortized, but is subject to periodic impairment tests. For acquisitions completed prior to July 1, 2001, under SFAS No. 142 amortization of goodwill and certain other intangibles, such as workforce-in-place, will cease on October 1, 2002. In fiscal 2002 and 2001, total amortization related to such goodwill and workforce-in-place was $204.6 million. Effective as of October 1, 2002, we adopted SFAS No. 142 and goodwill related to our acquisitions will no longer be amortized. Instead, any such goodwill will be subject only to the same periodic impairment tests now applicable to Clarify-related goodwill. See the discussion above under the caption "Acquisitions".</w:t>
      </w:r>
    </w:p>
    <w:p>
      <w:pPr>
        <w:spacing w:after="0" w:line="183"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Restructuring Charges, In-Process Research and Development and Other Indirect Acquisition-Related Costs. Restructuring charges, in-process research and development and other indirect acquisition-related costs in fiscal 2002 consisted of a one-time charge of $17.4 million for write-off of purchased in-process research and development resulting from the Clarify transaction, a nonrecurring charge of $13.3 million related to the consolidation of data centers and the resulting closure of our Stamford, Connecticut facility and a restructuring charge of $20.9 million related to the cost reduction program we implemented in the fourth quarter of fiscal 2002. See the discussion above under the caption "Operational Efficiency and Cost Reduction Program".</w:t>
      </w:r>
    </w:p>
    <w:p>
      <w:pPr>
        <w:sectPr>
          <w:pgSz w:w="11900" w:h="16838" w:orient="portrait"/>
          <w:cols w:equalWidth="0" w:num="1">
            <w:col w:w="10219"/>
          </w:cols>
          <w:pgMar w:left="240" w:top="464" w:right="1440" w:bottom="1440" w:gutter="0" w:footer="0" w:header="0"/>
        </w:sectPr>
      </w:pPr>
    </w:p>
    <w:bookmarkStart w:id="56" w:name="page57"/>
    <w:bookmarkEnd w:id="56"/>
    <w:p>
      <w:pPr>
        <w:jc w:val="center"/>
        <w:ind w:right="3019"/>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OPERATING AND FINANCIAL REVIEW AND PROSPECTS - (CONTINUED)</w:t>
      </w:r>
    </w:p>
    <w:p>
      <w:pPr>
        <w:spacing w:after="0" w:line="351" w:lineRule="exact"/>
        <w:rPr>
          <w:sz w:val="20"/>
          <w:szCs w:val="20"/>
          <w:color w:val="auto"/>
        </w:rPr>
      </w:pPr>
    </w:p>
    <w:p>
      <w:pPr>
        <w:ind w:right="3099" w:firstLine="541"/>
        <w:spacing w:after="0" w:line="243" w:lineRule="auto"/>
        <w:rPr>
          <w:sz w:val="20"/>
          <w:szCs w:val="20"/>
          <w:color w:val="auto"/>
        </w:rPr>
      </w:pPr>
      <w:r>
        <w:rPr>
          <w:rFonts w:ascii="Courier New" w:cs="Courier New" w:eastAsia="Courier New" w:hAnsi="Courier New"/>
          <w:sz w:val="15"/>
          <w:szCs w:val="15"/>
          <w:color w:val="auto"/>
        </w:rPr>
        <w:t>Operating Income. Operating income for the year ended September 30, 2002, was $49.2 million, compared to $159.3 million for fiscal 2001, a decrease of</w:t>
      </w:r>
    </w:p>
    <w:p>
      <w:pPr>
        <w:spacing w:after="0" w:line="3"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69.1%. The decrease resulted primarily from the reduction in our revenue growth in fiscal 2002, which was not offset by a corresponding decrease in our costs, as well as from the Clarify acquisition-related charges and the restructuring charges resulting from the Stamford facility closing and the implementation of our cost reduction program. Pro forma operating income for the year ended September 30, 2002, excluding acquisition-related charges and the restructuring charges, was $332.6 million, or 20.6% of revenue, compared to $379.3 million, or 24.7% of revenue, for fiscal 2001, a decrease of 12.3%.</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Interest Income and Other, Net. For the year ended September 30, 2002, interest income and other, net, was $19.3 million, a decrease of $3.0 million from fiscal 2001. The decrease in interest income and other, net, is primarily attributable to the full-year interest expense and amortization of debt issuance costs related to our Notes, compared to four months of these costs in fiscal 2001. The decrease in interest income and other, net, was partially offset by gain of $6.0 million from the repurchase of our Notes. See the discussion above under the caption "Convertible Notes".</w:t>
      </w:r>
    </w:p>
    <w:p>
      <w:pPr>
        <w:spacing w:after="0" w:line="17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Income Taxes. Income taxes for the year ended September 30, 2002 were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$73.5 million on pretax income of $68.5 million. Our blended effective tax rate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fiscal 2002 was 107%, resulting from the non-cash amortization of goodwill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related to acquisitions, much of which is not tax deductible. See the discussion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below under the caption "Effective Tax Rate". The pro forma effective tax rate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year ended September 30, 2002, excluding the acquisition-related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charges, the restructuring charges resulting from the Stamford facility closing,</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implementation of our cost reduction program and the gain from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repurchase of our Notes, was 28%. For the year ended September 30, 2001, income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taxes were $115.2 million on income before income taxes of $181.6 million.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blended effective tax rate for fiscal 2001 was 63% (due to non-cash amortization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goodwill related to acquisitions, much of which is not tax deductible)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pro forma effective tax rate for such period, excluding acquisition-related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charges, was 30%.</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Net (Loss) Income. We incurred a net loss of $5.1 million in the year ended September 30, 2002, compared to net income of $66.4 million in fiscal 2001. The net loss in fiscal 2002 resulted primarily from a decrease in our license revenue and the reduction in our revenue growth in fiscal 2002, which was not offset by a corresponding decrease in our costs, as well as from the Clarify acquisition-related charges and the restructuring charges resulting from the Stamford facility closing and the implementation of the cost reduction program. We expect that our adoption of SFAS No. 142 as of October 1, 2002 will have a positive impact on our results of operations in fiscal 2003. As a result of the adoption, we will no longer be required to amortize the goodwill from any of our acquisitions made prior to July 1, 2001. Instead, any such goodwill will be subject only to periodic impairment tests, as is the case currently for the goodwill from the Clarify acquisition. See the discussion above under the caption "Acquisitions". Pro forma net income for the year ended September 30, 2002, excluding the acquisition-related charges, the restructuring charges resulting from the Stamford facility closing and the</w:t>
      </w:r>
    </w:p>
    <w:p>
      <w:pPr>
        <w:sectPr>
          <w:pgSz w:w="11900" w:h="16838" w:orient="portrait"/>
          <w:cols w:equalWidth="0" w:num="1">
            <w:col w:w="10219"/>
          </w:cols>
          <w:pgMar w:left="240" w:top="464" w:right="1440" w:bottom="1440" w:gutter="0" w:footer="0" w:header="0"/>
        </w:sectPr>
      </w:pPr>
    </w:p>
    <w:bookmarkStart w:id="57" w:name="page58"/>
    <w:bookmarkEnd w:id="57"/>
    <w:p>
      <w:pPr>
        <w:jc w:val="center"/>
        <w:ind w:right="3019"/>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OPERATING AND FINANCIAL REVIEW AND PROSPECTS - (CONTINUED)</w:t>
      </w:r>
    </w:p>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implementation of our cost reduction program, the gain from the repurchase of our Notes and tax effects related to these items, decreased by 11.4% from fiscal 2001, to $249.0 million, representing 15.4% of revenue. The decrease in our pro forma net income was due to a decrease in our revenue growth in the year ended September 30, 2002, caused by a significant slowdown in our market in the second half of fiscal 2002, which was not offset by a corresponding decrease in the growth of our costs.</w:t>
      </w:r>
    </w:p>
    <w:p>
      <w:pPr>
        <w:spacing w:after="0" w:line="178" w:lineRule="exact"/>
        <w:rPr>
          <w:sz w:val="20"/>
          <w:szCs w:val="20"/>
          <w:color w:val="auto"/>
        </w:rPr>
      </w:pPr>
    </w:p>
    <w:p>
      <w:pPr>
        <w:ind w:right="3819" w:firstLine="541"/>
        <w:spacing w:after="0" w:line="243" w:lineRule="auto"/>
        <w:rPr>
          <w:sz w:val="20"/>
          <w:szCs w:val="20"/>
          <w:color w:val="auto"/>
        </w:rPr>
      </w:pPr>
      <w:r>
        <w:rPr>
          <w:rFonts w:ascii="Courier New" w:cs="Courier New" w:eastAsia="Courier New" w:hAnsi="Courier New"/>
          <w:sz w:val="15"/>
          <w:szCs w:val="15"/>
          <w:color w:val="auto"/>
        </w:rPr>
        <w:t>Set forth below is the effect of non-amortization of goodwill and workforce-in-place (in millions, except per share data):</w:t>
      </w:r>
    </w:p>
    <w:p>
      <w:pPr>
        <w:spacing w:after="0" w:line="200" w:lineRule="exact"/>
        <w:rPr>
          <w:sz w:val="20"/>
          <w:szCs w:val="20"/>
          <w:color w:val="auto"/>
        </w:rPr>
      </w:pPr>
    </w:p>
    <w:p>
      <w:pPr>
        <w:spacing w:after="0" w:line="322"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4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4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FOR THE YEAR ENDED</w:t>
            </w:r>
          </w:p>
        </w:tc>
      </w:tr>
      <w:tr>
        <w:trPr>
          <w:trHeight w:val="173"/>
        </w:trPr>
        <w:tc>
          <w:tcPr>
            <w:tcW w:w="4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4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SEPTEMBER 30,</w:t>
            </w:r>
          </w:p>
        </w:tc>
      </w:tr>
      <w:tr>
        <w:trPr>
          <w:trHeight w:val="173"/>
        </w:trPr>
        <w:tc>
          <w:tcPr>
            <w:tcW w:w="4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4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4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2002</w:t>
            </w:r>
          </w:p>
        </w:tc>
        <w:tc>
          <w:tcPr>
            <w:tcW w:w="360" w:type="dxa"/>
            <w:vAlign w:val="bottom"/>
          </w:tcPr>
          <w:p>
            <w:pPr>
              <w:spacing w:after="0"/>
              <w:rPr>
                <w:sz w:val="15"/>
                <w:szCs w:val="15"/>
                <w:color w:val="auto"/>
              </w:rPr>
            </w:pPr>
          </w:p>
        </w:tc>
        <w:tc>
          <w:tcPr>
            <w:tcW w:w="6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2001</w:t>
            </w:r>
          </w:p>
        </w:tc>
      </w:tr>
      <w:tr>
        <w:trPr>
          <w:trHeight w:val="173"/>
        </w:trPr>
        <w:tc>
          <w:tcPr>
            <w:tcW w:w="4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6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7"/>
        </w:trPr>
        <w:tc>
          <w:tcPr>
            <w:tcW w:w="4100" w:type="dxa"/>
            <w:vAlign w:val="bottom"/>
          </w:tcPr>
          <w:p>
            <w:pPr>
              <w:spacing w:after="0"/>
              <w:rPr>
                <w:sz w:val="20"/>
                <w:szCs w:val="20"/>
                <w:color w:val="auto"/>
              </w:rPr>
            </w:pPr>
            <w:r>
              <w:rPr>
                <w:rFonts w:ascii="Courier New" w:cs="Courier New" w:eastAsia="Courier New" w:hAnsi="Courier New"/>
                <w:sz w:val="15"/>
                <w:szCs w:val="15"/>
                <w:color w:val="auto"/>
              </w:rPr>
              <w:t>Reported net (loss) income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66.4</w:t>
            </w: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Add back: goodwill and workforce-in-place</w:t>
            </w: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amortizations</w:t>
            </w:r>
          </w:p>
        </w:tc>
        <w:tc>
          <w:tcPr>
            <w:tcW w:w="540" w:type="dxa"/>
            <w:vAlign w:val="bottom"/>
          </w:tcPr>
          <w:p>
            <w:pPr>
              <w:spacing w:after="0"/>
              <w:rPr>
                <w:sz w:val="15"/>
                <w:szCs w:val="15"/>
                <w:color w:val="auto"/>
              </w:rPr>
            </w:pPr>
          </w:p>
        </w:tc>
        <w:tc>
          <w:tcPr>
            <w:tcW w:w="9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204.6</w:t>
            </w:r>
          </w:p>
        </w:tc>
        <w:tc>
          <w:tcPr>
            <w:tcW w:w="360" w:type="dxa"/>
            <w:vAlign w:val="bottom"/>
          </w:tcPr>
          <w:p>
            <w:pPr>
              <w:spacing w:after="0"/>
              <w:rPr>
                <w:sz w:val="15"/>
                <w:szCs w:val="15"/>
                <w:color w:val="auto"/>
              </w:rPr>
            </w:pP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204.6</w:t>
            </w: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Attributable tax effect</w:t>
            </w:r>
          </w:p>
        </w:tc>
        <w:tc>
          <w:tcPr>
            <w:tcW w:w="54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3"/>
        </w:trPr>
        <w:tc>
          <w:tcPr>
            <w:tcW w:w="4100" w:type="dxa"/>
            <w:vAlign w:val="bottom"/>
          </w:tcPr>
          <w:p>
            <w:pPr>
              <w:spacing w:after="0"/>
              <w:rPr>
                <w:sz w:val="15"/>
                <w:szCs w:val="15"/>
                <w:color w:val="auto"/>
              </w:rPr>
            </w:pPr>
          </w:p>
        </w:tc>
        <w:tc>
          <w:tcPr>
            <w:tcW w:w="14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Adjusted net income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196.8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268.3</w:t>
            </w:r>
          </w:p>
        </w:tc>
      </w:tr>
      <w:tr>
        <w:trPr>
          <w:trHeight w:val="173"/>
        </w:trPr>
        <w:tc>
          <w:tcPr>
            <w:tcW w:w="4100" w:type="dxa"/>
            <w:vAlign w:val="bottom"/>
          </w:tcPr>
          <w:p>
            <w:pPr>
              <w:spacing w:after="0"/>
              <w:rPr>
                <w:sz w:val="15"/>
                <w:szCs w:val="15"/>
                <w:color w:val="auto"/>
              </w:rPr>
            </w:pPr>
          </w:p>
        </w:tc>
        <w:tc>
          <w:tcPr>
            <w:tcW w:w="14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Adjusted basic earnings per share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0.89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w:t>
            </w:r>
          </w:p>
        </w:tc>
      </w:tr>
      <w:tr>
        <w:trPr>
          <w:trHeight w:val="173"/>
        </w:trPr>
        <w:tc>
          <w:tcPr>
            <w:tcW w:w="4100" w:type="dxa"/>
            <w:vAlign w:val="bottom"/>
          </w:tcPr>
          <w:p>
            <w:pPr>
              <w:spacing w:after="0"/>
              <w:rPr>
                <w:sz w:val="15"/>
                <w:szCs w:val="15"/>
                <w:color w:val="auto"/>
              </w:rPr>
            </w:pPr>
          </w:p>
        </w:tc>
        <w:tc>
          <w:tcPr>
            <w:tcW w:w="14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100" w:type="dxa"/>
            <w:vAlign w:val="bottom"/>
          </w:tcPr>
          <w:p>
            <w:pPr>
              <w:spacing w:after="0"/>
              <w:rPr>
                <w:sz w:val="20"/>
                <w:szCs w:val="20"/>
                <w:color w:val="auto"/>
              </w:rPr>
            </w:pPr>
            <w:r>
              <w:rPr>
                <w:rFonts w:ascii="Courier New" w:cs="Courier New" w:eastAsia="Courier New" w:hAnsi="Courier New"/>
                <w:sz w:val="15"/>
                <w:szCs w:val="15"/>
                <w:color w:val="auto"/>
              </w:rPr>
              <w:t>Adjusted diluted earnings per share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0.88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1.18</w:t>
            </w:r>
          </w:p>
        </w:tc>
      </w:tr>
      <w:tr>
        <w:trPr>
          <w:trHeight w:val="173"/>
        </w:trPr>
        <w:tc>
          <w:tcPr>
            <w:tcW w:w="4100" w:type="dxa"/>
            <w:vAlign w:val="bottom"/>
          </w:tcPr>
          <w:p>
            <w:pPr>
              <w:spacing w:after="0"/>
              <w:rPr>
                <w:sz w:val="15"/>
                <w:szCs w:val="15"/>
                <w:color w:val="auto"/>
              </w:rPr>
            </w:pPr>
          </w:p>
        </w:tc>
        <w:tc>
          <w:tcPr>
            <w:tcW w:w="14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Diluted (Loss) Earnings Per Share. Diluted loss per share was $0.02 for the year ended September 30, 2002, compared to diluted earnings per share of $0.29 in fiscal 2001. Pro forma diluted earnings per share for the year ended September 30, 2002, excluding the acquisition-related charges, the restructuring charges resulting from the Stamford facility closing and the implementation of the cost reduction program and the gain from the repurchase of our Notes and tax effects related to these items, decreased by 9.7% from fiscal 2001, to $1.12 per diluted share. Excluding acquisition-related charges, we expect that our pro forma earnings per share in the first quarter of fiscal 2003 will be in the range of $0.18 to $0.20. See the discussion above under the caption "Operational Efficiency and Cost Reduction Program".</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YEARS ENDED SEPTEMBER 30, 2001 AND 2000</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Revenue. Total revenue for the year ended September 30, 2001 was $1,533.9 million, an increase of $415.6 million, or 37.2%, over fiscal 2000. The increase in revenue was due to continued growth in the demand for our CC&amp;B Systems solutions in our traditional target markets of high-end and mid-tier communications companies. License revenue increased from $124.8 million in the year ended September 30, 2000 to $171.4 million during fiscal 2001, an increase of 37.3%, and service revenue increased 37.1% from $993.5 million in the year ended September 30, 2000 to $1,362.5 million in fiscal 2001.</w:t>
      </w:r>
    </w:p>
    <w:p>
      <w:pPr>
        <w:spacing w:after="0" w:line="17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Total CC&amp;B Systems revenue for the year ended September 30, 2001 was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$1,379.7 million, an increase of $393.1 million, or 39.8%, over fiscal 2000.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year</w:t>
      </w:r>
    </w:p>
    <w:p>
      <w:pPr>
        <w:sectPr>
          <w:pgSz w:w="11900" w:h="16838" w:orient="portrait"/>
          <w:cols w:equalWidth="0" w:num="1">
            <w:col w:w="10219"/>
          </w:cols>
          <w:pgMar w:left="240" w:top="464" w:right="1440" w:bottom="1440" w:gutter="0" w:footer="0" w:header="0"/>
        </w:sectPr>
      </w:pPr>
    </w:p>
    <w:bookmarkStart w:id="58" w:name="page59"/>
    <w:bookmarkEnd w:id="58"/>
    <w:p>
      <w:pPr>
        <w:jc w:val="center"/>
        <w:ind w:right="3019"/>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OPERATING AND FINANCIAL REVIEW AND PROSPECTS - (CONTINUED)</w:t>
      </w:r>
    </w:p>
    <w:p>
      <w:pPr>
        <w:spacing w:after="0" w:line="351"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ended September 30, 2001, the demand for our CC&amp;B Systems was primarily driven by the need for communications companies to upgrade their customer care and billing, CRM and order management systems in response to competition in the subscriber markets, the need to offer convergent and IP services, and the need to improve productivity and operational efficiency.</w:t>
      </w:r>
    </w:p>
    <w:p>
      <w:pPr>
        <w:spacing w:after="0" w:line="177" w:lineRule="exact"/>
        <w:rPr>
          <w:sz w:val="20"/>
          <w:szCs w:val="20"/>
          <w:color w:val="auto"/>
        </w:rPr>
      </w:pPr>
    </w:p>
    <w:p>
      <w:pPr>
        <w:ind w:right="3279" w:firstLine="541"/>
        <w:spacing w:after="0" w:line="244" w:lineRule="auto"/>
        <w:rPr>
          <w:sz w:val="20"/>
          <w:szCs w:val="20"/>
          <w:color w:val="auto"/>
        </w:rPr>
      </w:pPr>
      <w:r>
        <w:rPr>
          <w:rFonts w:ascii="Courier New" w:cs="Courier New" w:eastAsia="Courier New" w:hAnsi="Courier New"/>
          <w:sz w:val="15"/>
          <w:szCs w:val="15"/>
          <w:color w:val="auto"/>
        </w:rPr>
        <w:t>Revenue from Directory Systems was $154.2 million for the year ended September 30, 2001, an increase of $22.5 million, or 17.1%, over fiscal 2000. The increase was attributable primarily to extensions of agreements with and additional services rendered to existing customers.</w:t>
      </w:r>
    </w:p>
    <w:p>
      <w:pPr>
        <w:spacing w:after="0" w:line="176"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In the year ended September 30, 2001, revenue from customers in North America, Europe and the rest of the world accounted for 53.8%, 35.8% and 10.4%, respectively, compared to 45.6%, 42.4% and 12.0%, respectively, in fiscal 2000. The growth in North America was attributable primarily to revenue we had gained from forming or expanding relationships with new or existing customers in fiscal 2001.</w:t>
      </w:r>
    </w:p>
    <w:p>
      <w:pPr>
        <w:spacing w:after="0" w:line="177"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Cost of License. Cost of license for fiscal 2001 was $5.7 million, which was approximately equal to the cost of license in the prior fiscal year. Cost of license included amortization of purchased computer software and intellectual property rights.</w:t>
      </w:r>
    </w:p>
    <w:p>
      <w:pPr>
        <w:spacing w:after="0" w:line="176"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Cost of Service. Cost of service for fiscal 2001 was $847.6 million, an increase of $207.7 million, or 32.5%, over the cost of service of $639.9 million for the year ended September 30, 2000. As a percentage of revenue, cost of service decreased to 55.3% in the year ended September 30, 2001 from 57.2% in fiscal 2000. The decrease in cost of service as a percentage of revenue was primarily due to increases in our operational efficiency in the year ended September 30, 2001. In the second half of fiscal 2001, we adopted a plan to increase the efficiency of our operations and lower costs by reducing discretionary expenses. As a result of this plan, we were able to reduce the growth rate of our costs and achieve greater operational efficiency in fiscal 2001.</w:t>
      </w:r>
    </w:p>
    <w:p>
      <w:pPr>
        <w:spacing w:after="0" w:line="180" w:lineRule="exact"/>
        <w:rPr>
          <w:sz w:val="20"/>
          <w:szCs w:val="20"/>
          <w:color w:val="auto"/>
        </w:rPr>
      </w:pPr>
    </w:p>
    <w:p>
      <w:pPr>
        <w:ind w:right="3199" w:firstLine="541"/>
        <w:spacing w:after="0" w:line="265" w:lineRule="auto"/>
        <w:rPr>
          <w:sz w:val="20"/>
          <w:szCs w:val="20"/>
          <w:color w:val="auto"/>
        </w:rPr>
      </w:pPr>
      <w:r>
        <w:rPr>
          <w:rFonts w:ascii="Courier New" w:cs="Courier New" w:eastAsia="Courier New" w:hAnsi="Courier New"/>
          <w:sz w:val="14"/>
          <w:szCs w:val="14"/>
          <w:color w:val="auto"/>
        </w:rPr>
        <w:t>Research and Development. Research and development expense was primarily comprised of compensation expense attributable to research and development activities, either in conjunction with customer projects or as part of our internal product development programs. In the year ended September 30, 2001, research and development expense was $105.8 million, or 6.9% of revenue, compared with $74.9 million, or 6.7% of revenue, in the previous fiscal year. The increase represented ongoing expenditures primarily for CC&amp;B Systems.</w:t>
      </w:r>
    </w:p>
    <w:p>
      <w:pPr>
        <w:spacing w:after="0" w:line="161"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was primarily comprised of compensation expense and increased by 42.8% to $195.6 million, or 12.7% of revenue, in the year ended September 30, 2001, from $137.0 million, or 12.3% of revenue, in fiscal 2000. The increase was attributable primarily to increases in our selling and marketing efforts in the year ended September 30, 2001.</w:t>
      </w:r>
    </w:p>
    <w:p>
      <w:pPr>
        <w:sectPr>
          <w:pgSz w:w="11900" w:h="16838" w:orient="portrait"/>
          <w:cols w:equalWidth="0" w:num="1">
            <w:col w:w="10219"/>
          </w:cols>
          <w:pgMar w:left="240" w:top="464" w:right="1440" w:bottom="1440" w:gutter="0" w:footer="0" w:header="0"/>
        </w:sectPr>
      </w:pPr>
    </w:p>
    <w:bookmarkStart w:id="59" w:name="page60"/>
    <w:bookmarkEnd w:id="59"/>
    <w:p>
      <w:pPr>
        <w:jc w:val="center"/>
        <w:ind w:right="3019"/>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OPERATING AND FINANCIAL REVIEW AND PROSPECTS - (CONTINUED)</w:t>
      </w:r>
    </w:p>
    <w:p>
      <w:pPr>
        <w:spacing w:after="0" w:line="351"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Amortization of Goodwill and Purchased Intangible Assets. Amortization of goodwill and purchased intangible assets for the year ended September 30, 2001 was $220.0 million, compared to $111.2 million in fiscal 2000. Amortization of goodwill and purchased intangible assets relates to the acquisitions of ITDS and Solect. The increase in amortization of goodwill and purchased intangible assets in fiscal 2001 was due to the full-year amortization period applied in fiscal 2001 compared to a shorter amortization period in fiscal 2000.</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In-process Research and Development and Other Indirect Acquisition-Related Costs. No in-process research and development and other indirect acquisition-related costs were incurred in fiscal 2001. In fiscal 2000 such costs consisted of a nonrecurring charge of $75.6 million related to the acquisitions of ITDS and Solect.</w:t>
      </w:r>
    </w:p>
    <w:p>
      <w:pPr>
        <w:spacing w:after="0" w:line="177" w:lineRule="exact"/>
        <w:rPr>
          <w:sz w:val="20"/>
          <w:szCs w:val="20"/>
          <w:color w:val="auto"/>
        </w:rPr>
      </w:pPr>
    </w:p>
    <w:p>
      <w:pPr>
        <w:ind w:right="3199" w:firstLine="541"/>
        <w:spacing w:after="0" w:line="244" w:lineRule="auto"/>
        <w:rPr>
          <w:sz w:val="20"/>
          <w:szCs w:val="20"/>
          <w:color w:val="auto"/>
        </w:rPr>
      </w:pPr>
      <w:r>
        <w:rPr>
          <w:rFonts w:ascii="Courier New" w:cs="Courier New" w:eastAsia="Courier New" w:hAnsi="Courier New"/>
          <w:sz w:val="15"/>
          <w:szCs w:val="15"/>
          <w:color w:val="auto"/>
        </w:rPr>
        <w:t>Operating Income. Operating income in the year ended September 30, 2001 was $159.3 million, compared to $74.1 million in fiscal 2000, an increase of 115%, primarily due to the effect of a nonrecurring charge for write-off of purchased in-process research and development related to the acquisitions of ITDS and Solect in fiscal 2000. Pro forma operating income for the year ended September 30, 2001, excluding ITDS and Solect acquisition-related charges, was $379.3 million, or 24.7% of revenue, compared to $260.9 million, or 23.3% of revenue, for fiscal 2000, an increase of 45.4%.</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Interest Income and Other, Net. In the year ended September 30, 2001, interest income and other, net, was $22.3 million, an increase of $11.6 million over fiscal 2000. The increase in interest income and other, net, was primarily attributable to the increase in our cash equivalents and short-term interest-bearing investments partially offset by overall interest rate declines.</w:t>
      </w:r>
    </w:p>
    <w:p>
      <w:pPr>
        <w:spacing w:after="0" w:line="17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Income Taxes. Income taxes in the year ended September 30, 2001 were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$115.2 million on income before income taxes of $181.6 million. Our effective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rate in the year ended September 30, 2001 was 63%, resulting from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non-cash amortization of goodwill related to the ITDS and Solect acquisitions,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much of which is not tax deductible. In the year ended September 30, 2000,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 were $78.9 million on income before income taxes of $84.9 million.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year ended September 30, 2000, the effective tax rate (based on the ratio</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between income taxes and income before income taxes, excluding nonrecurring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charges for write-offs of purchased in-process research and development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indirect acquisition-related costs) was 49%. The pro forma effective tax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rate for fiscal 2001 and 2000, excluding ITDS and Solect acquisition-related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charges, was 30%. See the discussion below under the caption "Effective Tax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Rate".</w:t>
      </w:r>
    </w:p>
    <w:p>
      <w:pPr>
        <w:spacing w:after="0" w:line="178" w:lineRule="exact"/>
        <w:rPr>
          <w:sz w:val="20"/>
          <w:szCs w:val="20"/>
          <w:color w:val="auto"/>
        </w:rPr>
      </w:pPr>
    </w:p>
    <w:p>
      <w:pPr>
        <w:ind w:right="3199" w:firstLine="541"/>
        <w:spacing w:after="0" w:line="244" w:lineRule="auto"/>
        <w:rPr>
          <w:sz w:val="20"/>
          <w:szCs w:val="20"/>
          <w:color w:val="auto"/>
        </w:rPr>
      </w:pPr>
      <w:r>
        <w:rPr>
          <w:rFonts w:ascii="Courier New" w:cs="Courier New" w:eastAsia="Courier New" w:hAnsi="Courier New"/>
          <w:sz w:val="15"/>
          <w:szCs w:val="15"/>
          <w:color w:val="auto"/>
        </w:rPr>
        <w:t>Net Income. Net income was $66.4 million in the year ended September 30, 2001, compared to net income of $6.0 million in the previous fiscal year. Pro forma net income in fiscal 2001, excluding ITDS and Solect acquisition-related charges, increased by 47.8% over fiscal 2000, reaching $281.1 million, representing 18.3% of revenue.</w:t>
      </w:r>
    </w:p>
    <w:p>
      <w:pPr>
        <w:spacing w:after="0" w:line="177"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Diluted Earnings per Share. Diluted earnings per share were $0.29 for the year ended September 30, 2001, compared to $0.03 in fiscal 2000. Pro forma diluted earnings</w:t>
      </w:r>
    </w:p>
    <w:p>
      <w:pPr>
        <w:sectPr>
          <w:pgSz w:w="11900" w:h="16838" w:orient="portrait"/>
          <w:cols w:equalWidth="0" w:num="1">
            <w:col w:w="10219"/>
          </w:cols>
          <w:pgMar w:left="240" w:top="464" w:right="1440" w:bottom="1440" w:gutter="0" w:footer="0" w:header="0"/>
        </w:sectPr>
      </w:pPr>
    </w:p>
    <w:bookmarkStart w:id="60" w:name="page61"/>
    <w:bookmarkEnd w:id="60"/>
    <w:p>
      <w:pPr>
        <w:jc w:val="center"/>
        <w:ind w:right="3019"/>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OPERATING AND FINANCIAL REVIEW AND PROSPECTS - (CONTINUED)</w:t>
      </w:r>
    </w:p>
    <w:p>
      <w:pPr>
        <w:spacing w:after="0" w:line="351"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per share in the year ended September 30, 2001, excluding ITDS and Solect acquisition-related charges, increased by 40.9% from the year ended September 30, 2000, reaching $1.24 per diluted share.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Cash, cash equivalents and short-term interest-bearing investments totaled $1,047.8 million as of September 30, 2002, compared to $1,110.1 million as of September 30, 2001. The decrease is attributable primarily to the use of $371.4 million in cash to acquire Clarify and to repurchase our shares and Notes, which was partially offset by positive cash flows from operations. Net cash provided by operating activities amounted to $412.3 million for fiscal 2002 and $338.0 million for fiscal 2001. The increase in cash flows from operations was primarily due to a decrease in working capital. We currently intend to retain our future operating cash flows to support the further expansion of our business including new outsourcing deals and acquisitions, although we may also use a portion of our cash for future repurchases of our outstanding securities. See the discussions above under the captions "Share Repurchase Program" and "Convertible Notes".</w:t>
      </w:r>
    </w:p>
    <w:p>
      <w:pPr>
        <w:spacing w:after="0" w:line="182"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As of September 30, 2002, we had positive working capital of $938.6 million, compared to positive working capital of $1,059.9 million as of September 30, 2001. The decrease is attributable primarily to cash paid for the acquisition of Clarify and the implementation of our share and Notes repurchase programs. We believe that our current cash balances, cash generated from operations and our current lines of credit will provide sufficient resources to meet our liquidity needs for the next fiscal year.</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As of September 30, 2002, $445.1 million aggregate principal amount of the Notes was outstanding. In July 2002, our board of directors authorized us to repurchase outstanding Notes, in such amounts, at such prices and at such times considered appropriate by us. During the fourth quarter of fiscal 2002 we repurchased $54.9 million aggregate principal amount of the Notes. We funded these repurchases, and intend to fund any future repurchases, with available funds. On June 1, 2004, the holders of our Notes may require us to redeem their Notes. See the discussion above under the caption "Convertible Notes".</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As of September 30, 2002, we had available short-term general revolving lines of credit totaling $40.0 million, none of which were outstanding. In addition, as of September 30, 2002 we had credit facilities totaling $43.8 million, limited for the use of letters of credit and bank guarantees from various banks. Outstanding letters of credit and bank guarantees as of September 30, 2002 totaled $24.5 million. These were mostly supported by a combination of the credit facilities described above and compensating cash balances that we maintain with the issuing banks.</w:t>
      </w:r>
    </w:p>
    <w:p>
      <w:pPr>
        <w:spacing w:after="0" w:line="178" w:lineRule="exact"/>
        <w:rPr>
          <w:sz w:val="20"/>
          <w:szCs w:val="20"/>
          <w:color w:val="auto"/>
        </w:rPr>
      </w:pPr>
    </w:p>
    <w:p>
      <w:pPr>
        <w:ind w:right="3459" w:firstLine="541"/>
        <w:spacing w:after="0" w:line="243" w:lineRule="auto"/>
        <w:rPr>
          <w:sz w:val="20"/>
          <w:szCs w:val="20"/>
          <w:color w:val="auto"/>
        </w:rPr>
      </w:pPr>
      <w:r>
        <w:rPr>
          <w:rFonts w:ascii="Courier New" w:cs="Courier New" w:eastAsia="Courier New" w:hAnsi="Courier New"/>
          <w:sz w:val="15"/>
          <w:szCs w:val="15"/>
          <w:color w:val="auto"/>
        </w:rPr>
        <w:t>As of September 30, 2002, we had outstanding long-term obligations of $25.5 million in connection with leasing arrangements.</w:t>
      </w:r>
    </w:p>
    <w:p>
      <w:pPr>
        <w:sectPr>
          <w:pgSz w:w="11900" w:h="16838" w:orient="portrait"/>
          <w:cols w:equalWidth="0" w:num="1">
            <w:col w:w="10219"/>
          </w:cols>
          <w:pgMar w:left="240" w:top="464" w:right="1440" w:bottom="1440" w:gutter="0" w:footer="0" w:header="0"/>
        </w:sectPr>
      </w:pPr>
    </w:p>
    <w:bookmarkStart w:id="61" w:name="page62"/>
    <w:bookmarkEnd w:id="61"/>
    <w:p>
      <w:pPr>
        <w:jc w:val="center"/>
        <w:ind w:right="3012"/>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OPERATING AND FINANCIAL REVIEW AND PROSPECTS - (CONTINUED)</w:t>
      </w:r>
    </w:p>
    <w:p>
      <w:pPr>
        <w:spacing w:after="0" w:line="351" w:lineRule="exact"/>
        <w:rPr>
          <w:sz w:val="20"/>
          <w:szCs w:val="20"/>
          <w:color w:val="auto"/>
        </w:rPr>
      </w:pPr>
    </w:p>
    <w:p>
      <w:pPr>
        <w:ind w:left="8" w:right="3019" w:firstLine="541"/>
        <w:spacing w:after="0" w:line="244" w:lineRule="auto"/>
        <w:rPr>
          <w:sz w:val="20"/>
          <w:szCs w:val="20"/>
          <w:color w:val="auto"/>
        </w:rPr>
      </w:pPr>
      <w:r>
        <w:rPr>
          <w:rFonts w:ascii="Courier New" w:cs="Courier New" w:eastAsia="Courier New" w:hAnsi="Courier New"/>
          <w:sz w:val="15"/>
          <w:szCs w:val="15"/>
          <w:color w:val="auto"/>
        </w:rPr>
        <w:t>The following table summarizes our contractual obligations as of September 30, 2002 and the effect such obligations are expected to have on our liquidity and cash flows in future periods, (in millions):</w:t>
      </w:r>
    </w:p>
    <w:p>
      <w:pPr>
        <w:spacing w:after="0" w:line="200" w:lineRule="exact"/>
        <w:rPr>
          <w:sz w:val="20"/>
          <w:szCs w:val="20"/>
          <w:color w:val="auto"/>
        </w:rPr>
      </w:pPr>
    </w:p>
    <w:p>
      <w:pPr>
        <w:spacing w:after="0" w:line="321" w:lineRule="exact"/>
        <w:rPr>
          <w:sz w:val="20"/>
          <w:szCs w:val="20"/>
          <w:color w:val="auto"/>
        </w:rPr>
      </w:pPr>
    </w:p>
    <w:tbl>
      <w:tblPr>
        <w:tblLayout w:type="fixed"/>
        <w:tblInd w:w="368" w:type="dxa"/>
        <w:tblCellMar>
          <w:top w:w="0" w:type="dxa"/>
          <w:left w:w="0" w:type="dxa"/>
          <w:bottom w:w="0" w:type="dxa"/>
          <w:right w:w="0" w:type="dxa"/>
        </w:tblCellMar>
      </w:tblPr>
      <w:tr>
        <w:trPr>
          <w:trHeight w:val="170"/>
        </w:trPr>
        <w:tc>
          <w:tcPr>
            <w:tcW w:w="3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Cash Payments</w:t>
            </w:r>
          </w:p>
        </w:tc>
        <w:tc>
          <w:tcPr>
            <w:tcW w:w="12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Due by Period</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3"/>
        </w:trPr>
        <w:tc>
          <w:tcPr>
            <w:tcW w:w="3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8"/>
              </w:rPr>
              <w:t>---------------------------</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3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Less than</w:t>
            </w: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Over 5</w:t>
            </w:r>
          </w:p>
        </w:tc>
      </w:tr>
      <w:tr>
        <w:trPr>
          <w:trHeight w:val="173"/>
        </w:trPr>
        <w:tc>
          <w:tcPr>
            <w:tcW w:w="3060" w:type="dxa"/>
            <w:vAlign w:val="bottom"/>
          </w:tcPr>
          <w:p>
            <w:pPr>
              <w:ind w:left="260"/>
              <w:spacing w:after="0"/>
              <w:rPr>
                <w:sz w:val="20"/>
                <w:szCs w:val="20"/>
                <w:color w:val="auto"/>
              </w:rPr>
            </w:pPr>
            <w:r>
              <w:rPr>
                <w:rFonts w:ascii="Courier New" w:cs="Courier New" w:eastAsia="Courier New" w:hAnsi="Courier New"/>
                <w:sz w:val="15"/>
                <w:szCs w:val="15"/>
                <w:color w:val="auto"/>
              </w:rPr>
              <w:t>Contractual Obligations</w:t>
            </w:r>
          </w:p>
        </w:tc>
        <w:tc>
          <w:tcPr>
            <w:tcW w:w="440" w:type="dxa"/>
            <w:vAlign w:val="bottom"/>
          </w:tcPr>
          <w:p>
            <w:pPr>
              <w:spacing w:after="0"/>
              <w:rPr>
                <w:sz w:val="15"/>
                <w:szCs w:val="15"/>
                <w:color w:val="auto"/>
              </w:rPr>
            </w:pPr>
          </w:p>
        </w:tc>
        <w:tc>
          <w:tcPr>
            <w:tcW w:w="7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Total</w:t>
            </w:r>
          </w:p>
        </w:tc>
        <w:tc>
          <w:tcPr>
            <w:tcW w:w="32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1 year</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w w:val="88"/>
              </w:rPr>
              <w:t>1-3</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years</w:t>
            </w: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4-5 years</w:t>
            </w: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years</w:t>
            </w:r>
          </w:p>
        </w:tc>
      </w:tr>
      <w:tr>
        <w:trPr>
          <w:trHeight w:val="173"/>
        </w:trPr>
        <w:tc>
          <w:tcPr>
            <w:tcW w:w="3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7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w:t>
            </w:r>
          </w:p>
        </w:tc>
        <w:tc>
          <w:tcPr>
            <w:tcW w:w="32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3060" w:type="dxa"/>
            <w:vAlign w:val="bottom"/>
          </w:tcPr>
          <w:p>
            <w:pPr>
              <w:spacing w:after="0"/>
              <w:rPr>
                <w:sz w:val="20"/>
                <w:szCs w:val="20"/>
                <w:color w:val="auto"/>
              </w:rPr>
            </w:pPr>
            <w:r>
              <w:rPr>
                <w:rFonts w:ascii="Courier New" w:cs="Courier New" w:eastAsia="Courier New" w:hAnsi="Courier New"/>
                <w:sz w:val="15"/>
                <w:szCs w:val="15"/>
                <w:color w:val="auto"/>
              </w:rPr>
              <w:t>Convertible notes (*)</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445.1</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445.1</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Capital lease obligations</w:t>
            </w:r>
          </w:p>
        </w:tc>
        <w:tc>
          <w:tcPr>
            <w:tcW w:w="440" w:type="dxa"/>
            <w:vAlign w:val="bottom"/>
          </w:tcPr>
          <w:p>
            <w:pPr>
              <w:spacing w:after="0"/>
              <w:rPr>
                <w:sz w:val="15"/>
                <w:szCs w:val="15"/>
                <w:color w:val="auto"/>
              </w:rPr>
            </w:pPr>
          </w:p>
        </w:tc>
        <w:tc>
          <w:tcPr>
            <w:tcW w:w="7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25.5</w:t>
            </w:r>
          </w:p>
        </w:tc>
        <w:tc>
          <w:tcPr>
            <w:tcW w:w="32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10.3</w:t>
            </w:r>
          </w:p>
        </w:tc>
        <w:tc>
          <w:tcPr>
            <w:tcW w:w="440" w:type="dxa"/>
            <w:vAlign w:val="bottom"/>
          </w:tcPr>
          <w:p>
            <w:pPr>
              <w:spacing w:after="0"/>
              <w:rPr>
                <w:sz w:val="15"/>
                <w:szCs w:val="15"/>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13.0</w:t>
            </w:r>
          </w:p>
        </w:tc>
        <w:tc>
          <w:tcPr>
            <w:tcW w:w="540" w:type="dxa"/>
            <w:vAlign w:val="bottom"/>
          </w:tcPr>
          <w:p>
            <w:pPr>
              <w:spacing w:after="0"/>
              <w:rPr>
                <w:sz w:val="15"/>
                <w:szCs w:val="15"/>
                <w:color w:val="auto"/>
              </w:rPr>
            </w:pPr>
          </w:p>
        </w:tc>
        <w:tc>
          <w:tcPr>
            <w:tcW w:w="6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2.2</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060" w:type="dxa"/>
            <w:vAlign w:val="bottom"/>
          </w:tcPr>
          <w:p>
            <w:pPr>
              <w:spacing w:after="0"/>
              <w:rPr>
                <w:sz w:val="20"/>
                <w:szCs w:val="20"/>
                <w:color w:val="auto"/>
              </w:rPr>
            </w:pPr>
            <w:r>
              <w:rPr>
                <w:rFonts w:ascii="Courier New" w:cs="Courier New" w:eastAsia="Courier New" w:hAnsi="Courier New"/>
                <w:sz w:val="15"/>
                <w:szCs w:val="15"/>
                <w:color w:val="auto"/>
              </w:rPr>
              <w:t>Non-cancelable operating leases</w:t>
            </w:r>
          </w:p>
        </w:tc>
        <w:tc>
          <w:tcPr>
            <w:tcW w:w="440" w:type="dxa"/>
            <w:vAlign w:val="bottom"/>
          </w:tcPr>
          <w:p>
            <w:pPr>
              <w:spacing w:after="0"/>
              <w:rPr>
                <w:sz w:val="15"/>
                <w:szCs w:val="15"/>
                <w:color w:val="auto"/>
              </w:rPr>
            </w:pPr>
          </w:p>
        </w:tc>
        <w:tc>
          <w:tcPr>
            <w:tcW w:w="7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204.2</w:t>
            </w:r>
          </w:p>
        </w:tc>
        <w:tc>
          <w:tcPr>
            <w:tcW w:w="32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43.8</w:t>
            </w:r>
          </w:p>
        </w:tc>
        <w:tc>
          <w:tcPr>
            <w:tcW w:w="440" w:type="dxa"/>
            <w:vAlign w:val="bottom"/>
          </w:tcPr>
          <w:p>
            <w:pPr>
              <w:spacing w:after="0"/>
              <w:rPr>
                <w:sz w:val="15"/>
                <w:szCs w:val="15"/>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77.2</w:t>
            </w:r>
          </w:p>
        </w:tc>
        <w:tc>
          <w:tcPr>
            <w:tcW w:w="540" w:type="dxa"/>
            <w:vAlign w:val="bottom"/>
          </w:tcPr>
          <w:p>
            <w:pPr>
              <w:spacing w:after="0"/>
              <w:rPr>
                <w:sz w:val="15"/>
                <w:szCs w:val="15"/>
                <w:color w:val="auto"/>
              </w:rPr>
            </w:pPr>
          </w:p>
        </w:tc>
        <w:tc>
          <w:tcPr>
            <w:tcW w:w="60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4"/>
              </w:rPr>
              <w:t>56.8</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26.4</w:t>
            </w:r>
          </w:p>
        </w:tc>
      </w:tr>
      <w:tr>
        <w:trPr>
          <w:trHeight w:val="173"/>
        </w:trPr>
        <w:tc>
          <w:tcPr>
            <w:tcW w:w="3060" w:type="dxa"/>
            <w:vAlign w:val="bottom"/>
          </w:tcPr>
          <w:p>
            <w:pPr>
              <w:spacing w:after="0"/>
              <w:rPr>
                <w:sz w:val="15"/>
                <w:szCs w:val="15"/>
                <w:color w:val="auto"/>
              </w:rPr>
            </w:pPr>
          </w:p>
        </w:tc>
        <w:tc>
          <w:tcPr>
            <w:tcW w:w="12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060" w:type="dxa"/>
            <w:vAlign w:val="bottom"/>
          </w:tcPr>
          <w:p>
            <w:pPr>
              <w:spacing w:after="0"/>
              <w:rPr>
                <w:sz w:val="15"/>
                <w:szCs w:val="15"/>
                <w:color w:val="auto"/>
              </w:rPr>
            </w:pP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674.8</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54.1</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535.3</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4"/>
              </w:rPr>
              <w:t>59.0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26.4</w:t>
            </w:r>
          </w:p>
        </w:tc>
      </w:tr>
      <w:tr>
        <w:trPr>
          <w:trHeight w:val="173"/>
        </w:trPr>
        <w:tc>
          <w:tcPr>
            <w:tcW w:w="3060" w:type="dxa"/>
            <w:vAlign w:val="bottom"/>
          </w:tcPr>
          <w:p>
            <w:pPr>
              <w:spacing w:after="0"/>
              <w:rPr>
                <w:sz w:val="15"/>
                <w:szCs w:val="15"/>
                <w:color w:val="auto"/>
              </w:rPr>
            </w:pPr>
          </w:p>
        </w:tc>
        <w:tc>
          <w:tcPr>
            <w:tcW w:w="12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548" w:right="3559" w:hanging="548"/>
        <w:spacing w:after="0" w:line="244" w:lineRule="auto"/>
        <w:tabs>
          <w:tab w:leader="none" w:pos="5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June 1, 2004 is the earliest date that the holders of our Notes may require us to redeem their Notes. See the discussion above under the caption "Convertible Notes".</w:t>
      </w:r>
    </w:p>
    <w:p>
      <w:pPr>
        <w:spacing w:after="0" w:line="175" w:lineRule="exact"/>
        <w:rPr>
          <w:sz w:val="20"/>
          <w:szCs w:val="20"/>
          <w:color w:val="auto"/>
        </w:rPr>
      </w:pPr>
    </w:p>
    <w:p>
      <w:pPr>
        <w:ind w:left="8" w:right="3019" w:firstLine="541"/>
        <w:spacing w:after="0" w:line="244" w:lineRule="auto"/>
        <w:rPr>
          <w:sz w:val="20"/>
          <w:szCs w:val="20"/>
          <w:color w:val="auto"/>
        </w:rPr>
      </w:pPr>
      <w:r>
        <w:rPr>
          <w:rFonts w:ascii="Courier New" w:cs="Courier New" w:eastAsia="Courier New" w:hAnsi="Courier New"/>
          <w:sz w:val="15"/>
          <w:szCs w:val="15"/>
          <w:color w:val="auto"/>
        </w:rPr>
        <w:t>Our capital expenditures were approximately $59 million in fiscal 2002. These expenditures consisted primarily of purchases of computer equipment and, to a lesser degree, vehicles and leasehold improvements. We funded our capital expenditures principally from operating cash flows and capital leasing arrangements. We do not anticipate any changes to this policy in the foreseeable future.</w:t>
      </w:r>
    </w:p>
    <w:p>
      <w:pPr>
        <w:spacing w:after="0" w:line="177" w:lineRule="exact"/>
        <w:rPr>
          <w:sz w:val="20"/>
          <w:szCs w:val="20"/>
          <w:color w:val="auto"/>
        </w:rPr>
      </w:pPr>
    </w:p>
    <w:p>
      <w:pPr>
        <w:ind w:left="8" w:right="3199" w:firstLine="541"/>
        <w:spacing w:after="0" w:line="244" w:lineRule="auto"/>
        <w:rPr>
          <w:sz w:val="20"/>
          <w:szCs w:val="20"/>
          <w:color w:val="auto"/>
        </w:rPr>
      </w:pPr>
      <w:r>
        <w:rPr>
          <w:rFonts w:ascii="Courier New" w:cs="Courier New" w:eastAsia="Courier New" w:hAnsi="Courier New"/>
          <w:sz w:val="15"/>
          <w:szCs w:val="15"/>
          <w:color w:val="auto"/>
        </w:rPr>
        <w:t>Our accounts receivable allowance for fiscal 2002 was adjusted upward by approximately $22.1 million, from the allowance as of September 30, 2001. The increase in our accounts receivable allowance is primarily a result of our purchase accounting treatment of the Clarify acquisition as well as allowances for instances where collectibility was not reasonably assured.</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NET DEFERRED TAX ASSETS</w:t>
      </w:r>
    </w:p>
    <w:p>
      <w:pPr>
        <w:spacing w:after="0" w:line="178" w:lineRule="exact"/>
        <w:rPr>
          <w:sz w:val="20"/>
          <w:szCs w:val="20"/>
          <w:color w:val="auto"/>
        </w:rPr>
      </w:pPr>
    </w:p>
    <w:p>
      <w:pPr>
        <w:ind w:left="8" w:right="3099" w:firstLine="541"/>
        <w:spacing w:after="0" w:line="244" w:lineRule="auto"/>
        <w:rPr>
          <w:sz w:val="20"/>
          <w:szCs w:val="20"/>
          <w:color w:val="auto"/>
        </w:rPr>
      </w:pPr>
      <w:r>
        <w:rPr>
          <w:rFonts w:ascii="Courier New" w:cs="Courier New" w:eastAsia="Courier New" w:hAnsi="Courier New"/>
          <w:sz w:val="15"/>
          <w:szCs w:val="15"/>
          <w:color w:val="auto"/>
        </w:rPr>
        <w:t>As of September 30, 2002, deferred tax assets of $10.7 million derived primarily from carry-forward net operating losses derived by our Canadian subsidiary were offset by valuation allowances due to the uncertainty of realizing any tax benefit for such losses. When realization of the tax benefits associated with such net operating losses is deemed probable, the valuation allowance will be released. In September 2002 we have released valuation allowances of deferred tax assets derived from carry-forward operating losses relating to losses incurred by Solect prior to our acquisition of that company in April 2000, resulting in an offsetting reduction of the goodwill recorded in the Solect acquisition of approximately $9.0 million. The release of these valuation allowances was made based on our estimation that we will be able to realize the tax benefits associated with those net operating losses.</w:t>
      </w:r>
    </w:p>
    <w:p>
      <w:pPr>
        <w:sectPr>
          <w:pgSz w:w="11900" w:h="16838" w:orient="portrait"/>
          <w:cols w:equalWidth="0" w:num="1">
            <w:col w:w="10227"/>
          </w:cols>
          <w:pgMar w:left="232" w:top="464" w:right="1440" w:bottom="1440" w:gutter="0" w:footer="0" w:header="0"/>
        </w:sectPr>
      </w:pPr>
    </w:p>
    <w:bookmarkStart w:id="62" w:name="page63"/>
    <w:bookmarkEnd w:id="62"/>
    <w:p>
      <w:pPr>
        <w:jc w:val="center"/>
        <w:ind w:right="3019"/>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OPERATING AND FINANCIAL REVIEW AND PROSPECTS - (CONTINUED)</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TAX RATE</w:t>
      </w:r>
    </w:p>
    <w:p>
      <w:pPr>
        <w:spacing w:after="0" w:line="178"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Our blended effective tax rate was 107% for the year ended September 30, 2002, compared to 63% for fiscal 2001. These high effective tax rates were primarily attributable to amortization of goodwill related to our acquisitions, much of which is not tax deductible. In the year ended September 30, 2002 our effective tax rate was also adversely affected by the fixed non-deductible expenditures representing a larger component of our pretax income. Our overall pro forma effective tax rate for fiscal year 2002 was 28% compared to our historical pro forma effective tax rate of 30%, due to the corporate income tax rates in the various countries in which we operate and changes in the relative magnitude of our business in those countries.</w:t>
      </w:r>
    </w:p>
    <w:p>
      <w:pPr>
        <w:spacing w:after="0" w:line="180"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We expect a reduction in our pro forma effective tax rate in fiscal 2003 from 28% to 25%. The reduction is due to our continued expansion into countries with lower effective tax rates.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CRITICAL ACCOUNTING POLICIES</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Our discussion and analysis of our financial condition and results of operations are based upon our consolidated financial statements, which have been prepared in accordance with accounting principles generally accepted in the United States. The preparation of these financial statements requires us to make estimates, assumptions and judgments that affect the reported amounts of assets, liabilities, revenue and expenses, and related disclosure of contingent liabilities. On a regular basis, we evaluate and may revise our estimates. We base our estimates on historical experience and various other assumptions that we believe to be reasonable under the circumstances, the results of which form the basis for making judgments about the carrying values of assets and liabilities, that are not readily apparent. Actual results could differ materially from the estimates under different assumptions or conditions.</w:t>
      </w:r>
    </w:p>
    <w:p>
      <w:pPr>
        <w:spacing w:after="0" w:line="181" w:lineRule="exact"/>
        <w:rPr>
          <w:sz w:val="20"/>
          <w:szCs w:val="20"/>
          <w:color w:val="auto"/>
        </w:rPr>
      </w:pPr>
    </w:p>
    <w:p>
      <w:pPr>
        <w:ind w:right="3199" w:firstLine="541"/>
        <w:spacing w:after="0" w:line="244" w:lineRule="auto"/>
        <w:rPr>
          <w:sz w:val="20"/>
          <w:szCs w:val="20"/>
          <w:color w:val="auto"/>
        </w:rPr>
      </w:pPr>
      <w:r>
        <w:rPr>
          <w:rFonts w:ascii="Courier New" w:cs="Courier New" w:eastAsia="Courier New" w:hAnsi="Courier New"/>
          <w:sz w:val="15"/>
          <w:szCs w:val="15"/>
          <w:color w:val="auto"/>
        </w:rPr>
        <w:t>We believe that the estimates, assumptions and judgments involved in the accounting policies described below have the greatest potential impact on our financial statements, so we consider these to be our critical accounting policies. These policies require that we make estimates in the preparation of our financial statements as of a given date.</w:t>
      </w:r>
    </w:p>
    <w:p>
      <w:pPr>
        <w:spacing w:after="0" w:line="17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Our critical accounting policies are as follows:</w:t>
      </w:r>
    </w:p>
    <w:p>
      <w:pPr>
        <w:spacing w:after="0" w:line="177" w:lineRule="exact"/>
        <w:rPr>
          <w:sz w:val="20"/>
          <w:szCs w:val="20"/>
          <w:color w:val="auto"/>
        </w:rPr>
      </w:pPr>
    </w:p>
    <w:p>
      <w:pPr>
        <w:ind w:left="1080" w:hanging="547"/>
        <w:spacing w:after="0"/>
        <w:tabs>
          <w:tab w:leader="none" w:pos="10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recognition and contract accounting</w:t>
      </w:r>
    </w:p>
    <w:p>
      <w:pPr>
        <w:spacing w:after="0" w:line="176" w:lineRule="exact"/>
        <w:rPr>
          <w:rFonts w:ascii="Courier New" w:cs="Courier New" w:eastAsia="Courier New" w:hAnsi="Courier New"/>
          <w:sz w:val="15"/>
          <w:szCs w:val="15"/>
          <w:color w:val="auto"/>
        </w:rPr>
      </w:pPr>
    </w:p>
    <w:p>
      <w:pPr>
        <w:ind w:left="1080" w:hanging="547"/>
        <w:spacing w:after="0"/>
        <w:tabs>
          <w:tab w:leader="none" w:pos="10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Doubtful accounts</w:t>
      </w:r>
    </w:p>
    <w:p>
      <w:pPr>
        <w:spacing w:after="0" w:line="176" w:lineRule="exact"/>
        <w:rPr>
          <w:rFonts w:ascii="Courier New" w:cs="Courier New" w:eastAsia="Courier New" w:hAnsi="Courier New"/>
          <w:sz w:val="15"/>
          <w:szCs w:val="15"/>
          <w:color w:val="auto"/>
        </w:rPr>
      </w:pPr>
    </w:p>
    <w:p>
      <w:pPr>
        <w:ind w:left="1080" w:hanging="547"/>
        <w:spacing w:after="0"/>
        <w:tabs>
          <w:tab w:leader="none" w:pos="10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accounting</w:t>
      </w:r>
    </w:p>
    <w:p>
      <w:pPr>
        <w:spacing w:after="0" w:line="176" w:lineRule="exact"/>
        <w:rPr>
          <w:rFonts w:ascii="Courier New" w:cs="Courier New" w:eastAsia="Courier New" w:hAnsi="Courier New"/>
          <w:sz w:val="15"/>
          <w:szCs w:val="15"/>
          <w:color w:val="auto"/>
        </w:rPr>
      </w:pPr>
    </w:p>
    <w:p>
      <w:pPr>
        <w:ind w:left="1080" w:hanging="547"/>
        <w:spacing w:after="0"/>
        <w:tabs>
          <w:tab w:leader="none" w:pos="10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Derivative and hedge accounting</w:t>
      </w:r>
    </w:p>
    <w:p>
      <w:pPr>
        <w:sectPr>
          <w:pgSz w:w="11900" w:h="16838" w:orient="portrait"/>
          <w:cols w:equalWidth="0" w:num="1">
            <w:col w:w="10219"/>
          </w:cols>
          <w:pgMar w:left="240" w:top="464" w:right="1440" w:bottom="1440" w:gutter="0" w:footer="0" w:header="0"/>
        </w:sectPr>
      </w:pPr>
    </w:p>
    <w:bookmarkStart w:id="63" w:name="page64"/>
    <w:bookmarkEnd w:id="63"/>
    <w:p>
      <w:pPr>
        <w:jc w:val="center"/>
        <w:ind w:right="3019"/>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OPERATING AND FINANCIAL REVIEW AND PROSPECTS - (CONTINUED)</w:t>
      </w:r>
    </w:p>
    <w:p>
      <w:pPr>
        <w:spacing w:after="0" w:line="350" w:lineRule="exact"/>
        <w:rPr>
          <w:sz w:val="20"/>
          <w:szCs w:val="20"/>
          <w:color w:val="auto"/>
        </w:rPr>
      </w:pPr>
    </w:p>
    <w:p>
      <w:pPr>
        <w:ind w:left="1080" w:hanging="547"/>
        <w:spacing w:after="0"/>
        <w:tabs>
          <w:tab w:leader="none" w:pos="10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Realizability of long-lived assets</w:t>
      </w:r>
    </w:p>
    <w:p>
      <w:pPr>
        <w:spacing w:after="0" w:line="178" w:lineRule="exact"/>
        <w:rPr>
          <w:sz w:val="20"/>
          <w:szCs w:val="20"/>
          <w:color w:val="auto"/>
        </w:rPr>
      </w:pPr>
    </w:p>
    <w:p>
      <w:pPr>
        <w:ind w:right="3019" w:firstLine="541"/>
        <w:spacing w:after="0" w:line="265" w:lineRule="auto"/>
        <w:rPr>
          <w:sz w:val="20"/>
          <w:szCs w:val="20"/>
          <w:color w:val="auto"/>
        </w:rPr>
      </w:pPr>
      <w:r>
        <w:rPr>
          <w:rFonts w:ascii="Courier New" w:cs="Courier New" w:eastAsia="Courier New" w:hAnsi="Courier New"/>
          <w:sz w:val="14"/>
          <w:szCs w:val="14"/>
          <w:color w:val="auto"/>
        </w:rPr>
        <w:t>Below, we discuss these policies further, as well as the estimates and judgments involved. We also have other key accounting policies. We believe that, compared to the critical accounting policies listed above, the other policies either do not generally require us to make estimates and judgments that are as difficult or as subjective, or it is less likely that they would have a material impact on our reported results of operations for a given period.</w:t>
      </w:r>
    </w:p>
    <w:p>
      <w:pPr>
        <w:spacing w:after="0" w:line="16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REVENUE RECOGNITION AND CONTRACT ACCOUNTING</w:t>
      </w:r>
    </w:p>
    <w:p>
      <w:pPr>
        <w:spacing w:after="0" w:line="178" w:lineRule="exact"/>
        <w:rPr>
          <w:sz w:val="20"/>
          <w:szCs w:val="20"/>
          <w:color w:val="auto"/>
        </w:rPr>
      </w:pPr>
    </w:p>
    <w:p>
      <w:pPr>
        <w:ind w:right="3019" w:firstLine="541"/>
        <w:spacing w:after="0" w:line="267" w:lineRule="auto"/>
        <w:rPr>
          <w:sz w:val="20"/>
          <w:szCs w:val="20"/>
          <w:color w:val="auto"/>
        </w:rPr>
      </w:pPr>
      <w:r>
        <w:rPr>
          <w:rFonts w:ascii="Courier New" w:cs="Courier New" w:eastAsia="Courier New" w:hAnsi="Courier New"/>
          <w:sz w:val="14"/>
          <w:szCs w:val="14"/>
          <w:color w:val="auto"/>
        </w:rPr>
        <w:t>Our revenue recognition policy is significant because our revenue is a key component of our results of operations. We follow very specific and detailed guidelines, several of which are discussed above, in measuring revenue; however, certain judgments affect the application of our revenue recognition policy.</w:t>
      </w:r>
    </w:p>
    <w:p>
      <w:pPr>
        <w:spacing w:after="0" w:line="161"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A significant portion of our revenue is recognized over the course of long-term projects, under the percentage of completion method of accounting. The percentage of completion method requires significant judgment, such as estimations of progress-to-completion, contract revenue and contract costs.</w:t>
      </w:r>
    </w:p>
    <w:p>
      <w:pPr>
        <w:spacing w:after="0" w:line="176"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Our revenue recognition policy takes into consideration the creditworthiness and past transaction history of each customer in determining the probability of collection as a criterion of revenue recognition. This determination requires the exercise of judgment, which affects our revenue recognition. If we determine that collection of a fee is not reasonably assured, we defer the revenue recognition until the time collection becomes reasonably assured, which is generally upon receipt of cash.</w:t>
      </w:r>
    </w:p>
    <w:p>
      <w:pPr>
        <w:spacing w:after="0" w:line="178" w:lineRule="exact"/>
        <w:rPr>
          <w:sz w:val="20"/>
          <w:szCs w:val="20"/>
          <w:color w:val="auto"/>
        </w:rPr>
      </w:pPr>
    </w:p>
    <w:p>
      <w:pPr>
        <w:ind w:right="3199" w:firstLine="541"/>
        <w:spacing w:after="0" w:line="244" w:lineRule="auto"/>
        <w:rPr>
          <w:sz w:val="20"/>
          <w:szCs w:val="20"/>
          <w:color w:val="auto"/>
        </w:rPr>
      </w:pPr>
      <w:r>
        <w:rPr>
          <w:rFonts w:ascii="Courier New" w:cs="Courier New" w:eastAsia="Courier New" w:hAnsi="Courier New"/>
          <w:sz w:val="15"/>
          <w:szCs w:val="15"/>
          <w:color w:val="auto"/>
        </w:rPr>
        <w:t>For arrangements with multiple obligations, we allocate revenue to each component based upon its fair value, which is determined in reliance on the specific objective evidence for that element. Such determination is judgmental and is typically based on normal pricing and discounting practices for those elements in similar arrangements.</w:t>
      </w:r>
    </w:p>
    <w:p>
      <w:pPr>
        <w:spacing w:after="0" w:line="177"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Revenue from third-party hardware and software sales is recorded at a gross or net amount according to certain indicators. The application of these indicators for gross and net reporting of revenue depends on the relative facts and circumstances and requires significant judgment.</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DOUBTFUL ACCOUNTS</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The allowance for doubtful accounts is for estimated losses resulting from the inability of our customers to make required payments. We evaluate accounts receivable to determine if they will ultimately be collected. In performing this evaluation, significant judgments and estimates are involved, such as past experience, credit quality of the customer, age of the receivable balance and current economic conditions that may affect a</w:t>
      </w:r>
    </w:p>
    <w:p>
      <w:pPr>
        <w:sectPr>
          <w:pgSz w:w="11900" w:h="16838" w:orient="portrait"/>
          <w:cols w:equalWidth="0" w:num="1">
            <w:col w:w="10219"/>
          </w:cols>
          <w:pgMar w:left="240" w:top="464" w:right="1440" w:bottom="1440" w:gutter="0" w:footer="0" w:header="0"/>
        </w:sectPr>
      </w:pPr>
    </w:p>
    <w:bookmarkStart w:id="64" w:name="page65"/>
    <w:bookmarkEnd w:id="64"/>
    <w:p>
      <w:pPr>
        <w:jc w:val="center"/>
        <w:ind w:right="3019"/>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OPERATING AND FINANCIAL REVIEW AND PROSPECTS - (CONTINUED)</w:t>
      </w:r>
    </w:p>
    <w:p>
      <w:pPr>
        <w:spacing w:after="0" w:line="35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customer's ability to pay. If collection is not reasonably assured at the time the transaction is consummated, we do not recognize revenue until collection becomes reasonably assured. If the financial condition of our customers were to deteriorate, resulting in an impairment of their ability to make payments, additional allowances may be required. The allowance for doubtful accounts is established through a charge to selling, general and administrative expenses.</w:t>
      </w:r>
    </w:p>
    <w:p>
      <w:pPr>
        <w:spacing w:after="0" w:line="17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TAX ACCOUNTING</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As part of the process of preparing our consolidated financial statements we are required to estimate our income tax expense in each of the jurisdictions in which we operate. In the ordinary course of a global business, there are many transactions and calculations where the ultimate tax outcome is uncertain. Some of these uncertainties arise as a consequence of revenue sharing and reimbursement arrangements among related entities, the process of identifying items of revenue and expenses that qualify for preferential tax treatment and segregation of foreign and domestic income and expense to avoid double taxation. This process involves us estimating our actual current tax exposure together with assessing temporary differences resulting from differing treatment of items, such as deferred revenue, for tax and accounting differences. These differences result in deferred tax assets and liabilities, which are included within our consolidated balance sheet. We record a valuation allowance to reduce our deferred tax assets to the amount of future tax benefit that is more likely than not to be realized.</w:t>
      </w:r>
    </w:p>
    <w:p>
      <w:pPr>
        <w:spacing w:after="0" w:line="183"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Although we believe that our estimates are reasonable and that we have considered future taxable income and ongoing prudent and feasible tax strategies in estimating our tax outcome and in assessing the need for the valuation allowance, there is no assurance that the final tax outcome and the valuation allowance will not be different than those which are reflected in our historical income tax provisions and accruals. Such differences could have a material effect on our income tax provision, net income and cash balances in the period in which such determination is made.</w:t>
      </w:r>
    </w:p>
    <w:p>
      <w:pPr>
        <w:spacing w:after="0" w:line="17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DERIVATIVE AND HEDGE ACCOUNTING</w:t>
      </w:r>
    </w:p>
    <w:p>
      <w:pPr>
        <w:spacing w:after="0" w:line="178" w:lineRule="exact"/>
        <w:rPr>
          <w:sz w:val="20"/>
          <w:szCs w:val="20"/>
          <w:color w:val="auto"/>
        </w:rPr>
      </w:pPr>
    </w:p>
    <w:p>
      <w:pPr>
        <w:ind w:right="3019" w:firstLine="541"/>
        <w:spacing w:after="0" w:line="264" w:lineRule="auto"/>
        <w:rPr>
          <w:sz w:val="20"/>
          <w:szCs w:val="20"/>
          <w:color w:val="auto"/>
        </w:rPr>
      </w:pPr>
      <w:r>
        <w:rPr>
          <w:rFonts w:ascii="Courier New" w:cs="Courier New" w:eastAsia="Courier New" w:hAnsi="Courier New"/>
          <w:sz w:val="14"/>
          <w:szCs w:val="14"/>
          <w:color w:val="auto"/>
        </w:rPr>
        <w:t>Approximately 10% of our revenue and 35% of our operating expenses (excluding acquisition-related charges and restructuring charges) are not denominated in U.S. dollars or linked to the U.S. dollar. We enter into foreign exchange forward contracts to hedge a significant portion of our foreign currency exposure to minimize fluctuations in revenue and expenses. The majority of our hedging arrangements are classified as cash flow hedges. Accordingly, changes in the fair value of these forward exchange contracts are recorded in other comprehensive Income. We estimate the fair value of such derivative contracts by reference to forward and spot rates quoted in active markets.</w:t>
      </w:r>
    </w:p>
    <w:p>
      <w:pPr>
        <w:spacing w:after="0" w:line="164" w:lineRule="exact"/>
        <w:rPr>
          <w:sz w:val="20"/>
          <w:szCs w:val="20"/>
          <w:color w:val="auto"/>
        </w:rPr>
      </w:pPr>
    </w:p>
    <w:p>
      <w:pPr>
        <w:ind w:right="3099" w:firstLine="541"/>
        <w:spacing w:after="0" w:line="244" w:lineRule="auto"/>
        <w:rPr>
          <w:sz w:val="20"/>
          <w:szCs w:val="20"/>
          <w:color w:val="auto"/>
        </w:rPr>
      </w:pPr>
      <w:r>
        <w:rPr>
          <w:rFonts w:ascii="Courier New" w:cs="Courier New" w:eastAsia="Courier New" w:hAnsi="Courier New"/>
          <w:sz w:val="15"/>
          <w:szCs w:val="15"/>
          <w:color w:val="auto"/>
        </w:rPr>
        <w:t>Establishing and accounting for foreign exchange contracts involve judgments, such as determining the nature of the exposure, assessing its amount and timing, and evaluating the effectiveness of the hedging arrangement.</w:t>
      </w:r>
    </w:p>
    <w:p>
      <w:pPr>
        <w:sectPr>
          <w:pgSz w:w="11900" w:h="16838" w:orient="portrait"/>
          <w:cols w:equalWidth="0" w:num="1">
            <w:col w:w="10219"/>
          </w:cols>
          <w:pgMar w:left="240" w:top="464" w:right="1440" w:bottom="1440" w:gutter="0" w:footer="0" w:header="0"/>
        </w:sectPr>
      </w:pPr>
    </w:p>
    <w:bookmarkStart w:id="65" w:name="page66"/>
    <w:bookmarkEnd w:id="65"/>
    <w:p>
      <w:pPr>
        <w:jc w:val="center"/>
        <w:ind w:right="3019"/>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OPERATING AND FINANCIAL REVIEW AND PROSPECTS - (CONTINUED)</w:t>
      </w:r>
    </w:p>
    <w:p>
      <w:pPr>
        <w:spacing w:after="0" w:line="351" w:lineRule="exact"/>
        <w:rPr>
          <w:sz w:val="20"/>
          <w:szCs w:val="20"/>
          <w:color w:val="auto"/>
        </w:rPr>
      </w:pPr>
    </w:p>
    <w:p>
      <w:pPr>
        <w:ind w:right="3019" w:firstLine="541"/>
        <w:spacing w:after="0" w:line="270" w:lineRule="auto"/>
        <w:rPr>
          <w:sz w:val="20"/>
          <w:szCs w:val="20"/>
          <w:color w:val="auto"/>
        </w:rPr>
      </w:pPr>
      <w:r>
        <w:rPr>
          <w:rFonts w:ascii="Courier New" w:cs="Courier New" w:eastAsia="Courier New" w:hAnsi="Courier New"/>
          <w:sz w:val="14"/>
          <w:szCs w:val="14"/>
          <w:color w:val="auto"/>
        </w:rPr>
        <w:t>Although we believe that our estimates are accurate and meet the requirement of hedge accounting, actual results differ from these estimates, and such difference could cause fluctuation of our recorded revenue and expenses.</w:t>
      </w:r>
    </w:p>
    <w:p>
      <w:pPr>
        <w:spacing w:after="0" w:line="15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REALIZABILITY OF LONG-LIVED ASSETS</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We are required to assess the impairment of long-lived assets, tangible and intangible, on an annual basis, and potentially more frequently if events or changes in circumstances indicate that the carrying value may not be recoverable. We assess the impairment based on number of factors, including significant changes in the manner of our use of the acquired assets or the strategy of our overall business, significant negative industry or economic trends and significant decline in our share price for a sustained period.</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Upon determination that the carrying value of a long-lived asset may not be recoverable based upon a comparison of fair value to the carrying amount of the asset, an impairment charge is made. We measure fair value based on a projected future cash flow using a discount rate determined by our management to be commensurate with the risk inherent in our current business model.</w:t>
      </w:r>
    </w:p>
    <w:p>
      <w:pPr>
        <w:spacing w:after="0" w:line="177" w:lineRule="exact"/>
        <w:rPr>
          <w:sz w:val="20"/>
          <w:szCs w:val="20"/>
          <w:color w:val="auto"/>
        </w:rPr>
      </w:pPr>
    </w:p>
    <w:p>
      <w:pPr>
        <w:ind w:right="3279" w:firstLine="541"/>
        <w:spacing w:after="0" w:line="244" w:lineRule="auto"/>
        <w:rPr>
          <w:sz w:val="20"/>
          <w:szCs w:val="20"/>
          <w:color w:val="auto"/>
        </w:rPr>
      </w:pPr>
      <w:r>
        <w:rPr>
          <w:rFonts w:ascii="Courier New" w:cs="Courier New" w:eastAsia="Courier New" w:hAnsi="Courier New"/>
          <w:sz w:val="15"/>
          <w:szCs w:val="15"/>
          <w:color w:val="auto"/>
        </w:rPr>
        <w:t>Within the context of these critical accounting policies, we are not currently aware of any reasonably likely events or circumstances, which would result in materially different amounts being reported.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CURRENCY FLUCTUATIONS</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Approximately 90% of our revenue is in U.S. dollars or linked to the U.S. dollar. Therefore, the dollar is our functional currency. Approximately 65% of our operating expenses (excluding acquisition-related charges and restructuring charges) are paid in dollars or linked to dollars. Other significant currencies in which we receive revenue or pay expenses are Australian dollars, British pounds, Canadian dollars, the euro (ECU) and Israeli shekels. Historically, the effect of fluctuations in currency exchange rates has had a minimal impact on our operations. As more of our customers seek contracts that are denominated in currencies such as the ECU and not the U.S. dollar, our exposure to fluctuations in currency exchange rates could increase. In managing our foreign exchange risk, we enter from time to time into various foreign exchange contracts. As of September 30, 2002, we had substantially hedged our significant exposures in currencies other than the U.S. dollar.</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RISK</w:t>
      </w:r>
    </w:p>
    <w:p>
      <w:pPr>
        <w:spacing w:after="0" w:line="178" w:lineRule="exact"/>
        <w:rPr>
          <w:sz w:val="20"/>
          <w:szCs w:val="20"/>
          <w:color w:val="auto"/>
        </w:rPr>
      </w:pPr>
    </w:p>
    <w:p>
      <w:pPr>
        <w:ind w:right="3019" w:firstLine="541"/>
        <w:spacing w:after="0" w:line="244" w:lineRule="auto"/>
        <w:rPr>
          <w:sz w:val="20"/>
          <w:szCs w:val="20"/>
          <w:color w:val="auto"/>
        </w:rPr>
      </w:pPr>
      <w:r>
        <w:rPr>
          <w:rFonts w:ascii="Courier New" w:cs="Courier New" w:eastAsia="Courier New" w:hAnsi="Courier New"/>
          <w:sz w:val="15"/>
          <w:szCs w:val="15"/>
          <w:color w:val="auto"/>
        </w:rPr>
        <w:t>We enter into foreign exchange forward contracts to hedge most of our foreign currency exposure. We use such contracts to hedge exposure to changes in foreign currency exchange rates associated with revenue denominated in a foreign currency, primarily British pounds and the ECU, and anticipated costs to be incurred in a foreign currency, primarily Australian dollars, Canadian dollars and Israeli shekels. We also use</w:t>
      </w:r>
    </w:p>
    <w:p>
      <w:pPr>
        <w:sectPr>
          <w:pgSz w:w="11900" w:h="16838" w:orient="portrait"/>
          <w:cols w:equalWidth="0" w:num="1">
            <w:col w:w="10219"/>
          </w:cols>
          <w:pgMar w:left="240" w:top="464" w:right="1440" w:bottom="1440" w:gutter="0" w:footer="0" w:header="0"/>
        </w:sectPr>
      </w:pPr>
    </w:p>
    <w:bookmarkStart w:id="66" w:name="page67"/>
    <w:bookmarkEnd w:id="66"/>
    <w:p>
      <w:pPr>
        <w:jc w:val="center"/>
        <w:ind w:right="3012"/>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OPERATING AND FINANCIAL REVIEW AND PROSPECTS - (CONTINUED)</w:t>
      </w:r>
    </w:p>
    <w:p>
      <w:pPr>
        <w:spacing w:after="0" w:line="351" w:lineRule="exact"/>
        <w:rPr>
          <w:sz w:val="20"/>
          <w:szCs w:val="20"/>
          <w:color w:val="auto"/>
        </w:rPr>
      </w:pPr>
    </w:p>
    <w:p>
      <w:pPr>
        <w:ind w:left="8" w:right="3019"/>
        <w:spacing w:after="0" w:line="263" w:lineRule="auto"/>
        <w:rPr>
          <w:sz w:val="20"/>
          <w:szCs w:val="20"/>
          <w:color w:val="auto"/>
        </w:rPr>
      </w:pPr>
      <w:r>
        <w:rPr>
          <w:rFonts w:ascii="Courier New" w:cs="Courier New" w:eastAsia="Courier New" w:hAnsi="Courier New"/>
          <w:sz w:val="14"/>
          <w:szCs w:val="14"/>
          <w:color w:val="auto"/>
        </w:rPr>
        <w:t>forward contracts to hedge the impact of the variability in exchange rates on certain accounts receivables, denominated in British pounds and the ECU, and on the investment in Certen convertible debentures denominated in Canadian dollars. We seek to minimize the risk that the anticipated cash flow from sales of our products and services and cash flow required for our expenses denominated in a currency other than our functional currency will be affected by changes in exchange rates. See Note 22 to our Consolidated Financial Statements included elsewhere in this report. The following table summarizes our foreign currency forward exchange agreements as of September 30, 2002. All the forward contracts are expected to mature during fiscal 2003. The table below (all dollar amounts in millions) presents the notional amounts, and fair value of the total derivative instruments as of September 30, 2002. Notional values are calculated based on forward rates as of September 30, 2002, U.S. dollar translated.</w:t>
      </w:r>
    </w:p>
    <w:p>
      <w:pPr>
        <w:spacing w:after="0" w:line="200" w:lineRule="exact"/>
        <w:rPr>
          <w:sz w:val="20"/>
          <w:szCs w:val="20"/>
          <w:color w:val="auto"/>
        </w:rPr>
      </w:pPr>
    </w:p>
    <w:p>
      <w:pPr>
        <w:spacing w:after="0" w:line="314" w:lineRule="exact"/>
        <w:rPr>
          <w:sz w:val="20"/>
          <w:szCs w:val="20"/>
          <w:color w:val="auto"/>
        </w:rPr>
      </w:pPr>
    </w:p>
    <w:p>
      <w:pPr>
        <w:ind w:left="4508"/>
        <w:spacing w:after="0"/>
        <w:rPr>
          <w:sz w:val="20"/>
          <w:szCs w:val="20"/>
          <w:color w:val="auto"/>
        </w:rPr>
      </w:pPr>
      <w:r>
        <w:rPr>
          <w:rFonts w:ascii="Courier New" w:cs="Courier New" w:eastAsia="Courier New" w:hAnsi="Courier New"/>
          <w:sz w:val="15"/>
          <w:szCs w:val="15"/>
          <w:color w:val="auto"/>
        </w:rPr>
        <w:t>AS OF SEPTEMBER 30, 2002</w:t>
      </w:r>
    </w:p>
    <w:p>
      <w:pPr>
        <w:spacing w:after="0" w:line="3" w:lineRule="exact"/>
        <w:rPr>
          <w:sz w:val="20"/>
          <w:szCs w:val="20"/>
          <w:color w:val="auto"/>
        </w:rPr>
      </w:pPr>
    </w:p>
    <w:p>
      <w:pPr>
        <w:ind w:left="450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868"/>
        <w:spacing w:after="0"/>
        <w:rPr>
          <w:sz w:val="20"/>
          <w:szCs w:val="20"/>
          <w:color w:val="auto"/>
        </w:rPr>
      </w:pPr>
      <w:r>
        <w:rPr>
          <w:rFonts w:ascii="Courier New" w:cs="Courier New" w:eastAsia="Courier New" w:hAnsi="Courier New"/>
          <w:sz w:val="15"/>
          <w:szCs w:val="15"/>
          <w:color w:val="auto"/>
        </w:rPr>
        <w:t>NOTIONAL AMOUNT</w:t>
      </w:r>
    </w:p>
    <w:p>
      <w:pPr>
        <w:spacing w:after="0" w:line="3" w:lineRule="exact"/>
        <w:rPr>
          <w:sz w:val="20"/>
          <w:szCs w:val="20"/>
          <w:color w:val="auto"/>
        </w:rPr>
      </w:pPr>
    </w:p>
    <w:p>
      <w:pPr>
        <w:ind w:left="3788"/>
        <w:spacing w:after="0"/>
        <w:tabs>
          <w:tab w:leader="none" w:pos="5927" w:val="left"/>
        </w:tabs>
        <w:rPr>
          <w:sz w:val="20"/>
          <w:szCs w:val="20"/>
          <w:color w:val="auto"/>
        </w:rPr>
      </w:pPr>
      <w:r>
        <w:rPr>
          <w:rFonts w:ascii="Courier New" w:cs="Courier New" w:eastAsia="Courier New" w:hAnsi="Courier New"/>
          <w:sz w:val="15"/>
          <w:szCs w:val="15"/>
          <w:color w:val="auto"/>
        </w:rPr>
        <w:t>TRANSLATED TO U.S.</w:t>
      </w:r>
      <w:r>
        <w:rPr>
          <w:sz w:val="20"/>
          <w:szCs w:val="20"/>
          <w:color w:val="auto"/>
        </w:rPr>
        <w:tab/>
      </w:r>
      <w:r>
        <w:rPr>
          <w:rFonts w:ascii="Courier New" w:cs="Courier New" w:eastAsia="Courier New" w:hAnsi="Courier New"/>
          <w:sz w:val="15"/>
          <w:szCs w:val="15"/>
          <w:color w:val="auto"/>
        </w:rPr>
        <w:t>FAIR VALUE OF</w:t>
      </w:r>
    </w:p>
    <w:p>
      <w:pPr>
        <w:spacing w:after="0" w:line="3" w:lineRule="exact"/>
        <w:rPr>
          <w:sz w:val="20"/>
          <w:szCs w:val="20"/>
          <w:color w:val="auto"/>
        </w:rPr>
      </w:pPr>
    </w:p>
    <w:p>
      <w:pPr>
        <w:ind w:left="4148"/>
        <w:spacing w:after="0"/>
        <w:tabs>
          <w:tab w:leader="none" w:pos="6027" w:val="left"/>
        </w:tabs>
        <w:rPr>
          <w:sz w:val="20"/>
          <w:szCs w:val="20"/>
          <w:color w:val="auto"/>
        </w:rPr>
      </w:pPr>
      <w:r>
        <w:rPr>
          <w:rFonts w:ascii="Courier New" w:cs="Courier New" w:eastAsia="Courier New" w:hAnsi="Courier New"/>
          <w:sz w:val="15"/>
          <w:szCs w:val="15"/>
          <w:color w:val="auto"/>
        </w:rPr>
        <w:t>DOLLAR (*)</w:t>
      </w:r>
      <w:r>
        <w:rPr>
          <w:sz w:val="20"/>
          <w:szCs w:val="20"/>
          <w:color w:val="auto"/>
        </w:rPr>
        <w:tab/>
      </w:r>
      <w:r>
        <w:rPr>
          <w:rFonts w:ascii="Courier New" w:cs="Courier New" w:eastAsia="Courier New" w:hAnsi="Courier New"/>
          <w:sz w:val="14"/>
          <w:szCs w:val="14"/>
          <w:color w:val="auto"/>
        </w:rPr>
        <w:t>DERIVATIVES</w:t>
      </w:r>
    </w:p>
    <w:p>
      <w:pPr>
        <w:spacing w:after="0" w:line="3" w:lineRule="exact"/>
        <w:rPr>
          <w:sz w:val="20"/>
          <w:szCs w:val="20"/>
          <w:color w:val="auto"/>
        </w:rPr>
      </w:pPr>
    </w:p>
    <w:p>
      <w:pPr>
        <w:ind w:left="4148"/>
        <w:spacing w:after="0"/>
        <w:tabs>
          <w:tab w:leader="none" w:pos="6027"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27"/>
          </w:cols>
          <w:pgMar w:left="232" w:top="464" w:right="1440" w:bottom="1440" w:gutter="0" w:footer="0" w:header="0"/>
        </w:sectPr>
      </w:pPr>
    </w:p>
    <w:p>
      <w:pPr>
        <w:spacing w:after="0" w:line="177"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Revenue</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Costs</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Balance sheet items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8.9</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4"/>
          <w:szCs w:val="14"/>
          <w:color w:val="auto"/>
        </w:rPr>
        <w:t>(145.8)</w:t>
      </w:r>
    </w:p>
    <w:p>
      <w:pPr>
        <w:spacing w:after="0" w:line="14"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41.2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tabs>
          <w:tab w:leader="none" w:pos="260" w:val="left"/>
        </w:tabs>
        <w:rPr>
          <w:sz w:val="20"/>
          <w:szCs w:val="20"/>
          <w:color w:val="auto"/>
        </w:rPr>
      </w:pPr>
      <w:r>
        <w:rPr>
          <w:rFonts w:ascii="Courier New" w:cs="Courier New" w:eastAsia="Courier New" w:hAnsi="Courier New"/>
          <w:sz w:val="15"/>
          <w:szCs w:val="15"/>
          <w:color w:val="auto"/>
        </w:rPr>
        <w:t>$</w:t>
        <w:tab/>
        <w:t>(95.7)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(0.9)</w:t>
      </w:r>
    </w:p>
    <w:p>
      <w:pPr>
        <w:spacing w:after="0" w:line="1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(6.7)</w:t>
      </w:r>
    </w:p>
    <w:p>
      <w:pPr>
        <w:spacing w:after="0" w:line="1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0.5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(7.1)</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3508" w:space="720"/>
            <w:col w:w="1280" w:space="720"/>
            <w:col w:w="3999"/>
          </w:cols>
          <w:pgMar w:left="232" w:top="464" w:right="1440" w:bottom="1440" w:gutter="0" w:footer="0" w:header="0"/>
          <w:type w:val="continuous"/>
        </w:sectPr>
      </w:pPr>
    </w:p>
    <w:p>
      <w:pPr>
        <w:spacing w:after="0" w:line="1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548" w:right="3379" w:hanging="548"/>
        <w:spacing w:after="0" w:line="244" w:lineRule="auto"/>
        <w:tabs>
          <w:tab w:leader="none" w:pos="54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Positive notional amounts represent forward contracts to sell foreign currency. Negative notional amounts represent forward contracts to buy foreign currency.</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INTEREST RATE RISK</w:t>
      </w:r>
    </w:p>
    <w:p>
      <w:pPr>
        <w:spacing w:after="0" w:line="178" w:lineRule="exact"/>
        <w:rPr>
          <w:sz w:val="20"/>
          <w:szCs w:val="20"/>
          <w:color w:val="auto"/>
        </w:rPr>
      </w:pPr>
    </w:p>
    <w:p>
      <w:pPr>
        <w:ind w:left="8" w:right="3099" w:firstLine="541"/>
        <w:spacing w:after="0" w:line="244" w:lineRule="auto"/>
        <w:rPr>
          <w:sz w:val="20"/>
          <w:szCs w:val="20"/>
          <w:color w:val="auto"/>
        </w:rPr>
      </w:pPr>
      <w:r>
        <w:rPr>
          <w:rFonts w:ascii="Courier New" w:cs="Courier New" w:eastAsia="Courier New" w:hAnsi="Courier New"/>
          <w:sz w:val="15"/>
          <w:szCs w:val="15"/>
          <w:color w:val="auto"/>
        </w:rPr>
        <w:t>Our interest expenses and income are sensitive to changes in interest rates, as all of our cash reserves and borrowings, other than the Notes, are subject to interest rate changes. Excess liquidity is invested in short-term interest-bearing investments. Such short-term interest-bearing investments consist primarily of treasury notes, federal agency securities, corporate bonds and money market funds and currently bear minimal interest rate risk. As of September 30, 2002, we had nothing outstanding on either our revolving lines of credit or our short-term credit facilities, and $25.5 million recorded as long-term lease obligations, which in the aggregate bear minimal interest rate risk.</w:t>
      </w:r>
    </w:p>
    <w:p>
      <w:pPr>
        <w:spacing w:after="0" w:line="35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SUBSEQUENT EVENT</w:t>
      </w:r>
    </w:p>
    <w:p>
      <w:pPr>
        <w:spacing w:after="0" w:line="178" w:lineRule="exact"/>
        <w:rPr>
          <w:sz w:val="20"/>
          <w:szCs w:val="20"/>
          <w:color w:val="auto"/>
        </w:rPr>
      </w:pPr>
    </w:p>
    <w:p>
      <w:pPr>
        <w:ind w:left="8" w:right="3099" w:firstLine="541"/>
        <w:spacing w:after="0" w:line="244" w:lineRule="auto"/>
        <w:rPr>
          <w:sz w:val="20"/>
          <w:szCs w:val="20"/>
          <w:color w:val="auto"/>
        </w:rPr>
      </w:pPr>
      <w:r>
        <w:rPr>
          <w:rFonts w:ascii="Courier New" w:cs="Courier New" w:eastAsia="Courier New" w:hAnsi="Courier New"/>
          <w:sz w:val="15"/>
          <w:szCs w:val="15"/>
          <w:color w:val="auto"/>
        </w:rPr>
        <w:t>On November 27, 2002 we announced a series of measures designed to reduce costs and improve productivity. As part of this plan, we will reduce our workforce by approximately 400 positions out of a total workforce of 9,000 employees. The reductions</w:t>
      </w:r>
    </w:p>
    <w:p>
      <w:pPr>
        <w:sectPr>
          <w:pgSz w:w="11900" w:h="16838" w:orient="portrait"/>
          <w:cols w:equalWidth="0" w:num="1">
            <w:col w:w="10227"/>
          </w:cols>
          <w:pgMar w:left="232" w:top="464" w:right="1440" w:bottom="1440" w:gutter="0" w:footer="0" w:header="0"/>
          <w:type w:val="continuous"/>
        </w:sectPr>
      </w:pPr>
    </w:p>
    <w:bookmarkStart w:id="67" w:name="page68"/>
    <w:bookmarkEnd w:id="67"/>
    <w:p>
      <w:pPr>
        <w:jc w:val="center"/>
        <w:ind w:right="3019"/>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OPERATING AND FINANCIAL REVIEW AND PROSPECTS - (CONTINUED)</w:t>
      </w:r>
    </w:p>
    <w:p>
      <w:pPr>
        <w:spacing w:after="0" w:line="35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will be from different centers around the world. In addition, we will implement other cost reduction measures, including travel cuts and reductions in other discretionary costs.</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LITIGATION</w:t>
      </w:r>
    </w:p>
    <w:p>
      <w:pPr>
        <w:spacing w:after="0" w:line="178"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Beginning on June 24, 2002, a number of complaints were filed by holders of our ordinary shares against us and four of our officers and directors, in the United States District Courts for the Eastern District of Missouri and the Southern District of New York. The complaints allege violations of the Securities Exchange Act of 1934, as amended, and Rule 10b-5 promulgated thereunder. Each plaintiff seeks to represent a putative class of all purchasers of our ordinary shares between July 18, 2000 (or, in some of the complaints, July 24, 2001) and June 20, 2002. The complaints generally allege that, during that period, we and the individual defendants made false or misleading statements, in press releases and Securities and Exchange Commission filings, regarding among other things our future prospects, backlog, revenue, gross margin, acquisitions and accounting practices. Each plaintiff seeks unspecified monetary damages and other relief against all defendants. The parties in the New York cases have stipulated to transfer them to the Eastern District of Missouri. The court has not yet appointed a lead plaintiff. We dispute the allegations of wrongdoing in these complaints and intend to defend ourself vigorously.</w:t>
      </w:r>
    </w:p>
    <w:p>
      <w:pPr>
        <w:sectPr>
          <w:pgSz w:w="11900" w:h="16838" w:orient="portrait"/>
          <w:cols w:equalWidth="0" w:num="1">
            <w:col w:w="10219"/>
          </w:cols>
          <w:pgMar w:left="240" w:top="464" w:right="1440"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PART II - OTHER</w:t>
            </w:r>
          </w:p>
        </w:tc>
        <w:tc>
          <w:tcPr>
            <w:tcW w:w="4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INFORMATION</w:t>
            </w:r>
          </w:p>
        </w:tc>
      </w:tr>
      <w:tr>
        <w:trPr>
          <w:trHeight w:val="347"/>
        </w:trPr>
        <w:tc>
          <w:tcPr>
            <w:tcW w:w="1400" w:type="dxa"/>
            <w:vAlign w:val="bottom"/>
          </w:tcPr>
          <w:p>
            <w:pPr>
              <w:ind w:left="1000"/>
              <w:spacing w:after="0"/>
              <w:rPr>
                <w:sz w:val="20"/>
                <w:szCs w:val="20"/>
                <w:color w:val="auto"/>
              </w:rPr>
            </w:pPr>
            <w:r>
              <w:rPr>
                <w:rFonts w:ascii="Courier New" w:cs="Courier New" w:eastAsia="Courier New" w:hAnsi="Courier New"/>
                <w:sz w:val="15"/>
                <w:szCs w:val="15"/>
                <w:color w:val="auto"/>
              </w:rPr>
              <w:t>Item</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w:t>
            </w:r>
          </w:p>
        </w:tc>
        <w:tc>
          <w:tcPr>
            <w:tcW w:w="4240" w:type="dxa"/>
            <w:vAlign w:val="bottom"/>
          </w:tcPr>
          <w:p>
            <w:pPr>
              <w:spacing w:after="0"/>
              <w:rPr>
                <w:sz w:val="20"/>
                <w:szCs w:val="20"/>
                <w:color w:val="auto"/>
              </w:rPr>
            </w:pPr>
            <w:r>
              <w:rPr>
                <w:rFonts w:ascii="Courier New" w:cs="Courier New" w:eastAsia="Courier New" w:hAnsi="Courier New"/>
                <w:sz w:val="15"/>
                <w:szCs w:val="15"/>
                <w:color w:val="auto"/>
              </w:rPr>
              <w:t>Exhibits</w:t>
            </w:r>
          </w:p>
        </w:tc>
      </w:tr>
      <w:tr>
        <w:trPr>
          <w:trHeight w:val="694"/>
        </w:trPr>
        <w:tc>
          <w:tcPr>
            <w:tcW w:w="1980" w:type="dxa"/>
            <w:vAlign w:val="bottom"/>
            <w:gridSpan w:val="2"/>
          </w:tcPr>
          <w:p>
            <w:pPr>
              <w:ind w:left="1000"/>
              <w:spacing w:after="0"/>
              <w:rPr>
                <w:sz w:val="20"/>
                <w:szCs w:val="20"/>
                <w:color w:val="auto"/>
              </w:rPr>
            </w:pPr>
            <w:r>
              <w:rPr>
                <w:rFonts w:ascii="Courier New" w:cs="Courier New" w:eastAsia="Courier New" w:hAnsi="Courier New"/>
                <w:sz w:val="15"/>
                <w:szCs w:val="15"/>
                <w:color w:val="auto"/>
                <w:w w:val="96"/>
              </w:rPr>
              <w:t>Exhibit No.</w:t>
            </w:r>
          </w:p>
        </w:tc>
        <w:tc>
          <w:tcPr>
            <w:tcW w:w="4240" w:type="dxa"/>
            <w:vAlign w:val="bottom"/>
          </w:tcPr>
          <w:p>
            <w:pPr>
              <w:ind w:left="1180"/>
              <w:spacing w:after="0"/>
              <w:rPr>
                <w:sz w:val="20"/>
                <w:szCs w:val="20"/>
                <w:color w:val="auto"/>
              </w:rPr>
            </w:pPr>
            <w:r>
              <w:rPr>
                <w:rFonts w:ascii="Courier New" w:cs="Courier New" w:eastAsia="Courier New" w:hAnsi="Courier New"/>
                <w:sz w:val="15"/>
                <w:szCs w:val="15"/>
                <w:color w:val="auto"/>
              </w:rPr>
              <w:t>Description</w:t>
            </w:r>
          </w:p>
        </w:tc>
      </w:tr>
      <w:tr>
        <w:trPr>
          <w:trHeight w:val="173"/>
        </w:trPr>
        <w:tc>
          <w:tcPr>
            <w:tcW w:w="1980" w:type="dxa"/>
            <w:vAlign w:val="bottom"/>
            <w:gridSpan w:val="2"/>
          </w:tcPr>
          <w:p>
            <w:pPr>
              <w:ind w:left="1000"/>
              <w:spacing w:after="0"/>
              <w:rPr>
                <w:sz w:val="20"/>
                <w:szCs w:val="20"/>
                <w:color w:val="auto"/>
              </w:rPr>
            </w:pPr>
            <w:r>
              <w:rPr>
                <w:rFonts w:ascii="Courier New" w:cs="Courier New" w:eastAsia="Courier New" w:hAnsi="Courier New"/>
                <w:sz w:val="15"/>
                <w:szCs w:val="15"/>
                <w:color w:val="auto"/>
                <w:w w:val="96"/>
              </w:rPr>
              <w:t>-----------</w:t>
            </w:r>
          </w:p>
        </w:tc>
        <w:tc>
          <w:tcPr>
            <w:tcW w:w="4240" w:type="dxa"/>
            <w:vAlign w:val="bottom"/>
          </w:tcPr>
          <w:p>
            <w:pPr>
              <w:ind w:left="1180"/>
              <w:spacing w:after="0"/>
              <w:rPr>
                <w:sz w:val="20"/>
                <w:szCs w:val="20"/>
                <w:color w:val="auto"/>
              </w:rPr>
            </w:pPr>
            <w:r>
              <w:rPr>
                <w:rFonts w:ascii="Courier New" w:cs="Courier New" w:eastAsia="Courier New" w:hAnsi="Courier New"/>
                <w:sz w:val="15"/>
                <w:szCs w:val="15"/>
                <w:color w:val="auto"/>
              </w:rPr>
              <w:t>-----------</w:t>
            </w:r>
          </w:p>
        </w:tc>
      </w:tr>
      <w:tr>
        <w:trPr>
          <w:trHeight w:val="347"/>
        </w:trPr>
        <w:tc>
          <w:tcPr>
            <w:tcW w:w="1400" w:type="dxa"/>
            <w:vAlign w:val="bottom"/>
          </w:tcPr>
          <w:p>
            <w:pPr>
              <w:spacing w:after="0"/>
              <w:rPr>
                <w:sz w:val="24"/>
                <w:szCs w:val="24"/>
                <w:color w:val="auto"/>
              </w:rPr>
            </w:pP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23</w:t>
            </w:r>
          </w:p>
        </w:tc>
        <w:tc>
          <w:tcPr>
            <w:tcW w:w="4240" w:type="dxa"/>
            <w:vAlign w:val="bottom"/>
          </w:tcPr>
          <w:p>
            <w:pPr>
              <w:ind w:left="1180"/>
              <w:spacing w:after="0"/>
              <w:rPr>
                <w:sz w:val="20"/>
                <w:szCs w:val="20"/>
                <w:color w:val="auto"/>
              </w:rPr>
            </w:pPr>
            <w:r>
              <w:rPr>
                <w:rFonts w:ascii="Courier New" w:cs="Courier New" w:eastAsia="Courier New" w:hAnsi="Courier New"/>
                <w:sz w:val="15"/>
                <w:szCs w:val="15"/>
                <w:color w:val="auto"/>
              </w:rPr>
              <w:t>Consent of Ernst &amp; Young LLP</w:t>
            </w:r>
          </w:p>
        </w:tc>
      </w:tr>
      <w:tr>
        <w:trPr>
          <w:trHeight w:val="347"/>
        </w:trPr>
        <w:tc>
          <w:tcPr>
            <w:tcW w:w="1400" w:type="dxa"/>
            <w:vAlign w:val="bottom"/>
          </w:tcPr>
          <w:p>
            <w:pPr>
              <w:spacing w:after="0"/>
              <w:rPr>
                <w:sz w:val="24"/>
                <w:szCs w:val="24"/>
                <w:color w:val="auto"/>
              </w:rPr>
            </w:pP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99.1</w:t>
            </w:r>
          </w:p>
        </w:tc>
        <w:tc>
          <w:tcPr>
            <w:tcW w:w="4240" w:type="dxa"/>
            <w:vAlign w:val="bottom"/>
          </w:tcPr>
          <w:p>
            <w:pPr>
              <w:ind w:left="1180"/>
              <w:spacing w:after="0"/>
              <w:rPr>
                <w:sz w:val="20"/>
                <w:szCs w:val="20"/>
                <w:color w:val="auto"/>
              </w:rPr>
            </w:pPr>
            <w:r>
              <w:rPr>
                <w:rFonts w:ascii="Courier New" w:cs="Courier New" w:eastAsia="Courier New" w:hAnsi="Courier New"/>
                <w:sz w:val="15"/>
                <w:szCs w:val="15"/>
                <w:color w:val="auto"/>
                <w:w w:val="99"/>
              </w:rPr>
              <w:t>Amdocs Limited Press Release dated</w:t>
            </w:r>
          </w:p>
        </w:tc>
      </w:tr>
      <w:tr>
        <w:trPr>
          <w:trHeight w:val="173"/>
        </w:trPr>
        <w:tc>
          <w:tcPr>
            <w:tcW w:w="1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40" w:type="dxa"/>
            <w:vAlign w:val="bottom"/>
          </w:tcPr>
          <w:p>
            <w:pPr>
              <w:ind w:left="1180"/>
              <w:spacing w:after="0"/>
              <w:rPr>
                <w:sz w:val="20"/>
                <w:szCs w:val="20"/>
                <w:color w:val="auto"/>
              </w:rPr>
            </w:pPr>
            <w:r>
              <w:rPr>
                <w:rFonts w:ascii="Courier New" w:cs="Courier New" w:eastAsia="Courier New" w:hAnsi="Courier New"/>
                <w:sz w:val="15"/>
                <w:szCs w:val="15"/>
                <w:color w:val="auto"/>
              </w:rPr>
              <w:t>November 6, 2002</w:t>
            </w:r>
          </w:p>
        </w:tc>
      </w:tr>
    </w:tbl>
    <w:p>
      <w:pPr>
        <w:sectPr>
          <w:pgSz w:w="11900" w:h="16838" w:orient="portrait"/>
          <w:cols w:equalWidth="0" w:num="1">
            <w:col w:w="9419"/>
          </w:cols>
          <w:pgMar w:left="1040" w:top="464" w:right="1440" w:bottom="1440" w:gutter="0" w:footer="0" w:header="0"/>
        </w:sectPr>
      </w:pPr>
    </w:p>
    <w:bookmarkStart w:id="69" w:name="page70"/>
    <w:bookmarkEnd w:id="69"/>
    <w:p>
      <w:pPr>
        <w:ind w:left="3240"/>
        <w:spacing w:after="0"/>
        <w:rPr>
          <w:sz w:val="20"/>
          <w:szCs w:val="20"/>
          <w:color w:val="auto"/>
        </w:rPr>
      </w:pPr>
      <w:r>
        <w:rPr>
          <w:rFonts w:ascii="Courier New" w:cs="Courier New" w:eastAsia="Courier New" w:hAnsi="Courier New"/>
          <w:sz w:val="15"/>
          <w:szCs w:val="15"/>
          <w:color w:val="auto"/>
        </w:rPr>
        <w:t>SIGNATURE</w:t>
      </w:r>
    </w:p>
    <w:p>
      <w:pPr>
        <w:spacing w:after="0" w:line="178"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AMDOCS LIMITED</w:t>
      </w:r>
    </w:p>
    <w:p>
      <w:pPr>
        <w:spacing w:after="0" w:line="200" w:lineRule="exact"/>
        <w:rPr>
          <w:sz w:val="20"/>
          <w:szCs w:val="20"/>
          <w:color w:val="auto"/>
        </w:rPr>
      </w:pPr>
    </w:p>
    <w:p>
      <w:pPr>
        <w:spacing w:after="0" w:line="324"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 THOMAS G. O'BRIEN</w:t>
      </w:r>
    </w:p>
    <w:p>
      <w:pPr>
        <w:spacing w:after="0" w:line="4"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Thomas G. O'Brien</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Treasurer and Secretary</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Authorized U. S. Representative</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December 26, 2002</w:t>
      </w:r>
    </w:p>
    <w:p>
      <w:pPr>
        <w:sectPr>
          <w:pgSz w:w="11900" w:h="16838" w:orient="portrait"/>
          <w:cols w:equalWidth="0" w:num="1">
            <w:col w:w="10219"/>
          </w:cols>
          <w:pgMar w:left="240" w:top="464" w:right="1440" w:bottom="1440" w:gutter="0" w:footer="0" w:header="0"/>
        </w:sectPr>
      </w:pPr>
    </w:p>
    <w:bookmarkStart w:id="70" w:name="page71"/>
    <w:bookmarkEnd w:id="70"/>
    <w:p>
      <w:pPr>
        <w:ind w:left="306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19"/>
          </w:cols>
          <w:pgMar w:left="240" w:top="4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sectPr>
          <w:pgSz w:w="11900" w:h="16838" w:orient="portrait"/>
          <w:cols w:equalWidth="0" w:num="2">
            <w:col w:w="1160" w:space="640"/>
            <w:col w:w="8419"/>
          </w:cols>
          <w:pgMar w:left="240" w:top="465"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Consent of Ernst &amp; Young LLP</w:t>
      </w:r>
    </w:p>
    <w:p>
      <w:pPr>
        <w:spacing w:after="0" w:line="210" w:lineRule="exact"/>
        <w:rPr>
          <w:sz w:val="20"/>
          <w:szCs w:val="20"/>
          <w:color w:val="auto"/>
        </w:rPr>
      </w:pPr>
    </w:p>
    <w:p>
      <w:pPr>
        <w:sectPr>
          <w:pgSz w:w="11900" w:h="16838" w:orient="portrait"/>
          <w:cols w:equalWidth="0" w:num="2">
            <w:col w:w="1080" w:space="720"/>
            <w:col w:w="8419"/>
          </w:cols>
          <w:pgMar w:left="240" w:top="465" w:right="1440" w:bottom="1440" w:gutter="0" w:footer="0" w:header="0"/>
          <w:type w:val="continuous"/>
        </w:sectPr>
      </w:pPr>
    </w:p>
    <w:p>
      <w:pPr>
        <w:spacing w:after="0" w:line="150" w:lineRule="exact"/>
        <w:rPr>
          <w:sz w:val="20"/>
          <w:szCs w:val="20"/>
          <w:color w:val="auto"/>
        </w:rPr>
      </w:pPr>
    </w:p>
    <w:p>
      <w:pPr>
        <w:ind w:left="440"/>
        <w:spacing w:after="0"/>
        <w:tabs>
          <w:tab w:leader="none" w:pos="1780"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5"/>
          <w:szCs w:val="15"/>
          <w:color w:val="auto"/>
        </w:rPr>
        <w:t>Amdocs Limited Press Release dated November 6, 2002</w:t>
      </w:r>
    </w:p>
    <w:p>
      <w:pPr>
        <w:sectPr>
          <w:pgSz w:w="11900" w:h="16838" w:orient="portrait"/>
          <w:cols w:equalWidth="0" w:num="1">
            <w:col w:w="10219"/>
          </w:cols>
          <w:pgMar w:left="240" w:top="465" w:right="1440" w:bottom="1440" w:gutter="0" w:footer="0" w:header="0"/>
          <w:type w:val="continuous"/>
        </w:sectPr>
      </w:pPr>
    </w:p>
    <w:bookmarkStart w:id="71" w:name="page72"/>
    <w:bookmarkEnd w:id="71"/>
    <w:p>
      <w:pPr>
        <w:jc w:val="right"/>
        <w:ind w:right="3019"/>
        <w:spacing w:after="0"/>
        <w:rPr>
          <w:sz w:val="20"/>
          <w:szCs w:val="20"/>
          <w:color w:val="auto"/>
        </w:rPr>
      </w:pPr>
      <w:r>
        <w:rPr>
          <w:rFonts w:ascii="Courier New" w:cs="Courier New" w:eastAsia="Courier New" w:hAnsi="Courier New"/>
          <w:sz w:val="15"/>
          <w:szCs w:val="15"/>
          <w:color w:val="auto"/>
        </w:rPr>
        <w:t>EXHIBIT 23</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CONSENT OF ERNST &amp; YOUNG LLP</w:t>
      </w:r>
    </w:p>
    <w:p>
      <w:pPr>
        <w:spacing w:after="0" w:line="351" w:lineRule="exact"/>
        <w:rPr>
          <w:sz w:val="20"/>
          <w:szCs w:val="20"/>
          <w:color w:val="auto"/>
        </w:rPr>
      </w:pPr>
    </w:p>
    <w:p>
      <w:pPr>
        <w:ind w:right="3019"/>
        <w:spacing w:after="0" w:line="267" w:lineRule="auto"/>
        <w:rPr>
          <w:sz w:val="20"/>
          <w:szCs w:val="20"/>
          <w:color w:val="auto"/>
        </w:rPr>
      </w:pPr>
      <w:r>
        <w:rPr>
          <w:rFonts w:ascii="Courier New" w:cs="Courier New" w:eastAsia="Courier New" w:hAnsi="Courier New"/>
          <w:sz w:val="14"/>
          <w:szCs w:val="14"/>
          <w:color w:val="auto"/>
        </w:rPr>
        <w:t>We consent to the use of our report dated October 31, 2002 with respect to the consolidated financial statements and financial statement schedule of Amdocs Limited included in this Current Report on Form 6-K for the year ended September 30, 2002 and incorporated by reference in the following registration statements:</w:t>
      </w:r>
    </w:p>
    <w:p>
      <w:pPr>
        <w:spacing w:after="0" w:line="160"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COMMISSION FILE NO.</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Form S-8, No. 333-91847</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Form S-8, No. 333-92705</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Form S-8, No. 333-31506</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Form S-8, No. 333-34104</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Form S-8, No. 333-58454</w:t>
      </w:r>
    </w:p>
    <w:p>
      <w:pPr>
        <w:spacing w:after="0" w:line="177"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Form F-3 (and related Prospectus), No. 333-39278</w:t>
      </w:r>
    </w:p>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Form F-3 (and related Prospectus), No. 333-44994</w:t>
      </w:r>
    </w:p>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Form F-3 (and related Prospectus), No. 333-57036</w:t>
      </w:r>
    </w:p>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Form F-3 (and related Prospectus), No. 333-67572</w:t>
      </w:r>
    </w:p>
    <w:p>
      <w:pPr>
        <w:spacing w:after="0" w:line="350"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/s/ Ernst &amp; Young LLP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24, 2002</w:t>
      </w:r>
    </w:p>
    <w:p>
      <w:pPr>
        <w:sectPr>
          <w:pgSz w:w="11900" w:h="16838" w:orient="portrait"/>
          <w:cols w:equalWidth="0" w:num="1">
            <w:col w:w="10219"/>
          </w:cols>
          <w:pgMar w:left="240" w:top="314" w:right="1440" w:bottom="1440" w:gutter="0" w:footer="0" w:header="0"/>
        </w:sectPr>
      </w:pPr>
    </w:p>
    <w:bookmarkStart w:id="72" w:name="page73"/>
    <w:bookmarkEnd w:id="72"/>
    <w:p>
      <w:pPr>
        <w:ind w:left="6120"/>
        <w:spacing w:after="0"/>
        <w:rPr>
          <w:sz w:val="20"/>
          <w:szCs w:val="20"/>
          <w:color w:val="auto"/>
        </w:rPr>
      </w:pPr>
      <w:r>
        <w:rPr>
          <w:rFonts w:ascii="Courier New" w:cs="Courier New" w:eastAsia="Courier New" w:hAnsi="Courier New"/>
          <w:sz w:val="14"/>
          <w:szCs w:val="14"/>
          <w:color w:val="auto"/>
        </w:rPr>
        <w:t>EXHIBIT 99.1</w:t>
      </w:r>
    </w:p>
    <w:p>
      <w:pPr>
        <w:spacing w:after="0" w:line="18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AMDOCS LIMITED REPORTS FOURTH QUARTER REVENUE AND PROFORMA EPS IN LINE</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WITH GUIDANCE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KEY HIGHLIGHTS:</w:t>
      </w:r>
    </w:p>
    <w:p>
      <w:pPr>
        <w:spacing w:after="0" w:line="178" w:lineRule="exact"/>
        <w:rPr>
          <w:sz w:val="20"/>
          <w:szCs w:val="20"/>
          <w:color w:val="auto"/>
        </w:rPr>
      </w:pPr>
    </w:p>
    <w:p>
      <w:pPr>
        <w:ind w:left="1620" w:hanging="816"/>
        <w:spacing w:after="0"/>
        <w:tabs>
          <w:tab w:leader="none" w:pos="16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REVENUE OF $355.5 MILLION, A DECREASE OF 14.4% FROM PRIOR YEAR</w:t>
      </w:r>
    </w:p>
    <w:p>
      <w:pPr>
        <w:spacing w:after="0" w:line="187" w:lineRule="exact"/>
        <w:rPr>
          <w:rFonts w:ascii="Courier New" w:cs="Courier New" w:eastAsia="Courier New" w:hAnsi="Courier New"/>
          <w:sz w:val="14"/>
          <w:szCs w:val="14"/>
          <w:color w:val="auto"/>
        </w:rPr>
      </w:pPr>
    </w:p>
    <w:p>
      <w:pPr>
        <w:ind w:left="1620" w:hanging="816"/>
        <w:spacing w:after="0"/>
        <w:tabs>
          <w:tab w:leader="none" w:pos="1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PROFORMA EPS OF $0.19</w:t>
      </w:r>
    </w:p>
    <w:p>
      <w:pPr>
        <w:spacing w:after="0" w:line="176" w:lineRule="exact"/>
        <w:rPr>
          <w:rFonts w:ascii="Courier New" w:cs="Courier New" w:eastAsia="Courier New" w:hAnsi="Courier New"/>
          <w:sz w:val="15"/>
          <w:szCs w:val="15"/>
          <w:color w:val="auto"/>
        </w:rPr>
      </w:pPr>
    </w:p>
    <w:p>
      <w:pPr>
        <w:ind w:left="1620" w:hanging="816"/>
        <w:spacing w:after="0"/>
        <w:tabs>
          <w:tab w:leader="none" w:pos="1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FREE CASH FLOW OF $82 MILLION IN QUARTER</w:t>
      </w:r>
    </w:p>
    <w:p>
      <w:pPr>
        <w:spacing w:after="0" w:line="176" w:lineRule="exact"/>
        <w:rPr>
          <w:rFonts w:ascii="Courier New" w:cs="Courier New" w:eastAsia="Courier New" w:hAnsi="Courier New"/>
          <w:sz w:val="15"/>
          <w:szCs w:val="15"/>
          <w:color w:val="auto"/>
        </w:rPr>
      </w:pPr>
    </w:p>
    <w:p>
      <w:pPr>
        <w:ind w:left="1620" w:hanging="816"/>
        <w:spacing w:after="0"/>
        <w:tabs>
          <w:tab w:leader="none" w:pos="1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BALANCE INCREASED TO $1.048 BILLION AT END OF QUARTER</w:t>
      </w:r>
    </w:p>
    <w:p>
      <w:pPr>
        <w:spacing w:after="0" w:line="176" w:lineRule="exact"/>
        <w:rPr>
          <w:rFonts w:ascii="Courier New" w:cs="Courier New" w:eastAsia="Courier New" w:hAnsi="Courier New"/>
          <w:sz w:val="15"/>
          <w:szCs w:val="15"/>
          <w:color w:val="auto"/>
        </w:rPr>
      </w:pPr>
    </w:p>
    <w:p>
      <w:pPr>
        <w:ind w:left="1620" w:hanging="816"/>
        <w:spacing w:after="0"/>
        <w:tabs>
          <w:tab w:leader="none" w:pos="1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2002 REVENUE INCREASED 5.2% TO $1.6 BILLION</w:t>
      </w:r>
    </w:p>
    <w:p>
      <w:pPr>
        <w:spacing w:after="0" w:line="177" w:lineRule="exact"/>
        <w:rPr>
          <w:rFonts w:ascii="Courier New" w:cs="Courier New" w:eastAsia="Courier New" w:hAnsi="Courier New"/>
          <w:sz w:val="15"/>
          <w:szCs w:val="15"/>
          <w:color w:val="auto"/>
        </w:rPr>
      </w:pPr>
    </w:p>
    <w:p>
      <w:pPr>
        <w:ind w:left="1620" w:right="3559" w:hanging="816"/>
        <w:spacing w:after="0" w:line="243" w:lineRule="auto"/>
        <w:tabs>
          <w:tab w:leader="none" w:pos="1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QUARTER FISCAL 2003 GUIDANCE: REVENUE OF $333-$338 MILLION AND PROFORMA EPS OF $0.18-$0.20</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ST. LOUIS, MO - November 6, 2002 -- Amdocs Limited (NYSE: DOX) today reported that for the fourth quarter ended September 30, 2002, revenue was $355.5 million, a decrease of 14.4% from last year's fourth quarter. Excluding acquisition-related costs and other non-recurring items and related tax effects, net income decreased 47.9% to $40.7 million, or $0.19 per diluted share, compared to net income of $78.3 million, or $0.35 per diluted share, in the fourth quarter of fiscal 2001. The Company's as-reported results, which include acquisition-related charges for amortization of goodwill and purchased intangible assets and other non-recurring items related to gain from repurchase of convertible notes, a restructuring charge related to cost reduction measures and related tax effects, showed a net loss of $9.0 million, or $0.04 per diluted share, compared to net income of $19.9 million, or $0.09 per diluted share, in the fourth quarter of fiscal 2001.</w:t>
      </w:r>
    </w:p>
    <w:p>
      <w:pPr>
        <w:spacing w:after="0" w:line="182"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Dov Baharav, Chief Executive Officer of Amdocs Management Limited, said, "The telecom market continued to weaken during the fourth quarter with service providers very hesitant to commit to new projects. Despite these challenges, Amdocs achieved its financial and business goals for the quarter through disciplined execution. We generated strong cash flow from operations, which contributed to an increased quarter-end cash balance. We also expanded our market presence with five new wins. We do not expect the market to improve in the next quarter. We believe in the market long-term and accordingly, continue to make significant investments in product development to ensure our growth when the market recovers."</w:t>
      </w:r>
    </w:p>
    <w:p>
      <w:pPr>
        <w:spacing w:after="0" w:line="180"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Under the leadership of its new management team, Amdocs implemented a new organizational structure during the quarter. The Company's operations will be centered around two main groups, the Offering Group and the Delivery Group. The Offering Group is focusing on developing and marketing best-in-class products that meet the current and future needs of its customers and enhances the Company's existing suite of leading products. The Delivery Group is leveraging all existing geographic-based, customer service groups and is focusing on enhancing the company's unparalleled track record of service delivery by being closer to the customer and their business processes.</w:t>
      </w:r>
    </w:p>
    <w:p>
      <w:pPr>
        <w:sectPr>
          <w:pgSz w:w="11900" w:h="16838" w:orient="portrait"/>
          <w:cols w:equalWidth="0" w:num="1">
            <w:col w:w="10219"/>
          </w:cols>
          <w:pgMar w:left="240" w:top="315"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5"/>
          <w:szCs w:val="15"/>
          <w:color w:val="auto"/>
        </w:rPr>
        <w:t>SALES HIGHLIGHTS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the fourth quarter, Amdocs won five new projects:</w:t>
      </w:r>
    </w:p>
    <w:p>
      <w:pPr>
        <w:spacing w:after="0" w:line="178" w:lineRule="exact"/>
        <w:rPr>
          <w:sz w:val="20"/>
          <w:szCs w:val="20"/>
          <w:color w:val="auto"/>
        </w:rPr>
      </w:pPr>
    </w:p>
    <w:p>
      <w:pPr>
        <w:ind w:left="1620" w:right="3099" w:hanging="816"/>
        <w:spacing w:after="0" w:line="244" w:lineRule="auto"/>
        <w:tabs>
          <w:tab w:leader="none" w:pos="1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End-to-end billing system supporting regional operations for Cable &amp; Wireless, one of the largest service providers in the world.</w:t>
      </w:r>
    </w:p>
    <w:p>
      <w:pPr>
        <w:spacing w:after="0" w:line="175" w:lineRule="exact"/>
        <w:rPr>
          <w:rFonts w:ascii="Courier New" w:cs="Courier New" w:eastAsia="Courier New" w:hAnsi="Courier New"/>
          <w:sz w:val="15"/>
          <w:szCs w:val="15"/>
          <w:color w:val="auto"/>
        </w:rPr>
      </w:pPr>
    </w:p>
    <w:p>
      <w:pPr>
        <w:ind w:left="1620" w:right="3459" w:hanging="816"/>
        <w:spacing w:after="0" w:line="243" w:lineRule="auto"/>
        <w:tabs>
          <w:tab w:leader="none" w:pos="1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Mobile to support prepaid-postpaid convergence for excelcom, a leading mobile carrier in Indonesia.</w:t>
      </w:r>
    </w:p>
    <w:p>
      <w:pPr>
        <w:spacing w:after="0" w:line="176" w:lineRule="exact"/>
        <w:rPr>
          <w:rFonts w:ascii="Courier New" w:cs="Courier New" w:eastAsia="Courier New" w:hAnsi="Courier New"/>
          <w:sz w:val="15"/>
          <w:szCs w:val="15"/>
          <w:color w:val="auto"/>
        </w:rPr>
      </w:pPr>
    </w:p>
    <w:p>
      <w:pPr>
        <w:ind w:left="1620" w:right="3199" w:hanging="816"/>
        <w:spacing w:after="0" w:line="244" w:lineRule="auto"/>
        <w:tabs>
          <w:tab w:leader="none" w:pos="1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Enabler supporting convergent voice and data billing for Connex (MobiFon S.A.), a Vodafone associate which is the largest cellular operator in Romania.</w:t>
      </w:r>
    </w:p>
    <w:p>
      <w:pPr>
        <w:spacing w:after="0" w:line="175" w:lineRule="exact"/>
        <w:rPr>
          <w:rFonts w:ascii="Courier New" w:cs="Courier New" w:eastAsia="Courier New" w:hAnsi="Courier New"/>
          <w:sz w:val="15"/>
          <w:szCs w:val="15"/>
          <w:color w:val="auto"/>
        </w:rPr>
      </w:pPr>
    </w:p>
    <w:p>
      <w:pPr>
        <w:ind w:left="1620" w:right="3099" w:hanging="816"/>
        <w:spacing w:after="0" w:line="243" w:lineRule="auto"/>
        <w:tabs>
          <w:tab w:leader="none" w:pos="1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 existing mobile customer - a major expansion of Amdocs data center and billing operations support services.</w:t>
      </w:r>
    </w:p>
    <w:p>
      <w:pPr>
        <w:spacing w:after="0" w:line="175" w:lineRule="exact"/>
        <w:rPr>
          <w:rFonts w:ascii="Courier New" w:cs="Courier New" w:eastAsia="Courier New" w:hAnsi="Courier New"/>
          <w:sz w:val="15"/>
          <w:szCs w:val="15"/>
          <w:color w:val="auto"/>
        </w:rPr>
      </w:pPr>
    </w:p>
    <w:p>
      <w:pPr>
        <w:ind w:left="1620" w:hanging="816"/>
        <w:spacing w:after="0"/>
        <w:tabs>
          <w:tab w:leader="none" w:pos="1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ClarifyCRM for a major mobile carrier.</w:t>
      </w:r>
    </w:p>
    <w:p>
      <w:pPr>
        <w:spacing w:after="0" w:line="178"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Amdocs also extended its outsourcing agreement with Sensis (a Telstra subsidiary for advertising, information and directories) through to 2007.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AND FINANCIAL HIGHLIGHTS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the fourth quarter:</w:t>
      </w:r>
    </w:p>
    <w:p>
      <w:pPr>
        <w:spacing w:after="0" w:line="178" w:lineRule="exact"/>
        <w:rPr>
          <w:sz w:val="20"/>
          <w:szCs w:val="20"/>
          <w:color w:val="auto"/>
        </w:rPr>
      </w:pPr>
    </w:p>
    <w:p>
      <w:pPr>
        <w:ind w:left="1620" w:right="3459" w:hanging="816"/>
        <w:spacing w:after="0" w:line="243" w:lineRule="auto"/>
        <w:tabs>
          <w:tab w:leader="none" w:pos="1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 Orange, a wireless carrier in Thailand, went live with Amdocs end-to-end billing system.</w:t>
      </w:r>
    </w:p>
    <w:p>
      <w:pPr>
        <w:spacing w:after="0" w:line="176" w:lineRule="exact"/>
        <w:rPr>
          <w:rFonts w:ascii="Courier New" w:cs="Courier New" w:eastAsia="Courier New" w:hAnsi="Courier New"/>
          <w:sz w:val="15"/>
          <w:szCs w:val="15"/>
          <w:color w:val="auto"/>
        </w:rPr>
      </w:pPr>
    </w:p>
    <w:p>
      <w:pPr>
        <w:ind w:left="1620" w:right="3279" w:hanging="816"/>
        <w:spacing w:after="0" w:line="243" w:lineRule="auto"/>
        <w:tabs>
          <w:tab w:leader="none" w:pos="1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released version 11.0 of Amdocs ClarifyCRM, with new browser-based applications.</w:t>
      </w:r>
    </w:p>
    <w:p>
      <w:pPr>
        <w:spacing w:after="0" w:line="176" w:lineRule="exact"/>
        <w:rPr>
          <w:rFonts w:ascii="Courier New" w:cs="Courier New" w:eastAsia="Courier New" w:hAnsi="Courier New"/>
          <w:sz w:val="15"/>
          <w:szCs w:val="15"/>
          <w:color w:val="auto"/>
        </w:rPr>
      </w:pPr>
    </w:p>
    <w:p>
      <w:pPr>
        <w:ind w:left="1620" w:right="3099" w:hanging="816"/>
        <w:spacing w:after="0" w:line="244" w:lineRule="auto"/>
        <w:tabs>
          <w:tab w:leader="none" w:pos="1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implemented its previously-announced cost-reduction program aimed at reducing expenses by approximately $30 million each quarter, primarily in personnel and facilities-related savings, compared to expense levels in the third quarter.</w:t>
      </w:r>
    </w:p>
    <w:p>
      <w:pPr>
        <w:spacing w:after="0" w:line="176" w:lineRule="exact"/>
        <w:rPr>
          <w:rFonts w:ascii="Courier New" w:cs="Courier New" w:eastAsia="Courier New" w:hAnsi="Courier New"/>
          <w:sz w:val="15"/>
          <w:szCs w:val="15"/>
          <w:color w:val="auto"/>
        </w:rPr>
      </w:pPr>
    </w:p>
    <w:p>
      <w:pPr>
        <w:jc w:val="both"/>
        <w:ind w:left="1620" w:right="3559" w:hanging="816"/>
        <w:spacing w:after="0" w:line="244" w:lineRule="auto"/>
        <w:tabs>
          <w:tab w:leader="none" w:pos="1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used approximately $49 million to repurchase convertible notes with a face value of approximately $55 million.</w:t>
      </w:r>
    </w:p>
    <w:p>
      <w:pPr>
        <w:spacing w:after="0" w:line="175" w:lineRule="exact"/>
        <w:rPr>
          <w:rFonts w:ascii="Courier New" w:cs="Courier New" w:eastAsia="Courier New" w:hAnsi="Courier New"/>
          <w:sz w:val="15"/>
          <w:szCs w:val="15"/>
          <w:color w:val="auto"/>
        </w:rPr>
      </w:pPr>
    </w:p>
    <w:p>
      <w:pPr>
        <w:ind w:left="1620" w:right="3199" w:hanging="816"/>
        <w:spacing w:after="0" w:line="244" w:lineRule="auto"/>
        <w:tabs>
          <w:tab w:leader="none" w:pos="1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Free cash flow, defined as cash flow from operations less capital expenditures and payments on capital leases, was $82 million in the quarter.</w:t>
      </w:r>
    </w:p>
    <w:p>
      <w:pPr>
        <w:spacing w:after="0" w:line="175" w:lineRule="exact"/>
        <w:rPr>
          <w:sz w:val="20"/>
          <w:szCs w:val="20"/>
          <w:color w:val="auto"/>
        </w:rPr>
      </w:pPr>
    </w:p>
    <w:p>
      <w:pPr>
        <w:ind w:right="3019"/>
        <w:spacing w:after="0" w:line="265" w:lineRule="auto"/>
        <w:rPr>
          <w:sz w:val="20"/>
          <w:szCs w:val="20"/>
          <w:color w:val="auto"/>
        </w:rPr>
      </w:pPr>
      <w:r>
        <w:rPr>
          <w:rFonts w:ascii="Courier New" w:cs="Courier New" w:eastAsia="Courier New" w:hAnsi="Courier New"/>
          <w:sz w:val="14"/>
          <w:szCs w:val="14"/>
          <w:color w:val="auto"/>
        </w:rPr>
        <w:t>The Company also noted that for the fiscal year ended September 30, 2002, revenue grew by 5.2% to $1.61 billion. Excluding acquisition-related charges and other items, net income for fiscal 2002 decreased 11.4% to $249.0 million, while diluted earnings per share decreased 9.7% to $1.12. The Company's as-reported results for fiscal 2002, which included acquisition-related charges and other items, showed a net loss of $5.1 million, or $0.02 per diluted share, compared to net income of $66.4 million, or $0.29 per diluted share, in fiscal 2001.</w:t>
      </w:r>
    </w:p>
    <w:p>
      <w:pPr>
        <w:sectPr>
          <w:pgSz w:w="11900" w:h="16838" w:orient="portrait"/>
          <w:cols w:equalWidth="0" w:num="1">
            <w:col w:w="10219"/>
          </w:cols>
          <w:pgMar w:left="240" w:top="464" w:right="1440" w:bottom="1440" w:gutter="0" w:footer="0" w:header="0"/>
        </w:sectPr>
      </w:pPr>
    </w:p>
    <w:bookmarkStart w:id="74" w:name="page75"/>
    <w:bookmarkEnd w:id="74"/>
    <w:p>
      <w:pPr>
        <w:spacing w:after="0"/>
        <w:rPr>
          <w:sz w:val="20"/>
          <w:szCs w:val="20"/>
          <w:color w:val="auto"/>
        </w:rPr>
      </w:pPr>
      <w:r>
        <w:rPr>
          <w:rFonts w:ascii="Courier New" w:cs="Courier New" w:eastAsia="Courier New" w:hAnsi="Courier New"/>
          <w:sz w:val="15"/>
          <w:szCs w:val="15"/>
          <w:color w:val="auto"/>
        </w:rPr>
        <w:t>FINANCIAL OUTLOOK</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expects that revenue for the first quarter ending December 31, 2002, will be approximately $333-$338 million, with proforma earnings per share for the quarter expected to be approximately $0.18-$0.20, excluding acquisition-related costs.</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Amdocs will host a conference call on November 6, 2002 at 5 p.m. Eastern Standard Time to discuss the Company's fourth quarter results. The call will be carried live on the Internet via www.vcall.com and the Amdocs website, www.amdocs.com.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ABOUT AMDOCS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Amdocs is the world's leading provider of billing and CRM to the communications industry. With a 20-year track record of delivery excellence, our products empower major communications operators around the globe. We enable rapid time-to-market for next generation voice, content, commerce and application services, while enhancing subscriber loyalty and lowering total cost of ownership. We offer our customers flexible modes of delivery -- products, solutions and outsourcing. For more information, visit our web site at www.amdocs.com</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This press release may contain forward-looking statements as defined under the Securities Act of 1933, as amended,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mobile, wireline and IP business segments,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These and other risks are discussed at greater length in the Company's filings with the Securities and Exchange Commission, including in our Annual Report on Form 20-F filed December 27, 2001 and our Form 6-K filed on August 15, 2002.</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Contact: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G. O'Brien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Treasurer and Director of Investor Relations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Amdocs Limited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314/212-8328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E-mail: dox_info@amdocs.com</w:t>
      </w:r>
    </w:p>
    <w:p>
      <w:pPr>
        <w:sectPr>
          <w:pgSz w:w="11900" w:h="16838" w:orient="portrait"/>
          <w:cols w:equalWidth="0" w:num="1">
            <w:col w:w="10219"/>
          </w:cols>
          <w:pgMar w:left="240" w:top="464" w:right="1440" w:bottom="1440" w:gutter="0" w:footer="0" w:header="0"/>
        </w:sectPr>
      </w:pPr>
    </w:p>
    <w:bookmarkStart w:id="75" w:name="page76"/>
    <w:bookmarkEnd w:id="75"/>
    <w:p>
      <w:pPr>
        <w:jc w:val="center"/>
        <w:ind w:right="3012"/>
        <w:spacing w:after="0"/>
        <w:rPr>
          <w:sz w:val="20"/>
          <w:szCs w:val="20"/>
          <w:color w:val="auto"/>
        </w:rPr>
      </w:pPr>
      <w:r>
        <w:rPr>
          <w:rFonts w:ascii="Courier New" w:cs="Courier New" w:eastAsia="Courier New" w:hAnsi="Courier New"/>
          <w:sz w:val="15"/>
          <w:szCs w:val="15"/>
          <w:color w:val="auto"/>
        </w:rPr>
        <w:t>AMDOCS LIMITED</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PROFORMA CONSOLIDATED STATEMENTS OF OPERATIONS (UNAUDITED)</w:t>
      </w:r>
    </w:p>
    <w:p>
      <w:pPr>
        <w:spacing w:after="0" w:line="177"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EXCLUDING RESTRUCTURING CHARGES, PURCHASED IN-PROCESS RESEARCH AND DEVELOPMENT,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AMORTIZATION OF GOODWILL AND PURCHASED INTANGIBLE ASSETS, GAIN ON REPURCHASE OF</w:t>
      </w:r>
    </w:p>
    <w:p>
      <w:pPr>
        <w:spacing w:after="0" w:line="3"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CONVERTIBLE NOTES AND RELATED TAX EFFECTS</w:t>
      </w:r>
    </w:p>
    <w:p>
      <w:pPr>
        <w:spacing w:after="0" w:line="177" w:lineRule="exact"/>
        <w:rPr>
          <w:sz w:val="20"/>
          <w:szCs w:val="20"/>
          <w:color w:val="auto"/>
        </w:rPr>
      </w:pPr>
    </w:p>
    <w:p>
      <w:pPr>
        <w:ind w:left="198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80" w:type="dxa"/>
            <w:vAlign w:val="bottom"/>
            <w:gridSpan w:val="5"/>
          </w:tcPr>
          <w:p>
            <w:pPr>
              <w:jc w:val="right"/>
              <w:ind w:right="505"/>
              <w:spacing w:after="0"/>
              <w:rPr>
                <w:sz w:val="20"/>
                <w:szCs w:val="20"/>
                <w:color w:val="auto"/>
              </w:rPr>
            </w:pPr>
            <w:r>
              <w:rPr>
                <w:rFonts w:ascii="Courier New" w:cs="Courier New" w:eastAsia="Courier New" w:hAnsi="Courier New"/>
                <w:sz w:val="15"/>
                <w:szCs w:val="15"/>
                <w:color w:val="auto"/>
              </w:rPr>
              <w:t>THREE MONTHS ENDED</w:t>
            </w:r>
          </w:p>
        </w:tc>
        <w:tc>
          <w:tcPr>
            <w:tcW w:w="320" w:type="dxa"/>
            <w:vAlign w:val="bottom"/>
          </w:tcPr>
          <w:p>
            <w:pPr>
              <w:spacing w:after="0"/>
              <w:rPr>
                <w:sz w:val="14"/>
                <w:szCs w:val="14"/>
                <w:color w:val="auto"/>
              </w:rPr>
            </w:pPr>
          </w:p>
        </w:tc>
        <w:tc>
          <w:tcPr>
            <w:tcW w:w="2160" w:type="dxa"/>
            <w:vAlign w:val="bottom"/>
            <w:gridSpan w:val="4"/>
          </w:tcPr>
          <w:p>
            <w:pPr>
              <w:jc w:val="center"/>
              <w:ind w:right="25"/>
              <w:spacing w:after="0"/>
              <w:rPr>
                <w:sz w:val="20"/>
                <w:szCs w:val="20"/>
                <w:color w:val="auto"/>
              </w:rPr>
            </w:pPr>
            <w:r>
              <w:rPr>
                <w:rFonts w:ascii="Courier New" w:cs="Courier New" w:eastAsia="Courier New" w:hAnsi="Courier New"/>
                <w:sz w:val="15"/>
                <w:szCs w:val="15"/>
                <w:color w:val="auto"/>
                <w:w w:val="99"/>
              </w:rPr>
              <w:t>TWELVE MONTHS ENDED</w:t>
            </w:r>
          </w:p>
        </w:tc>
      </w:tr>
      <w:tr>
        <w:trPr>
          <w:trHeight w:val="173"/>
        </w:trPr>
        <w:tc>
          <w:tcPr>
            <w:tcW w:w="5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SEPTEMBER 30,</w:t>
            </w: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gridSpan w:val="3"/>
          </w:tcPr>
          <w:p>
            <w:pPr>
              <w:jc w:val="center"/>
              <w:ind w:left="285"/>
              <w:spacing w:after="0"/>
              <w:rPr>
                <w:sz w:val="20"/>
                <w:szCs w:val="20"/>
                <w:color w:val="auto"/>
              </w:rPr>
            </w:pPr>
            <w:r>
              <w:rPr>
                <w:rFonts w:ascii="Courier New" w:cs="Courier New" w:eastAsia="Courier New" w:hAnsi="Courier New"/>
                <w:sz w:val="15"/>
                <w:szCs w:val="15"/>
                <w:color w:val="auto"/>
              </w:rPr>
              <w:t>SEPTEMBER 30,</w:t>
            </w:r>
          </w:p>
        </w:tc>
        <w:tc>
          <w:tcPr>
            <w:tcW w:w="460" w:type="dxa"/>
            <w:vAlign w:val="bottom"/>
          </w:tcPr>
          <w:p>
            <w:pPr>
              <w:spacing w:after="0"/>
              <w:rPr>
                <w:sz w:val="15"/>
                <w:szCs w:val="15"/>
                <w:color w:val="auto"/>
              </w:rPr>
            </w:pPr>
          </w:p>
        </w:tc>
      </w:tr>
      <w:tr>
        <w:trPr>
          <w:trHeight w:val="173"/>
        </w:trPr>
        <w:tc>
          <w:tcPr>
            <w:tcW w:w="5000" w:type="dxa"/>
            <w:vAlign w:val="bottom"/>
          </w:tcPr>
          <w:p>
            <w:pPr>
              <w:spacing w:after="0"/>
              <w:rPr>
                <w:sz w:val="15"/>
                <w:szCs w:val="15"/>
                <w:color w:val="auto"/>
              </w:rPr>
            </w:pPr>
          </w:p>
        </w:tc>
        <w:tc>
          <w:tcPr>
            <w:tcW w:w="2700" w:type="dxa"/>
            <w:vAlign w:val="bottom"/>
            <w:gridSpan w:val="6"/>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4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2002</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(1)</w:t>
            </w:r>
          </w:p>
        </w:tc>
        <w:tc>
          <w:tcPr>
            <w:tcW w:w="3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2001</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w:t>
            </w:r>
          </w:p>
        </w:tc>
        <w:tc>
          <w:tcPr>
            <w:tcW w:w="32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2002 (2)</w:t>
            </w:r>
          </w:p>
        </w:tc>
        <w:tc>
          <w:tcPr>
            <w:tcW w:w="3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2001</w:t>
            </w:r>
          </w:p>
        </w:tc>
        <w:tc>
          <w:tcPr>
            <w:tcW w:w="4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w:t>
            </w:r>
          </w:p>
        </w:tc>
      </w:tr>
      <w:tr>
        <w:trPr>
          <w:trHeight w:val="173"/>
        </w:trPr>
        <w:tc>
          <w:tcPr>
            <w:tcW w:w="5000" w:type="dxa"/>
            <w:vAlign w:val="bottom"/>
          </w:tcPr>
          <w:p>
            <w:pPr>
              <w:spacing w:after="0"/>
              <w:rPr>
                <w:sz w:val="15"/>
                <w:szCs w:val="15"/>
                <w:color w:val="auto"/>
              </w:rPr>
            </w:pPr>
          </w:p>
        </w:tc>
        <w:tc>
          <w:tcPr>
            <w:tcW w:w="134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0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3"/>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License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29,068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41,560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153,664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171,430</w:t>
            </w:r>
          </w:p>
        </w:tc>
      </w:tr>
      <w:tr>
        <w:trPr>
          <w:trHeight w:val="173"/>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Service</w:t>
            </w:r>
          </w:p>
        </w:tc>
        <w:tc>
          <w:tcPr>
            <w:tcW w:w="320" w:type="dxa"/>
            <w:vAlign w:val="bottom"/>
          </w:tcPr>
          <w:p>
            <w:pPr>
              <w:spacing w:after="0"/>
              <w:rPr>
                <w:sz w:val="15"/>
                <w:szCs w:val="15"/>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326,452</w:t>
            </w:r>
          </w:p>
        </w:tc>
        <w:tc>
          <w:tcPr>
            <w:tcW w:w="320" w:type="dxa"/>
            <w:vAlign w:val="bottom"/>
          </w:tcPr>
          <w:p>
            <w:pPr>
              <w:spacing w:after="0"/>
              <w:rPr>
                <w:sz w:val="15"/>
                <w:szCs w:val="15"/>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373,887</w:t>
            </w:r>
          </w:p>
        </w:tc>
        <w:tc>
          <w:tcPr>
            <w:tcW w:w="32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6"/>
              </w:rPr>
              <w:t>1,459,901</w:t>
            </w:r>
          </w:p>
        </w:tc>
        <w:tc>
          <w:tcPr>
            <w:tcW w:w="30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1,362,480</w:t>
            </w:r>
          </w:p>
        </w:tc>
      </w:tr>
      <w:tr>
        <w:trPr>
          <w:trHeight w:val="173"/>
        </w:trPr>
        <w:tc>
          <w:tcPr>
            <w:tcW w:w="5000" w:type="dxa"/>
            <w:vAlign w:val="bottom"/>
          </w:tcPr>
          <w:p>
            <w:pPr>
              <w:spacing w:after="0"/>
              <w:rPr>
                <w:sz w:val="15"/>
                <w:szCs w:val="15"/>
                <w:color w:val="auto"/>
              </w:rPr>
            </w:pPr>
          </w:p>
        </w:tc>
        <w:tc>
          <w:tcPr>
            <w:tcW w:w="134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355,520</w:t>
            </w:r>
          </w:p>
        </w:tc>
        <w:tc>
          <w:tcPr>
            <w:tcW w:w="320" w:type="dxa"/>
            <w:vAlign w:val="bottom"/>
          </w:tcPr>
          <w:p>
            <w:pPr>
              <w:spacing w:after="0"/>
              <w:rPr>
                <w:sz w:val="15"/>
                <w:szCs w:val="15"/>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415,447</w:t>
            </w:r>
          </w:p>
        </w:tc>
        <w:tc>
          <w:tcPr>
            <w:tcW w:w="32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6"/>
              </w:rPr>
              <w:t>1,613,565</w:t>
            </w:r>
          </w:p>
        </w:tc>
        <w:tc>
          <w:tcPr>
            <w:tcW w:w="30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1,533,910</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3"/>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Cost of license</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3"/>
              </w:rPr>
              <w:t>1,452</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926</w:t>
            </w:r>
          </w:p>
        </w:tc>
        <w:tc>
          <w:tcPr>
            <w:tcW w:w="32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5,054</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5,651</w:t>
            </w:r>
          </w:p>
        </w:tc>
      </w:tr>
      <w:tr>
        <w:trPr>
          <w:trHeight w:val="173"/>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Cost of service</w:t>
            </w:r>
          </w:p>
        </w:tc>
        <w:tc>
          <w:tcPr>
            <w:tcW w:w="320" w:type="dxa"/>
            <w:vAlign w:val="bottom"/>
          </w:tcPr>
          <w:p>
            <w:pPr>
              <w:spacing w:after="0"/>
              <w:rPr>
                <w:sz w:val="15"/>
                <w:szCs w:val="15"/>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216,829</w:t>
            </w:r>
          </w:p>
        </w:tc>
        <w:tc>
          <w:tcPr>
            <w:tcW w:w="320" w:type="dxa"/>
            <w:vAlign w:val="bottom"/>
          </w:tcPr>
          <w:p>
            <w:pPr>
              <w:spacing w:after="0"/>
              <w:rPr>
                <w:sz w:val="15"/>
                <w:szCs w:val="15"/>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228,814</w:t>
            </w:r>
          </w:p>
        </w:tc>
        <w:tc>
          <w:tcPr>
            <w:tcW w:w="32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928,283</w:t>
            </w:r>
          </w:p>
        </w:tc>
        <w:tc>
          <w:tcPr>
            <w:tcW w:w="30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847,591</w:t>
            </w:r>
          </w:p>
        </w:tc>
      </w:tr>
      <w:tr>
        <w:trPr>
          <w:trHeight w:val="173"/>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Research and development</w:t>
            </w:r>
          </w:p>
        </w:tc>
        <w:tc>
          <w:tcPr>
            <w:tcW w:w="320" w:type="dxa"/>
            <w:vAlign w:val="bottom"/>
          </w:tcPr>
          <w:p>
            <w:pPr>
              <w:spacing w:after="0"/>
              <w:rPr>
                <w:sz w:val="15"/>
                <w:szCs w:val="15"/>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31,801</w:t>
            </w:r>
          </w:p>
        </w:tc>
        <w:tc>
          <w:tcPr>
            <w:tcW w:w="320" w:type="dxa"/>
            <w:vAlign w:val="bottom"/>
          </w:tcPr>
          <w:p>
            <w:pPr>
              <w:spacing w:after="0"/>
              <w:rPr>
                <w:sz w:val="15"/>
                <w:szCs w:val="15"/>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29,073</w:t>
            </w:r>
          </w:p>
        </w:tc>
        <w:tc>
          <w:tcPr>
            <w:tcW w:w="32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124,082</w:t>
            </w:r>
          </w:p>
        </w:tc>
        <w:tc>
          <w:tcPr>
            <w:tcW w:w="30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105,807</w:t>
            </w:r>
          </w:p>
        </w:tc>
      </w:tr>
      <w:tr>
        <w:trPr>
          <w:trHeight w:val="173"/>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 administrative</w:t>
            </w:r>
          </w:p>
        </w:tc>
        <w:tc>
          <w:tcPr>
            <w:tcW w:w="320" w:type="dxa"/>
            <w:vAlign w:val="bottom"/>
          </w:tcPr>
          <w:p>
            <w:pPr>
              <w:spacing w:after="0"/>
              <w:rPr>
                <w:sz w:val="15"/>
                <w:szCs w:val="15"/>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53,338</w:t>
            </w:r>
          </w:p>
        </w:tc>
        <w:tc>
          <w:tcPr>
            <w:tcW w:w="320" w:type="dxa"/>
            <w:vAlign w:val="bottom"/>
          </w:tcPr>
          <w:p>
            <w:pPr>
              <w:spacing w:after="0"/>
              <w:rPr>
                <w:sz w:val="15"/>
                <w:szCs w:val="15"/>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51,248</w:t>
            </w:r>
          </w:p>
        </w:tc>
        <w:tc>
          <w:tcPr>
            <w:tcW w:w="32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223,551</w:t>
            </w:r>
          </w:p>
        </w:tc>
        <w:tc>
          <w:tcPr>
            <w:tcW w:w="30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195,592</w:t>
            </w:r>
          </w:p>
        </w:tc>
      </w:tr>
      <w:tr>
        <w:trPr>
          <w:trHeight w:val="173"/>
        </w:trPr>
        <w:tc>
          <w:tcPr>
            <w:tcW w:w="5000" w:type="dxa"/>
            <w:vAlign w:val="bottom"/>
          </w:tcPr>
          <w:p>
            <w:pPr>
              <w:spacing w:after="0"/>
              <w:rPr>
                <w:sz w:val="15"/>
                <w:szCs w:val="15"/>
                <w:color w:val="auto"/>
              </w:rPr>
            </w:pPr>
          </w:p>
        </w:tc>
        <w:tc>
          <w:tcPr>
            <w:tcW w:w="134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303,420</w:t>
            </w:r>
          </w:p>
        </w:tc>
        <w:tc>
          <w:tcPr>
            <w:tcW w:w="320" w:type="dxa"/>
            <w:vAlign w:val="bottom"/>
          </w:tcPr>
          <w:p>
            <w:pPr>
              <w:spacing w:after="0"/>
              <w:rPr>
                <w:sz w:val="15"/>
                <w:szCs w:val="15"/>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310,061</w:t>
            </w:r>
          </w:p>
        </w:tc>
        <w:tc>
          <w:tcPr>
            <w:tcW w:w="32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6"/>
              </w:rPr>
              <w:t>1,280,970</w:t>
            </w:r>
          </w:p>
        </w:tc>
        <w:tc>
          <w:tcPr>
            <w:tcW w:w="30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1,154,641</w:t>
            </w:r>
          </w:p>
        </w:tc>
      </w:tr>
      <w:tr>
        <w:trPr>
          <w:trHeight w:val="173"/>
        </w:trPr>
        <w:tc>
          <w:tcPr>
            <w:tcW w:w="5000" w:type="dxa"/>
            <w:vAlign w:val="bottom"/>
          </w:tcPr>
          <w:p>
            <w:pPr>
              <w:spacing w:after="0"/>
              <w:rPr>
                <w:sz w:val="15"/>
                <w:szCs w:val="15"/>
                <w:color w:val="auto"/>
              </w:rPr>
            </w:pPr>
          </w:p>
        </w:tc>
        <w:tc>
          <w:tcPr>
            <w:tcW w:w="134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320" w:type="dxa"/>
            <w:vAlign w:val="bottom"/>
          </w:tcPr>
          <w:p>
            <w:pPr>
              <w:spacing w:after="0"/>
              <w:rPr>
                <w:sz w:val="15"/>
                <w:szCs w:val="15"/>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52,100</w:t>
            </w:r>
          </w:p>
        </w:tc>
        <w:tc>
          <w:tcPr>
            <w:tcW w:w="320" w:type="dxa"/>
            <w:vAlign w:val="bottom"/>
          </w:tcPr>
          <w:p>
            <w:pPr>
              <w:spacing w:after="0"/>
              <w:rPr>
                <w:sz w:val="15"/>
                <w:szCs w:val="15"/>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105,386</w:t>
            </w:r>
          </w:p>
        </w:tc>
        <w:tc>
          <w:tcPr>
            <w:tcW w:w="32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332,595</w:t>
            </w:r>
          </w:p>
        </w:tc>
        <w:tc>
          <w:tcPr>
            <w:tcW w:w="30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379,269</w:t>
            </w:r>
          </w:p>
        </w:tc>
      </w:tr>
      <w:tr>
        <w:trPr>
          <w:trHeight w:val="347"/>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3"/>
              </w:rPr>
              <w:t>4,496</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6,400</w:t>
            </w:r>
          </w:p>
        </w:tc>
        <w:tc>
          <w:tcPr>
            <w:tcW w:w="320" w:type="dxa"/>
            <w:vAlign w:val="bottom"/>
          </w:tcPr>
          <w:p>
            <w:pPr>
              <w:spacing w:after="0"/>
              <w:rPr>
                <w:sz w:val="24"/>
                <w:szCs w:val="2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13,286</w:t>
            </w:r>
          </w:p>
        </w:tc>
        <w:tc>
          <w:tcPr>
            <w:tcW w:w="3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22,286</w:t>
            </w:r>
          </w:p>
        </w:tc>
      </w:tr>
      <w:tr>
        <w:trPr>
          <w:trHeight w:val="173"/>
        </w:trPr>
        <w:tc>
          <w:tcPr>
            <w:tcW w:w="5000" w:type="dxa"/>
            <w:vAlign w:val="bottom"/>
          </w:tcPr>
          <w:p>
            <w:pPr>
              <w:spacing w:after="0"/>
              <w:rPr>
                <w:sz w:val="15"/>
                <w:szCs w:val="15"/>
                <w:color w:val="auto"/>
              </w:rPr>
            </w:pPr>
          </w:p>
        </w:tc>
        <w:tc>
          <w:tcPr>
            <w:tcW w:w="134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320" w:type="dxa"/>
            <w:vAlign w:val="bottom"/>
          </w:tcPr>
          <w:p>
            <w:pPr>
              <w:spacing w:after="0"/>
              <w:rPr>
                <w:sz w:val="15"/>
                <w:szCs w:val="15"/>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56,596</w:t>
            </w:r>
          </w:p>
        </w:tc>
        <w:tc>
          <w:tcPr>
            <w:tcW w:w="320" w:type="dxa"/>
            <w:vAlign w:val="bottom"/>
          </w:tcPr>
          <w:p>
            <w:pPr>
              <w:spacing w:after="0"/>
              <w:rPr>
                <w:sz w:val="15"/>
                <w:szCs w:val="15"/>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111,786</w:t>
            </w:r>
          </w:p>
        </w:tc>
        <w:tc>
          <w:tcPr>
            <w:tcW w:w="32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345,881</w:t>
            </w:r>
          </w:p>
        </w:tc>
        <w:tc>
          <w:tcPr>
            <w:tcW w:w="30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401,555</w:t>
            </w:r>
          </w:p>
        </w:tc>
      </w:tr>
      <w:tr>
        <w:trPr>
          <w:trHeight w:val="347"/>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320" w:type="dxa"/>
            <w:vAlign w:val="bottom"/>
          </w:tcPr>
          <w:p>
            <w:pPr>
              <w:spacing w:after="0"/>
              <w:rPr>
                <w:sz w:val="24"/>
                <w:szCs w:val="2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15,847</w:t>
            </w:r>
          </w:p>
        </w:tc>
        <w:tc>
          <w:tcPr>
            <w:tcW w:w="320" w:type="dxa"/>
            <w:vAlign w:val="bottom"/>
          </w:tcPr>
          <w:p>
            <w:pPr>
              <w:spacing w:after="0"/>
              <w:rPr>
                <w:sz w:val="24"/>
                <w:szCs w:val="2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33,536</w:t>
            </w:r>
          </w:p>
        </w:tc>
        <w:tc>
          <w:tcPr>
            <w:tcW w:w="320" w:type="dxa"/>
            <w:vAlign w:val="bottom"/>
          </w:tcPr>
          <w:p>
            <w:pPr>
              <w:spacing w:after="0"/>
              <w:rPr>
                <w:sz w:val="24"/>
                <w:szCs w:val="2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96,847</w:t>
            </w:r>
          </w:p>
        </w:tc>
        <w:tc>
          <w:tcPr>
            <w:tcW w:w="3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120,467</w:t>
            </w:r>
          </w:p>
        </w:tc>
      </w:tr>
      <w:tr>
        <w:trPr>
          <w:trHeight w:val="173"/>
        </w:trPr>
        <w:tc>
          <w:tcPr>
            <w:tcW w:w="5000" w:type="dxa"/>
            <w:vAlign w:val="bottom"/>
          </w:tcPr>
          <w:p>
            <w:pPr>
              <w:spacing w:after="0"/>
              <w:rPr>
                <w:sz w:val="15"/>
                <w:szCs w:val="15"/>
                <w:color w:val="auto"/>
              </w:rPr>
            </w:pPr>
          </w:p>
        </w:tc>
        <w:tc>
          <w:tcPr>
            <w:tcW w:w="134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40,749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78,250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249,034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281,088</w:t>
            </w:r>
          </w:p>
        </w:tc>
      </w:tr>
      <w:tr>
        <w:trPr>
          <w:trHeight w:val="173"/>
        </w:trPr>
        <w:tc>
          <w:tcPr>
            <w:tcW w:w="5000" w:type="dxa"/>
            <w:vAlign w:val="bottom"/>
          </w:tcPr>
          <w:p>
            <w:pPr>
              <w:spacing w:after="0"/>
              <w:rPr>
                <w:sz w:val="15"/>
                <w:szCs w:val="15"/>
                <w:color w:val="auto"/>
              </w:rPr>
            </w:pPr>
          </w:p>
        </w:tc>
        <w:tc>
          <w:tcPr>
            <w:tcW w:w="134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1.12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1.24</w:t>
            </w:r>
          </w:p>
        </w:tc>
      </w:tr>
      <w:tr>
        <w:trPr>
          <w:trHeight w:val="173"/>
        </w:trPr>
        <w:tc>
          <w:tcPr>
            <w:tcW w:w="5000" w:type="dxa"/>
            <w:vAlign w:val="bottom"/>
          </w:tcPr>
          <w:p>
            <w:pPr>
              <w:spacing w:after="0"/>
              <w:rPr>
                <w:sz w:val="15"/>
                <w:szCs w:val="15"/>
                <w:color w:val="auto"/>
              </w:rPr>
            </w:pPr>
          </w:p>
        </w:tc>
        <w:tc>
          <w:tcPr>
            <w:tcW w:w="134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shares outstanding</w:t>
            </w:r>
          </w:p>
        </w:tc>
        <w:tc>
          <w:tcPr>
            <w:tcW w:w="320" w:type="dxa"/>
            <w:vAlign w:val="bottom"/>
          </w:tcPr>
          <w:p>
            <w:pPr>
              <w:spacing w:after="0"/>
              <w:rPr>
                <w:sz w:val="15"/>
                <w:szCs w:val="15"/>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216,349</w:t>
            </w:r>
          </w:p>
        </w:tc>
        <w:tc>
          <w:tcPr>
            <w:tcW w:w="320" w:type="dxa"/>
            <w:vAlign w:val="bottom"/>
          </w:tcPr>
          <w:p>
            <w:pPr>
              <w:spacing w:after="0"/>
              <w:rPr>
                <w:sz w:val="15"/>
                <w:szCs w:val="15"/>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225,716</w:t>
            </w:r>
          </w:p>
        </w:tc>
        <w:tc>
          <w:tcPr>
            <w:tcW w:w="32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222,562</w:t>
            </w:r>
          </w:p>
        </w:tc>
        <w:tc>
          <w:tcPr>
            <w:tcW w:w="30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226,832</w:t>
            </w:r>
          </w:p>
        </w:tc>
      </w:tr>
      <w:tr>
        <w:trPr>
          <w:trHeight w:val="173"/>
        </w:trPr>
        <w:tc>
          <w:tcPr>
            <w:tcW w:w="5000" w:type="dxa"/>
            <w:vAlign w:val="bottom"/>
          </w:tcPr>
          <w:p>
            <w:pPr>
              <w:spacing w:after="0"/>
              <w:rPr>
                <w:sz w:val="15"/>
                <w:szCs w:val="15"/>
                <w:color w:val="auto"/>
              </w:rPr>
            </w:pPr>
          </w:p>
        </w:tc>
        <w:tc>
          <w:tcPr>
            <w:tcW w:w="134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ind w:left="448" w:right="3099" w:hanging="448"/>
        <w:spacing w:after="0" w:line="244" w:lineRule="auto"/>
        <w:tabs>
          <w:tab w:leader="none" w:pos="44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$56,566 and $55,857 of amortization of goodwill and purchased intangible assets, $20,919 and $0 of restructuring charge related to the cost reduction measures, $(6,012) and $0 gain related to the repurchase of convertible notes and tax effects related to the above of $(21,738) and $2,488 for the three months ended September 30, 2002 and 2001, respectively. Including the above items, income (loss) before income taxes was $(14,877) and $55,929 and diluted earnings (loss) per share were $(0.04) and $0.09 for the three months ended September 30, 2002 and 2001, respectively.</w:t>
      </w:r>
    </w:p>
    <w:p>
      <w:pPr>
        <w:spacing w:after="0" w:line="179" w:lineRule="exact"/>
        <w:rPr>
          <w:rFonts w:ascii="Courier New" w:cs="Courier New" w:eastAsia="Courier New" w:hAnsi="Courier New"/>
          <w:sz w:val="15"/>
          <w:szCs w:val="15"/>
          <w:color w:val="auto"/>
        </w:rPr>
      </w:pPr>
    </w:p>
    <w:p>
      <w:pPr>
        <w:ind w:left="448" w:right="3019" w:hanging="448"/>
        <w:spacing w:after="0" w:line="244" w:lineRule="auto"/>
        <w:tabs>
          <w:tab w:leader="none" w:pos="44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$231,804 and $219,988 for amortization of goodwill and purchased intangible assets, $34,230 and $0 of restructuring charges related to the cost reduction measures and the consolidation of data centers and the resulting closure of our Stamford, Connecticut facility, $17,400 and $0 for write-off of purchased in-process research and development related to the Clarify acquisition, $(6,012) and $0 gain related to the repurchase of convertible notes and tax effects related to the above of $(23,327) and $(5,286) for the twelve months ended September 30, 2002 and 2001, respectively. Including the above items, income before income taxes was $68,459 and $181,567, and diluted earnings (loss) per share were $(0.02) and $0.29 for the twelve months ended September 30, 2002 and 2001, respectively.</w:t>
      </w:r>
    </w:p>
    <w:p>
      <w:pPr>
        <w:sectPr>
          <w:pgSz w:w="11900" w:h="16838" w:orient="portrait"/>
          <w:cols w:equalWidth="0" w:num="1">
            <w:col w:w="10227"/>
          </w:cols>
          <w:pgMar w:left="232" w:top="464" w:right="1440" w:bottom="1440" w:gutter="0" w:footer="0" w:header="0"/>
        </w:sectPr>
      </w:pPr>
    </w:p>
    <w:bookmarkStart w:id="76" w:name="page77"/>
    <w:bookmarkEnd w:id="76"/>
    <w:p>
      <w:pPr>
        <w:jc w:val="center"/>
        <w:ind w:right="3972"/>
        <w:spacing w:after="0"/>
        <w:rPr>
          <w:sz w:val="20"/>
          <w:szCs w:val="20"/>
          <w:color w:val="auto"/>
        </w:rPr>
      </w:pPr>
      <w:r>
        <w:rPr>
          <w:rFonts w:ascii="Courier New" w:cs="Courier New" w:eastAsia="Courier New" w:hAnsi="Courier New"/>
          <w:sz w:val="15"/>
          <w:szCs w:val="15"/>
          <w:color w:val="auto"/>
        </w:rPr>
        <w:t>AMDOCS LIMITED</w:t>
      </w:r>
    </w:p>
    <w:p>
      <w:pPr>
        <w:spacing w:after="0" w:line="177" w:lineRule="exact"/>
        <w:rPr>
          <w:sz w:val="20"/>
          <w:szCs w:val="20"/>
          <w:color w:val="auto"/>
        </w:rPr>
      </w:pPr>
    </w:p>
    <w:p>
      <w:pPr>
        <w:ind w:left="1988"/>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177" w:lineRule="exact"/>
        <w:rPr>
          <w:sz w:val="20"/>
          <w:szCs w:val="20"/>
          <w:color w:val="auto"/>
        </w:rPr>
      </w:pPr>
    </w:p>
    <w:p>
      <w:pPr>
        <w:ind w:left="198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80" w:type="dxa"/>
            <w:vAlign w:val="bottom"/>
            <w:gridSpan w:val="3"/>
          </w:tcPr>
          <w:p>
            <w:pPr>
              <w:jc w:val="right"/>
              <w:ind w:right="605"/>
              <w:spacing w:after="0"/>
              <w:rPr>
                <w:sz w:val="20"/>
                <w:szCs w:val="20"/>
                <w:color w:val="auto"/>
              </w:rPr>
            </w:pPr>
            <w:r>
              <w:rPr>
                <w:rFonts w:ascii="Courier New" w:cs="Courier New" w:eastAsia="Courier New" w:hAnsi="Courier New"/>
                <w:sz w:val="15"/>
                <w:szCs w:val="15"/>
                <w:color w:val="auto"/>
              </w:rPr>
              <w:t>THREE MONTHS ENDED</w:t>
            </w:r>
          </w:p>
        </w:tc>
        <w:tc>
          <w:tcPr>
            <w:tcW w:w="360" w:type="dxa"/>
            <w:vAlign w:val="bottom"/>
          </w:tcPr>
          <w:p>
            <w:pPr>
              <w:spacing w:after="0"/>
              <w:rPr>
                <w:sz w:val="14"/>
                <w:szCs w:val="14"/>
                <w:color w:val="auto"/>
              </w:rPr>
            </w:pPr>
          </w:p>
        </w:tc>
        <w:tc>
          <w:tcPr>
            <w:tcW w:w="240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TWELVE MONTHS ENDED</w:t>
            </w:r>
          </w:p>
        </w:tc>
      </w:tr>
      <w:tr>
        <w:trPr>
          <w:trHeight w:val="173"/>
        </w:trPr>
        <w:tc>
          <w:tcPr>
            <w:tcW w:w="5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2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7"/>
              </w:rPr>
              <w:t>SEPTEMBER 30,</w:t>
            </w: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0" w:type="dxa"/>
            <w:vAlign w:val="bottom"/>
            <w:gridSpan w:val="3"/>
          </w:tcPr>
          <w:p>
            <w:pPr>
              <w:jc w:val="right"/>
              <w:ind w:right="565"/>
              <w:spacing w:after="0"/>
              <w:rPr>
                <w:sz w:val="20"/>
                <w:szCs w:val="20"/>
                <w:color w:val="auto"/>
              </w:rPr>
            </w:pPr>
            <w:r>
              <w:rPr>
                <w:rFonts w:ascii="Courier New" w:cs="Courier New" w:eastAsia="Courier New" w:hAnsi="Courier New"/>
                <w:sz w:val="15"/>
                <w:szCs w:val="15"/>
                <w:color w:val="auto"/>
              </w:rPr>
              <w:t>SEPTEMBER 30,</w:t>
            </w:r>
          </w:p>
        </w:tc>
      </w:tr>
      <w:tr>
        <w:trPr>
          <w:trHeight w:val="173"/>
        </w:trPr>
        <w:tc>
          <w:tcPr>
            <w:tcW w:w="5440" w:type="dxa"/>
            <w:vAlign w:val="bottom"/>
          </w:tcPr>
          <w:p>
            <w:pPr>
              <w:spacing w:after="0"/>
              <w:rPr>
                <w:sz w:val="15"/>
                <w:szCs w:val="15"/>
                <w:color w:val="auto"/>
              </w:rPr>
            </w:pPr>
          </w:p>
        </w:tc>
        <w:tc>
          <w:tcPr>
            <w:tcW w:w="1540" w:type="dxa"/>
            <w:vAlign w:val="bottom"/>
            <w:gridSpan w:val="2"/>
          </w:tcPr>
          <w:p>
            <w:pPr>
              <w:ind w:left="240"/>
              <w:spacing w:after="0"/>
              <w:rPr>
                <w:sz w:val="20"/>
                <w:szCs w:val="20"/>
                <w:color w:val="auto"/>
              </w:rPr>
            </w:pPr>
            <w:r>
              <w:rPr>
                <w:rFonts w:ascii="Courier New" w:cs="Courier New" w:eastAsia="Courier New" w:hAnsi="Courier New"/>
                <w:sz w:val="10"/>
                <w:szCs w:val="10"/>
                <w:color w:val="auto"/>
                <w:w w:val="76"/>
              </w:rPr>
              <w:t>----------------------------</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7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4"/>
              </w:rPr>
              <w:t>2002</w:t>
            </w:r>
          </w:p>
        </w:tc>
        <w:tc>
          <w:tcPr>
            <w:tcW w:w="580" w:type="dxa"/>
            <w:vAlign w:val="bottom"/>
          </w:tcPr>
          <w:p>
            <w:pPr>
              <w:spacing w:after="0"/>
              <w:rPr>
                <w:sz w:val="15"/>
                <w:szCs w:val="15"/>
                <w:color w:val="auto"/>
              </w:rPr>
            </w:pPr>
          </w:p>
        </w:tc>
        <w:tc>
          <w:tcPr>
            <w:tcW w:w="86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4"/>
              </w:rPr>
              <w:t>2001</w:t>
            </w:r>
          </w:p>
        </w:tc>
        <w:tc>
          <w:tcPr>
            <w:tcW w:w="360" w:type="dxa"/>
            <w:vAlign w:val="bottom"/>
          </w:tcPr>
          <w:p>
            <w:pPr>
              <w:spacing w:after="0"/>
              <w:rPr>
                <w:sz w:val="15"/>
                <w:szCs w:val="15"/>
                <w:color w:val="auto"/>
              </w:rPr>
            </w:pPr>
          </w:p>
        </w:tc>
        <w:tc>
          <w:tcPr>
            <w:tcW w:w="11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2002</w:t>
            </w:r>
          </w:p>
        </w:tc>
        <w:tc>
          <w:tcPr>
            <w:tcW w:w="360" w:type="dxa"/>
            <w:vAlign w:val="bottom"/>
          </w:tcPr>
          <w:p>
            <w:pPr>
              <w:spacing w:after="0"/>
              <w:rPr>
                <w:sz w:val="15"/>
                <w:szCs w:val="15"/>
                <w:color w:val="auto"/>
              </w:rPr>
            </w:pP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2001</w:t>
            </w:r>
          </w:p>
        </w:tc>
      </w:tr>
      <w:tr>
        <w:trPr>
          <w:trHeight w:val="173"/>
        </w:trPr>
        <w:tc>
          <w:tcPr>
            <w:tcW w:w="5440" w:type="dxa"/>
            <w:vAlign w:val="bottom"/>
          </w:tcPr>
          <w:p>
            <w:pPr>
              <w:spacing w:after="0"/>
              <w:rPr>
                <w:sz w:val="15"/>
                <w:szCs w:val="15"/>
                <w:color w:val="auto"/>
              </w:rPr>
            </w:pP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(UNAUDITED)</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5440" w:type="dxa"/>
            <w:vAlign w:val="bottom"/>
          </w:tcPr>
          <w:p>
            <w:pPr>
              <w:spacing w:after="0"/>
              <w:rPr>
                <w:sz w:val="15"/>
                <w:szCs w:val="15"/>
                <w:color w:val="auto"/>
              </w:rPr>
            </w:pPr>
          </w:p>
        </w:tc>
        <w:tc>
          <w:tcPr>
            <w:tcW w:w="2980" w:type="dxa"/>
            <w:vAlign w:val="bottom"/>
            <w:gridSpan w:val="4"/>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347"/>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License</w:t>
            </w:r>
          </w:p>
        </w:tc>
        <w:tc>
          <w:tcPr>
            <w:tcW w:w="60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29,068</w:t>
            </w: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41,560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153,664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171,430</w:t>
            </w:r>
          </w:p>
        </w:tc>
      </w:tr>
      <w:tr>
        <w:trPr>
          <w:trHeight w:val="173"/>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Service</w:t>
            </w:r>
          </w:p>
        </w:tc>
        <w:tc>
          <w:tcPr>
            <w:tcW w:w="60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326,452</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373,887</w:t>
            </w: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1,459,901</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1,362,480</w:t>
            </w:r>
          </w:p>
        </w:tc>
      </w:tr>
      <w:tr>
        <w:trPr>
          <w:trHeight w:val="173"/>
        </w:trPr>
        <w:tc>
          <w:tcPr>
            <w:tcW w:w="5440" w:type="dxa"/>
            <w:vAlign w:val="bottom"/>
          </w:tcPr>
          <w:p>
            <w:pPr>
              <w:spacing w:after="0"/>
              <w:rPr>
                <w:sz w:val="15"/>
                <w:szCs w:val="15"/>
                <w:color w:val="auto"/>
              </w:rPr>
            </w:pP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355,520</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415,447</w:t>
            </w: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1,613,565</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1,533,910</w:t>
            </w:r>
          </w:p>
        </w:tc>
      </w:tr>
      <w:tr>
        <w:trPr>
          <w:trHeight w:val="173"/>
        </w:trPr>
        <w:tc>
          <w:tcPr>
            <w:tcW w:w="54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Cost of license</w:t>
            </w:r>
          </w:p>
        </w:tc>
        <w:tc>
          <w:tcPr>
            <w:tcW w:w="60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1,452</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926</w:t>
            </w: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5,054</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5,651</w:t>
            </w:r>
          </w:p>
        </w:tc>
      </w:tr>
      <w:tr>
        <w:trPr>
          <w:trHeight w:val="173"/>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Cost of service</w:t>
            </w:r>
          </w:p>
        </w:tc>
        <w:tc>
          <w:tcPr>
            <w:tcW w:w="60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216,829</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228,814</w:t>
            </w: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928,283</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847,591</w:t>
            </w:r>
          </w:p>
        </w:tc>
      </w:tr>
      <w:tr>
        <w:trPr>
          <w:trHeight w:val="173"/>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Research and development</w:t>
            </w:r>
          </w:p>
        </w:tc>
        <w:tc>
          <w:tcPr>
            <w:tcW w:w="60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31,801</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29,073</w:t>
            </w: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124,082</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105,807</w:t>
            </w:r>
          </w:p>
        </w:tc>
      </w:tr>
      <w:tr>
        <w:trPr>
          <w:trHeight w:val="173"/>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 administrative</w:t>
            </w:r>
          </w:p>
        </w:tc>
        <w:tc>
          <w:tcPr>
            <w:tcW w:w="60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53,338</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51,248</w:t>
            </w: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223,551</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195,592</w:t>
            </w:r>
          </w:p>
        </w:tc>
      </w:tr>
      <w:tr>
        <w:trPr>
          <w:trHeight w:val="173"/>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goodwill and purchased intangible assets</w:t>
            </w:r>
          </w:p>
        </w:tc>
        <w:tc>
          <w:tcPr>
            <w:tcW w:w="60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56,566</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55,857</w:t>
            </w: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231,804</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219,988</w:t>
            </w:r>
          </w:p>
        </w:tc>
      </w:tr>
      <w:tr>
        <w:trPr>
          <w:trHeight w:val="173"/>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Restructuring charges and in-process research and</w:t>
            </w: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development</w:t>
            </w:r>
          </w:p>
        </w:tc>
        <w:tc>
          <w:tcPr>
            <w:tcW w:w="60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20,919</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51,630</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440" w:type="dxa"/>
            <w:vAlign w:val="bottom"/>
          </w:tcPr>
          <w:p>
            <w:pPr>
              <w:spacing w:after="0"/>
              <w:rPr>
                <w:sz w:val="15"/>
                <w:szCs w:val="15"/>
                <w:color w:val="auto"/>
              </w:rPr>
            </w:pP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380,905</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365,918</w:t>
            </w: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1,564,404</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1,374,629</w:t>
            </w:r>
          </w:p>
        </w:tc>
      </w:tr>
      <w:tr>
        <w:trPr>
          <w:trHeight w:val="173"/>
        </w:trPr>
        <w:tc>
          <w:tcPr>
            <w:tcW w:w="5440" w:type="dxa"/>
            <w:vAlign w:val="bottom"/>
          </w:tcPr>
          <w:p>
            <w:pPr>
              <w:spacing w:after="0"/>
              <w:rPr>
                <w:sz w:val="15"/>
                <w:szCs w:val="15"/>
                <w:color w:val="auto"/>
              </w:rPr>
            </w:pP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44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60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(25,385)</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49,529</w:t>
            </w: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49,161</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159,281</w:t>
            </w:r>
          </w:p>
        </w:tc>
      </w:tr>
      <w:tr>
        <w:trPr>
          <w:trHeight w:val="347"/>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w:t>
            </w:r>
          </w:p>
        </w:tc>
        <w:tc>
          <w:tcPr>
            <w:tcW w:w="600" w:type="dxa"/>
            <w:vAlign w:val="bottom"/>
          </w:tcPr>
          <w:p>
            <w:pPr>
              <w:spacing w:after="0"/>
              <w:rPr>
                <w:sz w:val="24"/>
                <w:szCs w:val="2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10,508</w:t>
            </w:r>
          </w:p>
        </w:tc>
        <w:tc>
          <w:tcPr>
            <w:tcW w:w="580" w:type="dxa"/>
            <w:vAlign w:val="bottom"/>
          </w:tcPr>
          <w:p>
            <w:pPr>
              <w:spacing w:after="0"/>
              <w:rPr>
                <w:sz w:val="24"/>
                <w:szCs w:val="2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6,400</w:t>
            </w:r>
          </w:p>
        </w:tc>
        <w:tc>
          <w:tcPr>
            <w:tcW w:w="360" w:type="dxa"/>
            <w:vAlign w:val="bottom"/>
          </w:tcPr>
          <w:p>
            <w:pPr>
              <w:spacing w:after="0"/>
              <w:rPr>
                <w:sz w:val="24"/>
                <w:szCs w:val="24"/>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19,298</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22,286</w:t>
            </w:r>
          </w:p>
        </w:tc>
      </w:tr>
      <w:tr>
        <w:trPr>
          <w:trHeight w:val="173"/>
        </w:trPr>
        <w:tc>
          <w:tcPr>
            <w:tcW w:w="5440" w:type="dxa"/>
            <w:vAlign w:val="bottom"/>
          </w:tcPr>
          <w:p>
            <w:pPr>
              <w:spacing w:after="0"/>
              <w:rPr>
                <w:sz w:val="15"/>
                <w:szCs w:val="15"/>
                <w:color w:val="auto"/>
              </w:rPr>
            </w:pP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 (tax benefit)</w:t>
            </w:r>
          </w:p>
        </w:tc>
        <w:tc>
          <w:tcPr>
            <w:tcW w:w="600" w:type="dxa"/>
            <w:vAlign w:val="bottom"/>
          </w:tcPr>
          <w:p>
            <w:pPr>
              <w:spacing w:after="0"/>
              <w:rPr>
                <w:sz w:val="15"/>
                <w:szCs w:val="15"/>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(14,877)</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55,929</w:t>
            </w: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68,459</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181,567</w:t>
            </w:r>
          </w:p>
        </w:tc>
      </w:tr>
      <w:tr>
        <w:trPr>
          <w:trHeight w:val="347"/>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Income taxes (tax benefit)</w:t>
            </w:r>
          </w:p>
        </w:tc>
        <w:tc>
          <w:tcPr>
            <w:tcW w:w="600" w:type="dxa"/>
            <w:vAlign w:val="bottom"/>
          </w:tcPr>
          <w:p>
            <w:pPr>
              <w:spacing w:after="0"/>
              <w:rPr>
                <w:sz w:val="24"/>
                <w:szCs w:val="2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(5,891)</w:t>
            </w:r>
          </w:p>
        </w:tc>
        <w:tc>
          <w:tcPr>
            <w:tcW w:w="580" w:type="dxa"/>
            <w:vAlign w:val="bottom"/>
          </w:tcPr>
          <w:p>
            <w:pPr>
              <w:spacing w:after="0"/>
              <w:rPr>
                <w:sz w:val="24"/>
                <w:szCs w:val="2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36,024</w:t>
            </w:r>
          </w:p>
        </w:tc>
        <w:tc>
          <w:tcPr>
            <w:tcW w:w="360" w:type="dxa"/>
            <w:vAlign w:val="bottom"/>
          </w:tcPr>
          <w:p>
            <w:pPr>
              <w:spacing w:after="0"/>
              <w:rPr>
                <w:sz w:val="24"/>
                <w:szCs w:val="24"/>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73,520</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115,181</w:t>
            </w:r>
          </w:p>
        </w:tc>
      </w:tr>
      <w:tr>
        <w:trPr>
          <w:trHeight w:val="173"/>
        </w:trPr>
        <w:tc>
          <w:tcPr>
            <w:tcW w:w="5440" w:type="dxa"/>
            <w:vAlign w:val="bottom"/>
          </w:tcPr>
          <w:p>
            <w:pPr>
              <w:spacing w:after="0"/>
              <w:rPr>
                <w:sz w:val="15"/>
                <w:szCs w:val="15"/>
                <w:color w:val="auto"/>
              </w:rPr>
            </w:pP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60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(8,986)</w:t>
            </w: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19,905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(5,061)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66,386</w:t>
            </w:r>
          </w:p>
        </w:tc>
      </w:tr>
      <w:tr>
        <w:trPr>
          <w:trHeight w:val="173"/>
        </w:trPr>
        <w:tc>
          <w:tcPr>
            <w:tcW w:w="5440" w:type="dxa"/>
            <w:vAlign w:val="bottom"/>
          </w:tcPr>
          <w:p>
            <w:pPr>
              <w:spacing w:after="0"/>
              <w:rPr>
                <w:sz w:val="15"/>
                <w:szCs w:val="15"/>
                <w:color w:val="auto"/>
              </w:rPr>
            </w:pP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60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(0.04)</w:t>
            </w: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(0.02)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0.30</w:t>
            </w:r>
          </w:p>
        </w:tc>
      </w:tr>
      <w:tr>
        <w:trPr>
          <w:trHeight w:val="173"/>
        </w:trPr>
        <w:tc>
          <w:tcPr>
            <w:tcW w:w="5440" w:type="dxa"/>
            <w:vAlign w:val="bottom"/>
          </w:tcPr>
          <w:p>
            <w:pPr>
              <w:spacing w:after="0"/>
              <w:rPr>
                <w:sz w:val="15"/>
                <w:szCs w:val="15"/>
                <w:color w:val="auto"/>
              </w:rPr>
            </w:pP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44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60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(0.04)</w:t>
            </w: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(0.02)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0.29</w:t>
            </w:r>
          </w:p>
        </w:tc>
      </w:tr>
      <w:tr>
        <w:trPr>
          <w:trHeight w:val="173"/>
        </w:trPr>
        <w:tc>
          <w:tcPr>
            <w:tcW w:w="5440" w:type="dxa"/>
            <w:vAlign w:val="bottom"/>
          </w:tcPr>
          <w:p>
            <w:pPr>
              <w:spacing w:after="0"/>
              <w:rPr>
                <w:sz w:val="15"/>
                <w:szCs w:val="15"/>
                <w:color w:val="auto"/>
              </w:rPr>
            </w:pP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 shares outstanding</w:t>
            </w:r>
          </w:p>
        </w:tc>
        <w:tc>
          <w:tcPr>
            <w:tcW w:w="600" w:type="dxa"/>
            <w:vAlign w:val="bottom"/>
          </w:tcPr>
          <w:p>
            <w:pPr>
              <w:spacing w:after="0"/>
              <w:rPr>
                <w:sz w:val="15"/>
                <w:szCs w:val="15"/>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215,559</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222,560</w:t>
            </w:r>
          </w:p>
        </w:tc>
        <w:tc>
          <w:tcPr>
            <w:tcW w:w="36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220,361</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222,002</w:t>
            </w:r>
          </w:p>
        </w:tc>
      </w:tr>
      <w:tr>
        <w:trPr>
          <w:trHeight w:val="173"/>
        </w:trPr>
        <w:tc>
          <w:tcPr>
            <w:tcW w:w="5440" w:type="dxa"/>
            <w:vAlign w:val="bottom"/>
          </w:tcPr>
          <w:p>
            <w:pPr>
              <w:spacing w:after="0"/>
              <w:rPr>
                <w:sz w:val="15"/>
                <w:szCs w:val="15"/>
                <w:color w:val="auto"/>
              </w:rPr>
            </w:pP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44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shares outstanding</w:t>
            </w: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(1) 215,559</w:t>
            </w:r>
          </w:p>
        </w:tc>
        <w:tc>
          <w:tcPr>
            <w:tcW w:w="5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225,716</w:t>
            </w: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(1) 220,361</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226,832</w:t>
            </w:r>
          </w:p>
        </w:tc>
      </w:tr>
      <w:tr>
        <w:trPr>
          <w:trHeight w:val="173"/>
        </w:trPr>
        <w:tc>
          <w:tcPr>
            <w:tcW w:w="5440" w:type="dxa"/>
            <w:vAlign w:val="bottom"/>
          </w:tcPr>
          <w:p>
            <w:pPr>
              <w:spacing w:after="0"/>
              <w:rPr>
                <w:sz w:val="15"/>
                <w:szCs w:val="15"/>
                <w:color w:val="auto"/>
              </w:rPr>
            </w:pP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left="448" w:right="3980" w:hanging="448"/>
        <w:spacing w:after="0" w:line="243" w:lineRule="auto"/>
        <w:tabs>
          <w:tab w:leader="none" w:pos="44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Due to net loss, anti-dilutive securities are excluded from the computation of diluted weighted average number of shares.</w:t>
      </w:r>
    </w:p>
    <w:p>
      <w:pPr>
        <w:sectPr>
          <w:pgSz w:w="11900" w:h="16838" w:orient="portrait"/>
          <w:cols w:equalWidth="0" w:num="1">
            <w:col w:w="11188"/>
          </w:cols>
          <w:pgMar w:left="232" w:top="464" w:right="479" w:bottom="1440" w:gutter="0" w:footer="0" w:header="0"/>
        </w:sectPr>
      </w:pPr>
    </w:p>
    <w:bookmarkStart w:id="77" w:name="page78"/>
    <w:bookmarkEnd w:id="77"/>
    <w:p>
      <w:pPr>
        <w:jc w:val="center"/>
        <w:ind w:right="3019"/>
        <w:spacing w:after="0"/>
        <w:rPr>
          <w:sz w:val="20"/>
          <w:szCs w:val="20"/>
          <w:color w:val="auto"/>
        </w:rPr>
      </w:pPr>
      <w:r>
        <w:rPr>
          <w:rFonts w:ascii="Courier New" w:cs="Courier New" w:eastAsia="Courier New" w:hAnsi="Courier New"/>
          <w:sz w:val="15"/>
          <w:szCs w:val="15"/>
          <w:color w:val="auto"/>
        </w:rPr>
        <w:t>AMDOCS LIMITED</w:t>
      </w:r>
    </w:p>
    <w:p>
      <w:pPr>
        <w:spacing w:after="0" w:line="17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00" w:type="dxa"/>
            <w:vAlign w:val="bottom"/>
          </w:tcPr>
          <w:p>
            <w:pPr>
              <w:spacing w:after="0"/>
              <w:rPr>
                <w:sz w:val="14"/>
                <w:szCs w:val="14"/>
                <w:color w:val="auto"/>
              </w:rPr>
            </w:pPr>
          </w:p>
        </w:tc>
        <w:tc>
          <w:tcPr>
            <w:tcW w:w="2700" w:type="dxa"/>
            <w:vAlign w:val="bottom"/>
            <w:gridSpan w:val="2"/>
          </w:tcPr>
          <w:p>
            <w:pPr>
              <w:jc w:val="right"/>
              <w:ind w:right="1005"/>
              <w:spacing w:after="0"/>
              <w:rPr>
                <w:sz w:val="20"/>
                <w:szCs w:val="20"/>
                <w:color w:val="auto"/>
              </w:rPr>
            </w:pPr>
            <w:r>
              <w:rPr>
                <w:rFonts w:ascii="Courier New" w:cs="Courier New" w:eastAsia="Courier New" w:hAnsi="Courier New"/>
                <w:sz w:val="15"/>
                <w:szCs w:val="15"/>
                <w:color w:val="auto"/>
              </w:rPr>
              <w:t>AS OF</w:t>
            </w:r>
          </w:p>
        </w:tc>
      </w:tr>
      <w:tr>
        <w:trPr>
          <w:trHeight w:val="173"/>
        </w:trPr>
        <w:tc>
          <w:tcPr>
            <w:tcW w:w="6400" w:type="dxa"/>
            <w:vAlign w:val="bottom"/>
          </w:tcPr>
          <w:p>
            <w:pPr>
              <w:spacing w:after="0"/>
              <w:rPr>
                <w:sz w:val="15"/>
                <w:szCs w:val="15"/>
                <w:color w:val="auto"/>
              </w:rPr>
            </w:pPr>
          </w:p>
        </w:tc>
        <w:tc>
          <w:tcPr>
            <w:tcW w:w="2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15"/>
                <w:szCs w:val="15"/>
                <w:color w:val="auto"/>
              </w:rPr>
            </w:pP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SEPTEMBER 30,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3"/>
        </w:trPr>
        <w:tc>
          <w:tcPr>
            <w:tcW w:w="6400" w:type="dxa"/>
            <w:vAlign w:val="bottom"/>
          </w:tcPr>
          <w:p>
            <w:pPr>
              <w:spacing w:after="0"/>
              <w:rPr>
                <w:sz w:val="15"/>
                <w:szCs w:val="15"/>
                <w:color w:val="auto"/>
              </w:rPr>
            </w:pP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2002</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2001</w:t>
            </w:r>
          </w:p>
        </w:tc>
      </w:tr>
      <w:tr>
        <w:trPr>
          <w:trHeight w:val="173"/>
        </w:trPr>
        <w:tc>
          <w:tcPr>
            <w:tcW w:w="6400" w:type="dxa"/>
            <w:vAlign w:val="bottom"/>
          </w:tcPr>
          <w:p>
            <w:pPr>
              <w:spacing w:after="0"/>
              <w:rPr>
                <w:sz w:val="15"/>
                <w:szCs w:val="15"/>
                <w:color w:val="auto"/>
              </w:rPr>
            </w:pP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64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6400" w:type="dxa"/>
            <w:vAlign w:val="bottom"/>
          </w:tcPr>
          <w:p>
            <w:pPr>
              <w:ind w:left="260"/>
              <w:spacing w:after="0"/>
              <w:rPr>
                <w:sz w:val="20"/>
                <w:szCs w:val="20"/>
                <w:color w:val="auto"/>
              </w:rPr>
            </w:pPr>
            <w:r>
              <w:rPr>
                <w:rFonts w:ascii="Courier New" w:cs="Courier New" w:eastAsia="Courier New" w:hAnsi="Courier New"/>
                <w:sz w:val="15"/>
                <w:szCs w:val="15"/>
                <w:color w:val="auto"/>
              </w:rPr>
              <w:t>Cash, cash equivalents and short-term interest-bearing investments</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$1,047,819</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$1,110,067</w:t>
            </w:r>
          </w:p>
        </w:tc>
      </w:tr>
      <w:tr>
        <w:trPr>
          <w:trHeight w:val="173"/>
        </w:trPr>
        <w:tc>
          <w:tcPr>
            <w:tcW w:w="640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net, including unbilled of $24,144 and</w:t>
            </w: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6400" w:type="dxa"/>
            <w:vAlign w:val="bottom"/>
          </w:tcPr>
          <w:p>
            <w:pPr>
              <w:ind w:left="440"/>
              <w:spacing w:after="0"/>
              <w:rPr>
                <w:sz w:val="20"/>
                <w:szCs w:val="20"/>
                <w:color w:val="auto"/>
              </w:rPr>
            </w:pPr>
            <w:r>
              <w:rPr>
                <w:rFonts w:ascii="Courier New" w:cs="Courier New" w:eastAsia="Courier New" w:hAnsi="Courier New"/>
                <w:sz w:val="15"/>
                <w:szCs w:val="15"/>
                <w:color w:val="auto"/>
              </w:rPr>
              <w:t>$23,272, respectively</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312,732</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384,851</w:t>
            </w:r>
          </w:p>
        </w:tc>
      </w:tr>
      <w:tr>
        <w:trPr>
          <w:trHeight w:val="173"/>
        </w:trPr>
        <w:tc>
          <w:tcPr>
            <w:tcW w:w="640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taxes receivable</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48,154</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38,916</w:t>
            </w:r>
          </w:p>
        </w:tc>
      </w:tr>
      <w:tr>
        <w:trPr>
          <w:trHeight w:val="173"/>
        </w:trPr>
        <w:tc>
          <w:tcPr>
            <w:tcW w:w="640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72,196</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38,045</w:t>
            </w:r>
          </w:p>
        </w:tc>
      </w:tr>
      <w:tr>
        <w:trPr>
          <w:trHeight w:val="173"/>
        </w:trPr>
        <w:tc>
          <w:tcPr>
            <w:tcW w:w="6400" w:type="dxa"/>
            <w:vAlign w:val="bottom"/>
          </w:tcPr>
          <w:p>
            <w:pPr>
              <w:spacing w:after="0"/>
              <w:rPr>
                <w:sz w:val="15"/>
                <w:szCs w:val="15"/>
                <w:color w:val="auto"/>
              </w:rPr>
            </w:pP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ind w:left="260"/>
              <w:spacing w:after="0"/>
              <w:rPr>
                <w:sz w:val="20"/>
                <w:szCs w:val="20"/>
                <w:color w:val="auto"/>
              </w:rPr>
            </w:pPr>
            <w:r>
              <w:rPr>
                <w:rFonts w:ascii="Courier New" w:cs="Courier New" w:eastAsia="Courier New" w:hAnsi="Courier New"/>
                <w:sz w:val="15"/>
                <w:szCs w:val="15"/>
                <w:color w:val="auto"/>
              </w:rPr>
              <w:t>Total current assets</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1,480,901</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1,571,879</w:t>
            </w:r>
          </w:p>
        </w:tc>
      </w:tr>
      <w:tr>
        <w:trPr>
          <w:trHeight w:val="347"/>
        </w:trPr>
        <w:tc>
          <w:tcPr>
            <w:tcW w:w="6400" w:type="dxa"/>
            <w:vAlign w:val="bottom"/>
          </w:tcPr>
          <w:p>
            <w:pPr>
              <w:spacing w:after="0"/>
              <w:rPr>
                <w:sz w:val="20"/>
                <w:szCs w:val="20"/>
                <w:color w:val="auto"/>
              </w:rPr>
            </w:pPr>
            <w:r>
              <w:rPr>
                <w:rFonts w:ascii="Courier New" w:cs="Courier New" w:eastAsia="Courier New" w:hAnsi="Courier New"/>
                <w:sz w:val="15"/>
                <w:szCs w:val="15"/>
                <w:color w:val="auto"/>
              </w:rPr>
              <w:t>Equipment, vehicles and leasehold improvements, net</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160,902</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173,695</w:t>
            </w: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 assets, net</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750,530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788,187</w:t>
            </w: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Other noncurrent assets</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147,761</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90,675</w:t>
            </w:r>
          </w:p>
        </w:tc>
      </w:tr>
      <w:tr>
        <w:trPr>
          <w:trHeight w:val="173"/>
        </w:trPr>
        <w:tc>
          <w:tcPr>
            <w:tcW w:w="6400" w:type="dxa"/>
            <w:vAlign w:val="bottom"/>
          </w:tcPr>
          <w:p>
            <w:pPr>
              <w:spacing w:after="0"/>
              <w:rPr>
                <w:sz w:val="15"/>
                <w:szCs w:val="15"/>
                <w:color w:val="auto"/>
              </w:rPr>
            </w:pP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$2,540,094</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$2,624,436</w:t>
            </w:r>
          </w:p>
        </w:tc>
      </w:tr>
      <w:tr>
        <w:trPr>
          <w:trHeight w:val="173"/>
        </w:trPr>
        <w:tc>
          <w:tcPr>
            <w:tcW w:w="6400" w:type="dxa"/>
            <w:vAlign w:val="bottom"/>
          </w:tcPr>
          <w:p>
            <w:pPr>
              <w:spacing w:after="0"/>
              <w:rPr>
                <w:sz w:val="15"/>
                <w:szCs w:val="15"/>
                <w:color w:val="auto"/>
              </w:rPr>
            </w:pP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520"/>
        </w:trPr>
        <w:tc>
          <w:tcPr>
            <w:tcW w:w="640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640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accruals</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279,071</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270,517</w:t>
            </w:r>
          </w:p>
        </w:tc>
      </w:tr>
      <w:tr>
        <w:trPr>
          <w:trHeight w:val="173"/>
        </w:trPr>
        <w:tc>
          <w:tcPr>
            <w:tcW w:w="6400" w:type="dxa"/>
            <w:vAlign w:val="bottom"/>
          </w:tcPr>
          <w:p>
            <w:pPr>
              <w:ind w:left="260"/>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10,347</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10,400</w:t>
            </w:r>
          </w:p>
        </w:tc>
      </w:tr>
      <w:tr>
        <w:trPr>
          <w:trHeight w:val="173"/>
        </w:trPr>
        <w:tc>
          <w:tcPr>
            <w:tcW w:w="640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149,590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140,033</w:t>
            </w:r>
          </w:p>
        </w:tc>
      </w:tr>
      <w:tr>
        <w:trPr>
          <w:trHeight w:val="173"/>
        </w:trPr>
        <w:tc>
          <w:tcPr>
            <w:tcW w:w="640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taxes payable</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103,315</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91,026</w:t>
            </w:r>
          </w:p>
        </w:tc>
      </w:tr>
      <w:tr>
        <w:trPr>
          <w:trHeight w:val="173"/>
        </w:trPr>
        <w:tc>
          <w:tcPr>
            <w:tcW w:w="6400" w:type="dxa"/>
            <w:vAlign w:val="bottom"/>
          </w:tcPr>
          <w:p>
            <w:pPr>
              <w:spacing w:after="0"/>
              <w:rPr>
                <w:sz w:val="15"/>
                <w:szCs w:val="15"/>
                <w:color w:val="auto"/>
              </w:rPr>
            </w:pP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ind w:left="260"/>
              <w:spacing w:after="0"/>
              <w:rPr>
                <w:sz w:val="20"/>
                <w:szCs w:val="20"/>
                <w:color w:val="auto"/>
              </w:rPr>
            </w:pPr>
            <w:r>
              <w:rPr>
                <w:rFonts w:ascii="Courier New" w:cs="Courier New" w:eastAsia="Courier New" w:hAnsi="Courier New"/>
                <w:sz w:val="15"/>
                <w:szCs w:val="15"/>
                <w:color w:val="auto"/>
              </w:rPr>
              <w:t>Total current liabilities</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542,323</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511,976</w:t>
            </w: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Convertible notes and other noncurrent liabilities</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581,496</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600,369</w:t>
            </w: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1,416,275</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1,512,091</w:t>
            </w:r>
          </w:p>
        </w:tc>
      </w:tr>
      <w:tr>
        <w:trPr>
          <w:trHeight w:val="173"/>
        </w:trPr>
        <w:tc>
          <w:tcPr>
            <w:tcW w:w="6400" w:type="dxa"/>
            <w:vAlign w:val="bottom"/>
          </w:tcPr>
          <w:p>
            <w:pPr>
              <w:spacing w:after="0"/>
              <w:rPr>
                <w:sz w:val="15"/>
                <w:szCs w:val="15"/>
                <w:color w:val="auto"/>
              </w:rPr>
            </w:pP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$2,540,094</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$2,624,436</w:t>
            </w:r>
          </w:p>
        </w:tc>
      </w:tr>
      <w:tr>
        <w:trPr>
          <w:trHeight w:val="173"/>
        </w:trPr>
        <w:tc>
          <w:tcPr>
            <w:tcW w:w="6400" w:type="dxa"/>
            <w:vAlign w:val="bottom"/>
          </w:tcPr>
          <w:p>
            <w:pPr>
              <w:spacing w:after="0"/>
              <w:rPr>
                <w:sz w:val="15"/>
                <w:szCs w:val="15"/>
                <w:color w:val="auto"/>
              </w:rPr>
            </w:pP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 # #</w:t>
      </w:r>
    </w:p>
    <w:sectPr>
      <w:pgSz w:w="11900" w:h="16838" w:orient="portrait"/>
      <w:cols w:equalWidth="0" w:num="1">
        <w:col w:w="10219"/>
      </w:cols>
      <w:pgMar w:left="240" w:top="4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2019-12-14T19:40:17Z</dcterms:created>
  <dcterms:modified xsi:type="dcterms:W3CDTF">2019-12-14T19:40:17Z</dcterms:modified>
</cp:coreProperties>
</file>