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December, 2011</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jc w:val="center"/>
        <w:ind w:right="-1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firstLine="456"/>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20, 2011, Amdocs Limited (the “Company”) entered into a Credit Agreement among the Company, certain of its subsidiaries, the lenders from time to time party thereto, JPMorgan Chase Bank, N.A., as administrative agent, J.P. Morgan Europe Limited, as London agent, and JPMorgan Chase Bank, N.A., Toronto branch, as Canadian agent (the “New Credit Agreement”). The New Credit Agreement provides for an unsecured $500 million five-year revolving credit facility with a syndicate of banks, which facility will be available for general corporate purposes, including acquisitions and repurchases of the Company’s ordinary shares that the Company may consider from time to time. In connection with the execution of the New Credit Agreement, the Credit Agreement dated as of November 27, 2007 among the Company, certain of its subsidiaries, the lenders from time to time party thereto, JPMorgan Chase Bank, N.A., as administrative agent, J.P. Morgan Europe Limited, as London agent, and JPMorgan Chase Bank, N.A., Toronto branch, as Canadian agent, was terminated.</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New Credit Agreement is filed as Exhibit 99.1 to this Form 6-K, and the Company refers you to such exhibit for the complete terms of the New Credit Agreement.</w:t>
      </w:r>
    </w:p>
    <w:p>
      <w:pPr>
        <w:sectPr>
          <w:pgSz w:w="11900" w:h="16838" w:orient="portrait"/>
          <w:cols w:equalWidth="0" w:num="1">
            <w:col w:w="11400"/>
          </w:cols>
          <w:pgMar w:left="240" w:top="280"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G. O’B</w:t>
      </w:r>
      <w:r>
        <w:rPr>
          <w:rFonts w:ascii="Arial" w:cs="Arial" w:eastAsia="Arial" w:hAnsi="Arial"/>
          <w:sz w:val="13"/>
          <w:szCs w:val="13"/>
          <w:color w:val="auto"/>
        </w:rPr>
        <w:t>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Thomas G. O’Brien</w:t>
      </w:r>
    </w:p>
    <w:p>
      <w:pPr>
        <w:jc w:val="center"/>
        <w:ind w:left="6860"/>
        <w:spacing w:after="0" w:line="223" w:lineRule="auto"/>
        <w:rPr>
          <w:sz w:val="20"/>
          <w:szCs w:val="20"/>
          <w:color w:val="auto"/>
        </w:rPr>
      </w:pPr>
      <w:r>
        <w:rPr>
          <w:rFonts w:ascii="Arial" w:cs="Arial" w:eastAsia="Arial" w:hAnsi="Arial"/>
          <w:sz w:val="14"/>
          <w:szCs w:val="14"/>
          <w:b w:val="1"/>
          <w:bCs w:val="1"/>
          <w:color w:val="auto"/>
        </w:rPr>
        <w:t>Treasurer and Secretary</w:t>
      </w:r>
    </w:p>
    <w:p>
      <w:pPr>
        <w:jc w:val="center"/>
        <w:ind w:left="6860"/>
        <w:spacing w:after="0"/>
        <w:rPr>
          <w:sz w:val="20"/>
          <w:szCs w:val="20"/>
          <w:color w:val="auto"/>
        </w:rPr>
      </w:pPr>
      <w:r>
        <w:rPr>
          <w:rFonts w:ascii="Arial" w:cs="Arial" w:eastAsia="Arial" w:hAnsi="Arial"/>
          <w:sz w:val="14"/>
          <w:szCs w:val="14"/>
          <w:b w:val="1"/>
          <w:bCs w:val="1"/>
          <w:color w:val="auto"/>
        </w:rPr>
        <w:t>Authorized U.S.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2011</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10420" w:type="dxa"/>
            <w:vAlign w:val="bottom"/>
            <w:gridSpan w:val="3"/>
          </w:tcPr>
          <w:p>
            <w:pPr>
              <w:ind w:left="4200"/>
              <w:spacing w:after="0"/>
              <w:rPr>
                <w:sz w:val="20"/>
                <w:szCs w:val="20"/>
                <w:color w:val="auto"/>
              </w:rPr>
            </w:pPr>
            <w:r>
              <w:rPr>
                <w:rFonts w:ascii="Arial" w:cs="Arial" w:eastAsia="Arial" w:hAnsi="Arial"/>
                <w:sz w:val="18"/>
                <w:szCs w:val="18"/>
                <w:color w:val="auto"/>
              </w:rPr>
              <w:t>EXHIBIT INDEX</w:t>
            </w:r>
          </w:p>
        </w:tc>
      </w:tr>
      <w:tr>
        <w:trPr>
          <w:trHeight w:val="35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EXHIBIT NO.</w:t>
            </w:r>
          </w:p>
        </w:tc>
        <w:tc>
          <w:tcPr>
            <w:tcW w:w="5300" w:type="dxa"/>
            <w:vAlign w:val="bottom"/>
          </w:tcPr>
          <w:p>
            <w:pPr>
              <w:spacing w:after="0"/>
              <w:rPr>
                <w:sz w:val="24"/>
                <w:szCs w:val="2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DESCRIPTION</w:t>
            </w:r>
          </w:p>
        </w:tc>
        <w:tc>
          <w:tcPr>
            <w:tcW w:w="4180" w:type="dxa"/>
            <w:vAlign w:val="bottom"/>
          </w:tcPr>
          <w:p>
            <w:pPr>
              <w:spacing w:after="0"/>
              <w:rPr>
                <w:sz w:val="24"/>
                <w:szCs w:val="24"/>
                <w:color w:val="auto"/>
              </w:rPr>
            </w:pPr>
          </w:p>
        </w:tc>
      </w:tr>
      <w:tr>
        <w:trPr>
          <w:trHeight w:val="309"/>
        </w:trPr>
        <w:tc>
          <w:tcPr>
            <w:tcW w:w="860" w:type="dxa"/>
            <w:vAlign w:val="bottom"/>
          </w:tcPr>
          <w:p>
            <w:pPr>
              <w:jc w:val="right"/>
              <w:ind w:right="462"/>
              <w:spacing w:after="0"/>
              <w:rPr>
                <w:sz w:val="20"/>
                <w:szCs w:val="20"/>
                <w:color w:val="auto"/>
              </w:rPr>
            </w:pPr>
            <w:r>
              <w:rPr>
                <w:rFonts w:ascii="Arial" w:cs="Arial" w:eastAsia="Arial" w:hAnsi="Arial"/>
                <w:sz w:val="18"/>
                <w:szCs w:val="18"/>
                <w:color w:val="auto"/>
                <w:w w:val="85"/>
              </w:rPr>
              <w:t>99.1</w:t>
            </w:r>
          </w:p>
        </w:tc>
        <w:tc>
          <w:tcPr>
            <w:tcW w:w="10420" w:type="dxa"/>
            <w:vAlign w:val="bottom"/>
            <w:gridSpan w:val="3"/>
          </w:tcPr>
          <w:p>
            <w:pPr>
              <w:ind w:left="980"/>
              <w:spacing w:after="0"/>
              <w:rPr>
                <w:sz w:val="20"/>
                <w:szCs w:val="20"/>
                <w:color w:val="auto"/>
              </w:rPr>
            </w:pPr>
            <w:r>
              <w:rPr>
                <w:rFonts w:ascii="Arial" w:cs="Arial" w:eastAsia="Arial" w:hAnsi="Arial"/>
                <w:sz w:val="18"/>
                <w:szCs w:val="18"/>
                <w:color w:val="auto"/>
                <w:w w:val="88"/>
              </w:rPr>
              <w:t>Credit Facility, dated as of December 20, 2011, among Amdocs Limited, certain of its subsidiaries, the lenders from time to time party</w:t>
            </w:r>
          </w:p>
        </w:tc>
      </w:tr>
      <w:tr>
        <w:trPr>
          <w:trHeight w:val="216"/>
        </w:trPr>
        <w:tc>
          <w:tcPr>
            <w:tcW w:w="860" w:type="dxa"/>
            <w:vAlign w:val="bottom"/>
          </w:tcPr>
          <w:p>
            <w:pPr>
              <w:spacing w:after="0"/>
              <w:rPr>
                <w:sz w:val="18"/>
                <w:szCs w:val="18"/>
                <w:color w:val="auto"/>
              </w:rPr>
            </w:pPr>
          </w:p>
        </w:tc>
        <w:tc>
          <w:tcPr>
            <w:tcW w:w="10420" w:type="dxa"/>
            <w:vAlign w:val="bottom"/>
            <w:gridSpan w:val="3"/>
          </w:tcPr>
          <w:p>
            <w:pPr>
              <w:ind w:left="980"/>
              <w:spacing w:after="0"/>
              <w:rPr>
                <w:sz w:val="20"/>
                <w:szCs w:val="20"/>
                <w:color w:val="auto"/>
              </w:rPr>
            </w:pPr>
            <w:r>
              <w:rPr>
                <w:rFonts w:ascii="Arial" w:cs="Arial" w:eastAsia="Arial" w:hAnsi="Arial"/>
                <w:sz w:val="18"/>
                <w:szCs w:val="18"/>
                <w:color w:val="auto"/>
                <w:w w:val="89"/>
              </w:rPr>
              <w:t>thereto, JPMorgan Chase Bank, N.A., as administrative agent, J.P. Morgan Europe Limited, as London agent, and JPMorgan Chase</w:t>
            </w:r>
          </w:p>
        </w:tc>
      </w:tr>
      <w:tr>
        <w:trPr>
          <w:trHeight w:val="222"/>
        </w:trPr>
        <w:tc>
          <w:tcPr>
            <w:tcW w:w="860" w:type="dxa"/>
            <w:vAlign w:val="bottom"/>
          </w:tcPr>
          <w:p>
            <w:pPr>
              <w:spacing w:after="0"/>
              <w:rPr>
                <w:sz w:val="19"/>
                <w:szCs w:val="19"/>
                <w:color w:val="auto"/>
              </w:rPr>
            </w:pPr>
          </w:p>
        </w:tc>
        <w:tc>
          <w:tcPr>
            <w:tcW w:w="10420" w:type="dxa"/>
            <w:vAlign w:val="bottom"/>
            <w:gridSpan w:val="3"/>
          </w:tcPr>
          <w:p>
            <w:pPr>
              <w:ind w:left="980"/>
              <w:spacing w:after="0"/>
              <w:rPr>
                <w:sz w:val="20"/>
                <w:szCs w:val="20"/>
                <w:color w:val="auto"/>
              </w:rPr>
            </w:pPr>
            <w:r>
              <w:rPr>
                <w:rFonts w:ascii="Arial" w:cs="Arial" w:eastAsia="Arial" w:hAnsi="Arial"/>
                <w:sz w:val="18"/>
                <w:szCs w:val="18"/>
                <w:color w:val="auto"/>
              </w:rPr>
              <w:t>Bank, N.A., Toronto branch, as Canadian agent</w:t>
            </w:r>
          </w:p>
        </w:tc>
      </w:tr>
    </w:tbl>
    <w:p>
      <w:pPr>
        <w:ind w:left="980"/>
        <w:spacing w:after="0"/>
        <w:rPr>
          <w:sz w:val="20"/>
          <w:szCs w:val="20"/>
          <w:color w:val="auto"/>
        </w:rPr>
        <w:sectPr>
          <w:pgSz w:w="11900" w:h="16838" w:orient="portrait"/>
          <w:cols w:equalWidth="0" w:num="1">
            <w:col w:w="11280"/>
          </w:cols>
          <w:pgMar w:left="240" w:top="280" w:right="3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December 20, 2011,</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AMDOCS LIMITED</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Borrowing Subsidiaries Party Hereto</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 P. MORGAN EUROPE LIMITED,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London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JPMORGAN CHASE BANK, N.A., TORONTO BRANCH,</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as Canadian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118745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MERRILL LYNCH, PIERCE, FENNER &amp; SMITH INCORPORATED and</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HSBC BANK PLC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109855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HSBC BANK PLC</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84455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109855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[CS&amp;M No. 6701-752]</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1460" w:type="dxa"/>
            <w:vAlign w:val="bottom"/>
          </w:tcPr>
          <w:p>
            <w:pPr>
              <w:spacing w:after="0"/>
              <w:rPr>
                <w:sz w:val="19"/>
                <w:szCs w:val="19"/>
                <w:color w:val="auto"/>
              </w:rPr>
            </w:pPr>
          </w:p>
        </w:tc>
        <w:tc>
          <w:tcPr>
            <w:tcW w:w="7620" w:type="dxa"/>
            <w:vAlign w:val="bottom"/>
          </w:tcPr>
          <w:p>
            <w:pPr>
              <w:jc w:val="center"/>
              <w:ind w:left="792"/>
              <w:spacing w:after="0"/>
              <w:rPr>
                <w:sz w:val="20"/>
                <w:szCs w:val="20"/>
                <w:color w:val="auto"/>
              </w:rPr>
            </w:pPr>
            <w:r>
              <w:rPr>
                <w:rFonts w:ascii="Arial" w:cs="Arial" w:eastAsia="Arial" w:hAnsi="Arial"/>
                <w:sz w:val="18"/>
                <w:szCs w:val="18"/>
                <w:color w:val="auto"/>
                <w:w w:val="93"/>
              </w:rPr>
              <w:t>TABLE OF CONTENTS</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460" w:type="dxa"/>
            <w:vAlign w:val="bottom"/>
          </w:tcPr>
          <w:p>
            <w:pPr>
              <w:spacing w:after="0"/>
              <w:rPr>
                <w:sz w:val="24"/>
                <w:szCs w:val="24"/>
                <w:color w:val="auto"/>
              </w:rPr>
            </w:pPr>
          </w:p>
        </w:tc>
        <w:tc>
          <w:tcPr>
            <w:tcW w:w="7620" w:type="dxa"/>
            <w:vAlign w:val="bottom"/>
            <w:vMerge w:val="restart"/>
          </w:tcPr>
          <w:p>
            <w:pPr>
              <w:jc w:val="center"/>
              <w:ind w:left="812"/>
              <w:spacing w:after="0"/>
              <w:rPr>
                <w:sz w:val="20"/>
                <w:szCs w:val="20"/>
                <w:color w:val="auto"/>
              </w:rPr>
            </w:pPr>
            <w:r>
              <w:rPr>
                <w:rFonts w:ascii="Arial" w:cs="Arial" w:eastAsia="Arial" w:hAnsi="Arial"/>
                <w:sz w:val="18"/>
                <w:szCs w:val="18"/>
                <w:color w:val="auto"/>
                <w:w w:val="97"/>
              </w:rPr>
              <w:t>ARTICLE I</w:t>
            </w:r>
          </w:p>
        </w:tc>
        <w:tc>
          <w:tcPr>
            <w:tcW w:w="2340" w:type="dxa"/>
            <w:vAlign w:val="bottom"/>
            <w:gridSpan w:val="2"/>
          </w:tcPr>
          <w:p>
            <w:pPr>
              <w:ind w:left="206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4"/>
        </w:trPr>
        <w:tc>
          <w:tcPr>
            <w:tcW w:w="1460" w:type="dxa"/>
            <w:vAlign w:val="bottom"/>
          </w:tcPr>
          <w:p>
            <w:pPr>
              <w:spacing w:after="0"/>
              <w:rPr>
                <w:sz w:val="16"/>
                <w:szCs w:val="16"/>
                <w:color w:val="auto"/>
              </w:rPr>
            </w:pPr>
          </w:p>
        </w:tc>
        <w:tc>
          <w:tcPr>
            <w:tcW w:w="762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620" w:type="dxa"/>
            <w:vAlign w:val="bottom"/>
          </w:tcPr>
          <w:p>
            <w:pPr>
              <w:jc w:val="center"/>
              <w:ind w:left="792"/>
              <w:spacing w:after="0"/>
              <w:rPr>
                <w:sz w:val="20"/>
                <w:szCs w:val="20"/>
                <w:color w:val="auto"/>
              </w:rPr>
            </w:pPr>
            <w:r>
              <w:rPr>
                <w:rFonts w:ascii="Arial" w:cs="Arial" w:eastAsia="Arial" w:hAnsi="Arial"/>
                <w:sz w:val="18"/>
                <w:szCs w:val="18"/>
                <w:color w:val="auto"/>
                <w:w w:val="92"/>
              </w:rPr>
              <w:t>Definitions</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SECTION 1.01.</w:t>
            </w:r>
          </w:p>
        </w:tc>
        <w:tc>
          <w:tcPr>
            <w:tcW w:w="7620" w:type="dxa"/>
            <w:vAlign w:val="bottom"/>
          </w:tcPr>
          <w:p>
            <w:pPr>
              <w:ind w:left="340"/>
              <w:spacing w:after="0"/>
              <w:rPr>
                <w:sz w:val="20"/>
                <w:szCs w:val="20"/>
                <w:color w:val="auto"/>
              </w:rPr>
            </w:pPr>
            <w:r>
              <w:rPr>
                <w:rFonts w:ascii="Arial" w:cs="Arial" w:eastAsia="Arial" w:hAnsi="Arial"/>
                <w:sz w:val="18"/>
                <w:szCs w:val="18"/>
                <w:color w:val="auto"/>
              </w:rPr>
              <w:t>Defined Terms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1.02.</w:t>
            </w:r>
          </w:p>
        </w:tc>
        <w:tc>
          <w:tcPr>
            <w:tcW w:w="7620" w:type="dxa"/>
            <w:vAlign w:val="bottom"/>
          </w:tcPr>
          <w:p>
            <w:pPr>
              <w:ind w:left="340"/>
              <w:spacing w:after="0"/>
              <w:rPr>
                <w:sz w:val="20"/>
                <w:szCs w:val="20"/>
                <w:color w:val="auto"/>
              </w:rPr>
            </w:pPr>
            <w:r>
              <w:rPr>
                <w:rFonts w:ascii="Arial" w:cs="Arial" w:eastAsia="Arial" w:hAnsi="Arial"/>
                <w:sz w:val="18"/>
                <w:szCs w:val="18"/>
                <w:color w:val="auto"/>
              </w:rPr>
              <w:t>Classification of Loans and Borrowings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1.03.</w:t>
            </w:r>
          </w:p>
        </w:tc>
        <w:tc>
          <w:tcPr>
            <w:tcW w:w="7620" w:type="dxa"/>
            <w:vAlign w:val="bottom"/>
          </w:tcPr>
          <w:p>
            <w:pPr>
              <w:ind w:left="340"/>
              <w:spacing w:after="0"/>
              <w:rPr>
                <w:sz w:val="20"/>
                <w:szCs w:val="20"/>
                <w:color w:val="auto"/>
              </w:rPr>
            </w:pPr>
            <w:r>
              <w:rPr>
                <w:rFonts w:ascii="Arial" w:cs="Arial" w:eastAsia="Arial" w:hAnsi="Arial"/>
                <w:sz w:val="18"/>
                <w:szCs w:val="18"/>
                <w:color w:val="auto"/>
              </w:rPr>
              <w:t>Terms Generally</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1.04.</w:t>
            </w:r>
          </w:p>
        </w:tc>
        <w:tc>
          <w:tcPr>
            <w:tcW w:w="7620" w:type="dxa"/>
            <w:vAlign w:val="bottom"/>
          </w:tcPr>
          <w:p>
            <w:pPr>
              <w:ind w:left="340"/>
              <w:spacing w:after="0"/>
              <w:rPr>
                <w:sz w:val="20"/>
                <w:szCs w:val="20"/>
                <w:color w:val="auto"/>
              </w:rPr>
            </w:pPr>
            <w:r>
              <w:rPr>
                <w:rFonts w:ascii="Arial" w:cs="Arial" w:eastAsia="Arial" w:hAnsi="Arial"/>
                <w:sz w:val="18"/>
                <w:szCs w:val="18"/>
                <w:color w:val="auto"/>
              </w:rPr>
              <w:t>Accounting Terms; GAAP; Pro Forma Computations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rPr>
              <w:t>SECTION 1.05.</w:t>
            </w:r>
          </w:p>
        </w:tc>
        <w:tc>
          <w:tcPr>
            <w:tcW w:w="7620" w:type="dxa"/>
            <w:vAlign w:val="bottom"/>
          </w:tcPr>
          <w:p>
            <w:pPr>
              <w:ind w:left="340"/>
              <w:spacing w:after="0"/>
              <w:rPr>
                <w:sz w:val="20"/>
                <w:szCs w:val="20"/>
                <w:color w:val="auto"/>
              </w:rPr>
            </w:pPr>
            <w:r>
              <w:rPr>
                <w:rFonts w:ascii="Arial" w:cs="Arial" w:eastAsia="Arial" w:hAnsi="Arial"/>
                <w:sz w:val="18"/>
                <w:szCs w:val="18"/>
                <w:color w:val="auto"/>
              </w:rPr>
              <w:t>Currency Translation</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620" w:type="dxa"/>
            <w:vAlign w:val="bottom"/>
          </w:tcPr>
          <w:p>
            <w:pPr>
              <w:jc w:val="center"/>
              <w:ind w:left="792"/>
              <w:spacing w:after="0"/>
              <w:rPr>
                <w:sz w:val="20"/>
                <w:szCs w:val="20"/>
                <w:color w:val="auto"/>
              </w:rPr>
            </w:pPr>
            <w:r>
              <w:rPr>
                <w:rFonts w:ascii="Arial" w:cs="Arial" w:eastAsia="Arial" w:hAnsi="Arial"/>
                <w:sz w:val="18"/>
                <w:szCs w:val="18"/>
                <w:color w:val="auto"/>
                <w:w w:val="98"/>
              </w:rPr>
              <w:t>ARTICLE II</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620" w:type="dxa"/>
            <w:vAlign w:val="bottom"/>
          </w:tcPr>
          <w:p>
            <w:pPr>
              <w:jc w:val="center"/>
              <w:ind w:left="792"/>
              <w:spacing w:after="0"/>
              <w:rPr>
                <w:sz w:val="20"/>
                <w:szCs w:val="20"/>
                <w:color w:val="auto"/>
              </w:rPr>
            </w:pPr>
            <w:r>
              <w:rPr>
                <w:rFonts w:ascii="Arial" w:cs="Arial" w:eastAsia="Arial" w:hAnsi="Arial"/>
                <w:sz w:val="18"/>
                <w:szCs w:val="18"/>
                <w:color w:val="auto"/>
                <w:w w:val="88"/>
              </w:rPr>
              <w:t>The Credits</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SECTION 2.01.</w:t>
            </w:r>
          </w:p>
        </w:tc>
        <w:tc>
          <w:tcPr>
            <w:tcW w:w="7620" w:type="dxa"/>
            <w:vAlign w:val="bottom"/>
          </w:tcPr>
          <w:p>
            <w:pPr>
              <w:ind w:left="340"/>
              <w:spacing w:after="0"/>
              <w:rPr>
                <w:sz w:val="20"/>
                <w:szCs w:val="20"/>
                <w:color w:val="auto"/>
              </w:rPr>
            </w:pPr>
            <w:r>
              <w:rPr>
                <w:rFonts w:ascii="Arial" w:cs="Arial" w:eastAsia="Arial" w:hAnsi="Arial"/>
                <w:sz w:val="18"/>
                <w:szCs w:val="18"/>
                <w:color w:val="auto"/>
              </w:rPr>
              <w:t>Commitments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2.02.</w:t>
            </w:r>
          </w:p>
        </w:tc>
        <w:tc>
          <w:tcPr>
            <w:tcW w:w="7620" w:type="dxa"/>
            <w:vAlign w:val="bottom"/>
          </w:tcPr>
          <w:p>
            <w:pPr>
              <w:ind w:left="340"/>
              <w:spacing w:after="0"/>
              <w:rPr>
                <w:sz w:val="20"/>
                <w:szCs w:val="20"/>
                <w:color w:val="auto"/>
              </w:rPr>
            </w:pPr>
            <w:r>
              <w:rPr>
                <w:rFonts w:ascii="Arial" w:cs="Arial" w:eastAsia="Arial" w:hAnsi="Arial"/>
                <w:sz w:val="18"/>
                <w:szCs w:val="18"/>
                <w:color w:val="auto"/>
              </w:rPr>
              <w:t>Loans and Borrowings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2.03.</w:t>
            </w:r>
          </w:p>
        </w:tc>
        <w:tc>
          <w:tcPr>
            <w:tcW w:w="7620" w:type="dxa"/>
            <w:vAlign w:val="bottom"/>
          </w:tcPr>
          <w:p>
            <w:pPr>
              <w:ind w:left="340"/>
              <w:spacing w:after="0"/>
              <w:rPr>
                <w:sz w:val="20"/>
                <w:szCs w:val="20"/>
                <w:color w:val="auto"/>
              </w:rPr>
            </w:pPr>
            <w:r>
              <w:rPr>
                <w:rFonts w:ascii="Arial" w:cs="Arial" w:eastAsia="Arial" w:hAnsi="Arial"/>
                <w:sz w:val="18"/>
                <w:szCs w:val="18"/>
                <w:color w:val="auto"/>
              </w:rPr>
              <w:t>Requests for Borrowings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2.04.</w:t>
            </w:r>
          </w:p>
        </w:tc>
        <w:tc>
          <w:tcPr>
            <w:tcW w:w="7620" w:type="dxa"/>
            <w:vAlign w:val="bottom"/>
          </w:tcPr>
          <w:p>
            <w:pPr>
              <w:ind w:left="340"/>
              <w:spacing w:after="0"/>
              <w:rPr>
                <w:sz w:val="20"/>
                <w:szCs w:val="20"/>
                <w:color w:val="auto"/>
              </w:rPr>
            </w:pPr>
            <w:r>
              <w:rPr>
                <w:rFonts w:ascii="Arial" w:cs="Arial" w:eastAsia="Arial" w:hAnsi="Arial"/>
                <w:sz w:val="18"/>
                <w:szCs w:val="18"/>
                <w:color w:val="auto"/>
              </w:rPr>
              <w:t>Swingline Loans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2.05.</w:t>
            </w:r>
          </w:p>
        </w:tc>
        <w:tc>
          <w:tcPr>
            <w:tcW w:w="7620" w:type="dxa"/>
            <w:vAlign w:val="bottom"/>
          </w:tcPr>
          <w:p>
            <w:pPr>
              <w:ind w:left="340"/>
              <w:spacing w:after="0"/>
              <w:rPr>
                <w:sz w:val="20"/>
                <w:szCs w:val="20"/>
                <w:color w:val="auto"/>
              </w:rPr>
            </w:pPr>
            <w:r>
              <w:rPr>
                <w:rFonts w:ascii="Arial" w:cs="Arial" w:eastAsia="Arial" w:hAnsi="Arial"/>
                <w:sz w:val="18"/>
                <w:szCs w:val="18"/>
                <w:color w:val="auto"/>
              </w:rPr>
              <w:t>Letters of Credit</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2.06.</w:t>
            </w:r>
          </w:p>
        </w:tc>
        <w:tc>
          <w:tcPr>
            <w:tcW w:w="7620" w:type="dxa"/>
            <w:vAlign w:val="bottom"/>
          </w:tcPr>
          <w:p>
            <w:pPr>
              <w:ind w:left="340"/>
              <w:spacing w:after="0"/>
              <w:rPr>
                <w:sz w:val="20"/>
                <w:szCs w:val="20"/>
                <w:color w:val="auto"/>
              </w:rPr>
            </w:pPr>
            <w:r>
              <w:rPr>
                <w:rFonts w:ascii="Arial" w:cs="Arial" w:eastAsia="Arial" w:hAnsi="Arial"/>
                <w:sz w:val="18"/>
                <w:szCs w:val="18"/>
                <w:color w:val="auto"/>
              </w:rPr>
              <w:t>Canadian Bankers’ Acceptances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2.07.</w:t>
            </w:r>
          </w:p>
        </w:tc>
        <w:tc>
          <w:tcPr>
            <w:tcW w:w="7620" w:type="dxa"/>
            <w:vAlign w:val="bottom"/>
          </w:tcPr>
          <w:p>
            <w:pPr>
              <w:ind w:left="340"/>
              <w:spacing w:after="0"/>
              <w:rPr>
                <w:sz w:val="20"/>
                <w:szCs w:val="20"/>
                <w:color w:val="auto"/>
              </w:rPr>
            </w:pPr>
            <w:r>
              <w:rPr>
                <w:rFonts w:ascii="Arial" w:cs="Arial" w:eastAsia="Arial" w:hAnsi="Arial"/>
                <w:sz w:val="18"/>
                <w:szCs w:val="18"/>
                <w:color w:val="auto"/>
              </w:rPr>
              <w:t>Funding of Borrowings and BA Drawings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2.08.</w:t>
            </w:r>
          </w:p>
        </w:tc>
        <w:tc>
          <w:tcPr>
            <w:tcW w:w="7620" w:type="dxa"/>
            <w:vAlign w:val="bottom"/>
          </w:tcPr>
          <w:p>
            <w:pPr>
              <w:ind w:left="340"/>
              <w:spacing w:after="0"/>
              <w:rPr>
                <w:sz w:val="20"/>
                <w:szCs w:val="20"/>
                <w:color w:val="auto"/>
              </w:rPr>
            </w:pPr>
            <w:r>
              <w:rPr>
                <w:rFonts w:ascii="Arial" w:cs="Arial" w:eastAsia="Arial" w:hAnsi="Arial"/>
                <w:sz w:val="18"/>
                <w:szCs w:val="18"/>
                <w:color w:val="auto"/>
              </w:rPr>
              <w:t>Interest Elections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2.09.</w:t>
            </w:r>
          </w:p>
        </w:tc>
        <w:tc>
          <w:tcPr>
            <w:tcW w:w="7620" w:type="dxa"/>
            <w:vAlign w:val="bottom"/>
          </w:tcPr>
          <w:p>
            <w:pPr>
              <w:ind w:left="340"/>
              <w:spacing w:after="0"/>
              <w:rPr>
                <w:sz w:val="20"/>
                <w:szCs w:val="20"/>
                <w:color w:val="auto"/>
              </w:rPr>
            </w:pPr>
            <w:r>
              <w:rPr>
                <w:rFonts w:ascii="Arial" w:cs="Arial" w:eastAsia="Arial" w:hAnsi="Arial"/>
                <w:sz w:val="18"/>
                <w:szCs w:val="18"/>
                <w:color w:val="auto"/>
              </w:rPr>
              <w:t>Termination, Reduction, Extension and Increase of Commitments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2.10.</w:t>
            </w:r>
          </w:p>
        </w:tc>
        <w:tc>
          <w:tcPr>
            <w:tcW w:w="7620" w:type="dxa"/>
            <w:vAlign w:val="bottom"/>
          </w:tcPr>
          <w:p>
            <w:pPr>
              <w:ind w:left="340"/>
              <w:spacing w:after="0"/>
              <w:rPr>
                <w:sz w:val="20"/>
                <w:szCs w:val="20"/>
                <w:color w:val="auto"/>
              </w:rPr>
            </w:pPr>
            <w:r>
              <w:rPr>
                <w:rFonts w:ascii="Arial" w:cs="Arial" w:eastAsia="Arial" w:hAnsi="Arial"/>
                <w:sz w:val="18"/>
                <w:szCs w:val="18"/>
                <w:color w:val="auto"/>
              </w:rPr>
              <w:t>Repayment of Loans and BAs; Evidence of Debt</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2.11.</w:t>
            </w:r>
          </w:p>
        </w:tc>
        <w:tc>
          <w:tcPr>
            <w:tcW w:w="7620" w:type="dxa"/>
            <w:vAlign w:val="bottom"/>
          </w:tcPr>
          <w:p>
            <w:pPr>
              <w:ind w:left="340"/>
              <w:spacing w:after="0"/>
              <w:rPr>
                <w:sz w:val="20"/>
                <w:szCs w:val="20"/>
                <w:color w:val="auto"/>
              </w:rPr>
            </w:pPr>
            <w:r>
              <w:rPr>
                <w:rFonts w:ascii="Arial" w:cs="Arial" w:eastAsia="Arial" w:hAnsi="Arial"/>
                <w:sz w:val="18"/>
                <w:szCs w:val="18"/>
                <w:color w:val="auto"/>
              </w:rPr>
              <w:t>Prepayment of Loans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2.12.</w:t>
            </w:r>
          </w:p>
        </w:tc>
        <w:tc>
          <w:tcPr>
            <w:tcW w:w="7620" w:type="dxa"/>
            <w:vAlign w:val="bottom"/>
          </w:tcPr>
          <w:p>
            <w:pPr>
              <w:ind w:left="340"/>
              <w:spacing w:after="0"/>
              <w:rPr>
                <w:sz w:val="20"/>
                <w:szCs w:val="20"/>
                <w:color w:val="auto"/>
              </w:rPr>
            </w:pPr>
            <w:r>
              <w:rPr>
                <w:rFonts w:ascii="Arial" w:cs="Arial" w:eastAsia="Arial" w:hAnsi="Arial"/>
                <w:sz w:val="18"/>
                <w:szCs w:val="18"/>
                <w:color w:val="auto"/>
              </w:rPr>
              <w:t>Fees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2.13.</w:t>
            </w:r>
          </w:p>
        </w:tc>
        <w:tc>
          <w:tcPr>
            <w:tcW w:w="76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2.14.</w:t>
            </w:r>
          </w:p>
        </w:tc>
        <w:tc>
          <w:tcPr>
            <w:tcW w:w="7620" w:type="dxa"/>
            <w:vAlign w:val="bottom"/>
          </w:tcPr>
          <w:p>
            <w:pPr>
              <w:ind w:left="340"/>
              <w:spacing w:after="0"/>
              <w:rPr>
                <w:sz w:val="20"/>
                <w:szCs w:val="20"/>
                <w:color w:val="auto"/>
              </w:rPr>
            </w:pPr>
            <w:r>
              <w:rPr>
                <w:rFonts w:ascii="Arial" w:cs="Arial" w:eastAsia="Arial" w:hAnsi="Arial"/>
                <w:sz w:val="18"/>
                <w:szCs w:val="18"/>
                <w:color w:val="auto"/>
              </w:rPr>
              <w:t>Alternate Rate of Interest</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2.15.</w:t>
            </w:r>
          </w:p>
        </w:tc>
        <w:tc>
          <w:tcPr>
            <w:tcW w:w="7620" w:type="dxa"/>
            <w:vAlign w:val="bottom"/>
          </w:tcPr>
          <w:p>
            <w:pPr>
              <w:ind w:left="340"/>
              <w:spacing w:after="0"/>
              <w:rPr>
                <w:sz w:val="20"/>
                <w:szCs w:val="20"/>
                <w:color w:val="auto"/>
              </w:rPr>
            </w:pPr>
            <w:r>
              <w:rPr>
                <w:rFonts w:ascii="Arial" w:cs="Arial" w:eastAsia="Arial" w:hAnsi="Arial"/>
                <w:sz w:val="18"/>
                <w:szCs w:val="18"/>
                <w:color w:val="auto"/>
              </w:rPr>
              <w:t>Increased Costs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2.16.</w:t>
            </w:r>
          </w:p>
        </w:tc>
        <w:tc>
          <w:tcPr>
            <w:tcW w:w="7620" w:type="dxa"/>
            <w:vAlign w:val="bottom"/>
          </w:tcPr>
          <w:p>
            <w:pPr>
              <w:ind w:left="340"/>
              <w:spacing w:after="0"/>
              <w:rPr>
                <w:sz w:val="20"/>
                <w:szCs w:val="20"/>
                <w:color w:val="auto"/>
              </w:rPr>
            </w:pPr>
            <w:r>
              <w:rPr>
                <w:rFonts w:ascii="Arial" w:cs="Arial" w:eastAsia="Arial" w:hAnsi="Arial"/>
                <w:sz w:val="18"/>
                <w:szCs w:val="18"/>
                <w:color w:val="auto"/>
              </w:rPr>
              <w:t>Break Funding Payments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2.17.</w:t>
            </w:r>
          </w:p>
        </w:tc>
        <w:tc>
          <w:tcPr>
            <w:tcW w:w="7620" w:type="dxa"/>
            <w:vAlign w:val="bottom"/>
          </w:tcPr>
          <w:p>
            <w:pPr>
              <w:ind w:left="340"/>
              <w:spacing w:after="0"/>
              <w:rPr>
                <w:sz w:val="20"/>
                <w:szCs w:val="20"/>
                <w:color w:val="auto"/>
              </w:rPr>
            </w:pPr>
            <w:r>
              <w:rPr>
                <w:rFonts w:ascii="Arial" w:cs="Arial" w:eastAsia="Arial" w:hAnsi="Arial"/>
                <w:sz w:val="18"/>
                <w:szCs w:val="18"/>
                <w:color w:val="auto"/>
              </w:rPr>
              <w:t>Taxes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2.18.</w:t>
            </w:r>
          </w:p>
        </w:tc>
        <w:tc>
          <w:tcPr>
            <w:tcW w:w="7620" w:type="dxa"/>
            <w:vAlign w:val="bottom"/>
          </w:tcPr>
          <w:p>
            <w:pPr>
              <w:ind w:left="340"/>
              <w:spacing w:after="0"/>
              <w:rPr>
                <w:sz w:val="20"/>
                <w:szCs w:val="20"/>
                <w:color w:val="auto"/>
              </w:rPr>
            </w:pPr>
            <w:r>
              <w:rPr>
                <w:rFonts w:ascii="Arial" w:cs="Arial" w:eastAsia="Arial" w:hAnsi="Arial"/>
                <w:sz w:val="18"/>
                <w:szCs w:val="18"/>
                <w:color w:val="auto"/>
              </w:rPr>
              <w:t>Payments Generally; Pro Rata Treatment; Sharing of Set-offs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2.19.</w:t>
            </w:r>
          </w:p>
        </w:tc>
        <w:tc>
          <w:tcPr>
            <w:tcW w:w="7620" w:type="dxa"/>
            <w:vAlign w:val="bottom"/>
          </w:tcPr>
          <w:p>
            <w:pPr>
              <w:ind w:left="340"/>
              <w:spacing w:after="0"/>
              <w:rPr>
                <w:sz w:val="20"/>
                <w:szCs w:val="20"/>
                <w:color w:val="auto"/>
              </w:rPr>
            </w:pPr>
            <w:r>
              <w:rPr>
                <w:rFonts w:ascii="Arial" w:cs="Arial" w:eastAsia="Arial" w:hAnsi="Arial"/>
                <w:sz w:val="18"/>
                <w:szCs w:val="18"/>
                <w:color w:val="auto"/>
              </w:rPr>
              <w:t>Mitigation by Lenders; Replacement of Lenders; Mitigation by Borrowers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2.20.</w:t>
            </w:r>
          </w:p>
        </w:tc>
        <w:tc>
          <w:tcPr>
            <w:tcW w:w="7620" w:type="dxa"/>
            <w:vAlign w:val="bottom"/>
          </w:tcPr>
          <w:p>
            <w:pPr>
              <w:ind w:left="340"/>
              <w:spacing w:after="0"/>
              <w:rPr>
                <w:sz w:val="20"/>
                <w:szCs w:val="20"/>
                <w:color w:val="auto"/>
              </w:rPr>
            </w:pPr>
            <w:r>
              <w:rPr>
                <w:rFonts w:ascii="Arial" w:cs="Arial" w:eastAsia="Arial" w:hAnsi="Arial"/>
                <w:sz w:val="18"/>
                <w:szCs w:val="18"/>
                <w:color w:val="auto"/>
              </w:rPr>
              <w:t>Defaulting Lenders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2.21.</w:t>
            </w:r>
          </w:p>
        </w:tc>
        <w:tc>
          <w:tcPr>
            <w:tcW w:w="7620" w:type="dxa"/>
            <w:vAlign w:val="bottom"/>
          </w:tcPr>
          <w:p>
            <w:pPr>
              <w:ind w:left="340"/>
              <w:spacing w:after="0"/>
              <w:rPr>
                <w:sz w:val="20"/>
                <w:szCs w:val="20"/>
                <w:color w:val="auto"/>
              </w:rPr>
            </w:pPr>
            <w:r>
              <w:rPr>
                <w:rFonts w:ascii="Arial" w:cs="Arial" w:eastAsia="Arial" w:hAnsi="Arial"/>
                <w:sz w:val="18"/>
                <w:szCs w:val="18"/>
                <w:color w:val="auto"/>
              </w:rPr>
              <w:t>Foreign Subsidiary Costs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rPr>
              <w:t>SECTION 2.22.</w:t>
            </w:r>
          </w:p>
        </w:tc>
        <w:tc>
          <w:tcPr>
            <w:tcW w:w="7620" w:type="dxa"/>
            <w:vAlign w:val="bottom"/>
          </w:tcPr>
          <w:p>
            <w:pPr>
              <w:ind w:left="340"/>
              <w:spacing w:after="0"/>
              <w:rPr>
                <w:sz w:val="20"/>
                <w:szCs w:val="20"/>
                <w:color w:val="auto"/>
              </w:rPr>
            </w:pPr>
            <w:r>
              <w:rPr>
                <w:rFonts w:ascii="Arial" w:cs="Arial" w:eastAsia="Arial" w:hAnsi="Arial"/>
                <w:sz w:val="18"/>
                <w:szCs w:val="18"/>
                <w:color w:val="auto"/>
              </w:rPr>
              <w:t>Designation of Borrowing Subsidiaries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620" w:type="dxa"/>
            <w:vAlign w:val="bottom"/>
          </w:tcPr>
          <w:p>
            <w:pPr>
              <w:jc w:val="center"/>
              <w:ind w:left="792"/>
              <w:spacing w:after="0"/>
              <w:rPr>
                <w:sz w:val="20"/>
                <w:szCs w:val="20"/>
                <w:color w:val="auto"/>
              </w:rPr>
            </w:pPr>
            <w:r>
              <w:rPr>
                <w:rFonts w:ascii="Arial" w:cs="Arial" w:eastAsia="Arial" w:hAnsi="Arial"/>
                <w:sz w:val="18"/>
                <w:szCs w:val="18"/>
                <w:color w:val="auto"/>
                <w:w w:val="97"/>
              </w:rPr>
              <w:t>ARTICLE III</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620" w:type="dxa"/>
            <w:vAlign w:val="bottom"/>
          </w:tcPr>
          <w:p>
            <w:pPr>
              <w:jc w:val="center"/>
              <w:ind w:left="792"/>
              <w:spacing w:after="0"/>
              <w:rPr>
                <w:sz w:val="20"/>
                <w:szCs w:val="20"/>
                <w:color w:val="auto"/>
              </w:rPr>
            </w:pPr>
            <w:r>
              <w:rPr>
                <w:rFonts w:ascii="Arial" w:cs="Arial" w:eastAsia="Arial" w:hAnsi="Arial"/>
                <w:sz w:val="18"/>
                <w:szCs w:val="18"/>
                <w:color w:val="auto"/>
                <w:w w:val="85"/>
              </w:rPr>
              <w:t>Representations and Warranties</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SECTION 3.01.</w:t>
            </w:r>
          </w:p>
        </w:tc>
        <w:tc>
          <w:tcPr>
            <w:tcW w:w="7620" w:type="dxa"/>
            <w:vAlign w:val="bottom"/>
          </w:tcPr>
          <w:p>
            <w:pPr>
              <w:ind w:left="340"/>
              <w:spacing w:after="0"/>
              <w:rPr>
                <w:sz w:val="20"/>
                <w:szCs w:val="20"/>
                <w:color w:val="auto"/>
              </w:rPr>
            </w:pPr>
            <w:r>
              <w:rPr>
                <w:rFonts w:ascii="Arial" w:cs="Arial" w:eastAsia="Arial" w:hAnsi="Arial"/>
                <w:sz w:val="18"/>
                <w:szCs w:val="18"/>
                <w:color w:val="auto"/>
              </w:rPr>
              <w:t>Organization; Powers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3.02.</w:t>
            </w:r>
          </w:p>
        </w:tc>
        <w:tc>
          <w:tcPr>
            <w:tcW w:w="7620" w:type="dxa"/>
            <w:vAlign w:val="bottom"/>
          </w:tcPr>
          <w:p>
            <w:pPr>
              <w:ind w:left="340"/>
              <w:spacing w:after="0"/>
              <w:rPr>
                <w:sz w:val="20"/>
                <w:szCs w:val="20"/>
                <w:color w:val="auto"/>
              </w:rPr>
            </w:pPr>
            <w:r>
              <w:rPr>
                <w:rFonts w:ascii="Arial" w:cs="Arial" w:eastAsia="Arial" w:hAnsi="Arial"/>
                <w:sz w:val="18"/>
                <w:szCs w:val="18"/>
                <w:color w:val="auto"/>
              </w:rPr>
              <w:t>Authorization; Enforceability</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3.03.</w:t>
            </w:r>
          </w:p>
        </w:tc>
        <w:tc>
          <w:tcPr>
            <w:tcW w:w="7620" w:type="dxa"/>
            <w:vAlign w:val="bottom"/>
          </w:tcPr>
          <w:p>
            <w:pPr>
              <w:ind w:left="340"/>
              <w:spacing w:after="0"/>
              <w:rPr>
                <w:sz w:val="20"/>
                <w:szCs w:val="20"/>
                <w:color w:val="auto"/>
              </w:rPr>
            </w:pPr>
            <w:r>
              <w:rPr>
                <w:rFonts w:ascii="Arial" w:cs="Arial" w:eastAsia="Arial" w:hAnsi="Arial"/>
                <w:sz w:val="18"/>
                <w:szCs w:val="18"/>
                <w:color w:val="auto"/>
              </w:rPr>
              <w:t>Governmental Approvals; No Conflicts</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8"/>
                <w:szCs w:val="18"/>
                <w:color w:val="auto"/>
              </w:rPr>
              <w:t>SECTION 3.04.</w:t>
            </w:r>
          </w:p>
        </w:tc>
        <w:tc>
          <w:tcPr>
            <w:tcW w:w="7620" w:type="dxa"/>
            <w:vAlign w:val="bottom"/>
          </w:tcPr>
          <w:p>
            <w:pPr>
              <w:ind w:left="340"/>
              <w:spacing w:after="0"/>
              <w:rPr>
                <w:sz w:val="20"/>
                <w:szCs w:val="20"/>
                <w:color w:val="auto"/>
              </w:rPr>
            </w:pPr>
            <w:r>
              <w:rPr>
                <w:rFonts w:ascii="Arial" w:cs="Arial" w:eastAsia="Arial" w:hAnsi="Arial"/>
                <w:sz w:val="18"/>
                <w:szCs w:val="18"/>
                <w:color w:val="auto"/>
              </w:rPr>
              <w:t>Financial Condition; No Material Adverse Change</w:t>
            </w:r>
          </w:p>
        </w:tc>
        <w:tc>
          <w:tcPr>
            <w:tcW w:w="2340" w:type="dxa"/>
            <w:vAlign w:val="bottom"/>
            <w:gridSpan w:val="2"/>
          </w:tcPr>
          <w:p>
            <w:pPr>
              <w:ind w:left="20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3.05.</w:t>
            </w:r>
          </w:p>
        </w:tc>
        <w:tc>
          <w:tcPr>
            <w:tcW w:w="740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3.06.</w:t>
            </w:r>
          </w:p>
        </w:tc>
        <w:tc>
          <w:tcPr>
            <w:tcW w:w="7400" w:type="dxa"/>
            <w:vAlign w:val="bottom"/>
          </w:tcPr>
          <w:p>
            <w:pPr>
              <w:ind w:left="320"/>
              <w:spacing w:after="0"/>
              <w:rPr>
                <w:sz w:val="20"/>
                <w:szCs w:val="20"/>
                <w:color w:val="auto"/>
              </w:rPr>
            </w:pPr>
            <w:r>
              <w:rPr>
                <w:rFonts w:ascii="Arial" w:cs="Arial" w:eastAsia="Arial" w:hAnsi="Arial"/>
                <w:sz w:val="18"/>
                <w:szCs w:val="18"/>
                <w:color w:val="auto"/>
              </w:rPr>
              <w:t>Litigation and Environmental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3.07.</w:t>
            </w:r>
          </w:p>
        </w:tc>
        <w:tc>
          <w:tcPr>
            <w:tcW w:w="7400" w:type="dxa"/>
            <w:vAlign w:val="bottom"/>
          </w:tcPr>
          <w:p>
            <w:pPr>
              <w:ind w:left="320"/>
              <w:spacing w:after="0"/>
              <w:rPr>
                <w:sz w:val="20"/>
                <w:szCs w:val="20"/>
                <w:color w:val="auto"/>
              </w:rPr>
            </w:pPr>
            <w:r>
              <w:rPr>
                <w:rFonts w:ascii="Arial" w:cs="Arial" w:eastAsia="Arial" w:hAnsi="Arial"/>
                <w:sz w:val="18"/>
                <w:szCs w:val="18"/>
                <w:color w:val="auto"/>
              </w:rPr>
              <w:t>Compliance with Laws and Agreements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3.08.</w:t>
            </w:r>
          </w:p>
        </w:tc>
        <w:tc>
          <w:tcPr>
            <w:tcW w:w="7400" w:type="dxa"/>
            <w:vAlign w:val="bottom"/>
          </w:tcPr>
          <w:p>
            <w:pPr>
              <w:ind w:left="320"/>
              <w:spacing w:after="0"/>
              <w:rPr>
                <w:sz w:val="20"/>
                <w:szCs w:val="20"/>
                <w:color w:val="auto"/>
              </w:rPr>
            </w:pPr>
            <w:r>
              <w:rPr>
                <w:rFonts w:ascii="Arial" w:cs="Arial" w:eastAsia="Arial" w:hAnsi="Arial"/>
                <w:sz w:val="18"/>
                <w:szCs w:val="18"/>
                <w:color w:val="auto"/>
              </w:rPr>
              <w:t>Investment Company Status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3.09.</w:t>
            </w:r>
          </w:p>
        </w:tc>
        <w:tc>
          <w:tcPr>
            <w:tcW w:w="7400" w:type="dxa"/>
            <w:vAlign w:val="bottom"/>
          </w:tcPr>
          <w:p>
            <w:pPr>
              <w:ind w:left="320"/>
              <w:spacing w:after="0"/>
              <w:rPr>
                <w:sz w:val="20"/>
                <w:szCs w:val="20"/>
                <w:color w:val="auto"/>
              </w:rPr>
            </w:pPr>
            <w:r>
              <w:rPr>
                <w:rFonts w:ascii="Arial" w:cs="Arial" w:eastAsia="Arial" w:hAnsi="Arial"/>
                <w:sz w:val="18"/>
                <w:szCs w:val="18"/>
                <w:color w:val="auto"/>
              </w:rPr>
              <w:t>Taxes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3.10.</w:t>
            </w:r>
          </w:p>
        </w:tc>
        <w:tc>
          <w:tcPr>
            <w:tcW w:w="7400" w:type="dxa"/>
            <w:vAlign w:val="bottom"/>
          </w:tcPr>
          <w:p>
            <w:pPr>
              <w:ind w:left="320"/>
              <w:spacing w:after="0"/>
              <w:rPr>
                <w:sz w:val="20"/>
                <w:szCs w:val="20"/>
                <w:color w:val="auto"/>
              </w:rPr>
            </w:pPr>
            <w:r>
              <w:rPr>
                <w:rFonts w:ascii="Arial" w:cs="Arial" w:eastAsia="Arial" w:hAnsi="Arial"/>
                <w:sz w:val="18"/>
                <w:szCs w:val="18"/>
                <w:color w:val="auto"/>
              </w:rPr>
              <w:t>Employee Benefit Plans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3.11.</w:t>
            </w:r>
          </w:p>
        </w:tc>
        <w:tc>
          <w:tcPr>
            <w:tcW w:w="740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3.12.</w:t>
            </w:r>
          </w:p>
        </w:tc>
        <w:tc>
          <w:tcPr>
            <w:tcW w:w="740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SECTION 3.13.</w:t>
            </w:r>
          </w:p>
        </w:tc>
        <w:tc>
          <w:tcPr>
            <w:tcW w:w="7400" w:type="dxa"/>
            <w:vAlign w:val="bottom"/>
          </w:tcPr>
          <w:p>
            <w:pPr>
              <w:ind w:left="320"/>
              <w:spacing w:after="0"/>
              <w:rPr>
                <w:sz w:val="20"/>
                <w:szCs w:val="20"/>
                <w:color w:val="auto"/>
              </w:rPr>
            </w:pPr>
            <w:r>
              <w:rPr>
                <w:rFonts w:ascii="Arial" w:cs="Arial" w:eastAsia="Arial" w:hAnsi="Arial"/>
                <w:sz w:val="18"/>
                <w:szCs w:val="18"/>
                <w:color w:val="auto"/>
              </w:rPr>
              <w:t>OFAC Compliance</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480" w:type="dxa"/>
            <w:vAlign w:val="bottom"/>
          </w:tcPr>
          <w:p>
            <w:pPr>
              <w:spacing w:after="0"/>
              <w:rPr>
                <w:sz w:val="24"/>
                <w:szCs w:val="24"/>
                <w:color w:val="auto"/>
              </w:rPr>
            </w:pPr>
          </w:p>
        </w:tc>
        <w:tc>
          <w:tcPr>
            <w:tcW w:w="7400" w:type="dxa"/>
            <w:vAlign w:val="bottom"/>
          </w:tcPr>
          <w:p>
            <w:pPr>
              <w:jc w:val="center"/>
              <w:ind w:left="992"/>
              <w:spacing w:after="0"/>
              <w:rPr>
                <w:sz w:val="20"/>
                <w:szCs w:val="20"/>
                <w:color w:val="auto"/>
              </w:rPr>
            </w:pPr>
            <w:r>
              <w:rPr>
                <w:rFonts w:ascii="Arial" w:cs="Arial" w:eastAsia="Arial" w:hAnsi="Arial"/>
                <w:sz w:val="18"/>
                <w:szCs w:val="18"/>
                <w:color w:val="auto"/>
                <w:w w:val="97"/>
              </w:rPr>
              <w:t>ARTICLE IV</w:t>
            </w:r>
          </w:p>
        </w:tc>
        <w:tc>
          <w:tcPr>
            <w:tcW w:w="254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7400" w:type="dxa"/>
            <w:vAlign w:val="bottom"/>
          </w:tcPr>
          <w:p>
            <w:pPr>
              <w:jc w:val="center"/>
              <w:ind w:left="972"/>
              <w:spacing w:after="0"/>
              <w:rPr>
                <w:sz w:val="20"/>
                <w:szCs w:val="20"/>
                <w:color w:val="auto"/>
              </w:rPr>
            </w:pPr>
            <w:r>
              <w:rPr>
                <w:rFonts w:ascii="Arial" w:cs="Arial" w:eastAsia="Arial" w:hAnsi="Arial"/>
                <w:sz w:val="18"/>
                <w:szCs w:val="18"/>
                <w:color w:val="auto"/>
                <w:w w:val="91"/>
              </w:rPr>
              <w:t>Conditions</w:t>
            </w:r>
          </w:p>
        </w:tc>
        <w:tc>
          <w:tcPr>
            <w:tcW w:w="2540" w:type="dxa"/>
            <w:vAlign w:val="bottom"/>
          </w:tcPr>
          <w:p>
            <w:pPr>
              <w:spacing w:after="0"/>
              <w:rPr>
                <w:sz w:val="24"/>
                <w:szCs w:val="24"/>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SECTION 4.01.</w:t>
            </w:r>
          </w:p>
        </w:tc>
        <w:tc>
          <w:tcPr>
            <w:tcW w:w="7400" w:type="dxa"/>
            <w:vAlign w:val="bottom"/>
          </w:tcPr>
          <w:p>
            <w:pPr>
              <w:ind w:left="320"/>
              <w:spacing w:after="0"/>
              <w:rPr>
                <w:sz w:val="20"/>
                <w:szCs w:val="20"/>
                <w:color w:val="auto"/>
              </w:rPr>
            </w:pPr>
            <w:r>
              <w:rPr>
                <w:rFonts w:ascii="Arial" w:cs="Arial" w:eastAsia="Arial" w:hAnsi="Arial"/>
                <w:sz w:val="18"/>
                <w:szCs w:val="18"/>
                <w:color w:val="auto"/>
              </w:rPr>
              <w:t>Effective Date</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4.02.</w:t>
            </w:r>
          </w:p>
        </w:tc>
        <w:tc>
          <w:tcPr>
            <w:tcW w:w="7400" w:type="dxa"/>
            <w:vAlign w:val="bottom"/>
          </w:tcPr>
          <w:p>
            <w:pPr>
              <w:ind w:left="320"/>
              <w:spacing w:after="0"/>
              <w:rPr>
                <w:sz w:val="20"/>
                <w:szCs w:val="20"/>
                <w:color w:val="auto"/>
              </w:rPr>
            </w:pPr>
            <w:r>
              <w:rPr>
                <w:rFonts w:ascii="Arial" w:cs="Arial" w:eastAsia="Arial" w:hAnsi="Arial"/>
                <w:sz w:val="18"/>
                <w:szCs w:val="18"/>
                <w:color w:val="auto"/>
              </w:rPr>
              <w:t>Each Credit Event</w:t>
            </w:r>
          </w:p>
        </w:tc>
        <w:tc>
          <w:tcPr>
            <w:tcW w:w="2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SECTION 4.03.</w:t>
            </w:r>
          </w:p>
        </w:tc>
        <w:tc>
          <w:tcPr>
            <w:tcW w:w="7400" w:type="dxa"/>
            <w:vAlign w:val="bottom"/>
          </w:tcPr>
          <w:p>
            <w:pPr>
              <w:ind w:left="320"/>
              <w:spacing w:after="0"/>
              <w:rPr>
                <w:sz w:val="20"/>
                <w:szCs w:val="20"/>
                <w:color w:val="auto"/>
              </w:rPr>
            </w:pPr>
            <w:r>
              <w:rPr>
                <w:rFonts w:ascii="Arial" w:cs="Arial" w:eastAsia="Arial" w:hAnsi="Arial"/>
                <w:sz w:val="18"/>
                <w:szCs w:val="18"/>
                <w:color w:val="auto"/>
              </w:rPr>
              <w:t>Initial Credit Event for each Additional Borrowing Subsidiary</w:t>
            </w:r>
          </w:p>
        </w:tc>
        <w:tc>
          <w:tcPr>
            <w:tcW w:w="2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80" w:type="dxa"/>
            <w:vAlign w:val="bottom"/>
          </w:tcPr>
          <w:p>
            <w:pPr>
              <w:spacing w:after="0"/>
              <w:rPr>
                <w:sz w:val="24"/>
                <w:szCs w:val="24"/>
                <w:color w:val="auto"/>
              </w:rPr>
            </w:pPr>
          </w:p>
        </w:tc>
        <w:tc>
          <w:tcPr>
            <w:tcW w:w="7400" w:type="dxa"/>
            <w:vAlign w:val="bottom"/>
          </w:tcPr>
          <w:p>
            <w:pPr>
              <w:jc w:val="center"/>
              <w:ind w:left="972"/>
              <w:spacing w:after="0"/>
              <w:rPr>
                <w:sz w:val="20"/>
                <w:szCs w:val="20"/>
                <w:color w:val="auto"/>
              </w:rPr>
            </w:pPr>
            <w:r>
              <w:rPr>
                <w:rFonts w:ascii="Arial" w:cs="Arial" w:eastAsia="Arial" w:hAnsi="Arial"/>
                <w:sz w:val="18"/>
                <w:szCs w:val="18"/>
                <w:color w:val="auto"/>
                <w:w w:val="96"/>
              </w:rPr>
              <w:t>ARTICLE V</w:t>
            </w:r>
          </w:p>
        </w:tc>
        <w:tc>
          <w:tcPr>
            <w:tcW w:w="254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7400" w:type="dxa"/>
            <w:vAlign w:val="bottom"/>
          </w:tcPr>
          <w:p>
            <w:pPr>
              <w:jc w:val="center"/>
              <w:ind w:left="972"/>
              <w:spacing w:after="0"/>
              <w:rPr>
                <w:sz w:val="20"/>
                <w:szCs w:val="20"/>
                <w:color w:val="auto"/>
              </w:rPr>
            </w:pPr>
            <w:r>
              <w:rPr>
                <w:rFonts w:ascii="Arial" w:cs="Arial" w:eastAsia="Arial" w:hAnsi="Arial"/>
                <w:sz w:val="18"/>
                <w:szCs w:val="18"/>
                <w:color w:val="auto"/>
                <w:w w:val="91"/>
              </w:rPr>
              <w:t>Affirmative Covenants</w:t>
            </w:r>
          </w:p>
        </w:tc>
        <w:tc>
          <w:tcPr>
            <w:tcW w:w="2540" w:type="dxa"/>
            <w:vAlign w:val="bottom"/>
          </w:tcPr>
          <w:p>
            <w:pPr>
              <w:spacing w:after="0"/>
              <w:rPr>
                <w:sz w:val="24"/>
                <w:szCs w:val="24"/>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SECTION 5.01.</w:t>
            </w:r>
          </w:p>
        </w:tc>
        <w:tc>
          <w:tcPr>
            <w:tcW w:w="7400" w:type="dxa"/>
            <w:vAlign w:val="bottom"/>
          </w:tcPr>
          <w:p>
            <w:pPr>
              <w:ind w:left="320"/>
              <w:spacing w:after="0"/>
              <w:rPr>
                <w:sz w:val="20"/>
                <w:szCs w:val="20"/>
                <w:color w:val="auto"/>
              </w:rPr>
            </w:pPr>
            <w:r>
              <w:rPr>
                <w:rFonts w:ascii="Arial" w:cs="Arial" w:eastAsia="Arial" w:hAnsi="Arial"/>
                <w:sz w:val="18"/>
                <w:szCs w:val="18"/>
                <w:color w:val="auto"/>
              </w:rPr>
              <w:t>Financial Statements and Other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5.02.</w:t>
            </w:r>
          </w:p>
        </w:tc>
        <w:tc>
          <w:tcPr>
            <w:tcW w:w="7400" w:type="dxa"/>
            <w:vAlign w:val="bottom"/>
          </w:tcPr>
          <w:p>
            <w:pPr>
              <w:ind w:left="320"/>
              <w:spacing w:after="0"/>
              <w:rPr>
                <w:sz w:val="20"/>
                <w:szCs w:val="20"/>
                <w:color w:val="auto"/>
              </w:rPr>
            </w:pPr>
            <w:r>
              <w:rPr>
                <w:rFonts w:ascii="Arial" w:cs="Arial" w:eastAsia="Arial" w:hAnsi="Arial"/>
                <w:sz w:val="18"/>
                <w:szCs w:val="18"/>
                <w:color w:val="auto"/>
              </w:rPr>
              <w:t>Notices of Material Events</w:t>
            </w:r>
          </w:p>
        </w:tc>
        <w:tc>
          <w:tcPr>
            <w:tcW w:w="2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5.03.</w:t>
            </w:r>
          </w:p>
        </w:tc>
        <w:tc>
          <w:tcPr>
            <w:tcW w:w="7400" w:type="dxa"/>
            <w:vAlign w:val="bottom"/>
          </w:tcPr>
          <w:p>
            <w:pPr>
              <w:ind w:left="320"/>
              <w:spacing w:after="0"/>
              <w:rPr>
                <w:sz w:val="20"/>
                <w:szCs w:val="20"/>
                <w:color w:val="auto"/>
              </w:rPr>
            </w:pPr>
            <w:r>
              <w:rPr>
                <w:rFonts w:ascii="Arial" w:cs="Arial" w:eastAsia="Arial" w:hAnsi="Arial"/>
                <w:sz w:val="18"/>
                <w:szCs w:val="18"/>
                <w:color w:val="auto"/>
              </w:rPr>
              <w:t>Existence; Conduct of Business</w:t>
            </w:r>
          </w:p>
        </w:tc>
        <w:tc>
          <w:tcPr>
            <w:tcW w:w="2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5.04.</w:t>
            </w:r>
          </w:p>
        </w:tc>
        <w:tc>
          <w:tcPr>
            <w:tcW w:w="7400" w:type="dxa"/>
            <w:vAlign w:val="bottom"/>
          </w:tcPr>
          <w:p>
            <w:pPr>
              <w:ind w:left="320"/>
              <w:spacing w:after="0"/>
              <w:rPr>
                <w:sz w:val="20"/>
                <w:szCs w:val="20"/>
                <w:color w:val="auto"/>
              </w:rPr>
            </w:pPr>
            <w:r>
              <w:rPr>
                <w:rFonts w:ascii="Arial" w:cs="Arial" w:eastAsia="Arial" w:hAnsi="Arial"/>
                <w:sz w:val="18"/>
                <w:szCs w:val="18"/>
                <w:color w:val="auto"/>
              </w:rPr>
              <w:t>Payment of Obligations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5.05.</w:t>
            </w:r>
          </w:p>
        </w:tc>
        <w:tc>
          <w:tcPr>
            <w:tcW w:w="7400" w:type="dxa"/>
            <w:vAlign w:val="bottom"/>
          </w:tcPr>
          <w:p>
            <w:pPr>
              <w:ind w:left="320"/>
              <w:spacing w:after="0"/>
              <w:rPr>
                <w:sz w:val="20"/>
                <w:szCs w:val="20"/>
                <w:color w:val="auto"/>
              </w:rPr>
            </w:pPr>
            <w:r>
              <w:rPr>
                <w:rFonts w:ascii="Arial" w:cs="Arial" w:eastAsia="Arial" w:hAnsi="Arial"/>
                <w:sz w:val="18"/>
                <w:szCs w:val="18"/>
                <w:color w:val="auto"/>
              </w:rPr>
              <w:t>Maintenance of Properties;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5.06.</w:t>
            </w:r>
          </w:p>
        </w:tc>
        <w:tc>
          <w:tcPr>
            <w:tcW w:w="7400" w:type="dxa"/>
            <w:vAlign w:val="bottom"/>
          </w:tcPr>
          <w:p>
            <w:pPr>
              <w:ind w:left="320"/>
              <w:spacing w:after="0"/>
              <w:rPr>
                <w:sz w:val="20"/>
                <w:szCs w:val="20"/>
                <w:color w:val="auto"/>
              </w:rPr>
            </w:pPr>
            <w:r>
              <w:rPr>
                <w:rFonts w:ascii="Arial" w:cs="Arial" w:eastAsia="Arial" w:hAnsi="Arial"/>
                <w:sz w:val="18"/>
                <w:szCs w:val="18"/>
                <w:color w:val="auto"/>
              </w:rPr>
              <w:t>Books and Records; Inspection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5.07.</w:t>
            </w:r>
          </w:p>
        </w:tc>
        <w:tc>
          <w:tcPr>
            <w:tcW w:w="7400" w:type="dxa"/>
            <w:vAlign w:val="bottom"/>
          </w:tcPr>
          <w:p>
            <w:pPr>
              <w:ind w:left="320"/>
              <w:spacing w:after="0"/>
              <w:rPr>
                <w:sz w:val="20"/>
                <w:szCs w:val="20"/>
                <w:color w:val="auto"/>
              </w:rPr>
            </w:pPr>
            <w:r>
              <w:rPr>
                <w:rFonts w:ascii="Arial" w:cs="Arial" w:eastAsia="Arial" w:hAnsi="Arial"/>
                <w:sz w:val="18"/>
                <w:szCs w:val="18"/>
                <w:color w:val="auto"/>
              </w:rPr>
              <w:t>Compliance with Laws</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SECTION 5.08.</w:t>
            </w:r>
          </w:p>
        </w:tc>
        <w:tc>
          <w:tcPr>
            <w:tcW w:w="740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480" w:type="dxa"/>
            <w:vAlign w:val="bottom"/>
          </w:tcPr>
          <w:p>
            <w:pPr>
              <w:spacing w:after="0"/>
              <w:rPr>
                <w:sz w:val="24"/>
                <w:szCs w:val="24"/>
                <w:color w:val="auto"/>
              </w:rPr>
            </w:pPr>
          </w:p>
        </w:tc>
        <w:tc>
          <w:tcPr>
            <w:tcW w:w="7400" w:type="dxa"/>
            <w:vAlign w:val="bottom"/>
          </w:tcPr>
          <w:p>
            <w:pPr>
              <w:jc w:val="center"/>
              <w:ind w:left="992"/>
              <w:spacing w:after="0"/>
              <w:rPr>
                <w:sz w:val="20"/>
                <w:szCs w:val="20"/>
                <w:color w:val="auto"/>
              </w:rPr>
            </w:pPr>
            <w:r>
              <w:rPr>
                <w:rFonts w:ascii="Arial" w:cs="Arial" w:eastAsia="Arial" w:hAnsi="Arial"/>
                <w:sz w:val="18"/>
                <w:szCs w:val="18"/>
                <w:color w:val="auto"/>
                <w:w w:val="97"/>
              </w:rPr>
              <w:t>ARTICLE VI</w:t>
            </w:r>
          </w:p>
        </w:tc>
        <w:tc>
          <w:tcPr>
            <w:tcW w:w="254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7400" w:type="dxa"/>
            <w:vAlign w:val="bottom"/>
          </w:tcPr>
          <w:p>
            <w:pPr>
              <w:jc w:val="center"/>
              <w:ind w:left="972"/>
              <w:spacing w:after="0"/>
              <w:rPr>
                <w:sz w:val="20"/>
                <w:szCs w:val="20"/>
                <w:color w:val="auto"/>
              </w:rPr>
            </w:pPr>
            <w:r>
              <w:rPr>
                <w:rFonts w:ascii="Arial" w:cs="Arial" w:eastAsia="Arial" w:hAnsi="Arial"/>
                <w:sz w:val="18"/>
                <w:szCs w:val="18"/>
                <w:color w:val="auto"/>
                <w:w w:val="87"/>
              </w:rPr>
              <w:t>Negative Covenants</w:t>
            </w:r>
          </w:p>
        </w:tc>
        <w:tc>
          <w:tcPr>
            <w:tcW w:w="2540" w:type="dxa"/>
            <w:vAlign w:val="bottom"/>
          </w:tcPr>
          <w:p>
            <w:pPr>
              <w:spacing w:after="0"/>
              <w:rPr>
                <w:sz w:val="24"/>
                <w:szCs w:val="24"/>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SECTION 6.01.</w:t>
            </w:r>
          </w:p>
        </w:tc>
        <w:tc>
          <w:tcPr>
            <w:tcW w:w="7400" w:type="dxa"/>
            <w:vAlign w:val="bottom"/>
          </w:tcPr>
          <w:p>
            <w:pPr>
              <w:ind w:left="320"/>
              <w:spacing w:after="0"/>
              <w:rPr>
                <w:sz w:val="20"/>
                <w:szCs w:val="20"/>
                <w:color w:val="auto"/>
              </w:rPr>
            </w:pPr>
            <w:r>
              <w:rPr>
                <w:rFonts w:ascii="Arial" w:cs="Arial" w:eastAsia="Arial" w:hAnsi="Arial"/>
                <w:sz w:val="18"/>
                <w:szCs w:val="18"/>
                <w:color w:val="auto"/>
              </w:rPr>
              <w:t>Subsidiary Indebtedness</w:t>
            </w:r>
          </w:p>
        </w:tc>
        <w:tc>
          <w:tcPr>
            <w:tcW w:w="2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6.02.</w:t>
            </w:r>
          </w:p>
        </w:tc>
        <w:tc>
          <w:tcPr>
            <w:tcW w:w="7400" w:type="dxa"/>
            <w:vAlign w:val="bottom"/>
          </w:tcPr>
          <w:p>
            <w:pPr>
              <w:ind w:left="320"/>
              <w:spacing w:after="0"/>
              <w:rPr>
                <w:sz w:val="20"/>
                <w:szCs w:val="20"/>
                <w:color w:val="auto"/>
              </w:rPr>
            </w:pPr>
            <w:r>
              <w:rPr>
                <w:rFonts w:ascii="Arial" w:cs="Arial" w:eastAsia="Arial" w:hAnsi="Arial"/>
                <w:sz w:val="18"/>
                <w:szCs w:val="18"/>
                <w:color w:val="auto"/>
              </w:rPr>
              <w:t>Liens</w:t>
            </w:r>
          </w:p>
        </w:tc>
        <w:tc>
          <w:tcPr>
            <w:tcW w:w="2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6.03.</w:t>
            </w:r>
          </w:p>
        </w:tc>
        <w:tc>
          <w:tcPr>
            <w:tcW w:w="7400" w:type="dxa"/>
            <w:vAlign w:val="bottom"/>
          </w:tcPr>
          <w:p>
            <w:pPr>
              <w:ind w:left="320"/>
              <w:spacing w:after="0"/>
              <w:rPr>
                <w:sz w:val="20"/>
                <w:szCs w:val="20"/>
                <w:color w:val="auto"/>
              </w:rPr>
            </w:pPr>
            <w:r>
              <w:rPr>
                <w:rFonts w:ascii="Arial" w:cs="Arial" w:eastAsia="Arial" w:hAnsi="Arial"/>
                <w:sz w:val="18"/>
                <w:szCs w:val="18"/>
                <w:color w:val="auto"/>
              </w:rPr>
              <w:t>Sale and Lease Back Transactions</w:t>
            </w:r>
          </w:p>
        </w:tc>
        <w:tc>
          <w:tcPr>
            <w:tcW w:w="2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6.04.</w:t>
            </w:r>
          </w:p>
        </w:tc>
        <w:tc>
          <w:tcPr>
            <w:tcW w:w="7400" w:type="dxa"/>
            <w:vAlign w:val="bottom"/>
          </w:tcPr>
          <w:p>
            <w:pPr>
              <w:ind w:left="320"/>
              <w:spacing w:after="0"/>
              <w:rPr>
                <w:sz w:val="20"/>
                <w:szCs w:val="20"/>
                <w:color w:val="auto"/>
              </w:rPr>
            </w:pPr>
            <w:r>
              <w:rPr>
                <w:rFonts w:ascii="Arial" w:cs="Arial" w:eastAsia="Arial" w:hAnsi="Arial"/>
                <w:sz w:val="18"/>
                <w:szCs w:val="18"/>
                <w:color w:val="auto"/>
              </w:rPr>
              <w:t>Fundamental Changes</w:t>
            </w:r>
          </w:p>
        </w:tc>
        <w:tc>
          <w:tcPr>
            <w:tcW w:w="2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6.05.</w:t>
            </w:r>
          </w:p>
        </w:tc>
        <w:tc>
          <w:tcPr>
            <w:tcW w:w="7400" w:type="dxa"/>
            <w:vAlign w:val="bottom"/>
          </w:tcPr>
          <w:p>
            <w:pPr>
              <w:ind w:left="320"/>
              <w:spacing w:after="0"/>
              <w:rPr>
                <w:sz w:val="20"/>
                <w:szCs w:val="20"/>
                <w:color w:val="auto"/>
              </w:rPr>
            </w:pPr>
            <w:r>
              <w:rPr>
                <w:rFonts w:ascii="Arial" w:cs="Arial" w:eastAsia="Arial" w:hAnsi="Arial"/>
                <w:sz w:val="18"/>
                <w:szCs w:val="18"/>
                <w:color w:val="auto"/>
              </w:rPr>
              <w:t>Restrictive Agreements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6.06.</w:t>
            </w:r>
          </w:p>
        </w:tc>
        <w:tc>
          <w:tcPr>
            <w:tcW w:w="7400" w:type="dxa"/>
            <w:vAlign w:val="bottom"/>
          </w:tcPr>
          <w:p>
            <w:pPr>
              <w:ind w:left="320"/>
              <w:spacing w:after="0"/>
              <w:rPr>
                <w:sz w:val="20"/>
                <w:szCs w:val="20"/>
                <w:color w:val="auto"/>
              </w:rPr>
            </w:pPr>
            <w:r>
              <w:rPr>
                <w:rFonts w:ascii="Arial" w:cs="Arial" w:eastAsia="Arial" w:hAnsi="Arial"/>
                <w:sz w:val="18"/>
                <w:szCs w:val="18"/>
                <w:color w:val="auto"/>
              </w:rPr>
              <w:t>Interest Coverage Ratio</w:t>
            </w:r>
          </w:p>
        </w:tc>
        <w:tc>
          <w:tcPr>
            <w:tcW w:w="2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SECTION 6.07.</w:t>
            </w:r>
          </w:p>
        </w:tc>
        <w:tc>
          <w:tcPr>
            <w:tcW w:w="7400" w:type="dxa"/>
            <w:vAlign w:val="bottom"/>
          </w:tcPr>
          <w:p>
            <w:pPr>
              <w:ind w:left="320"/>
              <w:spacing w:after="0"/>
              <w:rPr>
                <w:sz w:val="20"/>
                <w:szCs w:val="20"/>
                <w:color w:val="auto"/>
              </w:rPr>
            </w:pPr>
            <w:r>
              <w:rPr>
                <w:rFonts w:ascii="Arial" w:cs="Arial" w:eastAsia="Arial" w:hAnsi="Arial"/>
                <w:sz w:val="18"/>
                <w:szCs w:val="18"/>
                <w:color w:val="auto"/>
              </w:rPr>
              <w:t>Consolidated Total Debt to Consolidated EBITDA Ratio</w:t>
            </w:r>
          </w:p>
        </w:tc>
        <w:tc>
          <w:tcPr>
            <w:tcW w:w="25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1560" w:type="dxa"/>
            <w:vAlign w:val="bottom"/>
          </w:tcPr>
          <w:p>
            <w:pPr>
              <w:spacing w:after="0"/>
              <w:rPr>
                <w:sz w:val="19"/>
                <w:szCs w:val="19"/>
                <w:color w:val="auto"/>
              </w:rPr>
            </w:pPr>
          </w:p>
        </w:tc>
        <w:tc>
          <w:tcPr>
            <w:tcW w:w="7520" w:type="dxa"/>
            <w:vAlign w:val="bottom"/>
          </w:tcPr>
          <w:p>
            <w:pPr>
              <w:jc w:val="center"/>
              <w:ind w:left="712"/>
              <w:spacing w:after="0"/>
              <w:rPr>
                <w:sz w:val="20"/>
                <w:szCs w:val="20"/>
                <w:color w:val="auto"/>
              </w:rPr>
            </w:pPr>
            <w:r>
              <w:rPr>
                <w:rFonts w:ascii="Arial" w:cs="Arial" w:eastAsia="Arial" w:hAnsi="Arial"/>
                <w:sz w:val="18"/>
                <w:szCs w:val="18"/>
                <w:color w:val="auto"/>
                <w:w w:val="99"/>
              </w:rPr>
              <w:t>ARTICLE VIII</w:t>
            </w:r>
          </w:p>
        </w:tc>
        <w:tc>
          <w:tcPr>
            <w:tcW w:w="2340" w:type="dxa"/>
            <w:vAlign w:val="bottom"/>
          </w:tcPr>
          <w:p>
            <w:pPr>
              <w:spacing w:after="0"/>
              <w:rPr>
                <w:sz w:val="19"/>
                <w:szCs w:val="19"/>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692"/>
              <w:spacing w:after="0"/>
              <w:rPr>
                <w:sz w:val="20"/>
                <w:szCs w:val="20"/>
                <w:color w:val="auto"/>
              </w:rPr>
            </w:pPr>
            <w:r>
              <w:rPr>
                <w:rFonts w:ascii="Arial" w:cs="Arial" w:eastAsia="Arial" w:hAnsi="Arial"/>
                <w:sz w:val="18"/>
                <w:szCs w:val="18"/>
                <w:color w:val="auto"/>
                <w:w w:val="89"/>
              </w:rPr>
              <w:t>The Agents</w:t>
            </w:r>
          </w:p>
        </w:tc>
        <w:tc>
          <w:tcPr>
            <w:tcW w:w="234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712"/>
              <w:spacing w:after="0"/>
              <w:rPr>
                <w:sz w:val="20"/>
                <w:szCs w:val="20"/>
                <w:color w:val="auto"/>
              </w:rPr>
            </w:pPr>
            <w:r>
              <w:rPr>
                <w:rFonts w:ascii="Arial" w:cs="Arial" w:eastAsia="Arial" w:hAnsi="Arial"/>
                <w:sz w:val="18"/>
                <w:szCs w:val="18"/>
                <w:color w:val="auto"/>
                <w:w w:val="97"/>
              </w:rPr>
              <w:t>ARTICLE IX</w:t>
            </w:r>
          </w:p>
        </w:tc>
        <w:tc>
          <w:tcPr>
            <w:tcW w:w="234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692"/>
              <w:spacing w:after="0"/>
              <w:rPr>
                <w:sz w:val="20"/>
                <w:szCs w:val="20"/>
                <w:color w:val="auto"/>
              </w:rPr>
            </w:pPr>
            <w:r>
              <w:rPr>
                <w:rFonts w:ascii="Arial" w:cs="Arial" w:eastAsia="Arial" w:hAnsi="Arial"/>
                <w:sz w:val="18"/>
                <w:szCs w:val="18"/>
                <w:color w:val="auto"/>
                <w:w w:val="91"/>
              </w:rPr>
              <w:t>Collection Allocation Mechanism</w:t>
            </w:r>
          </w:p>
        </w:tc>
        <w:tc>
          <w:tcPr>
            <w:tcW w:w="234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692"/>
              <w:spacing w:after="0"/>
              <w:rPr>
                <w:sz w:val="20"/>
                <w:szCs w:val="20"/>
                <w:color w:val="auto"/>
              </w:rPr>
            </w:pPr>
            <w:r>
              <w:rPr>
                <w:rFonts w:ascii="Arial" w:cs="Arial" w:eastAsia="Arial" w:hAnsi="Arial"/>
                <w:sz w:val="18"/>
                <w:szCs w:val="18"/>
                <w:color w:val="auto"/>
                <w:w w:val="96"/>
              </w:rPr>
              <w:t>ARTICLE X</w:t>
            </w:r>
          </w:p>
        </w:tc>
        <w:tc>
          <w:tcPr>
            <w:tcW w:w="234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712"/>
              <w:spacing w:after="0"/>
              <w:rPr>
                <w:sz w:val="20"/>
                <w:szCs w:val="20"/>
                <w:color w:val="auto"/>
              </w:rPr>
            </w:pPr>
            <w:r>
              <w:rPr>
                <w:rFonts w:ascii="Arial" w:cs="Arial" w:eastAsia="Arial" w:hAnsi="Arial"/>
                <w:sz w:val="18"/>
                <w:szCs w:val="18"/>
                <w:color w:val="auto"/>
                <w:w w:val="84"/>
              </w:rPr>
              <w:t>Guarantee</w:t>
            </w:r>
          </w:p>
        </w:tc>
        <w:tc>
          <w:tcPr>
            <w:tcW w:w="234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712"/>
              <w:spacing w:after="0"/>
              <w:rPr>
                <w:sz w:val="20"/>
                <w:szCs w:val="20"/>
                <w:color w:val="auto"/>
              </w:rPr>
            </w:pPr>
            <w:r>
              <w:rPr>
                <w:rFonts w:ascii="Arial" w:cs="Arial" w:eastAsia="Arial" w:hAnsi="Arial"/>
                <w:sz w:val="18"/>
                <w:szCs w:val="18"/>
                <w:color w:val="auto"/>
                <w:w w:val="97"/>
              </w:rPr>
              <w:t>ARTICLE XI</w:t>
            </w:r>
          </w:p>
        </w:tc>
        <w:tc>
          <w:tcPr>
            <w:tcW w:w="234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520" w:type="dxa"/>
            <w:vAlign w:val="bottom"/>
          </w:tcPr>
          <w:p>
            <w:pPr>
              <w:jc w:val="center"/>
              <w:ind w:left="692"/>
              <w:spacing w:after="0"/>
              <w:rPr>
                <w:sz w:val="20"/>
                <w:szCs w:val="20"/>
                <w:color w:val="auto"/>
              </w:rPr>
            </w:pPr>
            <w:r>
              <w:rPr>
                <w:rFonts w:ascii="Arial" w:cs="Arial" w:eastAsia="Arial" w:hAnsi="Arial"/>
                <w:sz w:val="18"/>
                <w:szCs w:val="18"/>
                <w:color w:val="auto"/>
                <w:w w:val="89"/>
              </w:rPr>
              <w:t>Miscellaneous</w:t>
            </w:r>
          </w:p>
        </w:tc>
        <w:tc>
          <w:tcPr>
            <w:tcW w:w="2340" w:type="dxa"/>
            <w:vAlign w:val="bottom"/>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Arial" w:cs="Arial" w:eastAsia="Arial" w:hAnsi="Arial"/>
                <w:sz w:val="18"/>
                <w:szCs w:val="18"/>
                <w:color w:val="auto"/>
              </w:rPr>
              <w:t>SECTION 11.01.</w:t>
            </w:r>
          </w:p>
        </w:tc>
        <w:tc>
          <w:tcPr>
            <w:tcW w:w="7520" w:type="dxa"/>
            <w:vAlign w:val="bottom"/>
          </w:tcPr>
          <w:p>
            <w:pPr>
              <w:ind w:left="36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11.02.</w:t>
            </w:r>
          </w:p>
        </w:tc>
        <w:tc>
          <w:tcPr>
            <w:tcW w:w="7520" w:type="dxa"/>
            <w:vAlign w:val="bottom"/>
          </w:tcPr>
          <w:p>
            <w:pPr>
              <w:ind w:left="360"/>
              <w:spacing w:after="0"/>
              <w:rPr>
                <w:sz w:val="20"/>
                <w:szCs w:val="20"/>
                <w:color w:val="auto"/>
              </w:rPr>
            </w:pPr>
            <w:r>
              <w:rPr>
                <w:rFonts w:ascii="Arial" w:cs="Arial" w:eastAsia="Arial" w:hAnsi="Arial"/>
                <w:sz w:val="18"/>
                <w:szCs w:val="18"/>
                <w:color w:val="auto"/>
              </w:rPr>
              <w:t>Waivers; Amendments</w:t>
            </w:r>
          </w:p>
        </w:tc>
        <w:tc>
          <w:tcPr>
            <w:tcW w:w="2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11.03.</w:t>
            </w:r>
          </w:p>
        </w:tc>
        <w:tc>
          <w:tcPr>
            <w:tcW w:w="7520" w:type="dxa"/>
            <w:vAlign w:val="bottom"/>
          </w:tcPr>
          <w:p>
            <w:pPr>
              <w:ind w:left="360"/>
              <w:spacing w:after="0"/>
              <w:rPr>
                <w:sz w:val="20"/>
                <w:szCs w:val="20"/>
                <w:color w:val="auto"/>
              </w:rPr>
            </w:pPr>
            <w:r>
              <w:rPr>
                <w:rFonts w:ascii="Arial" w:cs="Arial" w:eastAsia="Arial" w:hAnsi="Arial"/>
                <w:sz w:val="18"/>
                <w:szCs w:val="18"/>
                <w:color w:val="auto"/>
              </w:rPr>
              <w:t>Expenses; Indemnity; Damage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11.04.</w:t>
            </w:r>
          </w:p>
        </w:tc>
        <w:tc>
          <w:tcPr>
            <w:tcW w:w="7520" w:type="dxa"/>
            <w:vAlign w:val="bottom"/>
          </w:tcPr>
          <w:p>
            <w:pPr>
              <w:ind w:left="360"/>
              <w:spacing w:after="0"/>
              <w:rPr>
                <w:sz w:val="20"/>
                <w:szCs w:val="20"/>
                <w:color w:val="auto"/>
              </w:rPr>
            </w:pPr>
            <w:r>
              <w:rPr>
                <w:rFonts w:ascii="Arial" w:cs="Arial" w:eastAsia="Arial" w:hAnsi="Arial"/>
                <w:sz w:val="18"/>
                <w:szCs w:val="18"/>
                <w:color w:val="auto"/>
              </w:rPr>
              <w:t>Successors and Assigns</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11.05.</w:t>
            </w:r>
          </w:p>
        </w:tc>
        <w:tc>
          <w:tcPr>
            <w:tcW w:w="7520" w:type="dxa"/>
            <w:vAlign w:val="bottom"/>
          </w:tcPr>
          <w:p>
            <w:pPr>
              <w:ind w:left="360"/>
              <w:spacing w:after="0"/>
              <w:rPr>
                <w:sz w:val="20"/>
                <w:szCs w:val="20"/>
                <w:color w:val="auto"/>
              </w:rPr>
            </w:pPr>
            <w:r>
              <w:rPr>
                <w:rFonts w:ascii="Arial" w:cs="Arial" w:eastAsia="Arial" w:hAnsi="Arial"/>
                <w:sz w:val="18"/>
                <w:szCs w:val="18"/>
                <w:color w:val="auto"/>
              </w:rPr>
              <w:t>Survival</w:t>
            </w:r>
          </w:p>
        </w:tc>
        <w:tc>
          <w:tcPr>
            <w:tcW w:w="2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11.06.</w:t>
            </w:r>
          </w:p>
        </w:tc>
        <w:tc>
          <w:tcPr>
            <w:tcW w:w="7520" w:type="dxa"/>
            <w:vAlign w:val="bottom"/>
          </w:tcPr>
          <w:p>
            <w:pPr>
              <w:ind w:left="360"/>
              <w:spacing w:after="0"/>
              <w:rPr>
                <w:sz w:val="20"/>
                <w:szCs w:val="20"/>
                <w:color w:val="auto"/>
              </w:rPr>
            </w:pPr>
            <w:r>
              <w:rPr>
                <w:rFonts w:ascii="Arial" w:cs="Arial" w:eastAsia="Arial" w:hAnsi="Arial"/>
                <w:sz w:val="18"/>
                <w:szCs w:val="18"/>
                <w:color w:val="auto"/>
              </w:rPr>
              <w:t>Counterparts; Integration; Effectiveness</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11.07.</w:t>
            </w:r>
          </w:p>
        </w:tc>
        <w:tc>
          <w:tcPr>
            <w:tcW w:w="752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11.08.</w:t>
            </w:r>
          </w:p>
        </w:tc>
        <w:tc>
          <w:tcPr>
            <w:tcW w:w="7520" w:type="dxa"/>
            <w:vAlign w:val="bottom"/>
          </w:tcPr>
          <w:p>
            <w:pPr>
              <w:ind w:left="360"/>
              <w:spacing w:after="0"/>
              <w:rPr>
                <w:sz w:val="20"/>
                <w:szCs w:val="20"/>
                <w:color w:val="auto"/>
              </w:rPr>
            </w:pPr>
            <w:r>
              <w:rPr>
                <w:rFonts w:ascii="Arial" w:cs="Arial" w:eastAsia="Arial" w:hAnsi="Arial"/>
                <w:sz w:val="18"/>
                <w:szCs w:val="18"/>
                <w:color w:val="auto"/>
              </w:rPr>
              <w:t>Right of Setoff</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11.09.</w:t>
            </w:r>
          </w:p>
        </w:tc>
        <w:tc>
          <w:tcPr>
            <w:tcW w:w="7520" w:type="dxa"/>
            <w:vAlign w:val="bottom"/>
          </w:tcPr>
          <w:p>
            <w:pPr>
              <w:ind w:left="360"/>
              <w:spacing w:after="0"/>
              <w:rPr>
                <w:sz w:val="20"/>
                <w:szCs w:val="20"/>
                <w:color w:val="auto"/>
              </w:rPr>
            </w:pPr>
            <w:r>
              <w:rPr>
                <w:rFonts w:ascii="Arial" w:cs="Arial" w:eastAsia="Arial" w:hAnsi="Arial"/>
                <w:sz w:val="18"/>
                <w:szCs w:val="18"/>
                <w:color w:val="auto"/>
              </w:rPr>
              <w:t>Governing Law; Jurisdiction; Consent to Service of Process</w:t>
            </w:r>
          </w:p>
        </w:tc>
        <w:tc>
          <w:tcPr>
            <w:tcW w:w="2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11.10.</w:t>
            </w:r>
          </w:p>
        </w:tc>
        <w:tc>
          <w:tcPr>
            <w:tcW w:w="7520" w:type="dxa"/>
            <w:vAlign w:val="bottom"/>
          </w:tcPr>
          <w:p>
            <w:pPr>
              <w:ind w:left="360"/>
              <w:spacing w:after="0"/>
              <w:rPr>
                <w:sz w:val="20"/>
                <w:szCs w:val="20"/>
                <w:color w:val="auto"/>
              </w:rPr>
            </w:pPr>
            <w:r>
              <w:rPr>
                <w:rFonts w:ascii="Arial" w:cs="Arial" w:eastAsia="Arial" w:hAnsi="Arial"/>
                <w:sz w:val="18"/>
                <w:szCs w:val="18"/>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11.11.</w:t>
            </w:r>
          </w:p>
        </w:tc>
        <w:tc>
          <w:tcPr>
            <w:tcW w:w="7520" w:type="dxa"/>
            <w:vAlign w:val="bottom"/>
          </w:tcPr>
          <w:p>
            <w:pPr>
              <w:ind w:left="360"/>
              <w:spacing w:after="0"/>
              <w:rPr>
                <w:sz w:val="20"/>
                <w:szCs w:val="20"/>
                <w:color w:val="auto"/>
              </w:rPr>
            </w:pPr>
            <w:r>
              <w:rPr>
                <w:rFonts w:ascii="Arial" w:cs="Arial" w:eastAsia="Arial" w:hAnsi="Arial"/>
                <w:sz w:val="18"/>
                <w:szCs w:val="18"/>
                <w:color w:val="auto"/>
              </w:rPr>
              <w:t>Headings</w:t>
            </w:r>
          </w:p>
        </w:tc>
        <w:tc>
          <w:tcPr>
            <w:tcW w:w="2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11.12.</w:t>
            </w:r>
          </w:p>
        </w:tc>
        <w:tc>
          <w:tcPr>
            <w:tcW w:w="752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2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11.13.</w:t>
            </w:r>
          </w:p>
        </w:tc>
        <w:tc>
          <w:tcPr>
            <w:tcW w:w="7520" w:type="dxa"/>
            <w:vAlign w:val="bottom"/>
          </w:tcPr>
          <w:p>
            <w:pPr>
              <w:ind w:left="360"/>
              <w:spacing w:after="0"/>
              <w:rPr>
                <w:sz w:val="20"/>
                <w:szCs w:val="20"/>
                <w:color w:val="auto"/>
              </w:rPr>
            </w:pPr>
            <w:r>
              <w:rPr>
                <w:rFonts w:ascii="Arial" w:cs="Arial" w:eastAsia="Arial" w:hAnsi="Arial"/>
                <w:sz w:val="18"/>
                <w:szCs w:val="18"/>
                <w:color w:val="auto"/>
              </w:rPr>
              <w:t>Interest Rate Limitation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11.14.</w:t>
            </w:r>
          </w:p>
        </w:tc>
        <w:tc>
          <w:tcPr>
            <w:tcW w:w="7520" w:type="dxa"/>
            <w:vAlign w:val="bottom"/>
          </w:tcPr>
          <w:p>
            <w:pPr>
              <w:ind w:left="360"/>
              <w:spacing w:after="0"/>
              <w:rPr>
                <w:sz w:val="20"/>
                <w:szCs w:val="20"/>
                <w:color w:val="auto"/>
              </w:rPr>
            </w:pPr>
            <w:r>
              <w:rPr>
                <w:rFonts w:ascii="Arial" w:cs="Arial" w:eastAsia="Arial" w:hAnsi="Arial"/>
                <w:sz w:val="18"/>
                <w:szCs w:val="18"/>
                <w:color w:val="auto"/>
              </w:rPr>
              <w:t>USA PATRIOT Act</w:t>
            </w:r>
          </w:p>
        </w:tc>
        <w:tc>
          <w:tcPr>
            <w:tcW w:w="2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11.15.</w:t>
            </w:r>
          </w:p>
        </w:tc>
        <w:tc>
          <w:tcPr>
            <w:tcW w:w="7520" w:type="dxa"/>
            <w:vAlign w:val="bottom"/>
          </w:tcPr>
          <w:p>
            <w:pPr>
              <w:ind w:left="360"/>
              <w:spacing w:after="0"/>
              <w:rPr>
                <w:sz w:val="20"/>
                <w:szCs w:val="20"/>
                <w:color w:val="auto"/>
              </w:rPr>
            </w:pPr>
            <w:r>
              <w:rPr>
                <w:rFonts w:ascii="Arial" w:cs="Arial" w:eastAsia="Arial" w:hAnsi="Arial"/>
                <w:sz w:val="18"/>
                <w:szCs w:val="18"/>
                <w:color w:val="auto"/>
              </w:rPr>
              <w:t>Non-Public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11.16.</w:t>
            </w:r>
          </w:p>
        </w:tc>
        <w:tc>
          <w:tcPr>
            <w:tcW w:w="7520" w:type="dxa"/>
            <w:vAlign w:val="bottom"/>
          </w:tcPr>
          <w:p>
            <w:pPr>
              <w:ind w:left="360"/>
              <w:spacing w:after="0"/>
              <w:rPr>
                <w:sz w:val="20"/>
                <w:szCs w:val="20"/>
                <w:color w:val="auto"/>
              </w:rPr>
            </w:pPr>
            <w:r>
              <w:rPr>
                <w:rFonts w:ascii="Arial" w:cs="Arial" w:eastAsia="Arial" w:hAnsi="Arial"/>
                <w:sz w:val="18"/>
                <w:szCs w:val="18"/>
                <w:color w:val="auto"/>
              </w:rPr>
              <w:t>No Fiduciary Duty</w:t>
            </w:r>
          </w:p>
        </w:tc>
        <w:tc>
          <w:tcPr>
            <w:tcW w:w="2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11.17.</w:t>
            </w:r>
          </w:p>
        </w:tc>
        <w:tc>
          <w:tcPr>
            <w:tcW w:w="7520" w:type="dxa"/>
            <w:vAlign w:val="bottom"/>
          </w:tcPr>
          <w:p>
            <w:pPr>
              <w:ind w:left="360"/>
              <w:spacing w:after="0"/>
              <w:rPr>
                <w:sz w:val="20"/>
                <w:szCs w:val="20"/>
                <w:color w:val="auto"/>
              </w:rPr>
            </w:pPr>
            <w:r>
              <w:rPr>
                <w:rFonts w:ascii="Arial" w:cs="Arial" w:eastAsia="Arial" w:hAnsi="Arial"/>
                <w:sz w:val="18"/>
                <w:szCs w:val="18"/>
                <w:color w:val="auto"/>
              </w:rPr>
              <w:t>Senior Indebtedness</w:t>
            </w:r>
          </w:p>
        </w:tc>
        <w:tc>
          <w:tcPr>
            <w:tcW w:w="2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11.18.</w:t>
            </w:r>
          </w:p>
        </w:tc>
        <w:tc>
          <w:tcPr>
            <w:tcW w:w="7520" w:type="dxa"/>
            <w:vAlign w:val="bottom"/>
          </w:tcPr>
          <w:p>
            <w:pPr>
              <w:ind w:left="360"/>
              <w:spacing w:after="0"/>
              <w:rPr>
                <w:sz w:val="20"/>
                <w:szCs w:val="20"/>
                <w:color w:val="auto"/>
              </w:rPr>
            </w:pPr>
            <w:r>
              <w:rPr>
                <w:rFonts w:ascii="Arial" w:cs="Arial" w:eastAsia="Arial" w:hAnsi="Arial"/>
                <w:sz w:val="18"/>
                <w:szCs w:val="18"/>
                <w:color w:val="auto"/>
              </w:rPr>
              <w:t>Conversion of Currencies</w:t>
            </w:r>
          </w:p>
        </w:tc>
        <w:tc>
          <w:tcPr>
            <w:tcW w:w="2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SECTION 11.19.</w:t>
            </w:r>
          </w:p>
        </w:tc>
        <w:tc>
          <w:tcPr>
            <w:tcW w:w="7520" w:type="dxa"/>
            <w:vAlign w:val="bottom"/>
          </w:tcPr>
          <w:p>
            <w:pPr>
              <w:ind w:left="360"/>
              <w:spacing w:after="0"/>
              <w:rPr>
                <w:sz w:val="20"/>
                <w:szCs w:val="20"/>
                <w:color w:val="auto"/>
              </w:rPr>
            </w:pPr>
            <w:r>
              <w:rPr>
                <w:rFonts w:ascii="Arial" w:cs="Arial" w:eastAsia="Arial" w:hAnsi="Arial"/>
                <w:sz w:val="18"/>
                <w:szCs w:val="18"/>
                <w:color w:val="auto"/>
              </w:rPr>
              <w:t>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8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356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31"/>
        </w:trPr>
        <w:tc>
          <w:tcPr>
            <w:tcW w:w="174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3560" w:type="dxa"/>
            <w:vAlign w:val="bottom"/>
          </w:tcPr>
          <w:p>
            <w:pPr>
              <w:ind w:left="560"/>
              <w:spacing w:after="0"/>
              <w:rPr>
                <w:sz w:val="20"/>
                <w:szCs w:val="20"/>
                <w:color w:val="auto"/>
              </w:rPr>
            </w:pPr>
            <w:r>
              <w:rPr>
                <w:rFonts w:ascii="Arial" w:cs="Arial" w:eastAsia="Arial" w:hAnsi="Arial"/>
                <w:sz w:val="18"/>
                <w:szCs w:val="18"/>
                <w:color w:val="auto"/>
              </w:rPr>
              <w:t>Applicable Funding Account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3560" w:type="dxa"/>
            <w:vAlign w:val="bottom"/>
          </w:tcPr>
          <w:p>
            <w:pPr>
              <w:ind w:left="560"/>
              <w:spacing w:after="0"/>
              <w:rPr>
                <w:sz w:val="20"/>
                <w:szCs w:val="20"/>
                <w:color w:val="auto"/>
              </w:rPr>
            </w:pPr>
            <w:r>
              <w:rPr>
                <w:rFonts w:ascii="Arial" w:cs="Arial" w:eastAsia="Arial" w:hAnsi="Arial"/>
                <w:sz w:val="18"/>
                <w:szCs w:val="18"/>
                <w:color w:val="auto"/>
              </w:rPr>
              <w:t>Commitments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2.05</w:t>
            </w:r>
          </w:p>
        </w:tc>
        <w:tc>
          <w:tcPr>
            <w:tcW w:w="3560" w:type="dxa"/>
            <w:vAlign w:val="bottom"/>
          </w:tcPr>
          <w:p>
            <w:pPr>
              <w:ind w:left="560"/>
              <w:spacing w:after="0"/>
              <w:rPr>
                <w:sz w:val="20"/>
                <w:szCs w:val="20"/>
                <w:color w:val="auto"/>
              </w:rPr>
            </w:pPr>
            <w:r>
              <w:rPr>
                <w:rFonts w:ascii="Arial" w:cs="Arial" w:eastAsia="Arial" w:hAnsi="Arial"/>
                <w:sz w:val="18"/>
                <w:szCs w:val="18"/>
                <w:color w:val="auto"/>
              </w:rPr>
              <w:t>LC Commitments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3560" w:type="dxa"/>
            <w:vAlign w:val="bottom"/>
          </w:tcPr>
          <w:p>
            <w:pPr>
              <w:ind w:left="560"/>
              <w:spacing w:after="0"/>
              <w:rPr>
                <w:sz w:val="20"/>
                <w:szCs w:val="20"/>
                <w:color w:val="auto"/>
              </w:rPr>
            </w:pPr>
            <w:r>
              <w:rPr>
                <w:rFonts w:ascii="Arial" w:cs="Arial" w:eastAsia="Arial" w:hAnsi="Arial"/>
                <w:sz w:val="18"/>
                <w:szCs w:val="18"/>
                <w:color w:val="auto"/>
              </w:rPr>
              <w:t>Subsidiaries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3560" w:type="dxa"/>
            <w:vAlign w:val="bottom"/>
          </w:tcPr>
          <w:p>
            <w:pPr>
              <w:ind w:left="560"/>
              <w:spacing w:after="0"/>
              <w:rPr>
                <w:sz w:val="20"/>
                <w:szCs w:val="20"/>
                <w:color w:val="auto"/>
              </w:rPr>
            </w:pPr>
            <w:r>
              <w:rPr>
                <w:rFonts w:ascii="Arial" w:cs="Arial" w:eastAsia="Arial" w:hAnsi="Arial"/>
                <w:sz w:val="18"/>
                <w:szCs w:val="18"/>
                <w:color w:val="auto"/>
              </w:rPr>
              <w:t>Indebtedness</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Schedule 6.02(d)</w:t>
            </w:r>
          </w:p>
        </w:tc>
        <w:tc>
          <w:tcPr>
            <w:tcW w:w="3560" w:type="dxa"/>
            <w:vAlign w:val="bottom"/>
          </w:tcPr>
          <w:p>
            <w:pPr>
              <w:ind w:left="560"/>
              <w:spacing w:after="0"/>
              <w:rPr>
                <w:sz w:val="20"/>
                <w:szCs w:val="20"/>
                <w:color w:val="auto"/>
              </w:rPr>
            </w:pPr>
            <w:r>
              <w:rPr>
                <w:rFonts w:ascii="Arial" w:cs="Arial" w:eastAsia="Arial" w:hAnsi="Arial"/>
                <w:sz w:val="18"/>
                <w:szCs w:val="18"/>
                <w:color w:val="auto"/>
              </w:rPr>
              <w:t>Certain Liens</w:t>
            </w:r>
          </w:p>
        </w:tc>
      </w:tr>
      <w:tr>
        <w:trPr>
          <w:trHeight w:val="222"/>
        </w:trPr>
        <w:tc>
          <w:tcPr>
            <w:tcW w:w="174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3560" w:type="dxa"/>
            <w:vAlign w:val="bottom"/>
          </w:tcPr>
          <w:p>
            <w:pPr>
              <w:ind w:left="560"/>
              <w:spacing w:after="0"/>
              <w:rPr>
                <w:sz w:val="20"/>
                <w:szCs w:val="20"/>
                <w:color w:val="auto"/>
              </w:rPr>
            </w:pPr>
            <w:r>
              <w:rPr>
                <w:rFonts w:ascii="Arial" w:cs="Arial" w:eastAsia="Arial" w:hAnsi="Arial"/>
                <w:sz w:val="18"/>
                <w:szCs w:val="18"/>
                <w:color w:val="auto"/>
              </w:rPr>
              <w:t>Restrictive Agreements</w:t>
            </w:r>
          </w:p>
        </w:tc>
      </w:tr>
      <w:tr>
        <w:trPr>
          <w:trHeight w:val="42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110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431"/>
        </w:trPr>
        <w:tc>
          <w:tcPr>
            <w:tcW w:w="17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3560" w:type="dxa"/>
            <w:vAlign w:val="bottom"/>
          </w:tcPr>
          <w:p>
            <w:pPr>
              <w:ind w:left="5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3560" w:type="dxa"/>
            <w:vAlign w:val="bottom"/>
          </w:tcPr>
          <w:p>
            <w:pPr>
              <w:ind w:left="560"/>
              <w:spacing w:after="0"/>
              <w:rPr>
                <w:sz w:val="20"/>
                <w:szCs w:val="20"/>
                <w:color w:val="auto"/>
              </w:rPr>
            </w:pPr>
            <w:r>
              <w:rPr>
                <w:rFonts w:ascii="Arial" w:cs="Arial" w:eastAsia="Arial" w:hAnsi="Arial"/>
                <w:sz w:val="18"/>
                <w:szCs w:val="18"/>
                <w:color w:val="auto"/>
              </w:rPr>
              <w:t>Form of Borrower Joinder Agreement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3560" w:type="dxa"/>
            <w:vAlign w:val="bottom"/>
          </w:tcPr>
          <w:p>
            <w:pPr>
              <w:ind w:left="560"/>
              <w:spacing w:after="0"/>
              <w:rPr>
                <w:sz w:val="20"/>
                <w:szCs w:val="20"/>
                <w:color w:val="auto"/>
              </w:rPr>
            </w:pPr>
            <w:r>
              <w:rPr>
                <w:rFonts w:ascii="Arial" w:cs="Arial" w:eastAsia="Arial" w:hAnsi="Arial"/>
                <w:sz w:val="18"/>
                <w:szCs w:val="18"/>
                <w:color w:val="auto"/>
                <w:w w:val="89"/>
              </w:rPr>
              <w:t>Form of Borrower Termination Agreement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3560" w:type="dxa"/>
            <w:vAlign w:val="bottom"/>
          </w:tcPr>
          <w:p>
            <w:pPr>
              <w:ind w:left="560"/>
              <w:spacing w:after="0"/>
              <w:rPr>
                <w:sz w:val="20"/>
                <w:szCs w:val="20"/>
                <w:color w:val="auto"/>
              </w:rPr>
            </w:pPr>
            <w:r>
              <w:rPr>
                <w:rFonts w:ascii="Arial" w:cs="Arial" w:eastAsia="Arial" w:hAnsi="Arial"/>
                <w:sz w:val="18"/>
                <w:szCs w:val="18"/>
                <w:color w:val="auto"/>
              </w:rPr>
              <w:t>Form of Borrowing Request</w:t>
            </w:r>
          </w:p>
        </w:tc>
      </w:tr>
      <w:tr>
        <w:trPr>
          <w:trHeight w:val="216"/>
        </w:trPr>
        <w:tc>
          <w:tcPr>
            <w:tcW w:w="17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3560" w:type="dxa"/>
            <w:vAlign w:val="bottom"/>
          </w:tcPr>
          <w:p>
            <w:pPr>
              <w:ind w:left="560"/>
              <w:spacing w:after="0"/>
              <w:rPr>
                <w:sz w:val="20"/>
                <w:szCs w:val="20"/>
                <w:color w:val="auto"/>
              </w:rPr>
            </w:pPr>
            <w:r>
              <w:rPr>
                <w:rFonts w:ascii="Arial" w:cs="Arial" w:eastAsia="Arial" w:hAnsi="Arial"/>
                <w:sz w:val="18"/>
                <w:szCs w:val="18"/>
                <w:color w:val="auto"/>
              </w:rPr>
              <w:t>Mandatory Costs Rate</w:t>
            </w:r>
          </w:p>
        </w:tc>
      </w:tr>
      <w:tr>
        <w:trPr>
          <w:trHeight w:val="222"/>
        </w:trPr>
        <w:tc>
          <w:tcPr>
            <w:tcW w:w="17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3560" w:type="dxa"/>
            <w:vAlign w:val="bottom"/>
          </w:tcPr>
          <w:p>
            <w:pPr>
              <w:ind w:left="560"/>
              <w:spacing w:after="0"/>
              <w:rPr>
                <w:sz w:val="20"/>
                <w:szCs w:val="20"/>
                <w:color w:val="auto"/>
              </w:rPr>
            </w:pPr>
            <w:r>
              <w:rPr>
                <w:rFonts w:ascii="Arial" w:cs="Arial" w:eastAsia="Arial" w:hAnsi="Arial"/>
                <w:sz w:val="18"/>
                <w:szCs w:val="18"/>
                <w:color w:val="auto"/>
              </w:rPr>
              <w:t>Maturity Date Extension Request</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57" w:right="1440" w:bottom="1440" w:gutter="0" w:footer="0" w:header="0"/>
        </w:sectPr>
      </w:pPr>
    </w:p>
    <w:bookmarkStart w:id="9" w:name="page10"/>
    <w:bookmarkEnd w:id="9"/>
    <w:p>
      <w:pPr>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CREDIT AGREEMENT dated as of December 20, 2011 (this </w:t>
      </w:r>
      <w:r>
        <w:rPr>
          <w:rFonts w:ascii="Arial" w:cs="Arial" w:eastAsia="Arial" w:hAnsi="Arial"/>
          <w:sz w:val="16"/>
          <w:szCs w:val="16"/>
          <w:i w:val="1"/>
          <w:iCs w:val="1"/>
          <w:color w:val="auto"/>
        </w:rPr>
        <w:t>“Agreement”)</w:t>
      </w:r>
      <w:r>
        <w:rPr>
          <w:rFonts w:ascii="Arial" w:cs="Arial" w:eastAsia="Arial" w:hAnsi="Arial"/>
          <w:sz w:val="16"/>
          <w:szCs w:val="16"/>
          <w:color w:val="auto"/>
        </w:rPr>
        <w:t>, among AMDOCS LIMITED (the “</w:t>
      </w:r>
      <w:r>
        <w:rPr>
          <w:rFonts w:ascii="Arial" w:cs="Arial" w:eastAsia="Arial" w:hAnsi="Arial"/>
          <w:sz w:val="16"/>
          <w:szCs w:val="16"/>
          <w:i w:val="1"/>
          <w:iCs w:val="1"/>
          <w:color w:val="auto"/>
        </w:rPr>
        <w:t>Company</w:t>
      </w:r>
      <w:r>
        <w:rPr>
          <w:rFonts w:ascii="Arial" w:cs="Arial" w:eastAsia="Arial" w:hAnsi="Arial"/>
          <w:sz w:val="16"/>
          <w:szCs w:val="16"/>
          <w:color w:val="auto"/>
        </w:rPr>
        <w:t>”); the Borrowing Subsidiaries from time to time party hereto; the LENDERS from time to time party hereto; JPMORGAN CHASE BANK, N.A., as Administrative Agent; J.P. MORGAN EUROPE LIMITED, as London Agent; and JPMORGAN CHASE BANK, N.A., TORONTO BRANCH, as Canadian Agent.</w:t>
      </w:r>
    </w:p>
    <w:p>
      <w:pPr>
        <w:spacing w:after="0" w:line="107"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Borrowers (such term and each other capitalized term used and not otherwise defined herein having the meaning assigned to it in Article I) have requested the Lenders to extend, and the Lenders are willing, on the terms and subject to the conditions set forth herein, to extend, credit in the form of:</w:t>
      </w:r>
    </w:p>
    <w:p>
      <w:pPr>
        <w:spacing w:after="0" w:line="85" w:lineRule="exact"/>
        <w:rPr>
          <w:sz w:val="20"/>
          <w:szCs w:val="20"/>
          <w:color w:val="auto"/>
        </w:rPr>
      </w:pPr>
    </w:p>
    <w:p>
      <w:pPr>
        <w:jc w:val="both"/>
        <w:ind w:firstLine="921"/>
        <w:spacing w:after="0" w:line="259" w:lineRule="auto"/>
        <w:tabs>
          <w:tab w:leader="none" w:pos="11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Tranche A Commitments under which (i) the Tranche A Borrowers may obtain Revolving Loans in US Dollars, Sterling and Euro, (ii) Tranche A Borrowers that are US Subsidiaries may obtain Swingline Loans in US Dollars and (iii) Tranche A Borrowers may obtain Letters of Credit in US Dollars, Sterling or Euro;</w:t>
      </w:r>
    </w:p>
    <w:p>
      <w:pPr>
        <w:spacing w:after="0" w:line="140" w:lineRule="exact"/>
        <w:rPr>
          <w:rFonts w:ascii="Arial" w:cs="Arial" w:eastAsia="Arial" w:hAnsi="Arial"/>
          <w:sz w:val="18"/>
          <w:szCs w:val="18"/>
          <w:color w:val="auto"/>
        </w:rPr>
      </w:pPr>
    </w:p>
    <w:p>
      <w:pPr>
        <w:jc w:val="both"/>
        <w:ind w:right="100" w:firstLine="921"/>
        <w:spacing w:after="0" w:line="298" w:lineRule="auto"/>
        <w:tabs>
          <w:tab w:leader="none" w:pos="1158" w:val="left"/>
        </w:tabs>
        <w:numPr>
          <w:ilvl w:val="0"/>
          <w:numId w:val="1"/>
        </w:numPr>
        <w:rPr>
          <w:rFonts w:ascii="Arial" w:cs="Arial" w:eastAsia="Arial" w:hAnsi="Arial"/>
          <w:sz w:val="16"/>
          <w:szCs w:val="16"/>
          <w:color w:val="auto"/>
        </w:rPr>
      </w:pPr>
      <w:r>
        <w:rPr>
          <w:rFonts w:ascii="Arial" w:cs="Arial" w:eastAsia="Arial" w:hAnsi="Arial"/>
          <w:sz w:val="16"/>
          <w:szCs w:val="16"/>
          <w:color w:val="auto"/>
        </w:rPr>
        <w:t>Tranche B Commitments under which (i) the Tranche B Borrowers other than Canadian Borrowing Subsidiaries may obtain Revolving Loans in US Dollars, Sterling and Euro, (ii) Tranche B Borrowers that are Canadian Borrowing Subsidiaries may obtain Revolving Loans denominated in US Dollars and Canadian Dollars and may issue and sell BAs in Canadian Dollars, (iii) Tranche B Borrowers that are US Subsidiaries or Canadian Subsidiaries may obtain Swingline Loans in US Dollars and (iv) Tranche B Borrowers that are Canadian Subsidiaries may obtain Swingline Loans in Canadian Dollars; and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Tranche C Commitments under which the Tranche C Borrowers may obtain Revolving Loans in US Dollars.</w:t>
      </w:r>
    </w:p>
    <w:p>
      <w:pPr>
        <w:spacing w:after="0" w:line="171"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The proceeds of Loans made and BAs accepted and purchased, and the Letters of Credit issued, under this Agreement will be used for general corporate purposes of the Company and the Subsidiaries, including for acquisitions, investments and share repurchases.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Accordingly, the parties hereto agree as follows: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As used in this Agreement, the following terms have the meanings specified below:</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Accession Agreement</w:t>
      </w:r>
      <w:r>
        <w:rPr>
          <w:rFonts w:ascii="Arial" w:cs="Arial" w:eastAsia="Arial" w:hAnsi="Arial"/>
          <w:sz w:val="18"/>
          <w:szCs w:val="18"/>
          <w:color w:val="auto"/>
        </w:rPr>
        <w:t>” has the meaning set forth in Section 2.09(d).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EURIBO Rate</w:t>
      </w:r>
      <w:r>
        <w:rPr>
          <w:rFonts w:ascii="Arial" w:cs="Arial" w:eastAsia="Arial" w:hAnsi="Arial"/>
          <w:sz w:val="16"/>
          <w:szCs w:val="16"/>
          <w:color w:val="auto"/>
        </w:rPr>
        <w:t>” means, with respect to any EURIBOR Borrowing for any Interest Period, an interest rate per annum equal to the sum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the EURIBO Rate for such Interest Period and (b) the Mandatory Costs Rate.</w:t>
      </w:r>
    </w:p>
    <w:p>
      <w:pPr>
        <w:sectPr>
          <w:pgSz w:w="11900" w:h="16838" w:orient="portrait"/>
          <w:cols w:equalWidth="0" w:num="1">
            <w:col w:w="11400"/>
          </w:cols>
          <w:pgMar w:left="240" w:top="280" w:right="259" w:bottom="1440" w:gutter="0" w:footer="0" w:header="0"/>
        </w:sectPr>
      </w:pPr>
    </w:p>
    <w:bookmarkStart w:id="10" w:name="page11"/>
    <w:bookmarkEnd w:id="10"/>
    <w:p>
      <w:pPr>
        <w:ind w:right="1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Adjusted LIBO Rate</w:t>
      </w:r>
      <w:r>
        <w:rPr>
          <w:rFonts w:ascii="Arial" w:cs="Arial" w:eastAsia="Arial" w:hAnsi="Arial"/>
          <w:sz w:val="18"/>
          <w:szCs w:val="18"/>
          <w:color w:val="auto"/>
        </w:rPr>
        <w:t xml:space="preserve">” means (a) with respect to any LIBOR Borrowing denominated in US Dollars for any Interest Period, an interest rate per annum equal to the product of (i) the LIBO Rate for US Dollars for such Interest Period multiplied by (ii) the Statutory Reserve Rate and (b) with respect to any LIBOR Borrowing denominated in Sterling for any Interest Period, an interest rate per annum equal to the sum of (x) the LIBO Rate for such currency and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Mandatory Costs Rate.</w:t>
      </w:r>
    </w:p>
    <w:p>
      <w:pPr>
        <w:spacing w:after="0" w:line="143"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means JPMorgan Chase Bank, N.A., in its capacity as administrative agent for the Lenders hereunder, or any successor appointed in accordance with Article VIII.</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xml:space="preserve"> means the Administrative Agent, the London Agent and the Canadian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hereto.</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xml:space="preserve">” means, for any day, a rate per annum equal to the greatest of (a) the Prime Rate (in the case of a Loan or Borrowing made to a US Borrowing Subsidiary) or the US Base Rate (in the case of a Loan or Borrowing made to a Canadian Borrowing Subsidiary) in effect on such day, (b) the Federal Funds Effective Rate in effect on such day plus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per annum and (c) the Adjusted LIBO Rate on such day for a deposit in US Dollars with a maturity of one month plus 1% per annum. Any change in the Alternate Base Rate due to a change in the Prime Rate, the US Base Rate, the Federal Funds Effective Rate or the Adjusted LIBO Rate shall be effective from and including the effective date of such change in the Prime Rate, the US Base Rate, the Federal Funds Effective Rate or the Adjusted LIBO Rate, as the case may be.</w:t>
      </w:r>
    </w:p>
    <w:p>
      <w:pPr>
        <w:spacing w:after="0" w:line="12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Agent</w:t>
      </w:r>
      <w:r>
        <w:rPr>
          <w:rFonts w:ascii="Arial" w:cs="Arial" w:eastAsia="Arial" w:hAnsi="Arial"/>
          <w:sz w:val="18"/>
          <w:szCs w:val="18"/>
          <w:color w:val="auto"/>
        </w:rPr>
        <w:t>” means (a) with respect to a Loan or Borrowing (other than by a Canadian Borrowing Subsidiary) denominated in US Dollars or any Letter of Credit, and with respect to any payment hereunder that does not relate to a particular Loan, Borrowing, BA or Letter of Credit, the Administrative Agent, (b) with respect to a Loan or Borrowing by a Canadian Borrowing Subsidiary denominated in US Dollars, a Loan or Borrowing denominated in Canadian Dollars or a BA, the Canadian Agent and (c) with respect to a Loan or Borrowing denominated in a currency other than US Dollars or Canadian Dollars, the London Agent.</w:t>
      </w:r>
    </w:p>
    <w:p>
      <w:pPr>
        <w:spacing w:after="0" w:line="14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Funding Account</w:t>
      </w:r>
      <w:r>
        <w:rPr>
          <w:rFonts w:ascii="Arial" w:cs="Arial" w:eastAsia="Arial" w:hAnsi="Arial"/>
          <w:sz w:val="18"/>
          <w:szCs w:val="18"/>
          <w:color w:val="auto"/>
        </w:rPr>
        <w:t xml:space="preserve">” means, as to each Borrower, the applicable account with the Applicable Agent (or one of its Affiliates) specified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hereto or set forth in such Borrower’s Borrower Joinder Agreement entered pursuant to Section 2.22 (or if no such account is specified for such Borrower on such Schedule or such Joinder Agreement, in a written notice signed by a Financial Officer and delivered to and approved by such Applicable Agent prior to the initial extension of credit to such Borrower hereunder), or, following the initial designation of an Applicable Funding Account for such Borrower, any other account with the Applicable Agent (or one of its Affiliates) that shall be specified in a written notice signed by a Financial Officer and delivered to and approved by such Applicable Agent.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 w:name="page12"/>
    <w:bookmarkEnd w:id="11"/>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Applicable Rate</w:t>
      </w:r>
      <w:r>
        <w:rPr>
          <w:rFonts w:ascii="Arial" w:cs="Arial" w:eastAsia="Arial" w:hAnsi="Arial"/>
          <w:sz w:val="18"/>
          <w:szCs w:val="18"/>
          <w:color w:val="auto"/>
        </w:rPr>
        <w:t>” means, for any day, the applicable rate per annum set forth below under the caption “Facility Fee Rate”, “LIBOR/EURIBOR Spread and BA Stamping Fee” or “ABR/Canadian Prime Rate Spread”, as the case may be, based upon the ratings established by S&amp;P and Moody’s for the Index Debt as of the most recent determination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5"/>
              </w:rPr>
              <w:t>Ratings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LIBOR/EURIBOR</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ABR/Canadian</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138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86"/>
              </w:rPr>
              <w:t>Facility Fee</w:t>
            </w:r>
          </w:p>
        </w:tc>
        <w:tc>
          <w:tcPr>
            <w:tcW w:w="180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9"/>
              </w:rPr>
              <w:t>Spread and BA</w:t>
            </w: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Prime Rate</w:t>
            </w:r>
          </w:p>
        </w:tc>
        <w:tc>
          <w:tcPr>
            <w:tcW w:w="0" w:type="dxa"/>
            <w:vAlign w:val="bottom"/>
          </w:tcPr>
          <w:p>
            <w:pPr>
              <w:spacing w:after="0"/>
              <w:rPr>
                <w:sz w:val="1"/>
                <w:szCs w:val="1"/>
                <w:color w:val="auto"/>
              </w:rPr>
            </w:pPr>
          </w:p>
        </w:tc>
      </w:tr>
      <w:tr>
        <w:trPr>
          <w:trHeight w:val="16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Category</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(S&amp;P/Moody’s)</w:t>
            </w:r>
          </w:p>
        </w:tc>
        <w:tc>
          <w:tcPr>
            <w:tcW w:w="13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Rate</w:t>
            </w: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Stamping Fee</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Spread</w:t>
            </w:r>
          </w:p>
        </w:tc>
        <w:tc>
          <w:tcPr>
            <w:tcW w:w="0" w:type="dxa"/>
            <w:vAlign w:val="bottom"/>
          </w:tcPr>
          <w:p>
            <w:pPr>
              <w:spacing w:after="0"/>
              <w:rPr>
                <w:sz w:val="1"/>
                <w:szCs w:val="1"/>
                <w:color w:val="auto"/>
              </w:rPr>
            </w:pPr>
          </w:p>
        </w:tc>
      </w:tr>
      <w:tr>
        <w:trPr>
          <w:trHeight w:val="20"/>
        </w:trPr>
        <w:tc>
          <w:tcPr>
            <w:tcW w:w="1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Category 1</w:t>
            </w:r>
          </w:p>
        </w:tc>
        <w:tc>
          <w:tcPr>
            <w:tcW w:w="460" w:type="dxa"/>
            <w:vAlign w:val="bottom"/>
            <w:vMerge w:val="restart"/>
            <w:shd w:val="clear" w:color="auto" w:fill="CCEEFF"/>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higher</w:t>
            </w:r>
          </w:p>
        </w:tc>
        <w:tc>
          <w:tcPr>
            <w:tcW w:w="520" w:type="dxa"/>
            <w:vAlign w:val="bottom"/>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.100%</w:t>
            </w:r>
          </w:p>
        </w:tc>
        <w:tc>
          <w:tcPr>
            <w:tcW w:w="180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.900%</w:t>
            </w:r>
          </w:p>
        </w:tc>
        <w:tc>
          <w:tcPr>
            <w:tcW w:w="1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Category 2</w:t>
            </w:r>
          </w:p>
        </w:tc>
        <w:tc>
          <w:tcPr>
            <w:tcW w:w="5880" w:type="dxa"/>
            <w:vAlign w:val="bottom"/>
            <w:gridSpan w:val="3"/>
          </w:tcPr>
          <w:p>
            <w:pPr>
              <w:ind w:left="460"/>
              <w:spacing w:after="0"/>
              <w:rPr>
                <w:sz w:val="20"/>
                <w:szCs w:val="20"/>
                <w:color w:val="auto"/>
              </w:rPr>
            </w:pPr>
            <w:r>
              <w:rPr>
                <w:rFonts w:ascii="Arial" w:cs="Arial" w:eastAsia="Arial" w:hAnsi="Arial"/>
                <w:sz w:val="18"/>
                <w:szCs w:val="18"/>
                <w:color w:val="auto"/>
              </w:rPr>
              <w:t>BBB+/Baa1</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.150%</w:t>
            </w:r>
          </w:p>
        </w:tc>
        <w:tc>
          <w:tcPr>
            <w:tcW w:w="1800" w:type="dxa"/>
            <w:vAlign w:val="bottom"/>
            <w:gridSpan w:val="2"/>
          </w:tcPr>
          <w:p>
            <w:pPr>
              <w:jc w:val="right"/>
              <w:ind w:right="540"/>
              <w:spacing w:after="0"/>
              <w:rPr>
                <w:sz w:val="20"/>
                <w:szCs w:val="20"/>
                <w:color w:val="auto"/>
              </w:rPr>
            </w:pPr>
            <w:r>
              <w:rPr>
                <w:rFonts w:ascii="Arial" w:cs="Arial" w:eastAsia="Arial" w:hAnsi="Arial"/>
                <w:sz w:val="18"/>
                <w:szCs w:val="18"/>
                <w:color w:val="auto"/>
              </w:rPr>
              <w:t>.975%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3</w:t>
            </w:r>
          </w:p>
        </w:tc>
        <w:tc>
          <w:tcPr>
            <w:tcW w:w="58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BBB/Baa2</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Category 4</w:t>
            </w:r>
          </w:p>
        </w:tc>
        <w:tc>
          <w:tcPr>
            <w:tcW w:w="5880" w:type="dxa"/>
            <w:vAlign w:val="bottom"/>
            <w:gridSpan w:val="3"/>
          </w:tcPr>
          <w:p>
            <w:pPr>
              <w:ind w:left="460"/>
              <w:spacing w:after="0"/>
              <w:rPr>
                <w:sz w:val="20"/>
                <w:szCs w:val="20"/>
                <w:color w:val="auto"/>
              </w:rPr>
            </w:pPr>
            <w:r>
              <w:rPr>
                <w:rFonts w:ascii="Arial" w:cs="Arial" w:eastAsia="Arial" w:hAnsi="Arial"/>
                <w:sz w:val="18"/>
                <w:szCs w:val="18"/>
                <w:color w:val="auto"/>
              </w:rPr>
              <w:t>BBB-/Baa3</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.225%</w:t>
            </w:r>
          </w:p>
        </w:tc>
        <w:tc>
          <w:tcPr>
            <w:tcW w:w="1800" w:type="dxa"/>
            <w:vAlign w:val="bottom"/>
            <w:gridSpan w:val="2"/>
          </w:tcPr>
          <w:p>
            <w:pPr>
              <w:jc w:val="right"/>
              <w:ind w:right="540"/>
              <w:spacing w:after="0"/>
              <w:rPr>
                <w:sz w:val="20"/>
                <w:szCs w:val="20"/>
                <w:color w:val="auto"/>
              </w:rPr>
            </w:pPr>
            <w:r>
              <w:rPr>
                <w:rFonts w:ascii="Arial" w:cs="Arial" w:eastAsia="Arial" w:hAnsi="Arial"/>
                <w:sz w:val="18"/>
                <w:szCs w:val="18"/>
                <w:color w:val="auto"/>
              </w:rPr>
              <w:t>1.275%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5</w:t>
            </w:r>
          </w:p>
        </w:tc>
        <w:tc>
          <w:tcPr>
            <w:tcW w:w="58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BB+/Ba1 or lower</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w:t>
            </w: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For purposes of the foregoing, (i) if Moody’s or S&amp;P shall not have in effect a rating for the Index Debt (other than by reason of the circumstances referred to in the last sentence of this definition), then such rating agency shall be deemed to have established a rating in Category 5; (ii) if the ratings established or deemed to have been established by Moody’s and S&amp;P for the Index Debt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and (iii) if the rating established or deemed to have been established by Moody’s or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ratings of the other rating agency (or, if the circumstances referred to in this sentence shall affect both rating agencies, the ratings most recently in effect prior to such changes or cessations).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has the meaning assigned to such term in Section 11.04.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Arrangers</w:t>
      </w:r>
      <w:r>
        <w:rPr>
          <w:rFonts w:ascii="Arial" w:cs="Arial" w:eastAsia="Arial" w:hAnsi="Arial"/>
          <w:sz w:val="18"/>
          <w:szCs w:val="18"/>
          <w:color w:val="auto"/>
        </w:rPr>
        <w:t>” means J.P. Morgan Securities LLC, Merrill Lynch, Pierce, Fenner &amp; Smith Incorporated and HSBC Bank plc.</w:t>
      </w:r>
    </w:p>
    <w:p>
      <w:pPr>
        <w:spacing w:after="0" w:line="17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11.04),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 w:name="page13"/>
    <w:bookmarkEnd w:id="1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Agent</w:t>
      </w:r>
      <w:r>
        <w:rPr>
          <w:rFonts w:ascii="Arial" w:cs="Arial" w:eastAsia="Arial" w:hAnsi="Arial"/>
          <w:sz w:val="18"/>
          <w:szCs w:val="18"/>
          <w:color w:val="auto"/>
        </w:rPr>
        <w:t>” has the meaning set forth in Section 11.09(d).</w:t>
      </w:r>
    </w:p>
    <w:p>
      <w:pPr>
        <w:spacing w:after="0" w:line="171"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32"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w:t>
      </w:r>
      <w:r>
        <w:rPr>
          <w:rFonts w:ascii="Arial" w:cs="Arial" w:eastAsia="Arial" w:hAnsi="Arial"/>
          <w:sz w:val="16"/>
          <w:szCs w:val="16"/>
          <w:color w:val="auto"/>
        </w:rPr>
        <w:t>” means a bill of exchange, including a depository bill issued in accordance with the Depository Bills and Notes Act (Canada), denominated in Canadian Dollars, drawn by a Canadian Borrowing Subsidiary and accepted by a Lender in accordance with the terms of this Agreement.</w:t>
      </w:r>
    </w:p>
    <w:p>
      <w:pPr>
        <w:spacing w:after="0" w:line="8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Drawing</w:t>
      </w:r>
      <w:r>
        <w:rPr>
          <w:rFonts w:ascii="Arial" w:cs="Arial" w:eastAsia="Arial" w:hAnsi="Arial"/>
          <w:sz w:val="18"/>
          <w:szCs w:val="18"/>
          <w:color w:val="auto"/>
        </w:rPr>
        <w:t>” means BAs accepted and purchased (and any BA Equivalent Loans made in lieu of such acceptance and purchase) on the same date and as to which a single Contract Period is in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Loan</w:t>
      </w:r>
      <w:r>
        <w:rPr>
          <w:rFonts w:ascii="Arial" w:cs="Arial" w:eastAsia="Arial" w:hAnsi="Arial"/>
          <w:sz w:val="18"/>
          <w:szCs w:val="18"/>
          <w:color w:val="auto"/>
        </w:rPr>
        <w:t>” has the meaning assigned to such term in Section 2.06(k).</w:t>
      </w:r>
    </w:p>
    <w:p>
      <w:pPr>
        <w:spacing w:after="0" w:line="17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Event</w:t>
      </w:r>
      <w:r>
        <w:rPr>
          <w:rFonts w:ascii="Arial" w:cs="Arial" w:eastAsia="Arial" w:hAnsi="Arial"/>
          <w:sz w:val="16"/>
          <w:szCs w:val="16"/>
          <w:color w:val="auto"/>
        </w:rPr>
        <w:t>” 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or acquiescenced in, any such proceeding or appointment; provided that a Bankruptcy Event shall not result solely by virtue of any ownership interest, or the acquisition of any ownership interest, in such Person by a Governmental Authority; provided, however,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1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Basket Amount</w:t>
      </w:r>
      <w:r>
        <w:rPr>
          <w:rFonts w:ascii="Arial" w:cs="Arial" w:eastAsia="Arial" w:hAnsi="Arial"/>
          <w:sz w:val="18"/>
          <w:szCs w:val="18"/>
          <w:color w:val="auto"/>
        </w:rPr>
        <w:t>” means, at any time, the greater of (a) US$150,000,000 and (b) 6% of Consolidated Tangible Assets at the end of the most recent fiscal quarter of the Company for which financial statements have been delivered under Section 5.01 (or, prior to the delivery of any such financial statements, at September 30, 2011).</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Governors of the Federal Reserve System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any Tranche A Borrower, Tranche B Borrower or Tranche C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Joinder Agreement</w:t>
      </w:r>
      <w:r>
        <w:rPr>
          <w:rFonts w:ascii="Arial" w:cs="Arial" w:eastAsia="Arial" w:hAnsi="Arial"/>
          <w:sz w:val="18"/>
          <w:szCs w:val="18"/>
          <w:color w:val="auto"/>
        </w:rPr>
        <w:t xml:space="preserve">” means a Borrower Joinder Agreement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Termination Agreement</w:t>
      </w:r>
      <w:r>
        <w:rPr>
          <w:rFonts w:ascii="Arial" w:cs="Arial" w:eastAsia="Arial" w:hAnsi="Arial"/>
          <w:sz w:val="18"/>
          <w:szCs w:val="18"/>
          <w:color w:val="auto"/>
        </w:rPr>
        <w:t xml:space="preserve">” means a Borrower Termination Agreement,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3" w:name="page14"/>
    <w:bookmarkEnd w:id="13"/>
    <w:p>
      <w:pPr>
        <w:ind w:right="2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Borrowing</w:t>
      </w:r>
      <w:r>
        <w:rPr>
          <w:rFonts w:ascii="Arial" w:cs="Arial" w:eastAsia="Arial" w:hAnsi="Arial"/>
          <w:sz w:val="18"/>
          <w:szCs w:val="18"/>
          <w:color w:val="auto"/>
        </w:rPr>
        <w:t>” means (a) Loans of the same Class and Type made, converted or continued on the same date and, in the case of LIBOR Loans, as to which a single Interest Period is in effect or (b) a Swingline Loan.</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Minimum</w:t>
      </w:r>
      <w:r>
        <w:rPr>
          <w:rFonts w:ascii="Arial" w:cs="Arial" w:eastAsia="Arial" w:hAnsi="Arial"/>
          <w:sz w:val="18"/>
          <w:szCs w:val="18"/>
          <w:color w:val="auto"/>
        </w:rPr>
        <w:t>” means (a) in the case of a Borrowing denominated in US Dollars, US$3,000,000, (b) in the case of a Borrowing denominated in Sterling, £2,000,000, (c) in the case of a Borrowing denominated in Euros, €3,000,000 and (d) in the case of a Borrowing denominated in Canadian Dollars, Cdn.$3,000,000.</w:t>
      </w:r>
    </w:p>
    <w:p>
      <w:pPr>
        <w:spacing w:after="0" w:line="14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Multiple</w:t>
      </w:r>
      <w:r>
        <w:rPr>
          <w:rFonts w:ascii="Arial" w:cs="Arial" w:eastAsia="Arial" w:hAnsi="Arial"/>
          <w:sz w:val="18"/>
          <w:szCs w:val="18"/>
          <w:color w:val="auto"/>
        </w:rPr>
        <w:t>” means (a) in the case of a Borrowing denominated in US Dollars, US$1,000,000, (b) in the case of a Borrowing denominated in Sterling, £1,000,000, (c) in the case of a Borrowing denominated in Euros, €1,000,000 and (d) in the case of a Borrowing denominated in Canadian Dollars, Cdn.$1,000,000.</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means a request by a Borrower for a Revolving Borrowing in accordance with Section 2.03.</w:t>
      </w:r>
    </w:p>
    <w:p>
      <w:pPr>
        <w:spacing w:after="0" w:line="171" w:lineRule="exact"/>
        <w:rPr>
          <w:sz w:val="20"/>
          <w:szCs w:val="20"/>
          <w:color w:val="auto"/>
        </w:rPr>
      </w:pPr>
    </w:p>
    <w:p>
      <w:pPr>
        <w:jc w:val="both"/>
        <w:ind w:right="4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Subsidiary</w:t>
      </w:r>
      <w:r>
        <w:rPr>
          <w:rFonts w:ascii="Arial" w:cs="Arial" w:eastAsia="Arial" w:hAnsi="Arial"/>
          <w:sz w:val="18"/>
          <w:szCs w:val="18"/>
          <w:color w:val="auto"/>
        </w:rPr>
        <w:t xml:space="preserve">” means (a) European Software Marketing Limited, a Guernsey limited company, and (b) any other Subsidiary that has become a Borrowing Subsidiary as provided in Section 2.22;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Subsidiary referred to in the preceding clauses (a) and (b) may cease to be a Borrowing Subsidiary as provided in Section 2.22.</w:t>
      </w:r>
    </w:p>
    <w:p>
      <w:pPr>
        <w:spacing w:after="0" w:line="14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that is not a Saturday, Sunday or other day on which commercial banks in New York City or London are authorized or required by law to remain closed; </w:t>
      </w:r>
      <w:r>
        <w:rPr>
          <w:rFonts w:ascii="Arial" w:cs="Arial" w:eastAsia="Arial" w:hAnsi="Arial"/>
          <w:sz w:val="16"/>
          <w:szCs w:val="16"/>
          <w:i w:val="1"/>
          <w:iCs w:val="1"/>
          <w:color w:val="auto"/>
        </w:rPr>
        <w:t>provided</w:t>
      </w:r>
      <w:r>
        <w:rPr>
          <w:rFonts w:ascii="Arial" w:cs="Arial" w:eastAsia="Arial" w:hAnsi="Arial"/>
          <w:sz w:val="16"/>
          <w:szCs w:val="16"/>
          <w:color w:val="auto"/>
        </w:rPr>
        <w:t>, that (a) when used in connection with a LIBOR Loan in any currency, the term “</w:t>
      </w:r>
      <w:r>
        <w:rPr>
          <w:rFonts w:ascii="Arial" w:cs="Arial" w:eastAsia="Arial" w:hAnsi="Arial"/>
          <w:sz w:val="16"/>
          <w:szCs w:val="16"/>
          <w:i w:val="1"/>
          <w:iCs w:val="1"/>
          <w:color w:val="auto"/>
        </w:rPr>
        <w:t>Business Day</w:t>
      </w:r>
      <w:r>
        <w:rPr>
          <w:rFonts w:ascii="Arial" w:cs="Arial" w:eastAsia="Arial" w:hAnsi="Arial"/>
          <w:sz w:val="16"/>
          <w:szCs w:val="16"/>
          <w:color w:val="auto"/>
        </w:rPr>
        <w:t>” shall also exclude any day on which banks are not open for dealings in deposits in such currency in the London interbank market, (b) when used in connection with a EURIBOR Loan, the term “</w:t>
      </w:r>
      <w:r>
        <w:rPr>
          <w:rFonts w:ascii="Arial" w:cs="Arial" w:eastAsia="Arial" w:hAnsi="Arial"/>
          <w:sz w:val="16"/>
          <w:szCs w:val="16"/>
          <w:i w:val="1"/>
          <w:iCs w:val="1"/>
          <w:color w:val="auto"/>
        </w:rPr>
        <w:t>Business Day</w:t>
      </w:r>
      <w:r>
        <w:rPr>
          <w:rFonts w:ascii="Arial" w:cs="Arial" w:eastAsia="Arial" w:hAnsi="Arial"/>
          <w:sz w:val="16"/>
          <w:szCs w:val="16"/>
          <w:color w:val="auto"/>
        </w:rPr>
        <w:t>” shall also exclude any day on which TARGET is not open for the settlement of payments in Euros, (c) when used in connection with a Canadian Prime Rate Loan (including any Swingline Loan denominated in Canadian Dollars) or a BA, the term “</w:t>
      </w:r>
      <w:r>
        <w:rPr>
          <w:rFonts w:ascii="Arial" w:cs="Arial" w:eastAsia="Arial" w:hAnsi="Arial"/>
          <w:sz w:val="16"/>
          <w:szCs w:val="16"/>
          <w:i w:val="1"/>
          <w:iCs w:val="1"/>
          <w:color w:val="auto"/>
        </w:rPr>
        <w:t>Business Day</w:t>
      </w:r>
      <w:r>
        <w:rPr>
          <w:rFonts w:ascii="Arial" w:cs="Arial" w:eastAsia="Arial" w:hAnsi="Arial"/>
          <w:sz w:val="16"/>
          <w:szCs w:val="16"/>
          <w:color w:val="auto"/>
        </w:rPr>
        <w:t>” shall also exclude any day on which banks are not open for business in Toronto and (d) when used in connection with a Loan to any Borrower organized in a jurisdiction other than the United States of America, the United Kingdom or Canada, the term “</w:t>
      </w:r>
      <w:r>
        <w:rPr>
          <w:rFonts w:ascii="Arial" w:cs="Arial" w:eastAsia="Arial" w:hAnsi="Arial"/>
          <w:sz w:val="16"/>
          <w:szCs w:val="16"/>
          <w:i w:val="1"/>
          <w:iCs w:val="1"/>
          <w:color w:val="auto"/>
        </w:rPr>
        <w:t>Business Day</w:t>
      </w:r>
      <w:r>
        <w:rPr>
          <w:rFonts w:ascii="Arial" w:cs="Arial" w:eastAsia="Arial" w:hAnsi="Arial"/>
          <w:sz w:val="16"/>
          <w:szCs w:val="16"/>
          <w:color w:val="auto"/>
        </w:rPr>
        <w:t>” shall also exclude any day on which commercial banks in the jurisdiction of organization of such Borrower are authorized or required by law to remain closed.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w:t>
      </w:r>
      <w:r>
        <w:rPr>
          <w:rFonts w:ascii="Arial" w:cs="Arial" w:eastAsia="Arial" w:hAnsi="Arial"/>
          <w:sz w:val="16"/>
          <w:szCs w:val="16"/>
          <w:color w:val="auto"/>
        </w:rPr>
        <w:t>” means the mechanism for the allocation and exchange of interests in the Tranches and the collections thereunder established under Article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IX.</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Exchange</w:t>
      </w:r>
      <w:r>
        <w:rPr>
          <w:rFonts w:ascii="Arial" w:cs="Arial" w:eastAsia="Arial" w:hAnsi="Arial"/>
          <w:sz w:val="18"/>
          <w:szCs w:val="18"/>
          <w:color w:val="auto"/>
        </w:rPr>
        <w:t>” means the exchange of the Lenders’ interests provided for in Article IX.</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 Exchange Date</w:t>
      </w:r>
      <w:r>
        <w:rPr>
          <w:rFonts w:ascii="Arial" w:cs="Arial" w:eastAsia="Arial" w:hAnsi="Arial"/>
          <w:sz w:val="16"/>
          <w:szCs w:val="16"/>
          <w:color w:val="auto"/>
        </w:rPr>
        <w:t>” means the date on which any event referred to in clause (h) or (i) of Article VII shall occur with respect to the Company.</w:t>
      </w:r>
    </w:p>
    <w:p>
      <w:pPr>
        <w:spacing w:after="0" w:line="194"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Percentage</w:t>
      </w:r>
      <w:r>
        <w:rPr>
          <w:rFonts w:ascii="Arial" w:cs="Arial" w:eastAsia="Arial" w:hAnsi="Arial"/>
          <w:sz w:val="18"/>
          <w:szCs w:val="18"/>
          <w:color w:val="auto"/>
        </w:rPr>
        <w:t>” means, as to each Lender, a fraction, expressed as a decimal, of which (a) the numerator shall be the sum of the 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 For purposes of determining the CAM Percentages,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4" w:name="page15"/>
    <w:bookmarkEnd w:id="14"/>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payable in respect of any BA shall be deemed to be the face amount thereof, reduced by the unaccreted portion of the discount at which such BA shall have been purchased (taking into account the applicable Discount Rates and acceptance fees), as determined by the Administrative Agent in accordance with accepted financial practice.</w:t>
      </w:r>
    </w:p>
    <w:p>
      <w:pPr>
        <w:spacing w:after="0" w:line="140"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Agent</w:t>
      </w:r>
      <w:r>
        <w:rPr>
          <w:rFonts w:ascii="Arial" w:cs="Arial" w:eastAsia="Arial" w:hAnsi="Arial"/>
          <w:sz w:val="18"/>
          <w:szCs w:val="18"/>
          <w:color w:val="auto"/>
        </w:rPr>
        <w:t>” means JPMorgan Chase Bank, N.A., Toronto Branch, in its capacity as Canadian agent for the Lenders hereunder, or any successor appointed in accordance with Article VIII.</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Borrowing Subsidiary</w:t>
      </w:r>
      <w:r>
        <w:rPr>
          <w:rFonts w:ascii="Arial" w:cs="Arial" w:eastAsia="Arial" w:hAnsi="Arial"/>
          <w:sz w:val="18"/>
          <w:szCs w:val="18"/>
          <w:color w:val="auto"/>
        </w:rPr>
        <w:t>” means any Borrowing Subsidiary that is a Canadian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or “</w:t>
      </w:r>
      <w:r>
        <w:rPr>
          <w:rFonts w:ascii="Arial" w:cs="Arial" w:eastAsia="Arial" w:hAnsi="Arial"/>
          <w:sz w:val="18"/>
          <w:szCs w:val="18"/>
          <w:i w:val="1"/>
          <w:iCs w:val="1"/>
          <w:color w:val="auto"/>
        </w:rPr>
        <w:t>Cdn.$</w:t>
      </w:r>
      <w:r>
        <w:rPr>
          <w:rFonts w:ascii="Arial" w:cs="Arial" w:eastAsia="Arial" w:hAnsi="Arial"/>
          <w:sz w:val="18"/>
          <w:szCs w:val="18"/>
          <w:color w:val="auto"/>
        </w:rPr>
        <w:t>” means the lawful money of Canada.</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Prime Rate</w:t>
      </w:r>
      <w:r>
        <w:rPr>
          <w:rFonts w:ascii="Arial" w:cs="Arial" w:eastAsia="Arial" w:hAnsi="Arial"/>
          <w:sz w:val="16"/>
          <w:szCs w:val="16"/>
          <w:color w:val="auto"/>
        </w:rPr>
        <w:t>” means, for any day, the rate of interest per annum (rounded upwards, if necessary, to the next 1/100 of 1%) equal to the greater of (a) the interest rate per annum publicly announced from time to time by the Canadian Agent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per annum equal to the sum of (i) the CDOR Rate on such day (or, if such rate is not so reported on the Reuters Screen CDOR Page, the average of the rate quotes for bankers’ acceptances denominated in Canadian Dollars with a one month term received by the Canadian Agent at approximately 10:00 a.m., Toronto time, on such day (or, if such day is not a Business Day, on the next preceding Business Day) from the Schedule I Reference Lenders) and (ii) 0.50% per annum.</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Subsidiary</w:t>
      </w:r>
      <w:r>
        <w:rPr>
          <w:rFonts w:ascii="Arial" w:cs="Arial" w:eastAsia="Arial" w:hAnsi="Arial"/>
          <w:sz w:val="16"/>
          <w:szCs w:val="16"/>
          <w:color w:val="auto"/>
        </w:rPr>
        <w:t>” means any Subsidiary that is incorporated or otherwise organized under the laws of Canada or any political subdivision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65"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CDOR Rate</w:t>
      </w:r>
      <w:r>
        <w:rPr>
          <w:rFonts w:ascii="Arial" w:cs="Arial" w:eastAsia="Arial" w:hAnsi="Arial"/>
          <w:sz w:val="18"/>
          <w:szCs w:val="18"/>
          <w:color w:val="auto"/>
        </w:rPr>
        <w:t>” means, on any date, an interest rate per annum equal to the stated average discount rate applicable to bankers’ acceptances denominated in Canadian Dollars with a term of one month (for purposes of the definition of “</w:t>
      </w:r>
      <w:r>
        <w:rPr>
          <w:rFonts w:ascii="Arial" w:cs="Arial" w:eastAsia="Arial" w:hAnsi="Arial"/>
          <w:sz w:val="18"/>
          <w:szCs w:val="18"/>
          <w:i w:val="1"/>
          <w:iCs w:val="1"/>
          <w:color w:val="auto"/>
        </w:rPr>
        <w:t>Canadian Prime Rate</w:t>
      </w:r>
      <w:r>
        <w:rPr>
          <w:rFonts w:ascii="Arial" w:cs="Arial" w:eastAsia="Arial" w:hAnsi="Arial"/>
          <w:sz w:val="18"/>
          <w:szCs w:val="18"/>
          <w:color w:val="auto"/>
        </w:rPr>
        <w:t>”) or with a term equal to the Contract Period of the relevant BAs (for purposes of the definition of “</w:t>
      </w:r>
      <w:r>
        <w:rPr>
          <w:rFonts w:ascii="Arial" w:cs="Arial" w:eastAsia="Arial" w:hAnsi="Arial"/>
          <w:sz w:val="18"/>
          <w:szCs w:val="18"/>
          <w:i w:val="1"/>
          <w:iCs w:val="1"/>
          <w:color w:val="auto"/>
        </w:rPr>
        <w:t>Discount Rate</w:t>
      </w:r>
      <w:r>
        <w:rPr>
          <w:rFonts w:ascii="Arial" w:cs="Arial" w:eastAsia="Arial" w:hAnsi="Arial"/>
          <w:sz w:val="18"/>
          <w:szCs w:val="18"/>
          <w:color w:val="auto"/>
        </w:rPr>
        <w:t>”) appearing on the Reuters Screen CDOR Page (or on any successor or substitute page of such Screen, or any successor to or substitute for such Screen, providing rate quotations comparable to those currently provided on such page of such Screen, as determined by the Canadian Agent from time to time) at approximately 10:00 a.m., Toronto time, on such date (or, if such date is not a Business Day, on the next preceding Business Day).</w:t>
      </w:r>
    </w:p>
    <w:p>
      <w:pPr>
        <w:spacing w:after="0" w:line="144"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Company; (b) occupation of a majority of the seats (other than vacant seats) on the board of directors of the Company by Persons who were neither (i) nominated by the board of directors of the Company nor (ii) appointed by directors so nominated; (c) the acquisition of direct or indirect Control of the Company by any Person or group; or (d) the acquisition of any Equity Interests (other than directors’ or other qualifying shares) of any Borrowing Subsidiary by any Person other than the Company or a Subsidiary.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 w:name="page16"/>
    <w:bookmarkEnd w:id="15"/>
    <w:p>
      <w:pPr>
        <w:ind w:right="2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Change in Law</w:t>
      </w:r>
      <w:r>
        <w:rPr>
          <w:rFonts w:ascii="Arial" w:cs="Arial" w:eastAsia="Arial" w:hAnsi="Arial"/>
          <w:sz w:val="16"/>
          <w:szCs w:val="16"/>
          <w:color w:val="auto"/>
        </w:rPr>
        <w:t xml:space="preserve">” means (a) the adoption of any law, rule or regulation after the Closing Date, (b) any change in any law, rule or regulation or in the interpretation or application thereof by any Governmental Authority after the Closing Date or (c) compliance by any Lender or Issuing Bank (or by any lending office of such Lender or Issuing Bank or by such Lender’s or Issuing Bank’s holding company, if any) with any request, rule, guideline or directive (whether or not having the force of law) of any Governmental Authority made or issued after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w:t>
      </w:r>
    </w:p>
    <w:p>
      <w:pPr>
        <w:spacing w:after="0" w:line="3" w:lineRule="exact"/>
        <w:rPr>
          <w:sz w:val="20"/>
          <w:szCs w:val="20"/>
          <w:color w:val="auto"/>
        </w:rPr>
      </w:pPr>
    </w:p>
    <w:p>
      <w:pPr>
        <w:ind w:right="80" w:firstLine="8"/>
        <w:spacing w:after="0" w:line="320" w:lineRule="auto"/>
        <w:tabs>
          <w:tab w:leader="none" w:pos="21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similar authority) or the United States financial regulatory authorities, in each case pursuant to Basel III, shall in each case be deemed to be a “Change in Law”, whether enacted, adopted, promulgated or issued before or after the date of this Agreement.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has the meaning set forth in Section 2.18(c).</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w:t>
      </w:r>
      <w:r>
        <w:rPr>
          <w:rFonts w:ascii="Arial" w:cs="Arial" w:eastAsia="Arial" w:hAnsi="Arial"/>
          <w:sz w:val="16"/>
          <w:szCs w:val="16"/>
          <w:color w:val="auto"/>
        </w:rPr>
        <w:t>”, when used in reference to (a) any Loan or Borrowing, refers to whether such Loan, or the Loans comprising such Borrowing, are Tranche A Revolving Loans, Tranche B Revolving Loans, Tranche C Revolving Loans, Tranche A Swingline Loans or Tranche B Swingline Loans, and (b) any Commitment, refers to whether such Commitment is a Tranche A Commitment, a Tranche B Commitment or a Tranche C Commitment.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means the Tranche A Commitments, the Tranche B Commitments and the Tranche C Commitments. The aggregate amount of the Commitments as of the Closing Date is US$500,000,000.</w:t>
      </w:r>
    </w:p>
    <w:p>
      <w:pPr>
        <w:spacing w:after="0" w:line="132"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any Credit Party pursuant to any Credit Document or the transactions contemplated therein that is distributed to the Agents, any Lender or any Issuing Bank by means of electronic communications pursuant to Section 11.01, including through the Platform.</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assigned to it in the preamble.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Lender</w:t>
      </w:r>
      <w:r>
        <w:rPr>
          <w:rFonts w:ascii="Arial" w:cs="Arial" w:eastAsia="Arial" w:hAnsi="Arial"/>
          <w:sz w:val="18"/>
          <w:szCs w:val="18"/>
          <w:color w:val="auto"/>
        </w:rPr>
        <w:t>” has the meaning set forth in Section 2.09(e).</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Assets</w:t>
      </w:r>
      <w:r>
        <w:rPr>
          <w:rFonts w:ascii="Arial" w:cs="Arial" w:eastAsia="Arial" w:hAnsi="Arial"/>
          <w:sz w:val="16"/>
          <w:szCs w:val="16"/>
          <w:color w:val="auto"/>
        </w:rPr>
        <w:t>” means, at any time, the aggregate amount of assets (less applicable accumulated depreciation, depletion and amortization and other reserves and other properly deductible items) of the Company and its Subsidiaries, all as set forth in the most recent consolidated balance sheet of the Company and its Subsidiaries, determined in accordance with GAAP, included in the periodic reports of the Company filed with the SEC.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right="60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Consolidated EBITDA</w:t>
      </w:r>
      <w:r>
        <w:rPr>
          <w:rFonts w:ascii="Arial" w:cs="Arial" w:eastAsia="Arial" w:hAnsi="Arial"/>
          <w:sz w:val="16"/>
          <w:szCs w:val="16"/>
          <w:color w:val="auto"/>
        </w:rPr>
        <w:t xml:space="preserve">” means, for any period of four consecutive fiscal quarters,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without duplication and to the extent deducted in determining such Consolidated Net Income, the sum of (i) consolidated interest expense for such period,</w:t>
      </w:r>
    </w:p>
    <w:p>
      <w:pPr>
        <w:ind w:right="100" w:firstLine="8"/>
        <w:spacing w:after="0" w:line="285"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consolidated income tax expense for such period, (iii) all amounts attributable to depreciation and amortization for such period, (iv) noncash equity-based compensation expense for such period and (v) any nonrecurring noncash charges for such period,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sum of (i) to the extent included in determining such Consolidated Net Income, any nonrecurring gains for such period and (ii) any cash payments made during such period in respect of items reflected as noncash equity-based compensation expense or nonrecurring noncash charges during any earlier period, all determined on a consolidated basis in accordance with GAAP. If the Company or any Subsidiary shall have made a Material Acquisition or a Material Disposition, Consolidated EBITDA for the quarter in which such event occurs and the four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any such pro forma calculation in respect of a Material Acquisition, nonrecurring cash charges related to the acquired Equity Interests, assets, division, or operating unit in any of such four preceding quarters shall be added, without duplication, to Consolidated EBITDA for the applicable quarters, provided that the aggregate amount of any such additions in respect of any Material Acquisition shall not exceed the lesser of (a) 5% of Consolidated EBITDA for such four preceding quarters (before giving effect to such pro forma calculation), and (b) 15% of the EBITDA attributable to the acquired Equity Interests, assets, division, or operating unit for such four preceding quarters.</w:t>
      </w:r>
    </w:p>
    <w:p>
      <w:pPr>
        <w:spacing w:after="0" w:line="12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four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118"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for any fiscal period, the net income of the Company and the Consolidated Subsidiaries for such period, determined on a consolidated basis in accordance with GAAP.</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all as set forth in the most recent consolidated balance sheet of the Company, determined on a consolidated basis in accordance with GAAP.</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Subsidiary</w:t>
      </w:r>
      <w:r>
        <w:rPr>
          <w:rFonts w:ascii="Arial" w:cs="Arial" w:eastAsia="Arial" w:hAnsi="Arial"/>
          <w:sz w:val="16"/>
          <w:szCs w:val="16"/>
          <w:color w:val="auto"/>
        </w:rPr>
        <w:t>” means any Subsidiary that should be consolidated with the Company for financial reporting purposes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Indebtedness</w:t>
      </w:r>
      <w:r>
        <w:rPr>
          <w:rFonts w:ascii="Arial" w:cs="Arial" w:eastAsia="Arial" w:hAnsi="Arial"/>
          <w:sz w:val="18"/>
          <w:szCs w:val="18"/>
          <w:color w:val="auto"/>
        </w:rPr>
        <w:t>”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 w:name="page18"/>
    <w:bookmarkEnd w:id="17"/>
    <w:p>
      <w:pPr>
        <w:ind w:right="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Contract Period</w:t>
      </w:r>
      <w:r>
        <w:rPr>
          <w:rFonts w:ascii="Arial" w:cs="Arial" w:eastAsia="Arial" w:hAnsi="Arial"/>
          <w:sz w:val="16"/>
          <w:szCs w:val="16"/>
          <w:color w:val="auto"/>
        </w:rPr>
        <w:t xml:space="preserve">” means, with respect to any BA, the period commencing on the date such BA is issued, accepted and purchased and ending on the date that is one, two, three and six months thereafter, as the applicable Canadian Borrowing Subsidiary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Contract Period would end on a day other than a Business Day, such Contract Period shall be extended to the next succeeding Business Day.</w:t>
      </w:r>
    </w:p>
    <w:p>
      <w:pPr>
        <w:spacing w:after="0" w:line="107"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i w:val="1"/>
          <w:iCs w:val="1"/>
          <w:color w:val="auto"/>
        </w:rPr>
        <w:t>Controlling</w:t>
      </w:r>
      <w:r>
        <w:rPr>
          <w:rFonts w:ascii="Arial" w:cs="Arial" w:eastAsia="Arial" w:hAnsi="Arial"/>
          <w:sz w:val="16"/>
          <w:szCs w:val="16"/>
          <w:color w:val="auto"/>
        </w:rPr>
        <w:t>” and “</w:t>
      </w:r>
      <w:r>
        <w:rPr>
          <w:rFonts w:ascii="Arial" w:cs="Arial" w:eastAsia="Arial" w:hAnsi="Arial"/>
          <w:sz w:val="16"/>
          <w:szCs w:val="16"/>
          <w:i w:val="1"/>
          <w:iCs w:val="1"/>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Documents</w:t>
      </w:r>
      <w:r>
        <w:rPr>
          <w:rFonts w:ascii="Arial" w:cs="Arial" w:eastAsia="Arial" w:hAnsi="Arial"/>
          <w:sz w:val="18"/>
          <w:szCs w:val="18"/>
          <w:color w:val="auto"/>
        </w:rPr>
        <w:t>” means this Agreement, each Borrower Joinder Agreement, each Borrower Termination Agreement and any promissory note issued hereunder.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Parties</w:t>
      </w:r>
      <w:r>
        <w:rPr>
          <w:rFonts w:ascii="Arial" w:cs="Arial" w:eastAsia="Arial" w:hAnsi="Arial"/>
          <w:sz w:val="18"/>
          <w:szCs w:val="18"/>
          <w:color w:val="auto"/>
        </w:rPr>
        <w:t>” means the Company, in its capacity as a Borrower and a Guarantor hereunder, and the Borrowing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Declining Lender</w:t>
      </w:r>
      <w:r>
        <w:rPr>
          <w:rFonts w:ascii="Arial" w:cs="Arial" w:eastAsia="Arial" w:hAnsi="Arial"/>
          <w:sz w:val="18"/>
          <w:szCs w:val="18"/>
          <w:color w:val="auto"/>
        </w:rPr>
        <w:t>” has the meaning set forth in Section 2.09(e).</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Defaulting Lender</w:t>
      </w:r>
      <w:r>
        <w:rPr>
          <w:rFonts w:ascii="Arial" w:cs="Arial" w:eastAsia="Arial" w:hAnsi="Arial"/>
          <w:sz w:val="16"/>
          <w:szCs w:val="16"/>
          <w:color w:val="auto"/>
        </w:rPr>
        <w:t>” means any Lender that (a) has failed, within two Business Days of the date required to be funded or paid, (i) to fund any portion of its Loans, (ii) to fund any portion of its participations in Letters of Credit or Swingline Loans or (iii) to pay to any Agent, any Issuing Bank, the Swingline Lender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any Agent, any Issuing Bank, the Swingline Lender or any Lender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an Agent or Issuing Bank or the Swingline Lender made in good faith to provide a certification in writing from an authorized officer of such Lender that it will comply with its obligations to fund prospective Loans and participations in then outstanding Letters of Credit and Swingline Loans, provided that such Lender shall cease to be a Defaulting Lender pursuant to this clause (c) upon such Agent’s or Issuing Bank’s or the Swingline Lender’s receipt of such certification in form and substance satisfactory to it and the Administrative Agent, or (d) has become the subject of a Bankruptcy Event.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Obligations</w:t>
      </w:r>
      <w:r>
        <w:rPr>
          <w:rFonts w:ascii="Arial" w:cs="Arial" w:eastAsia="Arial" w:hAnsi="Arial"/>
          <w:sz w:val="16"/>
          <w:szCs w:val="16"/>
          <w:color w:val="auto"/>
        </w:rPr>
        <w:t>” shall mean all obligations of the Borrowers with respect to (a) principal of and interest on the Revolving Loans,</w:t>
      </w:r>
    </w:p>
    <w:p>
      <w:pPr>
        <w:spacing w:after="0" w:line="38" w:lineRule="exact"/>
        <w:rPr>
          <w:sz w:val="20"/>
          <w:szCs w:val="20"/>
          <w:color w:val="auto"/>
        </w:rPr>
      </w:pPr>
    </w:p>
    <w:p>
      <w:pPr>
        <w:ind w:right="260" w:firstLine="8"/>
        <w:spacing w:after="0" w:line="261"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participations in Swingline Loans, (c) amounts payable in respect of BAs, (d) unreimbursed L/C Disbursements and interest thereon and (c) all facility fees and Letter of Credit participation fees.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 w:name="page19"/>
    <w:bookmarkEnd w:id="1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Discount Proceeds</w:t>
      </w:r>
      <w:r>
        <w:rPr>
          <w:rFonts w:ascii="Arial" w:cs="Arial" w:eastAsia="Arial" w:hAnsi="Arial"/>
          <w:sz w:val="16"/>
          <w:szCs w:val="16"/>
          <w:color w:val="auto"/>
        </w:rPr>
        <w:t>” means, with respect to any BA, an amount (rounded upward, if necessary, to the nearest Cdn.$.01) calculated by multiplying</w:t>
      </w:r>
    </w:p>
    <w:p>
      <w:pPr>
        <w:spacing w:after="0" w:line="38" w:lineRule="exact"/>
        <w:rPr>
          <w:sz w:val="20"/>
          <w:szCs w:val="20"/>
          <w:color w:val="auto"/>
        </w:rPr>
      </w:pPr>
    </w:p>
    <w:p>
      <w:pPr>
        <w:jc w:val="both"/>
        <w:ind w:firstLine="8"/>
        <w:spacing w:after="0" w:line="302"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face amount of such BA by (b) the quotient obtained by dividing (i) one by (ii) the sum of (A) one and (B) the product of (x) the Discount Rate (expressed as a decimal) applicable to such BA and (y) a fraction of which the numerator is the Contract Period applicable to such BA and the denominator is 365, with such quotient being rounded upward or downward to the fifth decimal place and .000005 being rounded upward.</w:t>
      </w:r>
    </w:p>
    <w:p>
      <w:pPr>
        <w:spacing w:after="0" w:line="109"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Discount Rate</w:t>
      </w:r>
      <w:r>
        <w:rPr>
          <w:rFonts w:ascii="Arial" w:cs="Arial" w:eastAsia="Arial" w:hAnsi="Arial"/>
          <w:sz w:val="15"/>
          <w:szCs w:val="15"/>
          <w:color w:val="auto"/>
        </w:rPr>
        <w:t xml:space="preserve">” means, with respect to a BA being accepted and purchased on any day, (a) for a Lender which is a Schedule I Lender, (i) the CDOR Rate applicable to such BA or (ii) if the discount rate for a particular Contract Period is not quoted on the Reuters Screen CDOR Page, the arithmetic average (as determined by the Canadian Agent and expressed as a per annum rate) of the percentage discount rates (expressed as a decimal and rounded upward, if necessary, to the nearest 1/100 of 1%) quoted to the Canadian Agent by the 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 and (b) for a lender which is a Non-Schedule I Lender, the lesser of (i) the CDOR Rate applicable to such BA referred to in clause (a) above as if such Non-Schedule I Lender were a Schedule I Lender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0.10% per annum and (ii) the arithmetic average (as determined by the Canadian Agent and expressed as a per annum rate) of the percentage discount rates (expressed as a decimal and rounded upward, if necessary, to the nearest 1/100 of 1%) quoted to the Canadian Agent by the Non-Schedule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w:t>
      </w:r>
      <w:r>
        <w:rPr>
          <w:rFonts w:ascii="Arial" w:cs="Arial" w:eastAsia="Arial" w:hAnsi="Arial"/>
          <w:sz w:val="18"/>
          <w:szCs w:val="18"/>
          <w:color w:val="auto"/>
        </w:rPr>
        <w:t>” means HSBC Bank plc.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date on which the conditions specified in Section 4.01 are satisfied (or waived in accordance with Section 11.02).</w:t>
      </w:r>
    </w:p>
    <w:p>
      <w:pPr>
        <w:spacing w:after="0" w:line="194"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07"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w:t>
      </w:r>
    </w:p>
    <w:p>
      <w:pPr>
        <w:ind w:right="380" w:firstLine="8"/>
        <w:spacing w:after="0" w:line="30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109"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9" w:name="page20"/>
    <w:bookmarkEnd w:id="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4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28"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 Rate</w:t>
      </w:r>
      <w:r>
        <w:rPr>
          <w:rFonts w:ascii="Arial" w:cs="Arial" w:eastAsia="Arial" w:hAnsi="Arial"/>
          <w:sz w:val="18"/>
          <w:szCs w:val="18"/>
          <w:color w:val="auto"/>
        </w:rPr>
        <w:t>” means, with respect to any EURIBOR Borrowing for any Interest Period, (a) the applicable Screen Rate or (b) if no Screen Rate is available for such Interest Period, the arithmetic mean (rounded up to four decimal places) of the rates quoted by the Reference Banks to leading banks in the Banking Federation of the European Union for the offering of deposits in Euros and for a period comparable to such Interest Period, in each case as of the Specified Time on the Quotation Day.</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EURIBO Rate.</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adopted by participating member states of the European Communities in accordance with legislation of the European Community relating to Economic and Monetary Union.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assigned to such term in Article VII.</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0" w:name="page21"/>
    <w:bookmarkEnd w:id="20"/>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Exchange Rate</w:t>
      </w:r>
      <w:r>
        <w:rPr>
          <w:rFonts w:ascii="Arial" w:cs="Arial" w:eastAsia="Arial" w:hAnsi="Arial"/>
          <w:sz w:val="16"/>
          <w:szCs w:val="16"/>
          <w:color w:val="auto"/>
        </w:rPr>
        <w:t xml:space="preserve">” 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Applicable Agent and the Company, or, in the absence of such an agreement, such Exchange Rate shall instead be the arithmetic average of the spot rates of exchange of the Applicable Agent in the market where its foreign currency exchange operations in respect of such currency are then being conducted, at or about such time as the Applicable Agent shall elect after determining that such rates shall be the basis for determining the Exchange Rate, on such date for the purchase of US Dollars for delivery two Business Days later;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of any such determination, for any reason, no such spot rate is being quoted, the Applicable Agent may use any reasonable method it deems appropriate to determine such rate, and such determination shall be conclusive absent manifest error.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xml:space="preserve"> means (a) with respect to any Lender, (i) income or franchise taxes imposed on (or measured by) its net income by the United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or any political subdivision thereof or by the jurisdiction under the laws of which such Lender is organized or resident for tax purposes,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its principal office is located or in which its applicable lending office is located, (ii) any branch profits taxes imposed by the United States of America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political subdivision thereof or any similar tax imposed by any other jurisdiction described in clause (a)(i) above and (iii) any withholding tax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failure of such Lender to comply with Section 2.17(e); (b) with respect to any Tranche A Lender (other than a Lender that becomes or acquires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interests of a Tranche A Lender through an assignment under Section 2.19(b) or by operation of the CAM or through a purchase of participations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2.18(c)), any withholding tax that is imposed on amounts payable by a Tranche A Borrower organized, resident for tax purposes or having substantial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operations in Guernsey, the United States of America, the United Kingdom, Ireland, Denmark or Cyprus or any political subdivision of any thereof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taxation authority of such jurisdiction on amounts payable from locations within such jurisdiction to such Lender’s Tranche A Lending Office designated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Tranche A Borrowers organized, resident for tax purposes or having substantial business operations in such jurisdiction, to the extent such tax is in effect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(assuming the taking by such Borrower of all actions required in order for available exemptions from such tax to be effective) at the time such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becomes a party to this Agreement (or designates a new Tranche A Lending Office for Tranche A Borrowers organized, resident for tax purposes or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 business operations in such jurisdiction), except to the extent that (i) such Lender was entitled, at the time of designation of a new lending office,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additional amounts with respect to such withholding tax pursuant to Section 2.17 or (ii) such Lender became a party to this Agreement pursuant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by a Lender that was entitled, at the time of the assignment, to receive additional amounts with respect to such withholding tax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2.17; (c) with respect to any Tranche B Lender (other than a Lender that becomes or acquires any interests of a Tranche B Lender through an assignment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under Section 2.19(b) or by operation of the CAM or through a purchase of participations under Section 2.18(c)), any withholding tax that is imposed on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by a Tranche B Borrower organized, resident for tax purposes or having substantial business operations in Guernsey, the United States of America,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Ireland, Denmark or Cyprus or any political subdivision of any thereof by any taxation authority of such Borrower’s jurisdiction of organization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amounts payable from locations within such jurisdiction to such Lender’s Tranche B Lending Office designated for Tranche B Borrowers organized, 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tax purposes or having substantial business operations in such jurisdiction, to the extent such tax is in effect and applicable (assuming the taking by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of all actions required in order for available exemptions from such tax to be effective) at the time such Lender becomes a party to this Agreement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designates a new Tranche B Lending Office for Tranche B Borrowers organized, resident for tax purposes or having substantial business operations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jurisdiction), except to the extent that (i) such Lender was entitled, at the time of designation of a new lending office, to receive additional amounts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withholding tax pursuant to Section 2.17 or (ii) such Lender became a party to this Agreement pursuant to an assignment by a Lender that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entitled, at the time of the assignment, to receive additional amounts with respect to such withholding tax pursuant to Section 2.17; and (d) with respect to any Tranche C Lender (other than a Lender that becomes or acquires any interests of a Tranche C Lender through an assignment under Section 2.19(b) or by operation of the CAM or through a purchase of participations under Section 2.18(c)), any withholding tax that is imposed on amounts payable by a Tranche C Borrower organized, resident for tax purposes or having substantial business operations in the United States of America or any political subdivision of any thereof by any taxation authority of such jurisdiction on amounts payable from locations within such jurisdiction to such Lender’s Tranche 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2.17 or (ii) such Lender became a party to this Agreement pursuant to an assignment by a Lender that was entitled, at the time of the assignment, to receive additional amounts with respect to such withholding tax pursuant to Section 2.17; and (e) any U.S. federal withholding Taxes imposed under FATCA. For purposes of this definition, any reference to “jurisdiction” shall include all political subdivisions of such jurisdiction.</w:t>
      </w:r>
    </w:p>
    <w:p>
      <w:pPr>
        <w:spacing w:after="0" w:line="124"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Credit Agreement</w:t>
      </w:r>
      <w:r>
        <w:rPr>
          <w:rFonts w:ascii="Arial" w:cs="Arial" w:eastAsia="Arial" w:hAnsi="Arial"/>
          <w:sz w:val="16"/>
          <w:szCs w:val="16"/>
          <w:color w:val="auto"/>
        </w:rPr>
        <w:t>” means the Credit Agreement dated as of November 27, 2007, among Amdocs Limited, the subsidiaries of Amdocs Limited party thereto, the several banks and other financial institutions party thereto, JPMorgan Chase Bank, N.A., as administrative agent, J.P. Morgan Europe Limited, as London agent, JPMorgan Chase Bank, N.A., Toronto Branch, as Canadian agent and Bank of America, N.A., as syndication agent.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Maturity Date</w:t>
      </w:r>
      <w:r>
        <w:rPr>
          <w:rFonts w:ascii="Arial" w:cs="Arial" w:eastAsia="Arial" w:hAnsi="Arial"/>
          <w:sz w:val="18"/>
          <w:szCs w:val="18"/>
          <w:color w:val="auto"/>
        </w:rPr>
        <w:t>” has the meaning set forth in Section 2.09(e).</w:t>
      </w:r>
    </w:p>
    <w:p>
      <w:pPr>
        <w:spacing w:after="0" w:line="171"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date of this Agreement and any current or future regulations or official interpretations thereof.</w:t>
      </w:r>
    </w:p>
    <w:p>
      <w:pPr>
        <w:spacing w:after="0" w:line="13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jc w:val="both"/>
        <w:ind w:right="5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Officer</w:t>
      </w:r>
      <w:r>
        <w:rPr>
          <w:rFonts w:ascii="Arial" w:cs="Arial" w:eastAsia="Arial" w:hAnsi="Arial"/>
          <w:sz w:val="16"/>
          <w:szCs w:val="16"/>
          <w:color w:val="auto"/>
        </w:rPr>
        <w:t>”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the Company or such Borrowing Subsidiary.</w:t>
      </w:r>
    </w:p>
    <w:p>
      <w:pPr>
        <w:spacing w:after="0" w:line="10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Benefit Event</w:t>
      </w:r>
      <w:r>
        <w:rPr>
          <w:rFonts w:ascii="Arial" w:cs="Arial" w:eastAsia="Arial" w:hAnsi="Arial"/>
          <w:sz w:val="18"/>
          <w:szCs w:val="18"/>
          <w:color w:val="auto"/>
        </w:rPr>
        <w:t>” shall mean,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2" w:name="page23"/>
    <w:bookmarkEnd w:id="2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Foreign Pension Plan; (d) the incurrence of any liability by the Company or any Subsidiary under applicable law on account of the complete or partial termination of such Foreign Pension Plan or the complete or partial withdrawal of any participating employer therein the incurrence of which, individually or in the aggregate, could reasonably be expected to result in a Material Adverse Effect; or (e) the occurrence of any transaction that is prohibited under any applicable law and that could reasonably be expected to result in the incurrence of any liability by the Company or any Subsidiary, or the imposition on the Company or any Subsidiary of any fine, excise tax or penalty resulting from any noncompliance with any applicable law, in each case, individually or in the aggregate, which could reasonably be expected to result in a Material Adverse Effect.</w:t>
      </w:r>
    </w:p>
    <w:p>
      <w:pPr>
        <w:spacing w:after="0" w:line="12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Pension Plan</w:t>
      </w:r>
      <w:r>
        <w:rPr>
          <w:rFonts w:ascii="Arial" w:cs="Arial" w:eastAsia="Arial" w:hAnsi="Arial"/>
          <w:sz w:val="16"/>
          <w:szCs w:val="16"/>
          <w:color w:val="auto"/>
        </w:rPr>
        <w:t>” shall mean any benefit plan that, under the applicable law of any jurisdiction other than the United States, is required to be funded through a trust or other funding vehicle other than a trust or funding vehicle maintained exclusively by a Governmental Authority.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40"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of or by any Person (the “</w:t>
      </w:r>
      <w:r>
        <w:rPr>
          <w:rFonts w:ascii="Arial" w:cs="Arial" w:eastAsia="Arial" w:hAnsi="Arial"/>
          <w:sz w:val="18"/>
          <w:szCs w:val="18"/>
          <w:i w:val="1"/>
          <w:iCs w:val="1"/>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Borrowing Subsidiary</w:t>
      </w:r>
      <w:r>
        <w:rPr>
          <w:rFonts w:ascii="Arial" w:cs="Arial" w:eastAsia="Arial" w:hAnsi="Arial"/>
          <w:sz w:val="18"/>
          <w:szCs w:val="18"/>
          <w:color w:val="auto"/>
        </w:rPr>
        <w:t>” means any Borrowing Subsidiary that is a Guernsey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Guernsey Subsidiary</w:t>
      </w:r>
      <w:r>
        <w:rPr>
          <w:rFonts w:ascii="Arial" w:cs="Arial" w:eastAsia="Arial" w:hAnsi="Arial"/>
          <w:sz w:val="16"/>
          <w:szCs w:val="16"/>
          <w:color w:val="auto"/>
        </w:rPr>
        <w:t>” means any Subsidiary that is incorporated or otherwise organized under the laws of Guernsey or any political subdivision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65"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Guidelines</w:t>
      </w:r>
      <w:r>
        <w:rPr>
          <w:rFonts w:ascii="Arial" w:cs="Arial" w:eastAsia="Arial" w:hAnsi="Arial"/>
          <w:sz w:val="16"/>
          <w:szCs w:val="16"/>
          <w:color w:val="auto"/>
        </w:rPr>
        <w:t>” shall mean, together, (a) Guideline S-02.123 in relation to interbank loans of September 22, 1986 (</w:t>
      </w:r>
      <w:r>
        <w:rPr>
          <w:rFonts w:ascii="Arial" w:cs="Arial" w:eastAsia="Arial" w:hAnsi="Arial"/>
          <w:sz w:val="16"/>
          <w:szCs w:val="16"/>
          <w:i w:val="1"/>
          <w:iCs w:val="1"/>
          <w:color w:val="auto"/>
        </w:rPr>
        <w:t>Circulaire relative à l’impôt anticipé</w:t>
      </w:r>
      <w:r>
        <w:rPr>
          <w:rFonts w:ascii="Arial" w:cs="Arial" w:eastAsia="Arial" w:hAnsi="Arial"/>
          <w:sz w:val="16"/>
          <w:szCs w:val="16"/>
          <w:color w:val="auto"/>
        </w:rPr>
        <w:t xml:space="preserve"> </w:t>
      </w:r>
      <w:r>
        <w:rPr>
          <w:rFonts w:ascii="Arial" w:cs="Arial" w:eastAsia="Arial" w:hAnsi="Arial"/>
          <w:sz w:val="16"/>
          <w:szCs w:val="16"/>
          <w:i w:val="1"/>
          <w:iCs w:val="1"/>
          <w:color w:val="auto"/>
        </w:rPr>
        <w:t>sur les intérêts des avoirs en banque dont les créanciers sont des banques – avoirs interbancaires –, du 22 septembre 1986</w:t>
      </w:r>
      <w:r>
        <w:rPr>
          <w:rFonts w:ascii="Arial" w:cs="Arial" w:eastAsia="Arial" w:hAnsi="Arial"/>
          <w:sz w:val="16"/>
          <w:szCs w:val="16"/>
          <w:color w:val="auto"/>
        </w:rPr>
        <w:t>), (b) Guideline S-02.122.1 in relation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bonds of April 1999 (</w:t>
      </w:r>
      <w:r>
        <w:rPr>
          <w:rFonts w:ascii="Arial" w:cs="Arial" w:eastAsia="Arial" w:hAnsi="Arial"/>
          <w:sz w:val="16"/>
          <w:szCs w:val="16"/>
          <w:i w:val="1"/>
          <w:iCs w:val="1"/>
          <w:color w:val="auto"/>
        </w:rPr>
        <w:t>Circulaire sur les obligations, d’avril 1999</w:t>
      </w:r>
      <w:r>
        <w:rPr>
          <w:rFonts w:ascii="Arial" w:cs="Arial" w:eastAsia="Arial" w:hAnsi="Arial"/>
          <w:sz w:val="16"/>
          <w:szCs w:val="16"/>
          <w:color w:val="auto"/>
        </w:rPr>
        <w:t>), (c) Guideline S-02.130.1 in relation to money market instruments and book claims of April 1999 (</w:t>
      </w:r>
      <w:r>
        <w:rPr>
          <w:rFonts w:ascii="Arial" w:cs="Arial" w:eastAsia="Arial" w:hAnsi="Arial"/>
          <w:sz w:val="16"/>
          <w:szCs w:val="16"/>
          <w:i w:val="1"/>
          <w:iCs w:val="1"/>
          <w:color w:val="auto"/>
        </w:rPr>
        <w:t>Circulaire sur les papiers monétaires et créances comptables de débiteurs suisses, d’avril 1999</w:t>
      </w:r>
      <w:r>
        <w:rPr>
          <w:rFonts w:ascii="Arial" w:cs="Arial" w:eastAsia="Arial" w:hAnsi="Arial"/>
          <w:sz w:val="16"/>
          <w:szCs w:val="16"/>
          <w:color w:val="auto"/>
        </w:rPr>
        <w:t>), (d) Guideline S-02.128 in relation to syndicated credit facilities of January 2000 (</w:t>
      </w:r>
      <w:r>
        <w:rPr>
          <w:rFonts w:ascii="Arial" w:cs="Arial" w:eastAsia="Arial" w:hAnsi="Arial"/>
          <w:sz w:val="16"/>
          <w:szCs w:val="16"/>
          <w:i w:val="1"/>
          <w:iCs w:val="1"/>
          <w:color w:val="auto"/>
        </w:rPr>
        <w:t>Circulaire sur le traitement fiscal des prêts consortiaux, reconnaissances de dette, effets de change et sous-participations, de janvier</w:t>
      </w:r>
      <w:r>
        <w:rPr>
          <w:rFonts w:ascii="Arial" w:cs="Arial" w:eastAsia="Arial" w:hAnsi="Arial"/>
          <w:sz w:val="16"/>
          <w:szCs w:val="16"/>
          <w:color w:val="auto"/>
        </w:rPr>
        <w:t xml:space="preserve"> </w:t>
      </w:r>
      <w:r>
        <w:rPr>
          <w:rFonts w:ascii="Arial" w:cs="Arial" w:eastAsia="Arial" w:hAnsi="Arial"/>
          <w:sz w:val="16"/>
          <w:szCs w:val="16"/>
          <w:i w:val="1"/>
          <w:iCs w:val="1"/>
          <w:color w:val="auto"/>
        </w:rPr>
        <w:t>2000</w:t>
      </w:r>
      <w:r>
        <w:rPr>
          <w:rFonts w:ascii="Arial" w:cs="Arial" w:eastAsia="Arial" w:hAnsi="Arial"/>
          <w:sz w:val="16"/>
          <w:szCs w:val="16"/>
          <w:color w:val="auto"/>
        </w:rPr>
        <w:t>), (e) circular letter No. 34 of 26 July 2011 (1-034-V-2011) in relation to deposits (</w:t>
      </w:r>
      <w:r>
        <w:rPr>
          <w:rFonts w:ascii="Arial" w:cs="Arial" w:eastAsia="Arial" w:hAnsi="Arial"/>
          <w:sz w:val="16"/>
          <w:szCs w:val="16"/>
          <w:i w:val="1"/>
          <w:iCs w:val="1"/>
          <w:color w:val="auto"/>
        </w:rPr>
        <w:t>Circulaire no 34 du 26 juillet 2011 sur les avoirs de clients</w:t>
      </w:r>
      <w:r>
        <w:rPr>
          <w:rFonts w:ascii="Arial" w:cs="Arial" w:eastAsia="Arial" w:hAnsi="Arial"/>
          <w:sz w:val="16"/>
          <w:szCs w:val="16"/>
          <w:color w:val="auto"/>
        </w:rPr>
        <w:t>) and</w:t>
      </w:r>
    </w:p>
    <w:p>
      <w:pPr>
        <w:spacing w:after="0" w:line="1" w:lineRule="exact"/>
        <w:rPr>
          <w:sz w:val="20"/>
          <w:szCs w:val="20"/>
          <w:color w:val="auto"/>
        </w:rPr>
      </w:pPr>
    </w:p>
    <w:p>
      <w:pPr>
        <w:ind w:left="5620" w:right="2800" w:hanging="5612"/>
        <w:spacing w:after="0" w:line="433" w:lineRule="auto"/>
        <w:tabs>
          <w:tab w:leader="none" w:pos="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circular letter No. 15 of 7 February 2007 (</w:t>
      </w:r>
      <w:r>
        <w:rPr>
          <w:rFonts w:ascii="Arial" w:cs="Arial" w:eastAsia="Arial" w:hAnsi="Arial"/>
          <w:sz w:val="18"/>
          <w:szCs w:val="18"/>
          <w:i w:val="1"/>
          <w:iCs w:val="1"/>
          <w:color w:val="auto"/>
        </w:rPr>
        <w:t>1-015-DVS-2007</w:t>
      </w:r>
      <w:r>
        <w:rPr>
          <w:rFonts w:ascii="Arial" w:cs="Arial" w:eastAsia="Arial" w:hAnsi="Arial"/>
          <w:sz w:val="18"/>
          <w:szCs w:val="18"/>
          <w:color w:val="auto"/>
        </w:rPr>
        <w:t>) in relation to bonds and derivative financial instruments as 14</w:t>
      </w:r>
    </w:p>
    <w:p>
      <w:pPr>
        <w:sectPr>
          <w:pgSz w:w="11900" w:h="16838" w:orient="portrait"/>
          <w:cols w:equalWidth="0" w:num="1">
            <w:col w:w="11400"/>
          </w:cols>
          <w:pgMar w:left="240" w:top="280" w:right="259" w:bottom="1440" w:gutter="0" w:footer="0" w:header="0"/>
        </w:sectPr>
      </w:pPr>
    </w:p>
    <w:bookmarkStart w:id="23" w:name="page24"/>
    <w:bookmarkEnd w:id="2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matter of taxation of Swiss federal income tax, Swiss Withholding Tax and Swiss Stamp Taxes (</w:t>
      </w:r>
      <w:r>
        <w:rPr>
          <w:rFonts w:ascii="Arial" w:cs="Arial" w:eastAsia="Arial" w:hAnsi="Arial"/>
          <w:sz w:val="18"/>
          <w:szCs w:val="18"/>
          <w:i w:val="1"/>
          <w:iCs w:val="1"/>
          <w:color w:val="auto"/>
        </w:rPr>
        <w:t>Circulaire no 15 du 7 février 2007 sur les obligations et</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financiers dérivés en tant qu’objets de l’impôt fédéral direct, de l’impôt anticipé et des droits de timbre</w:t>
      </w:r>
      <w:r>
        <w:rPr>
          <w:rFonts w:ascii="Arial" w:cs="Arial" w:eastAsia="Arial" w:hAnsi="Arial"/>
          <w:sz w:val="18"/>
          <w:szCs w:val="18"/>
          <w:color w:val="auto"/>
        </w:rPr>
        <w:t>), in each case as issued,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from time to time by the Swiss Federal Tax Administration.</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Agreement”</w:t>
      </w:r>
      <w:r>
        <w:rPr>
          <w:rFonts w:ascii="Arial" w:cs="Arial" w:eastAsia="Arial" w:hAnsi="Arial"/>
          <w:sz w:val="16"/>
          <w:szCs w:val="16"/>
          <w:color w:val="auto"/>
        </w:rPr>
        <w:t xml:space="preserve">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HMRC</w:t>
      </w:r>
      <w:r>
        <w:rPr>
          <w:rFonts w:ascii="Arial" w:cs="Arial" w:eastAsia="Arial" w:hAnsi="Arial"/>
          <w:sz w:val="18"/>
          <w:szCs w:val="18"/>
          <w:color w:val="auto"/>
        </w:rPr>
        <w:t>” means HM Revenue &amp; Customs.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Subsidiaries</w:t>
      </w:r>
      <w:r>
        <w:rPr>
          <w:rFonts w:ascii="Arial" w:cs="Arial" w:eastAsia="Arial" w:hAnsi="Arial"/>
          <w:sz w:val="16"/>
          <w:szCs w:val="16"/>
          <w:color w:val="auto"/>
        </w:rPr>
        <w:t>” means Subsidiaries that individually account for less than 5%, and in the aggregate account for less than 10%, of both</w:t>
      </w:r>
    </w:p>
    <w:p>
      <w:pPr>
        <w:spacing w:after="0" w:line="38" w:lineRule="exact"/>
        <w:rPr>
          <w:sz w:val="20"/>
          <w:szCs w:val="20"/>
          <w:color w:val="auto"/>
        </w:rPr>
      </w:pPr>
    </w:p>
    <w:p>
      <w:pPr>
        <w:ind w:right="140" w:firstLine="8"/>
        <w:spacing w:after="0" w:line="254"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Assets (excluding intercompany receivables and payables) and (b) the consolidated revenues (excluding intercompany revenues) of the Company and the Subsidiaries as of the end of and for the most recent period of four consecutive fiscal quarters of the Company. For purposes of this definition, the assets and revenues of any Subsidiary shall include the assets and revenues of its own subsidiaries, and shall be determined for such Subsidiary on a consolidated basis.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Increasing Lender</w:t>
      </w:r>
      <w:r>
        <w:rPr>
          <w:rFonts w:ascii="Arial" w:cs="Arial" w:eastAsia="Arial" w:hAnsi="Arial"/>
          <w:sz w:val="18"/>
          <w:szCs w:val="18"/>
          <w:color w:val="auto"/>
        </w:rPr>
        <w:t>” has the meaning set forth in Section 2.09(d).</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(j) all Securitization Transactions of such Person and (k) all obligations of such Person under Hedging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4" w:name="page25"/>
    <w:bookmarkEnd w:id="24"/>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Credit Party under any Credit Document.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has the meaning set forth in Section 11.03(b).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Index Debt</w:t>
      </w:r>
      <w:r>
        <w:rPr>
          <w:rFonts w:ascii="Arial" w:cs="Arial" w:eastAsia="Arial" w:hAnsi="Arial"/>
          <w:sz w:val="18"/>
          <w:szCs w:val="18"/>
          <w:color w:val="auto"/>
        </w:rPr>
        <w:t>” means the Company’s senior, unsecured, non-credit-enhanced long-term Indebtedness for borrowed money.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has the meaning assigned to such term in Section 11.12.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Information Memorandum</w:t>
      </w:r>
      <w:r>
        <w:rPr>
          <w:rFonts w:ascii="Arial" w:cs="Arial" w:eastAsia="Arial" w:hAnsi="Arial"/>
          <w:sz w:val="16"/>
          <w:szCs w:val="16"/>
          <w:color w:val="auto"/>
        </w:rPr>
        <w:t>” means the Confidential Information Memorandum dated November 2011 relating to the Company and the Transactions.</w:t>
      </w:r>
    </w:p>
    <w:p>
      <w:pPr>
        <w:spacing w:after="0" w:line="194"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Election Request</w:t>
      </w:r>
      <w:r>
        <w:rPr>
          <w:rFonts w:ascii="Arial" w:cs="Arial" w:eastAsia="Arial" w:hAnsi="Arial"/>
          <w:sz w:val="18"/>
          <w:szCs w:val="18"/>
          <w:color w:val="auto"/>
        </w:rPr>
        <w:t>” means a request by a Borrower to convert or continue a Revolving Borrowing or BA Drawing in accordance with Section 2.08.</w:t>
      </w:r>
    </w:p>
    <w:p>
      <w:pPr>
        <w:spacing w:after="0" w:line="132"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Payment Date</w:t>
      </w:r>
      <w:r>
        <w:rPr>
          <w:rFonts w:ascii="Arial" w:cs="Arial" w:eastAsia="Arial" w:hAnsi="Arial"/>
          <w:sz w:val="16"/>
          <w:szCs w:val="16"/>
          <w:color w:val="auto"/>
        </w:rPr>
        <w:t>” means (a) with respect to any ABR Loan or Canadian Prime Rate Loan (other than a Swingline Loan), the last day of each March, June, September and December, (b) with respect to any LIBOR Loan or EURIBOR Loan, the last day of the Interest Period applicable to the Borrowing of which such Loan is a part and, in the case of a LIBOR Loan or a EURIBOR Loan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1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xml:space="preserve">” means, with respect to any LIBOR Borrowing or EURIBOR Borrowing, the period commencing on the date of such Borrowing and ending on the numerically corresponding day in the calendar month that is one, two, three or six months thereafter (or, if available from each Lender, nine or 12 months thereafter), as the applicable Borrower may elect;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1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Issuing Bank</w:t>
      </w:r>
      <w:r>
        <w:rPr>
          <w:rFonts w:ascii="Arial" w:cs="Arial" w:eastAsia="Arial" w:hAnsi="Arial"/>
          <w:sz w:val="16"/>
          <w:szCs w:val="16"/>
          <w:color w:val="auto"/>
        </w:rPr>
        <w:t>” means JPMorgan Chase Bank, N.A. and each other Lender that shall have become an Issuing Bank hereunder as provided in Section 2.05(j) (other than any Person that shall have ceased to be an Issuing Bank as provided in Section 2.05(k)), each in its capacity as an issuer of Letters of Credit hereunder. Each Issuing Bank may, in its discretion, arrange for one or more Letters of Credit to be issued by Affiliates of such Issuing Bank, in which case the term “</w:t>
      </w:r>
      <w:r>
        <w:rPr>
          <w:rFonts w:ascii="Arial" w:cs="Arial" w:eastAsia="Arial" w:hAnsi="Arial"/>
          <w:sz w:val="16"/>
          <w:szCs w:val="16"/>
          <w:i w:val="1"/>
          <w:iCs w:val="1"/>
          <w:color w:val="auto"/>
        </w:rPr>
        <w:t>Issuing Bank</w:t>
      </w:r>
      <w:r>
        <w:rPr>
          <w:rFonts w:ascii="Arial" w:cs="Arial" w:eastAsia="Arial" w:hAnsi="Arial"/>
          <w:sz w:val="16"/>
          <w:szCs w:val="16"/>
          <w:color w:val="auto"/>
        </w:rPr>
        <w:t>” shall include any such Affiliate with respect to Letters of Credit issued by such Affiliate.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Agreement</w:t>
      </w:r>
      <w:r>
        <w:rPr>
          <w:rFonts w:ascii="Arial" w:cs="Arial" w:eastAsia="Arial" w:hAnsi="Arial"/>
          <w:sz w:val="18"/>
          <w:szCs w:val="18"/>
          <w:color w:val="auto"/>
        </w:rPr>
        <w:t>” shall have the meaning assigned to such term in Section 2.05(j).</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5" w:name="page26"/>
    <w:bookmarkEnd w:id="2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LC Commitment</w:t>
      </w:r>
      <w:r>
        <w:rPr>
          <w:rFonts w:ascii="Arial" w:cs="Arial" w:eastAsia="Arial" w:hAnsi="Arial"/>
          <w:sz w:val="16"/>
          <w:szCs w:val="16"/>
          <w:color w:val="auto"/>
        </w:rPr>
        <w:t>” shall mean, as to each Issuing Bank, the commitment of such Issuing Bank to issue Letters of Credit pursuant to Section 2.05.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initial amount of each Issuing Bank’s LC Commitment is set forth on </w:t>
      </w:r>
      <w:r>
        <w:rPr>
          <w:rFonts w:ascii="Arial" w:cs="Arial" w:eastAsia="Arial" w:hAnsi="Arial"/>
          <w:sz w:val="18"/>
          <w:szCs w:val="18"/>
          <w:u w:val="single" w:color="auto"/>
          <w:color w:val="auto"/>
        </w:rPr>
        <w:t>Schedule 2.05</w:t>
      </w:r>
      <w:r>
        <w:rPr>
          <w:rFonts w:ascii="Arial" w:cs="Arial" w:eastAsia="Arial" w:hAnsi="Arial"/>
          <w:sz w:val="18"/>
          <w:szCs w:val="18"/>
          <w:color w:val="auto"/>
        </w:rPr>
        <w:t xml:space="preserve"> or in such Issuing Bank’s Issuing Bank 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 payment made by an Issuing Bank pursuant to a Letter of Credit.</w:t>
      </w:r>
    </w:p>
    <w:p>
      <w:pPr>
        <w:spacing w:after="0" w:line="171"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Exposure</w:t>
      </w:r>
      <w:r>
        <w:rPr>
          <w:rFonts w:ascii="Arial" w:cs="Arial" w:eastAsia="Arial" w:hAnsi="Arial"/>
          <w:sz w:val="16"/>
          <w:szCs w:val="16"/>
          <w:color w:val="auto"/>
        </w:rPr>
        <w:t xml:space="preserve">” means, at any time, (a) the sum of the US Dollar Equivalents of the undrawn amounts of all outstanding Letters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Parent</w:t>
      </w:r>
      <w:r>
        <w:rPr>
          <w:rFonts w:ascii="Arial" w:cs="Arial" w:eastAsia="Arial" w:hAnsi="Arial"/>
          <w:sz w:val="18"/>
          <w:szCs w:val="18"/>
          <w:color w:val="auto"/>
        </w:rPr>
        <w:t>” means, with respect to any Lender, any Person in respect of which such Lender is a subsidiary.</w:t>
      </w:r>
    </w:p>
    <w:p>
      <w:pPr>
        <w:spacing w:after="0" w:line="171" w:lineRule="exact"/>
        <w:rPr>
          <w:sz w:val="20"/>
          <w:szCs w:val="20"/>
          <w:color w:val="auto"/>
        </w:rPr>
      </w:pPr>
    </w:p>
    <w:p>
      <w:pPr>
        <w:ind w:right="5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pursuant to an Assignment and Assumption or Section 2.09(d), other than any such Person that ceases to be a party hereto pursuant to an Assignment and Assumption. Unless the context otherwise requires, the term “</w:t>
      </w:r>
      <w:r>
        <w:rPr>
          <w:rFonts w:ascii="Arial" w:cs="Arial" w:eastAsia="Arial" w:hAnsi="Arial"/>
          <w:sz w:val="18"/>
          <w:szCs w:val="18"/>
          <w:i w:val="1"/>
          <w:iCs w:val="1"/>
          <w:color w:val="auto"/>
        </w:rPr>
        <w:t>Lenders</w:t>
      </w:r>
      <w:r>
        <w:rPr>
          <w:rFonts w:ascii="Arial" w:cs="Arial" w:eastAsia="Arial" w:hAnsi="Arial"/>
          <w:sz w:val="18"/>
          <w:szCs w:val="18"/>
          <w:color w:val="auto"/>
        </w:rPr>
        <w:t>” includes the Swingline Lender.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means a Tranche A Lending Office, a Tranche B Lending Office or a Tranche C Lending Office.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any letter of credit issued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LIBO Rate</w:t>
      </w:r>
      <w:r>
        <w:rPr>
          <w:rFonts w:ascii="Arial" w:cs="Arial" w:eastAsia="Arial" w:hAnsi="Arial"/>
          <w:sz w:val="16"/>
          <w:szCs w:val="16"/>
          <w:color w:val="auto"/>
        </w:rPr>
        <w:t>” means, with respect to any LIBOR Borrowing denominated in any currency for any Interest Period, (a) the applicable Screen Rate or</w:t>
      </w:r>
    </w:p>
    <w:p>
      <w:pPr>
        <w:spacing w:after="0" w:line="38" w:lineRule="exact"/>
        <w:rPr>
          <w:sz w:val="20"/>
          <w:szCs w:val="20"/>
          <w:color w:val="auto"/>
        </w:rPr>
      </w:pPr>
    </w:p>
    <w:p>
      <w:pPr>
        <w:ind w:right="60" w:firstLine="8"/>
        <w:spacing w:after="0" w:line="255"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no Screen Rate is available for such currency or for such Interest Period, the arithmetic mean (rounded up to four decimal places) of the rates quoted by the Reference Banks to leading banks in the London interbank market for the offering of deposits in such currency and for a period comparable to such Interest Period, in each case as of the Specified Time on the Quotation Day.</w:t>
      </w:r>
    </w:p>
    <w:p>
      <w:pPr>
        <w:spacing w:after="0" w:line="144"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3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of a Subsidiary or equity interests therein under a purchase or similar agreement will not be deemed to constitute a Lien under this clause (c)).</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the loans made by the Lenders to the Borrowers pursuant to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6" w:name="page27"/>
    <w:bookmarkEnd w:id="26"/>
    <w:p>
      <w:pPr>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Local Time</w:t>
      </w:r>
      <w:r>
        <w:rPr>
          <w:rFonts w:ascii="Arial" w:cs="Arial" w:eastAsia="Arial" w:hAnsi="Arial"/>
          <w:sz w:val="16"/>
          <w:szCs w:val="16"/>
          <w:color w:val="auto"/>
        </w:rPr>
        <w:t>” means (a) with respect to a Loan or Borrowing denominated in US Dollars (other than by a Canadian Borrowing Subsidiary) or any Letter of Credit, New York City time, (b) with respect to a Loan or Borrowing denominated in Sterling or Euros, London time and (c) with respect to a Loan or Borrowing denominated in Canadian Dollars, a BA or a Loan or Borrowing denominated in US Dollars to or by a Canadian Borrowing Subsidiary, Toronto time.</w:t>
      </w:r>
    </w:p>
    <w:p>
      <w:pPr>
        <w:spacing w:after="0" w:line="10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Agent</w:t>
      </w:r>
      <w:r>
        <w:rPr>
          <w:rFonts w:ascii="Arial" w:cs="Arial" w:eastAsia="Arial" w:hAnsi="Arial"/>
          <w:sz w:val="18"/>
          <w:szCs w:val="18"/>
          <w:color w:val="auto"/>
        </w:rPr>
        <w:t>” means J.P.Morgan Europe Limited, in its capacity as London agent for the Lenders hereunder, or any successor appointed in accordance with Article VIII.</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Costs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Acquisition</w:t>
      </w:r>
      <w:r>
        <w:rPr>
          <w:rFonts w:ascii="Arial" w:cs="Arial" w:eastAsia="Arial" w:hAnsi="Arial"/>
          <w:sz w:val="16"/>
          <w:szCs w:val="16"/>
          <w:color w:val="auto"/>
        </w:rPr>
        <w:t>” means any transaction or series of related transactions resulting in the ownership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of any acquired Person outstanding after such transaction takes effect minus (b) the cash of such acquired Person after such transaction takes effect is equal to US$300,000,000 or more or its equivalent in one or more other currencies.</w:t>
      </w:r>
    </w:p>
    <w:p>
      <w:pPr>
        <w:spacing w:after="0" w:line="11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any Agent or Lender hereunder.</w:t>
      </w:r>
    </w:p>
    <w:p>
      <w:pPr>
        <w:spacing w:after="0" w:line="140"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Disposition</w:t>
      </w:r>
      <w:r>
        <w:rPr>
          <w:rFonts w:ascii="Arial" w:cs="Arial" w:eastAsia="Arial" w:hAnsi="Arial"/>
          <w:sz w:val="16"/>
          <w:szCs w:val="16"/>
          <w:color w:val="auto"/>
        </w:rPr>
        <w:t>” means any transaction or series of related transactions resulting in the disposition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outstanding after such transaction takes effect of any Person disposed of for which neither the Company nor any other Subsidiary is liable minus (b) the cash of such acquired Person after such transaction takes effect is equal to US$300,000,000 or more or its equivalent in one or more other currencies.</w:t>
      </w:r>
    </w:p>
    <w:p>
      <w:pPr>
        <w:spacing w:after="0" w:line="116"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Loans) of any one or more of the Company and its Subsidiaries in an aggregate principal amount exceeding US$50,000,000.</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any Subsidiary that is not an Immaterial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means December 20, 2016, or any later date to which the Maturity date shall have been extended pursuant to Section 2.09(e).</w:t>
      </w:r>
    </w:p>
    <w:p>
      <w:pPr>
        <w:spacing w:after="0" w:line="194"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 Extension Request</w:t>
      </w:r>
      <w:r>
        <w:rPr>
          <w:rFonts w:ascii="Arial" w:cs="Arial" w:eastAsia="Arial" w:hAnsi="Arial"/>
          <w:sz w:val="18"/>
          <w:szCs w:val="18"/>
          <w:color w:val="auto"/>
        </w:rPr>
        <w:t xml:space="preserve">” means a request by the Borrower,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or such other form as shall be approved by the Agent, for the extension of the Maturity Date pursuant to Section 2.09(e).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27" w:name="page28"/>
    <w:bookmarkEnd w:id="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Non-Defaulting Lender</w:t>
      </w:r>
      <w:r>
        <w:rPr>
          <w:rFonts w:ascii="Arial" w:cs="Arial" w:eastAsia="Arial" w:hAnsi="Arial"/>
          <w:sz w:val="18"/>
          <w:szCs w:val="18"/>
          <w:color w:val="auto"/>
        </w:rPr>
        <w:t>” means, at any time, any Lender that is not a Defaulting Lender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Non-Qualifying Bank</w:t>
      </w:r>
      <w:r>
        <w:rPr>
          <w:rFonts w:ascii="Arial" w:cs="Arial" w:eastAsia="Arial" w:hAnsi="Arial"/>
          <w:sz w:val="18"/>
          <w:szCs w:val="18"/>
          <w:color w:val="auto"/>
        </w:rPr>
        <w:t>” shall mean any person other than a Qualifying Bank.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Non-Schedule I Lender</w:t>
      </w:r>
      <w:r>
        <w:rPr>
          <w:rFonts w:ascii="Arial" w:cs="Arial" w:eastAsia="Arial" w:hAnsi="Arial"/>
          <w:sz w:val="18"/>
          <w:szCs w:val="18"/>
          <w:color w:val="auto"/>
        </w:rPr>
        <w:t>” means any Lender not named on Schedule I to the Bank Act (Canada).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Non-Schedule I Reference Lenders</w:t>
      </w:r>
      <w:r>
        <w:rPr>
          <w:rFonts w:ascii="Arial" w:cs="Arial" w:eastAsia="Arial" w:hAnsi="Arial"/>
          <w:sz w:val="18"/>
          <w:szCs w:val="18"/>
          <w:color w:val="auto"/>
        </w:rPr>
        <w:t>” means JPMorgan Chase Bank, N.A., Toronto Branch, and Bank of America, N.A.</w:t>
      </w:r>
    </w:p>
    <w:p>
      <w:pPr>
        <w:spacing w:after="0" w:line="171" w:lineRule="exact"/>
        <w:rPr>
          <w:sz w:val="20"/>
          <w:szCs w:val="20"/>
          <w:color w:val="auto"/>
        </w:rPr>
      </w:pPr>
    </w:p>
    <w:p>
      <w:pPr>
        <w:ind w:firstLine="913"/>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Obligations</w:t>
      </w:r>
      <w:r>
        <w:rPr>
          <w:rFonts w:ascii="Arial" w:cs="Arial" w:eastAsia="Arial" w:hAnsi="Arial"/>
          <w:sz w:val="15"/>
          <w:szCs w:val="15"/>
          <w:color w:val="auto"/>
        </w:rPr>
        <w:t xml:space="preserve">” means (a) the principal of and interest (including interest accruing during the pendency of any bankruptcy, insolvency, receivership, </w:t>
      </w:r>
      <w:r>
        <w:rPr>
          <w:rFonts w:ascii="Arial" w:cs="Arial" w:eastAsia="Arial" w:hAnsi="Arial"/>
          <w:sz w:val="15"/>
          <w:szCs w:val="15"/>
          <w:i w:val="1"/>
          <w:iCs w:val="1"/>
          <w:color w:val="auto"/>
        </w:rPr>
        <w:t>en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desastre </w:t>
      </w:r>
      <w:r>
        <w:rPr>
          <w:rFonts w:ascii="Arial" w:cs="Arial" w:eastAsia="Arial" w:hAnsi="Arial"/>
          <w:sz w:val="15"/>
          <w:szCs w:val="15"/>
          <w:color w:val="auto"/>
        </w:rPr>
        <w:t>or other similar proceeding, regardless of whether allowed or allowable in such proceeding) on the Loans, (b) all reimbursement obligations of any</w:t>
      </w:r>
      <w:r>
        <w:rPr>
          <w:rFonts w:ascii="Arial" w:cs="Arial" w:eastAsia="Arial" w:hAnsi="Arial"/>
          <w:sz w:val="15"/>
          <w:szCs w:val="15"/>
          <w:i w:val="1"/>
          <w:iCs w:val="1"/>
          <w:color w:val="auto"/>
        </w:rPr>
        <w:t xml:space="preserve"> </w:t>
      </w:r>
      <w:r>
        <w:rPr>
          <w:rFonts w:ascii="Arial" w:cs="Arial" w:eastAsia="Arial" w:hAnsi="Arial"/>
          <w:sz w:val="15"/>
          <w:szCs w:val="15"/>
          <w:color w:val="auto"/>
        </w:rPr>
        <w:t>Borrower in respect of BAs accepted hereunder, when and as due, whether at maturity, by acceleration, upon one or more dates set for prepayment or otherwise,</w:t>
      </w:r>
    </w:p>
    <w:p>
      <w:pPr>
        <w:spacing w:after="0" w:line="1" w:lineRule="exact"/>
        <w:rPr>
          <w:sz w:val="20"/>
          <w:szCs w:val="20"/>
          <w:color w:val="auto"/>
        </w:rPr>
      </w:pPr>
    </w:p>
    <w:p>
      <w:pPr>
        <w:ind w:firstLine="8"/>
        <w:spacing w:after="0" w:line="253" w:lineRule="auto"/>
        <w:tabs>
          <w:tab w:leader="none" w:pos="2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each payment required to be made by any Borrower under this Agreement in respect of any Letter of Credit, when and as due, including payments in respect of reimbursement of disbursements, interest thereon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w:t>
      </w:r>
      <w:r>
        <w:rPr>
          <w:rFonts w:ascii="Arial" w:cs="Arial" w:eastAsia="Arial" w:hAnsi="Arial"/>
          <w:sz w:val="18"/>
          <w:szCs w:val="18"/>
          <w:i w:val="1"/>
          <w:iCs w:val="1"/>
          <w:color w:val="auto"/>
        </w:rPr>
        <w:t>en desastre</w:t>
      </w:r>
      <w:r>
        <w:rPr>
          <w:rFonts w:ascii="Arial" w:cs="Arial" w:eastAsia="Arial" w:hAnsi="Arial"/>
          <w:sz w:val="18"/>
          <w:szCs w:val="18"/>
          <w:color w:val="auto"/>
        </w:rPr>
        <w:t xml:space="preserve"> or other similar proceeding, regardless of whether allowed or allowable in such proceeding), of the Credit Parties under this Agreement and the other Credit Documents.</w:t>
      </w:r>
    </w:p>
    <w:p>
      <w:pPr>
        <w:spacing w:after="0" w:line="145"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any and all present or future stamp or documentary Taxes or any other excise or property Taxes, charges or similar levies arising from any payment made under any Credit Document or from the execution, delivery or enforcement of, or otherwise with respect to, any Credit Document.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set forth in Section 11.04(f).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has the meaning set forth in Section 11.04(k).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w:t>
      </w:r>
    </w:p>
    <w:p>
      <w:pPr>
        <w:spacing w:after="0" w:line="171" w:lineRule="exact"/>
        <w:rPr>
          <w:rFonts w:ascii="Arial" w:cs="Arial" w:eastAsia="Arial" w:hAnsi="Arial"/>
          <w:sz w:val="18"/>
          <w:szCs w:val="18"/>
          <w:color w:val="auto"/>
        </w:rPr>
      </w:pPr>
    </w:p>
    <w:p>
      <w:pPr>
        <w:ind w:right="580" w:firstLine="921"/>
        <w:spacing w:after="0" w:line="332"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85" w:lineRule="exact"/>
        <w:rPr>
          <w:rFonts w:ascii="Arial" w:cs="Arial" w:eastAsia="Arial" w:hAnsi="Arial"/>
          <w:sz w:val="16"/>
          <w:szCs w:val="16"/>
          <w:color w:val="auto"/>
        </w:rPr>
      </w:pPr>
    </w:p>
    <w:p>
      <w:pPr>
        <w:ind w:right="320" w:firstLine="921"/>
        <w:spacing w:after="0" w:line="268" w:lineRule="auto"/>
        <w:tabs>
          <w:tab w:leader="none" w:pos="11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31"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8" w:name="page29"/>
    <w:bookmarkEnd w:id="28"/>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liens in respect of judgments that do not constitute an Event of Default under clause (k) of Article VII; and</w:t>
      </w:r>
    </w:p>
    <w:p>
      <w:pPr>
        <w:spacing w:after="0" w:line="171" w:lineRule="exact"/>
        <w:rPr>
          <w:rFonts w:ascii="Arial" w:cs="Arial" w:eastAsia="Arial" w:hAnsi="Arial"/>
          <w:sz w:val="18"/>
          <w:szCs w:val="18"/>
          <w:color w:val="auto"/>
        </w:rPr>
      </w:pPr>
    </w:p>
    <w:p>
      <w:pPr>
        <w:ind w:right="160" w:firstLine="921"/>
        <w:spacing w:after="0" w:line="332" w:lineRule="auto"/>
        <w:tabs>
          <w:tab w:leader="none" w:pos="11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easements, zoning restrictions, rights-of-way and similar encumbrances on real property that do not secure any monetary obligations and do not materially detract from the value of the affected property or interfere with the ordinary conduct of business of the Company or any Subsidiary;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 “Permitted Liens” shall not include any Lien securing Indebtedness.</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has the meaning set forth in Section 11.01(d).</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140"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Qualifying Bank</w:t>
      </w:r>
      <w:r>
        <w:rPr>
          <w:rFonts w:ascii="Arial" w:cs="Arial" w:eastAsia="Arial" w:hAnsi="Arial"/>
          <w:sz w:val="16"/>
          <w:szCs w:val="16"/>
          <w:color w:val="auto"/>
        </w:rPr>
        <w:t>” shall mean any legal entity which is recognized as a bank by the banking laws in force in its country of incorporation, or if extending credit under this Agreement through a branch, in the country of that branch, and which exercises as its main purpose a true banking activity, having bank personnel, premises, communication devices of its own and the authority of decision-making and has a genuine banking activity.</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Day</w:t>
      </w:r>
      <w:r>
        <w:rPr>
          <w:rFonts w:ascii="Arial" w:cs="Arial" w:eastAsia="Arial" w:hAnsi="Arial"/>
          <w:sz w:val="18"/>
          <w:szCs w:val="18"/>
          <w:color w:val="auto"/>
        </w:rPr>
        <w:t>” means (a) with respect to any currency (other than Sterling) for any Interest Period, two Business Days prior to the first day of such Interest Period and (b) with respect to Sterling for any Interest Period, the first day of such Interest Period, in each case unless market practice differs in the Relevant Interbank Market for any currency, in which case the Quotation Day for such currency shall be determined by the Applicable Agent in accordance with market practice in the Relevant Interbank Market (and if quotations would normally be given by leading banks in the Relevant Interbank Market on more than one day, the Quotation Day shall be the last of those days).</w:t>
      </w:r>
    </w:p>
    <w:p>
      <w:pPr>
        <w:spacing w:after="0" w:line="143"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Banks</w:t>
      </w:r>
      <w:r>
        <w:rPr>
          <w:rFonts w:ascii="Arial" w:cs="Arial" w:eastAsia="Arial" w:hAnsi="Arial"/>
          <w:sz w:val="16"/>
          <w:szCs w:val="16"/>
          <w:color w:val="auto"/>
        </w:rPr>
        <w:t>” means with respect to the LIBO Rate or the EURIBO Rate, the principal London offices of J.P. Morgan Chase Bank, N.A., Bank of America, N.A., HSBC Bank plc, or such other banks as may be appointed by the Administrative Agent in consultation with the Company.</w:t>
      </w:r>
    </w:p>
    <w:p>
      <w:pPr>
        <w:spacing w:after="0" w:line="85"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i w:val="1"/>
          <w:iCs w:val="1"/>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of such Refinancing Indebtedness shall not exceed the principal amount of such Original Indebtedness;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9" w:name="page30"/>
    <w:bookmarkEnd w:id="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set forth in Section 11.04.</w:t>
      </w:r>
    </w:p>
    <w:p>
      <w:pPr>
        <w:spacing w:after="0" w:line="17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specified Person, such Person’s Affiliates and the respective directors, officers, members, partners, trustees, employees, controlling persons, agents and advisors of such Person and such Person’s Affiliates.</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Interbank Market</w:t>
      </w:r>
      <w:r>
        <w:rPr>
          <w:rFonts w:ascii="Arial" w:cs="Arial" w:eastAsia="Arial" w:hAnsi="Arial"/>
          <w:sz w:val="18"/>
          <w:szCs w:val="18"/>
          <w:color w:val="auto"/>
        </w:rPr>
        <w:t>” means (a) with respect to any currency (other than Euros), the London interbank market and (b) with respect to Euros, the European interbank market.</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Exposure</w:t>
      </w:r>
      <w:r>
        <w:rPr>
          <w:rFonts w:ascii="Arial" w:cs="Arial" w:eastAsia="Arial" w:hAnsi="Arial"/>
          <w:sz w:val="18"/>
          <w:szCs w:val="18"/>
          <w:color w:val="auto"/>
        </w:rPr>
        <w:t>” means a Tranche A Revolving Credit Exposure, a Tranche B Revolving Credit Exposure or a Tranche C Revolving Credit Exposure.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Loan</w:t>
      </w:r>
      <w:r>
        <w:rPr>
          <w:rFonts w:ascii="Arial" w:cs="Arial" w:eastAsia="Arial" w:hAnsi="Arial"/>
          <w:sz w:val="18"/>
          <w:szCs w:val="18"/>
          <w:color w:val="auto"/>
        </w:rPr>
        <w:t>” means any Tranche A Revolving Loan, Tranche B Revolving Loan or Tranche C Revolving Loan, as applicable.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171"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Sale-Leaseback Transaction</w:t>
      </w:r>
      <w:r>
        <w:rPr>
          <w:rFonts w:ascii="Arial" w:cs="Arial" w:eastAsia="Arial" w:hAnsi="Arial"/>
          <w:sz w:val="16"/>
          <w:szCs w:val="16"/>
          <w:color w:val="auto"/>
        </w:rPr>
        <w:t>”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provided that any such arrangement entered into within 180 days after the acquisition or construction of the subject property shall not be deemed to be a “</w:t>
      </w:r>
      <w:r>
        <w:rPr>
          <w:rFonts w:ascii="Arial" w:cs="Arial" w:eastAsia="Arial" w:hAnsi="Arial"/>
          <w:sz w:val="16"/>
          <w:szCs w:val="16"/>
          <w:i w:val="1"/>
          <w:iCs w:val="1"/>
          <w:color w:val="auto"/>
        </w:rPr>
        <w:t>Sale-Leaseback Transaction</w:t>
      </w:r>
      <w:r>
        <w:rPr>
          <w:rFonts w:ascii="Arial" w:cs="Arial" w:eastAsia="Arial" w:hAnsi="Arial"/>
          <w:sz w:val="16"/>
          <w:szCs w:val="16"/>
          <w:color w:val="auto"/>
        </w:rPr>
        <w: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I Lender</w:t>
      </w:r>
      <w:r>
        <w:rPr>
          <w:rFonts w:ascii="Arial" w:cs="Arial" w:eastAsia="Arial" w:hAnsi="Arial"/>
          <w:sz w:val="18"/>
          <w:szCs w:val="18"/>
          <w:color w:val="auto"/>
        </w:rPr>
        <w:t>” means any Lender named on Schedule I to the Bank Act (Canada).</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 I Reference Lenders</w:t>
      </w:r>
      <w:r>
        <w:rPr>
          <w:rFonts w:ascii="Arial" w:cs="Arial" w:eastAsia="Arial" w:hAnsi="Arial"/>
          <w:sz w:val="18"/>
          <w:szCs w:val="18"/>
          <w:color w:val="auto"/>
        </w:rPr>
        <w:t>” means Royal Bank of Canada and any other Schedule I Lender agreed upon by the Company and the Canadian Agent from time to time.</w:t>
      </w:r>
    </w:p>
    <w:p>
      <w:pPr>
        <w:spacing w:after="0" w:line="13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Screen Rate</w:t>
      </w:r>
      <w:r>
        <w:rPr>
          <w:rFonts w:ascii="Arial" w:cs="Arial" w:eastAsia="Arial" w:hAnsi="Arial"/>
          <w:sz w:val="18"/>
          <w:szCs w:val="18"/>
          <w:color w:val="auto"/>
        </w:rPr>
        <w:t>” means (a) in respect of the LIBO Rate for any currency for any Interest Period, the British Bankers Association Interest Settlement Rate for such currency and such Interest Period as set forth on the applicable page of the Reuters Service (and if such page is replaced or such service ceases to be available, another page or service displaying the appropriate rate designated by the Applicable Agent) and (b) in respect of the EURIBO Rate for any Interest Period, the percentage per annum determined by the Banking Federation of the European Union for such Interest Period as set forth on the applicable page of the Reuters Service (and if such page is replaced or such service ceases to be available, another page or service displaying the appropriate rate designated by the Applicable Agent).</w:t>
      </w:r>
    </w:p>
    <w:p>
      <w:pPr>
        <w:spacing w:after="0" w:line="144"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 or any Governmental Authority succeeding to the functions of such Commission.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0" w:name="page31"/>
    <w:bookmarkEnd w:id="30"/>
    <w:p>
      <w:pPr>
        <w:ind w:right="2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Securitization Transaction</w:t>
      </w:r>
      <w:r>
        <w:rPr>
          <w:rFonts w:ascii="Arial" w:cs="Arial" w:eastAsia="Arial" w:hAnsi="Arial"/>
          <w:sz w:val="16"/>
          <w:szCs w:val="16"/>
          <w:color w:val="auto"/>
        </w:rPr>
        <w:t>”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 (b) directly to one or more investors or other purchasers.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Time</w:t>
      </w:r>
      <w:r>
        <w:rPr>
          <w:rFonts w:ascii="Arial" w:cs="Arial" w:eastAsia="Arial" w:hAnsi="Arial"/>
          <w:sz w:val="16"/>
          <w:szCs w:val="16"/>
          <w:color w:val="auto"/>
        </w:rPr>
        <w:t>” means (a) with respect to the LIBO Rate, 11:00 a.m., London time and (b) with respect to the EURIBO Rate, 11:00 a.m., Frankfurt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Sterling</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lawful currency of the United Kingdom.</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of any Person means any Indebtedness of such Person that by its express terms is subordinated in right of payment to any other Indebtedness of such Person.</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i w:val="1"/>
          <w:iCs w:val="1"/>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 that is, as of such date, otherwise Controlled, by the parent or one or more subsidiaries of the parent or by the parent and one or more subsidiaries of the parent, or (c) that is a subsidiary within the meaning of Section 531 of the Companies (Guernsey) Law 2008, as amended.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Lender</w:t>
      </w:r>
      <w:r>
        <w:rPr>
          <w:rFonts w:ascii="Arial" w:cs="Arial" w:eastAsia="Arial" w:hAnsi="Arial"/>
          <w:sz w:val="18"/>
          <w:szCs w:val="18"/>
          <w:color w:val="auto"/>
        </w:rPr>
        <w:t>” means JPMorgan Chase Bank, N.A. in its capacity as a lender of Swingline Loans pursuant to Section 2.04.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Swingline Loan</w:t>
      </w:r>
      <w:r>
        <w:rPr>
          <w:rFonts w:ascii="Arial" w:cs="Arial" w:eastAsia="Arial" w:hAnsi="Arial"/>
          <w:sz w:val="18"/>
          <w:szCs w:val="18"/>
          <w:color w:val="auto"/>
        </w:rPr>
        <w:t>” means a Tranche A Swingline Loan or a Tranche B Swingline Loan.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31" w:name="page32"/>
    <w:bookmarkEnd w:id="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Swiss Borrowing Subsidiary</w:t>
      </w:r>
      <w:r>
        <w:rPr>
          <w:rFonts w:ascii="Arial" w:cs="Arial" w:eastAsia="Arial" w:hAnsi="Arial"/>
          <w:sz w:val="18"/>
          <w:szCs w:val="18"/>
          <w:color w:val="auto"/>
        </w:rPr>
        <w:t>” means any Borrowing Subsidiary that is a Swiss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Federal Tax Administration</w:t>
      </w:r>
      <w:r>
        <w:rPr>
          <w:rFonts w:ascii="Arial" w:cs="Arial" w:eastAsia="Arial" w:hAnsi="Arial"/>
          <w:sz w:val="16"/>
          <w:szCs w:val="16"/>
          <w:color w:val="auto"/>
        </w:rPr>
        <w:t>” shall mean the Swiss federal tax authorities referred to in Article 34 of the Swiss Withholding Tax Act.</w:t>
      </w:r>
    </w:p>
    <w:p>
      <w:pPr>
        <w:spacing w:after="0" w:line="19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One Hundred Non-Bank Rule</w:t>
      </w:r>
      <w:r>
        <w:rPr>
          <w:rFonts w:ascii="Arial" w:cs="Arial" w:eastAsia="Arial" w:hAnsi="Arial"/>
          <w:sz w:val="16"/>
          <w:szCs w:val="16"/>
          <w:color w:val="auto"/>
        </w:rPr>
        <w:t>” shall mean the rule that the aggregate number of creditors (including the Lenders), other than Qualifying Banks, of each Swiss Borrowing Subsidiary under all its outstanding debts, facilities and/or private placements (including debt arising under this Agreement and intra-group loans (if and to the extent intra-group loans are not exempt in accordance with the ordinance of the Swiss Federal Council of 18 June 2010 amending the Swiss Federal Ordinance on withholding tax and the Swiss Federal Ordinance on stamp duties with effect as of 1 August 2010) but not including loan relationships under a facility that already qualifies for Swiss Withholding Tax purposes as a debenture as per the Swiss Ten Non-Bank Rule or the Swiss Twenty Non-Bank Rule), must not at any time exceed one hundred, all in accordance with the meaning of the Guidelines or legislation or explanatory notes addressing the same issues which are in force at such time, being understood that for purposes hereof the maximum number of ten Non-Qualifying Banks permitted under this Agreement shall be taken into account (whether or not ten Non-Qualifying Banks do so participate at any given time).</w:t>
      </w:r>
    </w:p>
    <w:p>
      <w:pPr>
        <w:spacing w:after="0" w:line="11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Subsidiary</w:t>
      </w:r>
      <w:r>
        <w:rPr>
          <w:rFonts w:ascii="Arial" w:cs="Arial" w:eastAsia="Arial" w:hAnsi="Arial"/>
          <w:sz w:val="18"/>
          <w:szCs w:val="18"/>
          <w:color w:val="auto"/>
        </w:rPr>
        <w:t>” means any Subsidiary that is incorporated or otherwise organized under the laws of, or resident for tax purposes in, Switzerland or any political subdivision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Tax Deduction</w:t>
      </w:r>
      <w:r>
        <w:rPr>
          <w:rFonts w:ascii="Arial" w:cs="Arial" w:eastAsia="Arial" w:hAnsi="Arial"/>
          <w:sz w:val="16"/>
          <w:szCs w:val="16"/>
          <w:color w:val="auto"/>
        </w:rPr>
        <w:t>” shall mean a deduction or withholding for or on account of Swiss Tax from a payment under this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Taxes</w:t>
      </w:r>
      <w:r>
        <w:rPr>
          <w:rFonts w:ascii="Arial" w:cs="Arial" w:eastAsia="Arial" w:hAnsi="Arial"/>
          <w:sz w:val="16"/>
          <w:szCs w:val="16"/>
          <w:color w:val="auto"/>
        </w:rPr>
        <w:t>” shall mean any Tax imposed by the Swiss Confederation or any political subdivision thereof, including the Swiss Withholding Tax.</w:t>
      </w:r>
    </w:p>
    <w:p>
      <w:pPr>
        <w:spacing w:after="0" w:line="194"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Ten Non-Bank Rule</w:t>
      </w:r>
      <w:r>
        <w:rPr>
          <w:rFonts w:ascii="Arial" w:cs="Arial" w:eastAsia="Arial" w:hAnsi="Arial"/>
          <w:sz w:val="16"/>
          <w:szCs w:val="16"/>
          <w:color w:val="auto"/>
        </w:rPr>
        <w:t>” shall mean the rule that the aggregate number of Lenders in respect of Loans to each Swiss Borrowing Subsidiary pursuant to this Agreement which are not Qualifying Banks must not at any time exceed ten, all in accordance with the Guidelines.</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Twenty Non-Bank Rule</w:t>
      </w:r>
      <w:r>
        <w:rPr>
          <w:rFonts w:ascii="Arial" w:cs="Arial" w:eastAsia="Arial" w:hAnsi="Arial"/>
          <w:sz w:val="16"/>
          <w:szCs w:val="16"/>
          <w:color w:val="auto"/>
        </w:rPr>
        <w:t>” shall mean the rule that the aggregate number of (a) creditors other than Qualifying Banks of each Swiss Borrowing Subsidiary under all outstanding debts relevant for the classification as debenture (</w:t>
      </w:r>
      <w:r>
        <w:rPr>
          <w:rFonts w:ascii="Arial" w:cs="Arial" w:eastAsia="Arial" w:hAnsi="Arial"/>
          <w:sz w:val="16"/>
          <w:szCs w:val="16"/>
          <w:i w:val="1"/>
          <w:iCs w:val="1"/>
          <w:color w:val="auto"/>
        </w:rPr>
        <w:t>Kassenobligation</w:t>
      </w:r>
      <w:r>
        <w:rPr>
          <w:rFonts w:ascii="Arial" w:cs="Arial" w:eastAsia="Arial" w:hAnsi="Arial"/>
          <w:sz w:val="16"/>
          <w:szCs w:val="16"/>
          <w:color w:val="auto"/>
        </w:rPr>
        <w:t>) (including any intra-group loans (if and to the extent intra-group loans are not exempt in accordance with the ordinance of the Swiss Federal Council of 18 June 2010 amending the Swiss Federal Ordinance on withholding tax and the Swiss Federal Ordinance on stamp duties with effect as of 1 August 2010)), facilities or private placements (including Loans pursuant to this Agreement)) and (b) where the number of debt instruments is relevant, the number of such debt instruments, being understood that for purposes hereof the maximum number of ten Non-Qualifying Banks permitted under this Agreement shall be taken into account (whether or not ten Non-Qualifying Banks do so participate at any given time), must not at any time exceed twenty, all in accordance within the meaning of the Guidelines.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w:t>
      </w:r>
      <w:r>
        <w:rPr>
          <w:rFonts w:ascii="Arial" w:cs="Arial" w:eastAsia="Arial" w:hAnsi="Arial"/>
          <w:sz w:val="18"/>
          <w:szCs w:val="18"/>
          <w:color w:val="auto"/>
        </w:rPr>
        <w:t>” shall mean the Swiss withholding tax as per the Swiss Withholding Tax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Withholding Tax Act</w:t>
      </w:r>
      <w:r>
        <w:rPr>
          <w:rFonts w:ascii="Arial" w:cs="Arial" w:eastAsia="Arial" w:hAnsi="Arial"/>
          <w:sz w:val="16"/>
          <w:szCs w:val="16"/>
          <w:color w:val="auto"/>
        </w:rPr>
        <w:t>” shall mean the Swiss federal act on withholding tax, of October 13, 1965, as modified from time to time.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280" w:right="339" w:bottom="1440" w:gutter="0" w:footer="0" w:header="0"/>
        </w:sectPr>
      </w:pPr>
    </w:p>
    <w:bookmarkStart w:id="32" w:name="page33"/>
    <w:bookmarkEnd w:id="32"/>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Swiss Withholding Tax Rules</w:t>
      </w:r>
      <w:r>
        <w:rPr>
          <w:rFonts w:ascii="Arial" w:cs="Arial" w:eastAsia="Arial" w:hAnsi="Arial"/>
          <w:sz w:val="18"/>
          <w:szCs w:val="18"/>
          <w:color w:val="auto"/>
        </w:rPr>
        <w:t>” shall mean, together, the Swiss Ten Non-Bank Rule, the Swiss Twenty Non-Bank Rule and the Swiss One Hundred Non-Bank Rule.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w:t>
      </w:r>
      <w:r>
        <w:rPr>
          <w:rFonts w:ascii="Arial" w:cs="Arial" w:eastAsia="Arial" w:hAnsi="Arial"/>
          <w:sz w:val="18"/>
          <w:szCs w:val="18"/>
          <w:color w:val="auto"/>
        </w:rPr>
        <w:t>” means the Trans-European Automated Real-time Gross Settlement Express Transfer payment system.</w:t>
      </w:r>
    </w:p>
    <w:p>
      <w:pPr>
        <w:spacing w:after="0" w:line="171"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32" w:lineRule="exact"/>
        <w:rPr>
          <w:sz w:val="20"/>
          <w:szCs w:val="20"/>
          <w:color w:val="auto"/>
        </w:rPr>
      </w:pPr>
    </w:p>
    <w:p>
      <w:pPr>
        <w:ind w:right="30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w:t>
      </w:r>
      <w:r>
        <w:rPr>
          <w:rFonts w:ascii="Arial" w:cs="Arial" w:eastAsia="Arial" w:hAnsi="Arial"/>
          <w:sz w:val="16"/>
          <w:szCs w:val="16"/>
          <w:color w:val="auto"/>
        </w:rPr>
        <w:t>” means a category of Commitments and extensions of credit thereunder. For purposes hereof, each of the following shall comprise a separate Tranche: (a) the Tranche A Commitments, the Tranche A Revolving Loans, the Letters of Credit and the Tranche A Swingline Loans (“</w:t>
      </w:r>
      <w:r>
        <w:rPr>
          <w:rFonts w:ascii="Arial" w:cs="Arial" w:eastAsia="Arial" w:hAnsi="Arial"/>
          <w:sz w:val="16"/>
          <w:szCs w:val="16"/>
          <w:i w:val="1"/>
          <w:iCs w:val="1"/>
          <w:color w:val="auto"/>
        </w:rPr>
        <w:t>Tranche A</w:t>
      </w:r>
      <w:r>
        <w:rPr>
          <w:rFonts w:ascii="Arial" w:cs="Arial" w:eastAsia="Arial" w:hAnsi="Arial"/>
          <w:sz w:val="16"/>
          <w:szCs w:val="16"/>
          <w:color w:val="auto"/>
        </w:rPr>
        <w:t>”),</w:t>
      </w:r>
    </w:p>
    <w:p>
      <w:pPr>
        <w:ind w:right="92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Tranche B Commitments, the Tranche B Revolving Loans, the BAs and the Tranche B Swingline Loans (“</w:t>
      </w:r>
      <w:r>
        <w:rPr>
          <w:rFonts w:ascii="Arial" w:cs="Arial" w:eastAsia="Arial" w:hAnsi="Arial"/>
          <w:sz w:val="18"/>
          <w:szCs w:val="18"/>
          <w:i w:val="1"/>
          <w:iCs w:val="1"/>
          <w:color w:val="auto"/>
        </w:rPr>
        <w:t>Tranche B</w:t>
      </w:r>
      <w:r>
        <w:rPr>
          <w:rFonts w:ascii="Arial" w:cs="Arial" w:eastAsia="Arial" w:hAnsi="Arial"/>
          <w:sz w:val="18"/>
          <w:szCs w:val="18"/>
          <w:color w:val="auto"/>
        </w:rPr>
        <w:t>”) and (c) the Tranche C Commitments and the Tranche C Revolving Loans (“</w:t>
      </w:r>
      <w:r>
        <w:rPr>
          <w:rFonts w:ascii="Arial" w:cs="Arial" w:eastAsia="Arial" w:hAnsi="Arial"/>
          <w:sz w:val="18"/>
          <w:szCs w:val="18"/>
          <w:i w:val="1"/>
          <w:iCs w:val="1"/>
          <w:color w:val="auto"/>
        </w:rPr>
        <w:t>Tranche C</w:t>
      </w:r>
      <w:r>
        <w:rPr>
          <w:rFonts w:ascii="Arial" w:cs="Arial" w:eastAsia="Arial" w:hAnsi="Arial"/>
          <w:sz w:val="18"/>
          <w:szCs w:val="18"/>
          <w:color w:val="auto"/>
        </w:rPr>
        <w: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w:t>
      </w:r>
      <w:r>
        <w:rPr>
          <w:rFonts w:ascii="Arial" w:cs="Arial" w:eastAsia="Arial" w:hAnsi="Arial"/>
          <w:sz w:val="18"/>
          <w:szCs w:val="18"/>
          <w:color w:val="auto"/>
        </w:rPr>
        <w:t>” has the meaning set forth in the definition of “Tranche”.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Borrower</w:t>
      </w:r>
      <w:r>
        <w:rPr>
          <w:rFonts w:ascii="Arial" w:cs="Arial" w:eastAsia="Arial" w:hAnsi="Arial"/>
          <w:sz w:val="18"/>
          <w:szCs w:val="18"/>
          <w:color w:val="auto"/>
        </w:rPr>
        <w:t>” means the Company and any Borrowing Subsidiary that is a Tranche A Subsidiary.</w:t>
      </w:r>
    </w:p>
    <w:p>
      <w:pPr>
        <w:spacing w:after="0" w:line="171"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Tranche A Commitment</w:t>
      </w:r>
      <w:r>
        <w:rPr>
          <w:rFonts w:ascii="Arial" w:cs="Arial" w:eastAsia="Arial" w:hAnsi="Arial"/>
          <w:sz w:val="15"/>
          <w:szCs w:val="15"/>
          <w:color w:val="auto"/>
        </w:rPr>
        <w:t>” means, with respect to each Tranche A Lender, the commitment of such Tranche A Lender to make Tranche A Revolving Loans pursuant to Section 2.01(a) and to acquire participations in Tranche A Swingline Loans and Letters of Credit hereunder, expressed as an amount representing the maximum aggregate amount of such Tranche A Lender’s Tranche A Revolving Credit Exposure hereunder, as such commitment may be reduced or increased from time to time pursuant to Section 2.09 or assignments by or to such Tranche A Lender pursuant to Section 11.04. The initial amount of each Tranche A Lender’s Tranche A Commitment is set forth on Schedule 2.01, or in the Assignment and Assumption pursuant to which such Tranche A Lender shall have assumed its Tranche A Commitment, as the case may be. The aggregate amount of Tranche A Commitments on the Closing Date is US$126,666,666.66.</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Lender</w:t>
      </w:r>
      <w:r>
        <w:rPr>
          <w:rFonts w:ascii="Arial" w:cs="Arial" w:eastAsia="Arial" w:hAnsi="Arial"/>
          <w:sz w:val="18"/>
          <w:szCs w:val="18"/>
          <w:color w:val="auto"/>
        </w:rPr>
        <w:t>” means a Lender with a Tranche A Commitment or a Tranche A Revolving Credit Exposure.</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Lending Office</w:t>
      </w:r>
      <w:r>
        <w:rPr>
          <w:rFonts w:ascii="Arial" w:cs="Arial" w:eastAsia="Arial" w:hAnsi="Arial"/>
          <w:sz w:val="16"/>
          <w:szCs w:val="16"/>
          <w:color w:val="auto"/>
        </w:rPr>
        <w:t>” means, with respect to any Tranche A Lender, the office(s) of such Lender (or any Affiliate of such Lender) specified as its “Tranche A Lending Office(s)” on Schedule 2.01 or, as to any Person that becomes a Tranche A Lender after the Closing Date, in the Assignment and Assumption executed by such Person,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1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Percentage</w:t>
      </w:r>
      <w:r>
        <w:rPr>
          <w:rFonts w:ascii="Arial" w:cs="Arial" w:eastAsia="Arial" w:hAnsi="Arial"/>
          <w:sz w:val="16"/>
          <w:szCs w:val="16"/>
          <w:color w:val="auto"/>
        </w:rPr>
        <w:t xml:space="preserve">” means, with respect to any Tranche A Lender at any time, the percentage of the aggregate Tranche A Commitments represented by such Tranche A Lender’s Tranche A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A Commitments have expired or been terminated, the Tranche A Percentages shall be determined on the basis of the Tranche A Commitments most recently in effect, giving effect to any assignments.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33" w:name="page34"/>
    <w:bookmarkEnd w:id="33"/>
    <w:p>
      <w:pPr>
        <w:ind w:right="3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Tranche A Revolving Credit Exposure</w:t>
      </w:r>
      <w:r>
        <w:rPr>
          <w:rFonts w:ascii="Arial" w:cs="Arial" w:eastAsia="Arial" w:hAnsi="Arial"/>
          <w:sz w:val="18"/>
          <w:szCs w:val="18"/>
          <w:color w:val="auto"/>
        </w:rPr>
        <w:t>” means, with respect to any Tranche A Lender at any time, the aggregate amount of (a) the sum of the US Dollar Equivalents of such Tranche A Lender’s outstanding Tranche A Revolving Loans, (b) such Tranche A Lender’s LC Exposure and (c) such Tranche A Lender’s Tranche A Swingline Exposure.</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Revolving Loans</w:t>
      </w:r>
      <w:r>
        <w:rPr>
          <w:rFonts w:ascii="Arial" w:cs="Arial" w:eastAsia="Arial" w:hAnsi="Arial"/>
          <w:sz w:val="18"/>
          <w:szCs w:val="18"/>
          <w:color w:val="auto"/>
        </w:rPr>
        <w:t>” means Loans made by the Tranche A Lenders pursuant to Section 2.01(a). Each Tranche A Revolving Loan denominated in US Dollars shall be a LIBOR Loan or, solely in the case of a Tranche A Revolving Loan denominated in US Dollars and made to a US Borrowing Subsidiary, an ABR Loan. Each Tranche A Revolving Loan denominated in Sterling shall be a LIBOR Loan. Each Tranche A Revolving Loan denominated in Euros shall be a EURIBOR Loan.</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Subsidiary</w:t>
      </w:r>
      <w:r>
        <w:rPr>
          <w:rFonts w:ascii="Arial" w:cs="Arial" w:eastAsia="Arial" w:hAnsi="Arial"/>
          <w:sz w:val="18"/>
          <w:szCs w:val="18"/>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32"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Swingline Exposure</w:t>
      </w:r>
      <w:r>
        <w:rPr>
          <w:rFonts w:ascii="Arial" w:cs="Arial" w:eastAsia="Arial" w:hAnsi="Arial"/>
          <w:sz w:val="18"/>
          <w:szCs w:val="18"/>
          <w:color w:val="auto"/>
        </w:rPr>
        <w:t>” means, at any time, the sum of the US Dollar Equivalents of the outstanding Tranche A Swingline Loans at such time. The Tranche A Swingline Exposure of any Tranche A Lender at any time shall be its Tranche A Percentage of the total Tranche A Swingline Exposure at such time.</w:t>
      </w:r>
    </w:p>
    <w:p>
      <w:pPr>
        <w:spacing w:after="0" w:line="14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Swingline Loan</w:t>
      </w:r>
      <w:r>
        <w:rPr>
          <w:rFonts w:ascii="Arial" w:cs="Arial" w:eastAsia="Arial" w:hAnsi="Arial"/>
          <w:sz w:val="18"/>
          <w:szCs w:val="18"/>
          <w:color w:val="auto"/>
        </w:rPr>
        <w:t>” means a Loan made pursuant to Section 2.04 and designated in the notice delivered by the applicable Borrower pursuant to paragraph (b) of such Section as a Tranche A Swingline Loan.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w:t>
      </w:r>
      <w:r>
        <w:rPr>
          <w:rFonts w:ascii="Arial" w:cs="Arial" w:eastAsia="Arial" w:hAnsi="Arial"/>
          <w:sz w:val="18"/>
          <w:szCs w:val="18"/>
          <w:color w:val="auto"/>
        </w:rPr>
        <w:t>” has the meaning set forth in the definition of “Tranche”.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Borrower</w:t>
      </w:r>
      <w:r>
        <w:rPr>
          <w:rFonts w:ascii="Arial" w:cs="Arial" w:eastAsia="Arial" w:hAnsi="Arial"/>
          <w:sz w:val="18"/>
          <w:szCs w:val="18"/>
          <w:color w:val="auto"/>
        </w:rPr>
        <w:t>” means the Company and any Borrowing Subsidiary that is a Tranche B Subsidiary.</w:t>
      </w:r>
    </w:p>
    <w:p>
      <w:pPr>
        <w:spacing w:after="0" w:line="171"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Commitment</w:t>
      </w:r>
      <w:r>
        <w:rPr>
          <w:rFonts w:ascii="Arial" w:cs="Arial" w:eastAsia="Arial" w:hAnsi="Arial"/>
          <w:sz w:val="16"/>
          <w:szCs w:val="16"/>
          <w:color w:val="auto"/>
        </w:rPr>
        <w:t>” means, with respect to each Tranche B Lender, the commitment of such Tranche B Lender to make Tranche B Revolving Loans pursuant to Section 2.01(a), to accept and purchase BAs pursuant to Section 2.06 and to acquire participations in Tranche B Swingline Loans hereunder, expressed as an amount representing the maximum aggregate amount of such Tranche B Lender’s Tranche B Revolving Credit Exposure hereunder, as such commitment may be reduced or increased from time to time pursuant to Section 2.09 or assignments by or to such Tranche B Lender pursuant to Section 11.04. The initial amount of each Tranche B Lender’s Tranche B Commitment is set forth on Schedule 2.01 or in the Assignment and Assumption pursuant to which such Tranche B Lender shall have assumed its Tranche B Commitment, as the case may be. The aggregate amount of Tranche B Commitments on the Closing Date is US$373,333,333.34.</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Lender</w:t>
      </w:r>
      <w:r>
        <w:rPr>
          <w:rFonts w:ascii="Arial" w:cs="Arial" w:eastAsia="Arial" w:hAnsi="Arial"/>
          <w:sz w:val="18"/>
          <w:szCs w:val="18"/>
          <w:color w:val="auto"/>
        </w:rPr>
        <w:t>” means a Lender with a Tranche B Commitment or a Tranche B Revolving Credit Exposure.</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Lending Office</w:t>
      </w:r>
      <w:r>
        <w:rPr>
          <w:rFonts w:ascii="Arial" w:cs="Arial" w:eastAsia="Arial" w:hAnsi="Arial"/>
          <w:sz w:val="16"/>
          <w:szCs w:val="16"/>
          <w:color w:val="auto"/>
        </w:rPr>
        <w:t>” means, with respect to any Tranche B Lender, the office(s) of such Lender (or any Affiliate of such Lender) specified as its “Tranche B Lending Office(s)” on Schedule 2.01 or, as to any Person that becomes a Tranche B Lender after the Closing Date, in the Assignment and Assumption executed by such Person,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4" w:name="page35"/>
    <w:bookmarkEnd w:id="34"/>
    <w:p>
      <w:pPr>
        <w:ind w:right="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Tranche B Percentage</w:t>
      </w:r>
      <w:r>
        <w:rPr>
          <w:rFonts w:ascii="Arial" w:cs="Arial" w:eastAsia="Arial" w:hAnsi="Arial"/>
          <w:sz w:val="16"/>
          <w:szCs w:val="16"/>
          <w:color w:val="auto"/>
        </w:rPr>
        <w:t xml:space="preserve">” means, with respect to any Tranche B Lender at any time, the percentage of the aggregate Tranche B Commitments represented by such Tranche B Lender’s Tranche B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07"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Revolving Credit Exposure</w:t>
      </w:r>
      <w:r>
        <w:rPr>
          <w:rFonts w:ascii="Arial" w:cs="Arial" w:eastAsia="Arial" w:hAnsi="Arial"/>
          <w:sz w:val="16"/>
          <w:szCs w:val="16"/>
          <w:color w:val="auto"/>
        </w:rPr>
        <w:t>” means, with respect to any Tranche B Lender at any time, the aggregate amount of (a) the sum of the US Dollar Equivalents of such Tranche B Lender’s outstanding Tranche B Revolving Loans, (b) the sum of the US Dollar Equivalents at such time of the face amounts of the BAs accepted by such Tranche B Lender and outstanding at such time and (c) such Tranche B Lender’s Tranche B Swingline Exposure.</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Revolving Loans</w:t>
      </w:r>
      <w:r>
        <w:rPr>
          <w:rFonts w:ascii="Arial" w:cs="Arial" w:eastAsia="Arial" w:hAnsi="Arial"/>
          <w:sz w:val="18"/>
          <w:szCs w:val="18"/>
          <w:color w:val="auto"/>
        </w:rPr>
        <w:t>” means Loans made by the Tranche B Lenders pursuant to Section 2.01(b). Each Tranche B Revolving Loan denominated in US Dollars shall be a LIBOR Loan or, solely in the case of a Tranche B Revolving Loan denominated in US Dollars and made to a US Borrowing Subsidiary or a Canadian Borrowing Subsidiary, an ABR Loan. Each Tranche B Revolving Loan denominated in Sterling shall be a LIBOR Loan. Each Tranche B Revolving Loan denominated in Euros shall be a EURIBOR Loan. Each Tranche B Revolving Loan denominated in Canadian Dollars shall be a Canadian Prime Rate Loan.</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Subsidiary</w:t>
      </w:r>
      <w:r>
        <w:rPr>
          <w:rFonts w:ascii="Arial" w:cs="Arial" w:eastAsia="Arial" w:hAnsi="Arial"/>
          <w:sz w:val="18"/>
          <w:szCs w:val="18"/>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32"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Swingline Exposure</w:t>
      </w:r>
      <w:r>
        <w:rPr>
          <w:rFonts w:ascii="Arial" w:cs="Arial" w:eastAsia="Arial" w:hAnsi="Arial"/>
          <w:sz w:val="18"/>
          <w:szCs w:val="18"/>
          <w:color w:val="auto"/>
        </w:rPr>
        <w:t>” means, at any time, the sum of the US Dollar Equivalents of the outstanding Tranche B Swingline Loans at such time. The Tranche B Swingline Exposure of any Tranche B Lender at any time shall be its Tranche B Percentage of the total Tranche B Swingline Exposure at such time.</w:t>
      </w:r>
    </w:p>
    <w:p>
      <w:pPr>
        <w:spacing w:after="0" w:line="14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Swingline Loan</w:t>
      </w:r>
      <w:r>
        <w:rPr>
          <w:rFonts w:ascii="Arial" w:cs="Arial" w:eastAsia="Arial" w:hAnsi="Arial"/>
          <w:sz w:val="18"/>
          <w:szCs w:val="18"/>
          <w:color w:val="auto"/>
        </w:rPr>
        <w:t>” means a Loan made pursuant to Section 2.04 and designated in the notice delivered by the applicable Borrower pursuant to paragraph (b) of such Section as a Tranche B Swingline Loan.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w:t>
      </w:r>
      <w:r>
        <w:rPr>
          <w:rFonts w:ascii="Arial" w:cs="Arial" w:eastAsia="Arial" w:hAnsi="Arial"/>
          <w:sz w:val="18"/>
          <w:szCs w:val="18"/>
          <w:color w:val="auto"/>
        </w:rPr>
        <w:t>” has the meaning set forth in the definition of “Tranche”.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Borrower</w:t>
      </w:r>
      <w:r>
        <w:rPr>
          <w:rFonts w:ascii="Arial" w:cs="Arial" w:eastAsia="Arial" w:hAnsi="Arial"/>
          <w:sz w:val="18"/>
          <w:szCs w:val="18"/>
          <w:color w:val="auto"/>
        </w:rPr>
        <w:t>” means any Borrowing Subsidiary that is a Tranche C Subsidiary.</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C Commitment</w:t>
      </w:r>
      <w:r>
        <w:rPr>
          <w:rFonts w:ascii="Arial" w:cs="Arial" w:eastAsia="Arial" w:hAnsi="Arial"/>
          <w:sz w:val="16"/>
          <w:szCs w:val="16"/>
          <w:color w:val="auto"/>
        </w:rPr>
        <w:t>” means, with respect to each Tranche C Lender, the commitment of such Tranche C Lender to make Tranche C Revolving Loans pursuant to Section 2.01(c), expressed as an amount representing the maximum aggregate amount of such Tranche C Lender’s Tranche C Revolving Credit Exposure hereunder, as such commitment may be reduced or increased from time to time pursuant to Section 2.09 or assignments by or to such Tranche C Lender pursuant to Section 11.04. The initial amount of each Tranche C Lender’s Tranche C Commitment is set forth on Schedule 2.01, or in the Assignment and Assumption pursuant to which such Tranche C Lender shall have assumed its Tranche C Commitment, as the case may be. The aggregate amount of Tranche C Commitments on the Closing Date is US$0.</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Lender</w:t>
      </w:r>
      <w:r>
        <w:rPr>
          <w:rFonts w:ascii="Arial" w:cs="Arial" w:eastAsia="Arial" w:hAnsi="Arial"/>
          <w:sz w:val="18"/>
          <w:szCs w:val="18"/>
          <w:color w:val="auto"/>
        </w:rPr>
        <w:t>” means a Lender with a Tranche C Commitment or a Tranche C Revolving Credit Exposure.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5" w:name="page36"/>
    <w:bookmarkEnd w:id="35"/>
    <w:p>
      <w:pPr>
        <w:ind w:right="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Tranche C Lending Office</w:t>
      </w:r>
      <w:r>
        <w:rPr>
          <w:rFonts w:ascii="Arial" w:cs="Arial" w:eastAsia="Arial" w:hAnsi="Arial"/>
          <w:sz w:val="16"/>
          <w:szCs w:val="16"/>
          <w:color w:val="auto"/>
        </w:rPr>
        <w:t>” means, with respect to any Tranche C Lender, the office(s) of such Lender (or any Affiliate of such Lender) specified as its “Tranche C Lending Office(s)” on Schedule 2.01 or, as to any Person that becomes a Tranche C Lender after the Closing Date, in the Assignment and Assumption executed by such Person, or such other office(s) of such Lender (or an Affiliate of such Lender) as such Lender may hereafter designate from time to time as its “Tranche C Lending Office(s)” by notice to the Company and the Administrative Agent.</w:t>
      </w:r>
    </w:p>
    <w:p>
      <w:pPr>
        <w:spacing w:after="0" w:line="113"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C Percentage</w:t>
      </w:r>
      <w:r>
        <w:rPr>
          <w:rFonts w:ascii="Arial" w:cs="Arial" w:eastAsia="Arial" w:hAnsi="Arial"/>
          <w:sz w:val="16"/>
          <w:szCs w:val="16"/>
          <w:color w:val="auto"/>
        </w:rPr>
        <w:t xml:space="preserve">” means, with respect to any Tranche C Lender at any time, the percentage of the aggregate Tranche C Commitments represented by such Tranche C Lender’s Tranche C Commitment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Tranche C Commitments have expired or been terminated, the Tranche C Percentages shall be determined on the basis of the Tranche C Commitments most recently in effect, giving effect to any assignments.</w:t>
      </w:r>
    </w:p>
    <w:p>
      <w:pPr>
        <w:spacing w:after="0" w:line="107"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Revolving Credit Exposure</w:t>
      </w:r>
      <w:r>
        <w:rPr>
          <w:rFonts w:ascii="Arial" w:cs="Arial" w:eastAsia="Arial" w:hAnsi="Arial"/>
          <w:sz w:val="18"/>
          <w:szCs w:val="18"/>
          <w:color w:val="auto"/>
        </w:rPr>
        <w:t>” means, with respect to any Tranche C Lender at any time, the aggregate amount of the sum of the US Dollar Equivalents of such Tranche C Lender’s outstanding Tranche C Revolving Loans.</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Revolving Loans</w:t>
      </w:r>
      <w:r>
        <w:rPr>
          <w:rFonts w:ascii="Arial" w:cs="Arial" w:eastAsia="Arial" w:hAnsi="Arial"/>
          <w:sz w:val="18"/>
          <w:szCs w:val="18"/>
          <w:color w:val="auto"/>
        </w:rPr>
        <w:t>” means Loans made by the Tranche C Lenders pursuant to Section 2.01(a). Each Tranche C Revolving Loan shall be a LIBOR Loan or an ABR Loan.</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Subsidiary</w:t>
      </w:r>
      <w:r>
        <w:rPr>
          <w:rFonts w:ascii="Arial" w:cs="Arial" w:eastAsia="Arial" w:hAnsi="Arial"/>
          <w:sz w:val="18"/>
          <w:szCs w:val="18"/>
          <w:color w:val="auto"/>
        </w:rPr>
        <w:t>” means any Subsidiary that is incorporated or otherwise organized under the laws of the United States of America or any political subdivision thereof.</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execution, delivery and performance by each Credit Party of the Credit Documents to which it is to be a party, the making of the Loans, the acceptance and purchase of the BAs, the use of the proceeds thereof, the issuance of the Letters of Credit, the creation of the Guarantee provided for in Article X and the other transactions contemplated hereby.</w:t>
      </w:r>
    </w:p>
    <w:p>
      <w:pPr>
        <w:spacing w:after="0" w:line="140"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Type</w:t>
      </w:r>
      <w:r>
        <w:rPr>
          <w:rFonts w:ascii="Arial" w:cs="Arial" w:eastAsia="Arial" w:hAnsi="Arial"/>
          <w:sz w:val="16"/>
          <w:szCs w:val="16"/>
          <w:color w:val="auto"/>
        </w:rPr>
        <w:t>”, when used in reference to any Loan or Borrowing, refers to whether the rate of interest on such Loan, or on the Loans comprising such Borrowing, is determined by reference to the Adjusted LIBO Rate, the Adjusted EURIBO Rate, the Alternate Base Rate or the Canadian Prime Rate.</w:t>
      </w:r>
    </w:p>
    <w:p>
      <w:pPr>
        <w:spacing w:after="0" w:line="8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Borrowing Subsidiary</w:t>
      </w:r>
      <w:r>
        <w:rPr>
          <w:rFonts w:ascii="Arial" w:cs="Arial" w:eastAsia="Arial" w:hAnsi="Arial"/>
          <w:sz w:val="18"/>
          <w:szCs w:val="18"/>
          <w:color w:val="auto"/>
        </w:rPr>
        <w:t>” means (i) any Borrowing Subsidiary that is incorporated or otherwise organized under the laws of the United Kingdom or (ii) any other Borrowing Subsidiary obligated to make payments hereunder or under any other Credit Document that are potentially subject to withholding taxes imposed by the laws of the United Kingdom.</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DTTP Scheme</w:t>
      </w:r>
      <w:r>
        <w:rPr>
          <w:rFonts w:ascii="Arial" w:cs="Arial" w:eastAsia="Arial" w:hAnsi="Arial"/>
          <w:sz w:val="18"/>
          <w:szCs w:val="18"/>
          <w:color w:val="auto"/>
        </w:rPr>
        <w:t>” means the Double Taxation Treaty Passport Scheme administered by HMRC.</w:t>
      </w:r>
    </w:p>
    <w:p>
      <w:pPr>
        <w:spacing w:after="0" w:line="171" w:lineRule="exact"/>
        <w:rPr>
          <w:sz w:val="20"/>
          <w:szCs w:val="20"/>
          <w:color w:val="auto"/>
        </w:rPr>
      </w:pPr>
    </w:p>
    <w:p>
      <w:pPr>
        <w:jc w:val="both"/>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32" w:lineRule="exact"/>
        <w:rPr>
          <w:sz w:val="20"/>
          <w:szCs w:val="20"/>
          <w:color w:val="auto"/>
        </w:rPr>
      </w:pPr>
    </w:p>
    <w:p>
      <w:pPr>
        <w:jc w:val="both"/>
        <w:ind w:right="2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Base Rate</w:t>
      </w:r>
      <w:r>
        <w:rPr>
          <w:rFonts w:ascii="Arial" w:cs="Arial" w:eastAsia="Arial" w:hAnsi="Arial"/>
          <w:sz w:val="16"/>
          <w:szCs w:val="16"/>
          <w:color w:val="auto"/>
        </w:rPr>
        <w:t>” means the reference rate of interest (however designated) announced from time to time by JPMorgan Chase Bank, N.A., Toronto Branch, as its reference rate for determining interest chargeable by it on commercial loans made in Canada and denominated in US Dollars. Each change in the US Base Rate shall be effective from and including the date such change is publicly announced as being effective.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6" w:name="page37"/>
    <w:bookmarkEnd w:id="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US Borrowing Subsidiary</w:t>
      </w:r>
      <w:r>
        <w:rPr>
          <w:rFonts w:ascii="Arial" w:cs="Arial" w:eastAsia="Arial" w:hAnsi="Arial"/>
          <w:sz w:val="18"/>
          <w:szCs w:val="18"/>
          <w:color w:val="auto"/>
        </w:rPr>
        <w:t>” means any Borrowing Subsidiary that is a US Subsidiary.</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Dollar Equivalent</w:t>
      </w:r>
      <w:r>
        <w:rPr>
          <w:rFonts w:ascii="Arial" w:cs="Arial" w:eastAsia="Arial" w:hAnsi="Arial"/>
          <w:sz w:val="16"/>
          <w:szCs w:val="16"/>
          <w:color w:val="auto"/>
        </w:rPr>
        <w:t>” means, on any date of determination, (a) with respect to any amount in US Dollars, such amount and (b) with respect to any amount in any currency other than US Dollars, the equivalent in US Dollars of such amount, determined by the Administrative Agent pursuant to Section 1.05 using the Exchange Rate with respect to such currency at the time in effect under the provisions of such Section.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Subsidiary</w:t>
      </w:r>
      <w:r>
        <w:rPr>
          <w:rFonts w:ascii="Arial" w:cs="Arial" w:eastAsia="Arial" w:hAnsi="Arial"/>
          <w:sz w:val="16"/>
          <w:szCs w:val="16"/>
          <w:color w:val="auto"/>
        </w:rPr>
        <w:t>” means any Subsidiary that is organized under the laws of the United States of America, any State thereof or the District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16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xml:space="preserve">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Revolving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Revolving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Revolving Borrowing”).</w:t>
      </w:r>
    </w:p>
    <w:p>
      <w:pPr>
        <w:spacing w:after="0" w:line="143"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regulation or other law herein shall be construed</w:t>
      </w:r>
    </w:p>
    <w:p>
      <w:pPr>
        <w:spacing w:after="0" w:line="1" w:lineRule="exact"/>
        <w:rPr>
          <w:sz w:val="20"/>
          <w:szCs w:val="20"/>
          <w:color w:val="auto"/>
        </w:rPr>
      </w:pPr>
    </w:p>
    <w:p>
      <w:pPr>
        <w:ind w:firstLine="8"/>
        <w:spacing w:after="0" w:line="300" w:lineRule="auto"/>
        <w:tabs>
          <w:tab w:leader="none" w:pos="21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referring to such statute, regulation or other law as from time to time amended, supplemented or otherwise modified (including by succession of comparable successor statutes, regulations or other laws) and (ii) to include all official rulings and interpretations thereunder having the force of law or with which affected Persons customarily comply, (c) any reference herein to any Person shall be construed to include such Person’s successors and assigns, (d) the words “herein”, “hereof” and “hereunder”, and words of similar import, shall be construed to refer to this Agreement in its entirety and not to any particular provision hereof,</w:t>
      </w:r>
    </w:p>
    <w:p>
      <w:pPr>
        <w:spacing w:after="0" w:line="1" w:lineRule="exact"/>
        <w:rPr>
          <w:rFonts w:ascii="Arial" w:cs="Arial" w:eastAsia="Arial" w:hAnsi="Arial"/>
          <w:sz w:val="15"/>
          <w:szCs w:val="15"/>
          <w:color w:val="auto"/>
        </w:rPr>
      </w:pPr>
    </w:p>
    <w:p>
      <w:pPr>
        <w:ind w:right="220" w:firstLine="8"/>
        <w:spacing w:after="0" w:line="255"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44" w:lineRule="exact"/>
        <w:rPr>
          <w:sz w:val="20"/>
          <w:szCs w:val="20"/>
          <w:color w:val="auto"/>
        </w:rPr>
      </w:pPr>
    </w:p>
    <w:p>
      <w:pPr>
        <w:jc w:val="both"/>
        <w:ind w:right="100" w:firstLine="913"/>
        <w:spacing w:after="0" w:line="25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 Pro Forma Computations.</w:t>
      </w:r>
      <w:r>
        <w:rPr>
          <w:rFonts w:ascii="Arial" w:cs="Arial" w:eastAsia="Arial" w:hAnsi="Arial"/>
          <w:sz w:val="18"/>
          <w:szCs w:val="18"/>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notifies the Administrative Agent that the Company requests an amendment to any provision hereof to eliminate the effect of any change occurring after the date hereof in GAAP or in the application thereof 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37" w:name="page38"/>
    <w:bookmarkEnd w:id="37"/>
    <w:p>
      <w:pPr>
        <w:ind w:right="2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w:t>
      </w:r>
    </w:p>
    <w:p>
      <w:pPr>
        <w:spacing w:after="0" w:line="116"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Currency Translation.</w:t>
      </w:r>
      <w:r>
        <w:rPr>
          <w:rFonts w:ascii="Arial" w:cs="Arial" w:eastAsia="Arial" w:hAnsi="Arial"/>
          <w:sz w:val="16"/>
          <w:szCs w:val="16"/>
          <w:color w:val="auto"/>
        </w:rPr>
        <w:t xml:space="preserve"> The Administrative Agent shall determine the US Dollar Equivalent of any Borrowing denominated in a currency other than US Dollars, other than a Canadian Prime Rate Borrowing, as of the date of the commencement of the initial Interest Period therefor and as of the date of the commencement of each subsequent Interest Period therefor, in each case using the Exchange Rate for such currency in relation to US Dollars in effect on the date that is three Business Days prior to the date on which the applicable Interest Period shall commence, and each such amount shall, except as provided in the last two sentences of this Section, be the US Dollar Equivalent of such Borrowing until the next required calculation thereof pursuant to this sentence. The Administrative Agent shall determine the US Dollar Equivalent of any Letter of Credit denominated in a currency other than US Dollars as of the date such Letter of Credit is issued, amended to increase its face amount, extended or renewed and as of the last Business Day of each subsequent calendar month, in each case using the Exchange Rate for such currency in relation to US Dollars in effect on the date that is three Business Days prior to the date on which such Letter of Credit is issued, amended to increase its face amount, extended or renewed or the last Business Day of such subsequent calendar quarter, as the case may be, and each such amount shall, except as provided in the last two sentences of this Section, be the US Dollar Equivalent of such Letter of Credit until the next required calculation thereof pursuant to this sentence. The Administrative Agent shall determine the US Dollar Equivalent of any Canadian Prime Rate Borrowing or BA as of the date on which such Borrowing is made or such BA is accepted and purchased and as of the last Business Day of each subsequent calendar quarter, in each case using the Exchange Rate for such currency in relation to US Dollars in effect on the last Business Day preceding the date of such Borrowing or acceptance and purchase and as of the last Business Day of such subsequent calendar quarter, as the case may be, and each such amount shall, except as provided in the last two sentences of this Section, be the US Dollar Equivalent of such Borrowing or BA until the next required calculation thereof pursuant to this sentence. The Administrative Agent shall notify the Company and the Lenders of each calculation of the US Dollar Equivalent of each Borrowing, BA or Letter of Credit. Notwithstanding the foregoing, for purposes of any determination of the CAM Percentages,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 6.06 and 6.07, amounts in currencies other than US Dollars shall be translated into US Dollars at the currency exchange rates used in preparing the Company’s annual and quarterly financial statements.</w:t>
      </w: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Tranche A Commitments.</w:t>
      </w:r>
      <w:r>
        <w:rPr>
          <w:rFonts w:ascii="Arial" w:cs="Arial" w:eastAsia="Arial" w:hAnsi="Arial"/>
          <w:sz w:val="18"/>
          <w:szCs w:val="18"/>
          <w:color w:val="auto"/>
        </w:rPr>
        <w:t xml:space="preserve"> Subject to the terms and conditions set forth herein, each Tranche A Lender agrees to make Tranche A Revolving Loans denominated in US Dollars, Sterling and Euro to the Tranche A Borrowers from time to time during the Availability Period in an aggregate principal amount at any time outstanding that will not result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8" w:name="page39"/>
    <w:bookmarkEnd w:id="38"/>
    <w:p>
      <w:pPr>
        <w:jc w:val="both"/>
        <w:ind w:right="120" w:firstLine="8"/>
        <w:spacing w:after="0" w:line="259" w:lineRule="auto"/>
        <w:tabs>
          <w:tab w:leader="none" w:pos="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Tranche A Revolving Credit Exposures exceeding the aggregate Tranche A Commitments or (B) the Tranche A Revolving Credit Exposure of any Lender exceeding its Tranche A Commitment. Within the foregoing limits and subject to the terms and conditions set forth herein, the Tranche A Borrowers may borrow, prepay and reborrow Tranche A Revolving Loans.</w:t>
      </w:r>
    </w:p>
    <w:p>
      <w:pPr>
        <w:spacing w:after="0" w:line="140" w:lineRule="exact"/>
        <w:rPr>
          <w:rFonts w:ascii="Arial" w:cs="Arial" w:eastAsia="Arial" w:hAnsi="Arial"/>
          <w:sz w:val="18"/>
          <w:szCs w:val="18"/>
          <w:color w:val="auto"/>
        </w:rPr>
      </w:pPr>
    </w:p>
    <w:p>
      <w:pPr>
        <w:ind w:right="40" w:firstLine="921"/>
        <w:spacing w:after="0" w:line="312" w:lineRule="auto"/>
        <w:tabs>
          <w:tab w:leader="none" w:pos="1161" w:val="left"/>
        </w:tabs>
        <w:numPr>
          <w:ilvl w:val="1"/>
          <w:numId w:val="16"/>
        </w:numPr>
        <w:rPr>
          <w:rFonts w:ascii="Arial" w:cs="Arial" w:eastAsia="Arial" w:hAnsi="Arial"/>
          <w:sz w:val="15"/>
          <w:szCs w:val="15"/>
          <w:color w:val="auto"/>
        </w:rPr>
      </w:pPr>
      <w:r>
        <w:rPr>
          <w:rFonts w:ascii="Arial" w:cs="Arial" w:eastAsia="Arial" w:hAnsi="Arial"/>
          <w:sz w:val="15"/>
          <w:szCs w:val="15"/>
          <w:u w:val="single" w:color="auto"/>
          <w:color w:val="auto"/>
        </w:rPr>
        <w:t>Tranche B Commitments.</w:t>
      </w:r>
      <w:r>
        <w:rPr>
          <w:rFonts w:ascii="Arial" w:cs="Arial" w:eastAsia="Arial" w:hAnsi="Arial"/>
          <w:sz w:val="15"/>
          <w:szCs w:val="15"/>
          <w:color w:val="auto"/>
        </w:rPr>
        <w:t xml:space="preserve"> Subject to the terms and conditions set forth herein, each Tranche B Lender agrees (i) to make Tranche B Revolving Loans denominated in US Dollars, Sterling and Euro to the Tranche B Borrowers other than the Canadian Borrowing Subsidiaries, (ii) to make Tranche B Revolving Loans denominated in US Dollars and Canadian Dollars to the Canadian Borrowing Subsidiaries and (iii) to accept and purchase drafts drawn by Canadian Borrowing Subsidiaries in Canadian Dollars as BAs, in each case from time to time during the Availability Period in an aggregate principal or face amount at any time outstanding that will not result in (A) the aggregate Tranche B Revolving Credit Exposures exceeding the aggregate Tranche B Commitments or (B) the Tranche B Revolving Credit Exposure of any Lender exceeding its Tranche B Commitment. Within the foregoing limits and subject to the terms and conditions set forth herein, the Tranche B Borrowers may borrow, prepay and reborrow Tranche B Revolving Loans and issue and sell drafts drawn as BAs.</w:t>
      </w:r>
    </w:p>
    <w:p>
      <w:pPr>
        <w:spacing w:after="0" w:line="105" w:lineRule="exact"/>
        <w:rPr>
          <w:rFonts w:ascii="Arial" w:cs="Arial" w:eastAsia="Arial" w:hAnsi="Arial"/>
          <w:sz w:val="15"/>
          <w:szCs w:val="15"/>
          <w:color w:val="auto"/>
        </w:rPr>
      </w:pPr>
    </w:p>
    <w:p>
      <w:pPr>
        <w:ind w:right="40" w:firstLine="921"/>
        <w:spacing w:after="0" w:line="294" w:lineRule="auto"/>
        <w:tabs>
          <w:tab w:leader="none" w:pos="115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Tranche C Commitments.</w:t>
      </w:r>
      <w:r>
        <w:rPr>
          <w:rFonts w:ascii="Arial" w:cs="Arial" w:eastAsia="Arial" w:hAnsi="Arial"/>
          <w:sz w:val="16"/>
          <w:szCs w:val="16"/>
          <w:color w:val="auto"/>
        </w:rPr>
        <w:t xml:space="preserve"> Subject to the terms and conditions set forth herein, each Tranche C Lender agrees to make Tranche C Revolving Loans denominated in US Dollars to the Tranche C Borrowers from time to time during the Availability Period in an aggregate principal amount at any time outstanding that will not result in (i) the aggregate Tranche C Revolving Credit Exposures exceeding the aggregate Tranche C Commitments or (ii) the Tranche C Revolving Credit Exposure of any Lender exceeding its Tranche C Commitment. Within the foregoing limits and subject to the terms and conditions set forth herein, the Tranche C Borrowers may borrow, prepay and reborrow Tranche B Revolving Loans.</w:t>
      </w:r>
    </w:p>
    <w:p>
      <w:pPr>
        <w:spacing w:after="0" w:line="11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Tranche A Revolving Loan shall be made as part of a Tranche A Revolving Borrowing consisting of Tranche A Revolving Loans of the same Type and currency made by the Tranche A Lenders ratably in accordance with their respective Tranche A Commitments. Each Tranche B Revolving Loan shall be made as part of a Tranche B Revolving Borrowing consisting of Tranche B Revolving Loans of the same Type and currency made by the Tranche B Lenders ratably in accordance with their respective Tranche B Commitments. Each Tranche C Revolving Loan shall be made as part of a Tranche C Revolving Borrowing consisting of Tranche C Revolving Loans of the same Type made by the Tranche C Lenders ratably in accordance with their respective Tranche C Commitments. The failure of any Lender to make any Loan required to be made by it shall not relieve any other Lender of its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w:t>
      </w:r>
    </w:p>
    <w:p>
      <w:pPr>
        <w:spacing w:after="0" w:line="118" w:lineRule="exact"/>
        <w:rPr>
          <w:sz w:val="20"/>
          <w:szCs w:val="20"/>
          <w:color w:val="auto"/>
        </w:rPr>
      </w:pPr>
    </w:p>
    <w:p>
      <w:pPr>
        <w:ind w:right="20" w:firstLine="921"/>
        <w:spacing w:after="0" w:line="289" w:lineRule="auto"/>
        <w:tabs>
          <w:tab w:leader="none" w:pos="11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Subject to Section 2.14, (i) each Revolving Borrowing denominated in US Dollars shall be comprised entirely of (A) LIBOR Loans or (B) solely in the case of any such Borrowing by a US Borrowing Subsidiary or a Canadian Borrowing Subsidiary, ABR Loans, (ii) each Revolving Borrowing denominated in Sterling shall be comprised entirely of LIBOR Loans, (iii) each Revolving Borrowing denominated in Euros shall be comprised entirely of EURIBOR Loans and (iv) each Revolving Borrowing denominated in Canadian Dollars shall be comprised entirely of Canadian Prime Rate Loans. Each Swingline Loan denominated in US Dollars shall be an ABR Loan and each Swingline Loan denominated in Canadian Dollars shall be a Canadian Prime Rate Loan. Each Lender at its option may make any Loan or accept and purchase any BA by causing any domestic or foreign branch or Affiliate of such Lender to make such Loan or accept and purchase such BA;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exercise of such option shall not affect the obligation of the applicable Borrower to repay such Loan in accordance with the terms of this Agreement or the obligations of any Lender under Section 2.19.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9" w:name="page40"/>
    <w:bookmarkEnd w:id="39"/>
    <w:p>
      <w:pPr>
        <w:ind w:firstLine="921"/>
        <w:spacing w:after="0" w:line="284" w:lineRule="auto"/>
        <w:tabs>
          <w:tab w:leader="none" w:pos="1152"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At the commencement of each Interest Period for any LIBOR Revolving Borrowing or EURIBOR Revolving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US$1,000,000 and not less than US$3,000,000;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right="20" w:firstLine="8"/>
        <w:spacing w:after="0" w:line="310" w:lineRule="auto"/>
        <w:tabs>
          <w:tab w:leader="none" w:pos="21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an ABR Revolving Borrowing under any Tranche may be in an aggregate amount that is equal to the entire unused balance of the Commitments under such Tranche and (ii) a Tranche A Borrowing that is required to finance the reimbursement of an LC Disbursement as contemplated by Section 2.05(e) may be in an aggregate amount equal to the amount of such LC Disbursement. At the time that each Canadian Prime Rate Revolving Borrowing is made, such Borrowing shall be in an aggregate amount that is an integral multiple of Cdn.$1,000,000 and not less than Cdn.$3,000,000. Each Swingline Loan denominated in US Dollars shall be in an amount that is an integral multiple of US$100,000 and not less than US$1,000,000. Each Swingline Loan denominated in Canadian Dollars shall be in an amount that is an integral multiple of Cdn.$100,000 and not less than Cdn.$1,000,000. Borrowings of more than one Type may be outstanding at the same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there shall not at any time be more than a total of 10 LIBOR Revolving Borrowings and EURIBOR Revolving Borrowings outstanding.</w:t>
      </w:r>
    </w:p>
    <w:p>
      <w:pPr>
        <w:spacing w:after="0" w:line="108" w:lineRule="exact"/>
        <w:rPr>
          <w:rFonts w:ascii="Arial" w:cs="Arial" w:eastAsia="Arial" w:hAnsi="Arial"/>
          <w:sz w:val="15"/>
          <w:szCs w:val="15"/>
          <w:color w:val="auto"/>
        </w:rPr>
      </w:pPr>
    </w:p>
    <w:p>
      <w:pPr>
        <w:ind w:right="760" w:firstLine="921"/>
        <w:spacing w:after="0" w:line="268" w:lineRule="auto"/>
        <w:tabs>
          <w:tab w:leader="none" w:pos="1162"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3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To request a Borrowing, the applicable Borrower shall notify the Applicable Agent by telephone confirmed promptly by hand delivery or telecopy to such Applicable Agent of a written Borrowing Request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any other form approved by the Administrative Agent and signed by a Financial Officer of the Company (a) in the case of a LIBOR Borrowing denominated in US Dollars, not later than 11:00 a.m., Local Time, three Business Days before the date of the proposed Borrowing, (b) in the case of a LIBOR Borrowing denominated in Sterling or a EURIBOR Borrowing, not later than 11:00 a.m., Local Time, three Business Days before the date of the proposed Borrowing, (c) (i) in the case of an ABR Borrowing under Tranche A, not later than 2:00 p.m., Local Time, two Business Days before the date of the proposed Borrowing and (ii) in the case of an ABR Borrowing under Tranche B or under Tranche C, not later than 2:00 p.m., Local Time, one Business Day before the date of the proposed Borrowing and (d) in the case of a Canadian Prime Rate Borrowing, not later than 2:00 p.m., Local Time, one Business Day before the date of the proposed Borrowing. Each such telephonic and written Borrowing Request shall specify the following information in compliance with Section 2.02:</w:t>
      </w:r>
    </w:p>
    <w:p>
      <w:pPr>
        <w:spacing w:after="0" w:line="39" w:lineRule="exact"/>
        <w:rPr>
          <w:sz w:val="20"/>
          <w:szCs w:val="20"/>
          <w:color w:val="auto"/>
        </w:rPr>
      </w:pPr>
    </w:p>
    <w:p>
      <w:pPr>
        <w:ind w:left="1120" w:hanging="21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Borrower requesting such Borrowing;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Tranche under which such Borrowing is to be made;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and the principal amount of such Borrowing;</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Type of such Borrowing;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0" w:name="page41"/>
    <w:bookmarkEnd w:id="40"/>
    <w:p>
      <w:pPr>
        <w:ind w:left="460" w:right="600" w:firstLine="443"/>
        <w:spacing w:after="0" w:line="268" w:lineRule="auto"/>
        <w:tabs>
          <w:tab w:leader="none" w:pos="119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LIBOR Borrowing or a EURIBOR Borrowing, the initial Interest Period to be applicable thereto, which shall be a period contemplated by the definition of the term “Interest Period”; and</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Applicable Funding Account.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Borrowing Request that shall fail to specify any of the information required by the preceding provisions of this paragraph may be rejected by the Applicable Agent if such failure is not corrected promptly after the Applicable Agent shall give written or telephonic notice thereof to the applicable Borrower and, if so rejected, will be of no force or effect. Promptly following receipt of a Borrowing Request in accordance with this Section, the Applicable Agent shall advise each Lender that will make a Loan as part of the requested Borrowing of the details thereof and of the amount of such Lender’s Loan to be made as part of the requested Borrowing.</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Swingline Loans.</w:t>
      </w:r>
      <w:r>
        <w:rPr>
          <w:rFonts w:ascii="Arial" w:cs="Arial" w:eastAsia="Arial" w:hAnsi="Arial"/>
          <w:sz w:val="16"/>
          <w:szCs w:val="16"/>
          <w:color w:val="auto"/>
        </w:rPr>
        <w:t xml:space="preserve"> (a) Subject to the terms and conditions set forth herein, the Swingline Lender agrees to make Tranche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Swingline Loans to any Borrower denominated in US Dollars and Tranche B Swingline Loans to any Borrower denominated in US Dollars or,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Swingline Loans to Canadian Borrowing Subsidiaries, Canadian Dollars from time to time during the Availability Period, in an aggregate principal amount 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outstanding that will not result in (i) the sum of the US Dollar Equivalents of the principal amounts of the outstanding Swingline Loans exceeding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US$50,000,000, (ii) the aggregate Tranche A Revolving Credit Exposures exceeding the aggregate Tranche A Commitments or (iii) the aggregate Tranche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Revolving Credit Exposures exceeding the aggregate Tranche B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Swingline Lender shall not be required to make a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to refinance an outstanding Swingline Loan. Within the foregoing limits and subject to the terms and conditions set forth herein, the Borrowing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borrow, prepay and reborrow Tranche A Swingline Loans denominated in US Dollars and Tranche B Swingline Loans denominated in US Dollars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Borrowing Subsidiaries may borrow, prepay and reborrow Tranche B Swingline Loans denominated in Canadian Dollars.</w:t>
      </w:r>
    </w:p>
    <w:p>
      <w:pPr>
        <w:spacing w:after="0" w:line="165" w:lineRule="exact"/>
        <w:rPr>
          <w:sz w:val="20"/>
          <w:szCs w:val="20"/>
          <w:color w:val="auto"/>
        </w:rPr>
      </w:pPr>
    </w:p>
    <w:p>
      <w:pPr>
        <w:ind w:firstLine="921"/>
        <w:spacing w:after="0" w:line="253"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request a Swingline Loan, a Borrower shall notify the Applicable Agent and the Swingline Lender of such request by telephone (confirmed by fax signed by a Financial Officer on behalf of the applicable Borrower), not later than 12:00 noon, Local Time, on the day of such proposed Swingline Loan. Each such notice shall be irrevocable and shall specify the requested date (which shall be a Business Day) and amount of the requested Swingline Loan and whether such Swingline Loan is to be a Tranche A Swingline Loan or a Tranche B Swingline Loan. The Swingline Lender shall make each Swingline Loan available to the applicable Borrower by means of a credit to the Applicable Funding Account (or, in the case of a Swingline Loan made to finance the reimbursement of an LC Disbursement as provided in Section 2.05(e), by remittance to the Issuing Bank) by 3:00 p.m., Local Time, on the requested date of such Swingline Loan.</w:t>
      </w:r>
    </w:p>
    <w:p>
      <w:pPr>
        <w:spacing w:after="0" w:line="147" w:lineRule="exact"/>
        <w:rPr>
          <w:rFonts w:ascii="Arial" w:cs="Arial" w:eastAsia="Arial" w:hAnsi="Arial"/>
          <w:sz w:val="18"/>
          <w:szCs w:val="18"/>
          <w:color w:val="auto"/>
        </w:rPr>
      </w:pPr>
    </w:p>
    <w:p>
      <w:pPr>
        <w:ind w:left="1160" w:hanging="239"/>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Swingline Lender may by written notice given to the Administrative Agent not later than 11:00 a.m., Local Time, on any Business Day</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the Tranche A Lenders to acquire participations within two Business Days in all or a portion of the Tranche A Swingline Loans outstanding or</w:t>
      </w:r>
    </w:p>
    <w:p>
      <w:pPr>
        <w:spacing w:after="0" w:line="32" w:lineRule="exact"/>
        <w:rPr>
          <w:rFonts w:ascii="Arial" w:cs="Arial" w:eastAsia="Arial" w:hAnsi="Arial"/>
          <w:sz w:val="16"/>
          <w:szCs w:val="16"/>
          <w:color w:val="auto"/>
        </w:rPr>
      </w:pPr>
    </w:p>
    <w:p>
      <w:pPr>
        <w:ind w:right="80" w:firstLine="8"/>
        <w:spacing w:after="0" w:line="292" w:lineRule="auto"/>
        <w:tabs>
          <w:tab w:leader="none" w:pos="2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the Tranche B Lenders to acquire participations on such Business Day in all or a portion of the Tranche B Swingline Loans outstanding. Such notice shall specify the aggregate amount of Swingline Loans in which the Tranche A Lenders or Tranche B Lenders will participate. Promptly upon receipt of such notice, the Administrative Agent will give notice thereof to each Tranche A Lender or Tranche B Lender, as the case may be, specifying in such notice such Lender’s Tranche A Percentage or Tranche B Percentage, as applicable, of such Swingline Loan or Loans. Each Tranche A Lender and Tranche B Lender hereby absolutely and unconditionally agrees, upon receipt of notice as provided above, to pay to the Administrative Agent, for the account of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1" w:name="page42"/>
    <w:bookmarkEnd w:id="4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Applicable Swingline Lender, such Lender’s Tranche A Percentage or Tranche B Percentage, as applicable, of such Swingline Loan or Loans. Each Tranche A Lender and Tranche B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Tranche A Commitments or Tranche B Commitments, and that each such payment shall be made without any offset, abatement, withholding or reduction whatsoever. Each Tranche A Lender and Tranche B Lender shall comply with its obligations under this paragraph by wire transfer of immediately available funds,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Tranche A Lenders and Tranche B Lenders), and the Administrative Agent shall promptly pay to the Swingline Lender the amounts so received by it from the Tranche A Lenders or Tranche B Lenders, as the case may be. The Administrative Agent shall notify the Company of any participations in any Swingline Loan acquired pursuant to this paragraph, and thereafter payments in respect of such Swingline Loan shall be made to the Applicable Agent and not to the Swingline Lender. Any amounts received by the Swingline Lender from or on behalf of a Borrower in respect of a Swingline Loan after receipt by the such Swingline Lender of the proceeds of a sale of participations therein shall be promptly remitted to the Applicable Agent; any such amounts received by the Applicable Agent shall be promptly remitted by the Applicable Agent to the Tranche A Lenders or Tranche B Lenders that shall have made their payments pursuant to this paragraph and to the Swingline Lender, as their interests may appear;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payment so remitted shall be repaid to the Swingline Lender or to the Applicable Agent, as the case may be, if and to the extent such payment is required to be refunded to a Credit Party for any reason. The purchase of participations in a Swingline Loan pursuant to this paragraph shall not relieve any Borrower of any default in the payment thereof.</w:t>
      </w:r>
    </w:p>
    <w:p>
      <w:pPr>
        <w:spacing w:after="0" w:line="126"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any Borrower may request any Issuing Bank to issue Letters of Credit (or to amend, renew or extend outstanding Letters of Credit) denominated in US Dollars, Sterling or Euro for its own account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w:t>
      </w:r>
    </w:p>
    <w:p>
      <w:pPr>
        <w:spacing w:after="0" w:line="144" w:lineRule="exact"/>
        <w:rPr>
          <w:sz w:val="20"/>
          <w:szCs w:val="20"/>
          <w:color w:val="auto"/>
        </w:rPr>
      </w:pPr>
    </w:p>
    <w:p>
      <w:pPr>
        <w:ind w:right="140" w:firstLine="921"/>
        <w:spacing w:after="0" w:line="286" w:lineRule="auto"/>
        <w:tabs>
          <w:tab w:leader="none" w:pos="116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a Borrower shall deliver (or transmit by electronic communication, if arrangements for doing so have been approved by the applicable Issuing Bank) to an Issuing Bank and the Administrative Agent, reasonably in advance of the requested date of issuance (which shall be a day at least three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2" w:name="page43"/>
    <w:bookmarkEnd w:id="4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after giving effect to such issuance, amendment, renewal or extension (i) the LC Exposure shall not exceed US$50,000,000, (ii) the amount of the LC Exposure attributable to Letters of Credit issued by the applicable Issuing Bank will not exceed the LC Commitment of such Issuing Bank, (iii) the aggregate Tranche A Revolving Credit Exposures will not exceed the aggregate Tranche A Commitments and (iv) the Tranche A Revolving Credit Exposure of each Lender will not exceed the Tranche A Commitment of such Lender and (v) in the event the Maturity Date shall have been extended as provided in Section 2.09(e), the LC Exposures attributable to Letters of Credit expiring after any Existing Maturity Date shall not exceed the total Tranche A Commitments that have been extended to a date after the expiration date of the last of such Letters of Credit. If the Required Lenders notify the Issuing Banks that a Default exists and instruct the Issuing Banks to suspend the issuance, amendment, renewal or extension of Letters of Credit, no Issuing Bank shall issue, amend, renew or extend any Letter of Credit without the consent of the Required Lenders until such notice is withdrawn by the Required Lenders (each Lender that shall have delivered such a notice hereby agreeing promptly to withdraw it at such time as it determines that no Default exists).</w:t>
      </w:r>
    </w:p>
    <w:p>
      <w:pPr>
        <w:spacing w:after="0" w:line="120" w:lineRule="exact"/>
        <w:rPr>
          <w:sz w:val="20"/>
          <w:szCs w:val="20"/>
          <w:color w:val="auto"/>
        </w:rPr>
      </w:pPr>
    </w:p>
    <w:p>
      <w:pPr>
        <w:ind w:right="100" w:firstLine="921"/>
        <w:spacing w:after="0" w:line="253"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A Letter of Credit may provide for automatic renewals for additional periods of up to one year subject to a right on the part of the applicable Issuing Bank to prevent any such renewal from occurring by giving notice to the beneficiary during a specified period in advance of any such renewal, and the failure of such Issuing Bank to give such notice by the end of such period shall for all purposes hereof be deemed an extension of such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Letter of Credit, as extended from time to time, expire after the date that is five Business Days prior to the Maturity Date.</w:t>
      </w:r>
    </w:p>
    <w:p>
      <w:pPr>
        <w:spacing w:after="0" w:line="147" w:lineRule="exact"/>
        <w:rPr>
          <w:rFonts w:ascii="Arial" w:cs="Arial" w:eastAsia="Arial" w:hAnsi="Arial"/>
          <w:sz w:val="18"/>
          <w:szCs w:val="18"/>
          <w:color w:val="auto"/>
        </w:rPr>
      </w:pPr>
    </w:p>
    <w:p>
      <w:pPr>
        <w:ind w:firstLine="921"/>
        <w:spacing w:after="0" w:line="286" w:lineRule="auto"/>
        <w:tabs>
          <w:tab w:leader="none" w:pos="116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applicable Issuing Bank or the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required to be refunded to the applicable Borrower for any reason. Each Tranche A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Tranche A Commitments, and that each such payment shall be made without any offset, abatement, withholding or reduction whatsoever. Each Lender further acknowledges and agrees that, in issuing, amending, renewing or extending any Letter of Credit, the Issuing Bank shall be entitled to rely, and shall not incur any liability for relying, upon the representations and warranties of the Company deemed made pursuant to Section 2.05(b) or 4.02.</w:t>
      </w:r>
    </w:p>
    <w:p>
      <w:pPr>
        <w:spacing w:after="0" w:line="124" w:lineRule="exact"/>
        <w:rPr>
          <w:rFonts w:ascii="Arial" w:cs="Arial" w:eastAsia="Arial" w:hAnsi="Arial"/>
          <w:sz w:val="16"/>
          <w:szCs w:val="16"/>
          <w:color w:val="auto"/>
        </w:rPr>
      </w:pPr>
    </w:p>
    <w:p>
      <w:pPr>
        <w:ind w:right="20" w:firstLine="921"/>
        <w:spacing w:after="0" w:line="306" w:lineRule="auto"/>
        <w:tabs>
          <w:tab w:leader="none" w:pos="11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the Borrower receives notice of such LC Disbursement; </w:t>
      </w:r>
      <w:r>
        <w:rPr>
          <w:rFonts w:ascii="Arial" w:cs="Arial" w:eastAsia="Arial" w:hAnsi="Arial"/>
          <w:sz w:val="16"/>
          <w:szCs w:val="16"/>
          <w:i w:val="1"/>
          <w:iCs w:val="1"/>
          <w:color w:val="auto"/>
        </w:rPr>
        <w:t>provided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3" w:name="page44"/>
    <w:bookmarkEnd w:id="4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in the case of an LC Disbursement in US Dollars the Borrower may, subject to the conditions to borrowing set forth herein, request in accordance with Section 2.03 that such payment be financed with an ABR Borrowing in an equivalent amount and, to the extent so financed, the Borrower’s obligation to make such payment shall be discharged and replaced by the resulting ABR Borrowing. If such Borrower fails to make such payment when due, the Administrative Agent shall notify each Tranche A Lender of the applicable LC Disbursement, the amount and currency of the payment then due from such Borrower in respect thereof and such Lender’s Tranche A Percentage thereof. Promptly following receipt of such notice, each Tranche A Lender shall pay to the Administrative Agent its Tranche A Percentage of the payment then due from the Borrower, in the same manner as provided in Section 2.07 with respect to Loans made by such Tranche A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Tranche A Lenders), and the Administrative Agent shall promptly pay to such Issuing Bank the amounts so received by it from the Tranche A Lenders. Promptly following receipt by the Administrative Agent of any payment from the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Arial" w:cs="Arial" w:eastAsia="Arial" w:hAnsi="Arial"/>
          <w:sz w:val="16"/>
          <w:szCs w:val="16"/>
          <w:i w:val="1"/>
          <w:iCs w:val="1"/>
          <w:color w:val="auto"/>
        </w:rPr>
        <w:t>provided</w:t>
      </w:r>
      <w:r>
        <w:rPr>
          <w:rFonts w:ascii="Arial" w:cs="Arial" w:eastAsia="Arial" w:hAnsi="Arial"/>
          <w:sz w:val="16"/>
          <w:szCs w:val="16"/>
          <w:color w:val="auto"/>
        </w:rPr>
        <w:t>, that no Borrower shall be required to make duplicate payments with respect to any LC Disbursement.</w:t>
      </w:r>
    </w:p>
    <w:p>
      <w:pPr>
        <w:spacing w:after="0" w:line="121" w:lineRule="exact"/>
        <w:rPr>
          <w:sz w:val="20"/>
          <w:szCs w:val="20"/>
          <w:color w:val="auto"/>
        </w:rPr>
      </w:pPr>
    </w:p>
    <w:p>
      <w:pPr>
        <w:ind w:right="60" w:firstLine="921"/>
        <w:spacing w:after="0" w:line="283" w:lineRule="auto"/>
        <w:tabs>
          <w:tab w:leader="none" w:pos="113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w:t>
      </w:r>
    </w:p>
    <w:p>
      <w:pPr>
        <w:spacing w:after="0" w:line="2" w:lineRule="exact"/>
        <w:rPr>
          <w:rFonts w:ascii="Arial" w:cs="Arial" w:eastAsia="Arial" w:hAnsi="Arial"/>
          <w:sz w:val="16"/>
          <w:szCs w:val="16"/>
          <w:color w:val="auto"/>
        </w:rPr>
      </w:pPr>
    </w:p>
    <w:p>
      <w:pPr>
        <w:ind w:firstLine="8"/>
        <w:spacing w:after="0" w:line="284" w:lineRule="auto"/>
        <w:tabs>
          <w:tab w:leader="none" w:pos="3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payment by the applicable Issuing Bank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shall be construed to excuse an Issuing Bank from liability to the applicable Borrower to the extent of any direct damages (as opposed to consequential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wilful misconduct on the part of an Issuing Bank (as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44" w:name="page45"/>
    <w:bookmarkEnd w:id="44"/>
    <w:p>
      <w:pPr>
        <w:ind w:right="120" w:firstLine="921"/>
        <w:spacing w:after="0" w:line="255" w:lineRule="auto"/>
        <w:tabs>
          <w:tab w:leader="none" w:pos="116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Procedures</w:t>
      </w:r>
      <w:r>
        <w:rPr>
          <w:rFonts w:ascii="Arial" w:cs="Arial" w:eastAsia="Arial" w:hAnsi="Arial"/>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applicable Borrower by telephone (confirmed by fax) of such demand for payment and whether such Issuing Bank has made or will make an LC Disbursement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 to reimburse such Issuing Bank and the Lenders with respect to any such LC Disbursement.</w:t>
      </w:r>
    </w:p>
    <w:p>
      <w:pPr>
        <w:spacing w:after="0" w:line="142" w:lineRule="exact"/>
        <w:rPr>
          <w:rFonts w:ascii="Arial" w:cs="Arial" w:eastAsia="Arial" w:hAnsi="Arial"/>
          <w:sz w:val="18"/>
          <w:szCs w:val="18"/>
          <w:color w:val="auto"/>
        </w:rPr>
      </w:pPr>
    </w:p>
    <w:p>
      <w:pPr>
        <w:ind w:right="80" w:firstLine="921"/>
        <w:spacing w:after="0" w:line="287" w:lineRule="auto"/>
        <w:tabs>
          <w:tab w:leader="none" w:pos="116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Revolving Loans denominated in US Dollars and made to the Company and (ii) in the case of an LC Disbursement denominated in any other currency, a rate per annum determined by the applicable Issuing Bank (which determination will be conclusive absent manifest error) to represent its cost of funds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(as set forth under the caption “LIBOR/EURIBOR Spread and BA Stamping Fee” in the definition of such term);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Borrower fails to reimburse such LC Disbursement when due pursuant to paragraph (e) of this Section, then Section 2.13(e)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w:t>
      </w:r>
    </w:p>
    <w:p>
      <w:pPr>
        <w:spacing w:after="0" w:line="122" w:lineRule="exact"/>
        <w:rPr>
          <w:rFonts w:ascii="Arial" w:cs="Arial" w:eastAsia="Arial" w:hAnsi="Arial"/>
          <w:sz w:val="16"/>
          <w:szCs w:val="16"/>
          <w:color w:val="auto"/>
        </w:rPr>
      </w:pPr>
    </w:p>
    <w:p>
      <w:pPr>
        <w:ind w:firstLine="921"/>
        <w:spacing w:after="0" w:line="285" w:lineRule="auto"/>
        <w:tabs>
          <w:tab w:leader="none" w:pos="112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shall occur and be continuing, on the Business Day that the Company receives notice from the Administrative Agent or the Required Lenders (or, if the maturity of the Loans has been accelerated, Tranche A Lenders with LC Exposures representing more than 50% of the aggregate amount of LC Exposure) demanding the deposit of cash collateral pursuant to this paragraph, each applicable Borrower shall deposit (“</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in respect of each outstanding Letter of Credit issued for such Borrower’s account, in an account with the Applicable Agent, in the name of the Applicable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obligation to Cash Collateralize shall become effective immediately, and such deposit shall become immediately due and payable, without demand or other notice of any kind, upon the occurrence of any Event of Default with respect to the Company or any Borrower described in clause (h) or (i) of Article VII. Each such deposit shall be held by the Applicable Agent as collateral for the payment and performance of the obligations of the Borrowers under this Agreement. The Applicable Agent shall have exclusive dominion and control, including the exclusive right of withdrawal, over such account. Other than any interest earned on the investment of such deposits, which investments shall be made at the option and sole discretion of the Applicable Agent (which will use commercially reasonable efforts to obtain a return at market rates on any such investments) and at the Borrowers’ risk and expense, such deposits shall not bear interest. Interest or profits, if any, on such investments shall accumulate in such account. Monies in such account shall be applied by the Applicable Agent to reimburse the applicable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be applied to satisfy other Obligations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5" w:name="page46"/>
    <w:bookmarkEnd w:id="45"/>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Borrowers (but subject to the consent of (i) Tranche A Lenders with LC Exposures representing more than 50% of the aggregate amount of LC Exposure and (ii) in the case of any such application at a time when any Lender is a Defaulting Lender (but only if, after giving effect thereto, the remaining cash collateral shall be less than the aggregate LC Exposure of all the Defaulting Lenders), each Issuing Bank). If the Borrowers are required to provide cash collateral hereunder as a result of the occurrence of an Event of Default, such cash collateral (to the extent not applied as aforesaid) shall be returned to the Borrowers within three Business Days after all Events of Default have been cured or waived.</w:t>
      </w:r>
    </w:p>
    <w:p>
      <w:pPr>
        <w:spacing w:after="0" w:line="116" w:lineRule="exact"/>
        <w:rPr>
          <w:sz w:val="20"/>
          <w:szCs w:val="20"/>
          <w:color w:val="auto"/>
        </w:rPr>
      </w:pPr>
    </w:p>
    <w:p>
      <w:pPr>
        <w:ind w:right="20" w:firstLine="921"/>
        <w:spacing w:after="0" w:line="288" w:lineRule="auto"/>
        <w:tabs>
          <w:tab w:leader="none" w:pos="112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xml:space="preserve">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6"/>
          <w:szCs w:val="16"/>
          <w:i w:val="1"/>
          <w:iCs w:val="1"/>
          <w:color w:val="auto"/>
        </w:rPr>
        <w:t>Issuing Bank Agreement</w:t>
      </w:r>
      <w:r>
        <w:rPr>
          <w:rFonts w:ascii="Arial" w:cs="Arial" w:eastAsia="Arial" w:hAnsi="Arial"/>
          <w:sz w:val="16"/>
          <w:szCs w:val="16"/>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119" w:lineRule="exact"/>
        <w:rPr>
          <w:rFonts w:ascii="Arial" w:cs="Arial" w:eastAsia="Arial" w:hAnsi="Arial"/>
          <w:sz w:val="16"/>
          <w:szCs w:val="16"/>
          <w:color w:val="auto"/>
        </w:rPr>
      </w:pPr>
    </w:p>
    <w:p>
      <w:pPr>
        <w:ind w:firstLine="921"/>
        <w:spacing w:after="0" w:line="289" w:lineRule="auto"/>
        <w:tabs>
          <w:tab w:leader="none" w:pos="116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Replacement of an Issuing Bank</w:t>
      </w:r>
      <w:r>
        <w:rPr>
          <w:rFonts w:ascii="Arial" w:cs="Arial" w:eastAsia="Arial" w:hAnsi="Arial"/>
          <w:sz w:val="16"/>
          <w:szCs w:val="16"/>
          <w:color w:val="auto"/>
        </w:rPr>
        <w:t>. An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2.12(b). From and after the effective date of any such replacement, the successor Issuing Bank shall have all the rights and obligations of an Issuing Bank under this Agreement with respect to Letters of Credit to be issued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18" w:lineRule="exact"/>
        <w:rPr>
          <w:rFonts w:ascii="Arial" w:cs="Arial" w:eastAsia="Arial" w:hAnsi="Arial"/>
          <w:sz w:val="16"/>
          <w:szCs w:val="16"/>
          <w:color w:val="auto"/>
        </w:rPr>
      </w:pPr>
    </w:p>
    <w:p>
      <w:pPr>
        <w:ind w:right="60" w:firstLine="921"/>
        <w:spacing w:after="0" w:line="286" w:lineRule="auto"/>
        <w:tabs>
          <w:tab w:leader="none" w:pos="112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Issuing Bank Reports.</w:t>
      </w:r>
      <w:r>
        <w:rPr>
          <w:rFonts w:ascii="Arial" w:cs="Arial" w:eastAsia="Arial" w:hAnsi="Arial"/>
          <w:sz w:val="16"/>
          <w:szCs w:val="16"/>
          <w:color w:val="auto"/>
        </w:rPr>
        <w:t xml:space="preserve"> Unless otherwise agreed by the Administrative Agent, each Issuing Bank shall report in writing to the Administrative Agent (which shall promptly provide notice to the Tranche A Lenders of the contents thereof) (i) on or prior to each Business Day on which such Issuing Bank issues, amends, renews or extends any Letter of Credit, the date of such issuance, amendment, renewal or extension, and the currencies and face amounts of the Letters of Credit issued, amended, renewed or extended by it and the currencies and face amounts of the Letters of Credit outstanding after giving effect to such issuance, amendment, renewal or extension (and whether the amounts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applicable Borrower fails to reimburse an LC Disbursement required to be reimbursed to such Issuing Bank on such day, the date of such failure and the currency and amount of such LC Disbursement and (iv) on any other Business Day, such other information as the Administrative Agent shall reasonably request as to the Letters of Credit issued by such Issuing Bank.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46" w:name="page47"/>
    <w:bookmarkEnd w:id="46"/>
    <w:p>
      <w:pPr>
        <w:ind w:right="16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2.06. </w:t>
      </w:r>
      <w:r>
        <w:rPr>
          <w:rFonts w:ascii="Arial" w:cs="Arial" w:eastAsia="Arial" w:hAnsi="Arial"/>
          <w:sz w:val="16"/>
          <w:szCs w:val="16"/>
          <w:u w:val="single" w:color="auto"/>
          <w:color w:val="auto"/>
        </w:rPr>
        <w:t>Canadian Bankers’ Acceptances.</w:t>
      </w:r>
      <w:r>
        <w:rPr>
          <w:rFonts w:ascii="Arial" w:cs="Arial" w:eastAsia="Arial" w:hAnsi="Arial"/>
          <w:sz w:val="16"/>
          <w:szCs w:val="16"/>
          <w:color w:val="auto"/>
        </w:rPr>
        <w:t xml:space="preserve"> (a) Each acceptance and purchase of BAs of a single Contract Period pursuant to Section 2.01(b) and this Section shall be made ratably by the Tranche B Lenders in accordance with the amounts of their Tranche B Commitments. The failure of any Lender to accept any BA required to be accepted by it shall not relieve any other Lender of its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Commitments are several and no Lender shall be responsible for any other Lender’s failure to accept BAs as required. Each Lender at its option may accept and purchase any BA by causing any Canadian lending office or Affiliate of such Lender to accept and purchase such BA.</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BAs of a single Contract Period accepted and purchased on any date shall be in an aggregate amount that is an integral multiple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Cdn.$1,000,000 and not less than Cdn.$3,000,000. If any Lender’s ratable share of the BAs of any Contract Period to be accepted on any date would not be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integral multiple of Cdn.$100,000, the face amount of the BAs accepted by such Lender may be increased or reduced to the nearest integral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Cdn.$100,000 by the Canadian Agent in its sole discretion. BAs of more than one Contract Period may be outstanding at the same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at any time be more than a total of ten BA Drawings outstanding at any time.</w:t>
      </w:r>
    </w:p>
    <w:p>
      <w:pPr>
        <w:spacing w:after="0" w:line="165" w:lineRule="exact"/>
        <w:rPr>
          <w:sz w:val="20"/>
          <w:szCs w:val="20"/>
          <w:color w:val="auto"/>
        </w:rPr>
      </w:pPr>
    </w:p>
    <w:p>
      <w:pPr>
        <w:ind w:firstLine="921"/>
        <w:spacing w:after="0" w:line="298" w:lineRule="auto"/>
        <w:tabs>
          <w:tab w:leader="none" w:pos="1152"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request an acceptance and purchase of BAs, a Canadian Borrowing Subsidiary shall notify the Canadian Agent of such request by telephone or by fax not later than 11:00 a.m., Local Time, two Business Days before the date of such acceptance and purchase. Each such request shall be irrevocable and, if telephonic, shall be confirmed promptly by hand delivery or fax to the Canadian Agent of a written request in a form approved by the Canadian Agent and signed by such Canadian Borrowing Subsidiary. Each such telephonic and written request shall specify the following information:</w:t>
      </w:r>
    </w:p>
    <w:p>
      <w:pPr>
        <w:spacing w:after="0" w:line="31" w:lineRule="exact"/>
        <w:rPr>
          <w:rFonts w:ascii="Arial" w:cs="Arial" w:eastAsia="Arial" w:hAnsi="Arial"/>
          <w:sz w:val="16"/>
          <w:szCs w:val="16"/>
          <w:color w:val="auto"/>
        </w:rPr>
      </w:pPr>
    </w:p>
    <w:p>
      <w:pPr>
        <w:ind w:left="1120" w:hanging="217"/>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face amount of the BAs to be accepted and purchased;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such acceptance and purchase, which shall be a Business Day;</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Contract Period to be applicable thereto, which shall be a period contemplated by the definition of the term “Contract Period” (and which shall in no event end after the Maturity Date);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location and number of the Canadian Borrowing Subsidiary’s account to which the proceeds of such BAs are to be disbursed.</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request for an acceptance and purchase of BAs that shall fail to specify any of the information required by the preceding provisions of this paragraph may be rejected by the Canadian Agent if such failure is not corrected promptly after the Canadian Agent shall give written or telephonic notice thereof to the applicable Borrower and, if so rejected, will be of no force or effect. Promptly following receipt of a request in accordance with this paragraph, the Canadian Agent shall advise each Tranche B Lender of the details thereof and of the amount of BAs to be accepted and purchased by such Lender.</w:t>
      </w:r>
    </w:p>
    <w:p>
      <w:pPr>
        <w:spacing w:after="0" w:line="113" w:lineRule="exact"/>
        <w:rPr>
          <w:sz w:val="20"/>
          <w:szCs w:val="20"/>
          <w:color w:val="auto"/>
        </w:rPr>
      </w:pPr>
    </w:p>
    <w:p>
      <w:pPr>
        <w:jc w:val="both"/>
        <w:ind w:right="260" w:firstLine="921"/>
        <w:spacing w:after="0" w:line="259"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Canadian Borrowing Subsidiary hereby appoints each Tranche B Lender as its attorney to sign and endorse on its behalf, manually or by facsimile or mechanical signature, as and when deemed necessary by such Lender, blank forms of BAs, each Tranche B Lender hereby agreeing that it will not sign or endorse BAs in excess of those required in connection with BA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7" w:name="page48"/>
    <w:bookmarkEnd w:id="4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Drawings that have been requested by the Canadian Borrowing Subsidiaries hereunder. It shall be the responsibility of each Tranche B Lender to maintain an adequate supply of blank forms of BAs for acceptance under this Agreement. Each Canadian Borrowing Subsidiary recognizes and agrees that all BAs signed and/or endorsed on its behalf by any Tranche B Lender in accordance with such Canadian Borrowing Subsidiary’s written request shall bind such Canadian Borrowing Subsidiary as fully and effectually as if manually signed and duly issued by authorized officers of such Canadian Borrowing Subsidiary. Each Tranche B Lender is hereby authorized to issue such BAs endorsed in blank in such face amounts as may be determined by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face amount thereof is equal to the aggregate face amount of BAs required to be accepted by such Lender in accordance with such Canadian Borrowing Subsidiary’s written request. No Tranche B Lender shall be liable for any damage, loss or claim arising by reason of any loss or improper use of any such instrument unless such loss or improper use results from the gross negligence or willful misconduct of such Lender. Each Tranche B Lender shall maintain a record with respect to BAs (i) received by it from the Canadian Agent in blank hereunder, (ii) voided by it for any reason, (iii) accepted and purchased by it hereunder and (iv) canceled at their respective maturities. Each Tranche B Lender further agrees to retain such records in the manner and for the periods provided in applicable provincial or federal statutes and regulations of Canada and to provide such records to each Canadian Borrowing Subsidiary upon its request and at its expense. Upon request by any Canadian Borrowing Subsidiary, a Lender shall cancel all forms of BA that have been pre-signed or pre-endorsed on behalf of such Canadian Borrowing Subsidiary and that are held by such Lender and are not required to be issued pursuant to this Agreement.</w:t>
      </w:r>
    </w:p>
    <w:p>
      <w:pPr>
        <w:spacing w:after="0" w:line="121" w:lineRule="exact"/>
        <w:rPr>
          <w:sz w:val="20"/>
          <w:szCs w:val="20"/>
          <w:color w:val="auto"/>
        </w:rPr>
      </w:pPr>
    </w:p>
    <w:p>
      <w:pPr>
        <w:ind w:right="440" w:firstLine="921"/>
        <w:spacing w:after="0" w:line="323" w:lineRule="auto"/>
        <w:tabs>
          <w:tab w:leader="none" w:pos="1152" w:val="left"/>
        </w:tabs>
        <w:numPr>
          <w:ilvl w:val="0"/>
          <w:numId w:val="33"/>
        </w:numPr>
        <w:rPr>
          <w:rFonts w:ascii="Arial" w:cs="Arial" w:eastAsia="Arial" w:hAnsi="Arial"/>
          <w:sz w:val="15"/>
          <w:szCs w:val="15"/>
          <w:color w:val="auto"/>
        </w:rPr>
      </w:pPr>
      <w:r>
        <w:rPr>
          <w:rFonts w:ascii="Arial" w:cs="Arial" w:eastAsia="Arial" w:hAnsi="Arial"/>
          <w:sz w:val="15"/>
          <w:szCs w:val="15"/>
          <w:color w:val="auto"/>
        </w:rPr>
        <w:t>Drafts of each Canadian Borrowing Subsidiary to be accepted as BAs hereunder shall be signed as set forth in paragraph (d) above. Notwithstanding that any Person whose signature appears on any BA may no longer be an authorized signatory for any of the Lenders or such Canadian Borrowing Subsidiary at the date of issuance of such BA, such signature shall nevertheless be valid and sufficient for all purposes as if such authority had remained in force at the time of such issuance and any such BA so signed and properly completed shall be binding on such Canadian Borrowing Subsidiary.</w:t>
      </w:r>
    </w:p>
    <w:p>
      <w:pPr>
        <w:spacing w:after="0" w:line="97" w:lineRule="exact"/>
        <w:rPr>
          <w:rFonts w:ascii="Arial" w:cs="Arial" w:eastAsia="Arial" w:hAnsi="Arial"/>
          <w:sz w:val="15"/>
          <w:szCs w:val="15"/>
          <w:color w:val="auto"/>
        </w:rPr>
      </w:pPr>
    </w:p>
    <w:p>
      <w:pPr>
        <w:ind w:firstLine="921"/>
        <w:spacing w:after="0" w:line="291" w:lineRule="auto"/>
        <w:tabs>
          <w:tab w:leader="none" w:pos="11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acceptance of a BA by a Lender, such Lender shall purchase such BA from the applicable Canadian Borrowing Subsidiary at the Discount Rate for such Lender applicable to such BA accepted by it and provide to the Canadian Agent the Discount Proceeds for the account of such Canadian Borrowing Subsidiary as provided in Section 2.07. The acceptance fee payable by the applicable Canadian Borrowing Subsidiary to a Lender under Section 2.12 in respect of each BA accepted by such Lender shall be set off against the Discount Proceeds payable by such Lender under this paragraph. Notwithstanding the foregoing, in the case of any BA Drawing resulting from the conversion or continuation of a BA Drawing or Revolving Borrowing pursuant to Section 2.08, the net amount that would otherwise be payable to such Borrower by each Lender pursuant to this paragraph will be applied as provided in Section 2.08(f).</w:t>
      </w:r>
    </w:p>
    <w:p>
      <w:pPr>
        <w:spacing w:after="0" w:line="120" w:lineRule="exact"/>
        <w:rPr>
          <w:rFonts w:ascii="Arial" w:cs="Arial" w:eastAsia="Arial" w:hAnsi="Arial"/>
          <w:sz w:val="16"/>
          <w:szCs w:val="16"/>
          <w:color w:val="auto"/>
        </w:rPr>
      </w:pPr>
    </w:p>
    <w:p>
      <w:pPr>
        <w:ind w:right="280" w:firstLine="921"/>
        <w:spacing w:after="0" w:line="370" w:lineRule="auto"/>
        <w:tabs>
          <w:tab w:leader="none" w:pos="1162"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Tranche B Lender may at any time and from time to time hold, sell, rediscount or otherwise dispose of any or all BA’s accepted and purchased by it (it being understood that no such sale, rediscount or disposition shall constitute an assignment or participation of any Commitment hereunder).</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BA accepted and purchased hereunder shall mature at the end of the Contract Period applicable thereto.</w:t>
      </w:r>
    </w:p>
    <w:p>
      <w:pPr>
        <w:spacing w:after="0" w:line="171" w:lineRule="exact"/>
        <w:rPr>
          <w:rFonts w:ascii="Arial" w:cs="Arial" w:eastAsia="Arial" w:hAnsi="Arial"/>
          <w:sz w:val="18"/>
          <w:szCs w:val="18"/>
          <w:color w:val="auto"/>
        </w:rPr>
      </w:pPr>
    </w:p>
    <w:p>
      <w:pPr>
        <w:ind w:right="580" w:firstLine="921"/>
        <w:spacing w:after="0" w:line="332" w:lineRule="auto"/>
        <w:tabs>
          <w:tab w:leader="none" w:pos="11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applicable law, each Canadian Borrowing Subsidiary waives presentment for payment and any other defense to payment of any amounts due to a Tranche B Lender in respect of a BA accepted and purchased by it pursuant to this Agreement that might exist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8" w:name="page49"/>
    <w:bookmarkEnd w:id="4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solely by reason of such BA being held, at the maturity thereof, by such Lender in its own right, and each Canadian Borrowing Subsidiary agrees not to claim any days of grace if such Lender as holder sues such Canadian Borrowing Subsidiary on the BA for payment of the amounts payable by such Canadian Borrowing Subsidiary thereunder. On the last day of the Contract Period of a BA, or such earlier date as may be required pursuant to the provisions of this Agreement, the applicable Canadian Borrowing Subsidiary shall pay the Lender that has accepted and purchased such BA the full face amount of such BA, and after such payment such Canadian Borrowing Subsidiary shall have no further liability in respect of such BA and such Lender shall be entitled to all benefits of, and be responsible for all payments due to third parties under, such BA.</w:t>
      </w:r>
    </w:p>
    <w:p>
      <w:pPr>
        <w:spacing w:after="0" w:line="120" w:lineRule="exact"/>
        <w:rPr>
          <w:sz w:val="20"/>
          <w:szCs w:val="20"/>
          <w:color w:val="auto"/>
        </w:rPr>
      </w:pPr>
    </w:p>
    <w:p>
      <w:pPr>
        <w:ind w:right="60" w:firstLine="921"/>
        <w:spacing w:after="0" w:line="259" w:lineRule="auto"/>
        <w:tabs>
          <w:tab w:leader="none" w:pos="11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option of each Canadian Borrowing Subsidiary and any Lender, BAs under this Agreement to be accepted by that Lender may be issued in the form of depository bills for deposit with The Canadian Depository for Securities Limited pursuant to the Depository Bills and Notes Act (Canada). All depository bills so issued shall be governed by the provisions of this Section.</w:t>
      </w:r>
    </w:p>
    <w:p>
      <w:pPr>
        <w:spacing w:after="0" w:line="140" w:lineRule="exact"/>
        <w:rPr>
          <w:rFonts w:ascii="Arial" w:cs="Arial" w:eastAsia="Arial" w:hAnsi="Arial"/>
          <w:sz w:val="18"/>
          <w:szCs w:val="18"/>
          <w:color w:val="auto"/>
        </w:rPr>
      </w:pPr>
    </w:p>
    <w:p>
      <w:pPr>
        <w:ind w:firstLine="921"/>
        <w:spacing w:after="0" w:line="286"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 Tranche B Lender is not a chartered bank under the Bank Act (Canada) or if a Tranche B Lender notifies the Canadian Agent in writing that it is otherwise unable to accept BAs, such Lender will, instead of accepting and purchasing any BAs, make a Loan (a “</w:t>
      </w:r>
      <w:r>
        <w:rPr>
          <w:rFonts w:ascii="Arial" w:cs="Arial" w:eastAsia="Arial" w:hAnsi="Arial"/>
          <w:sz w:val="16"/>
          <w:szCs w:val="16"/>
          <w:i w:val="1"/>
          <w:iCs w:val="1"/>
          <w:color w:val="auto"/>
        </w:rPr>
        <w:t>BA Equivalent Loan</w:t>
      </w:r>
      <w:r>
        <w:rPr>
          <w:rFonts w:ascii="Arial" w:cs="Arial" w:eastAsia="Arial" w:hAnsi="Arial"/>
          <w:sz w:val="16"/>
          <w:szCs w:val="16"/>
          <w:color w:val="auto"/>
        </w:rPr>
        <w:t>”) to the applicable Canadian Borrowing Subsidiary in the amount and for the same term as each draft which such Lender would otherwise have been required to accept and purchase hereunder. Each such Lender will provide to the Canadian Agent the Discount Proceeds of such BA Equivalent Loan for the account of the applicable Canadian Borrowing Subsidiary in the same manner as such Lender would have provided the Discount Proceeds in respect of the draft which such Lender would otherwise have been required to accept and purchase hereunder. Each such BA Equivalent Loan will bear interest at the same rate that would result if such Lender had accepted (and been paid an acceptance fee) and purchased (on a discounted basis) a BA for the relevant Contract Period (it being the intention of the parties that each such BA Equivalent Loan shall have the same economic consequences for the Lenders and the applicable Canadian Borrowing Subsidiary as the BA that such BA Equivalent Loan replaces). All such interest shall be paid in advance on the date such BA Equivalent Loan is made, and will be deducted from the principal amount of such BA Equivalent Loan in the same manner in which the Discount Proceeds of a BA would be deducted from the face amount of the BA. Subject to the repayment requirements of this Agreement, on the last day of the relevant Contract Period for such BA Equivalent Loan, the applicable Canadian Borrowing Subsidiary shall be entitled to convert each such BA Equivalent Loan into another type of Loan, or to roll over each such BA Equivalent Loan into another BA Equivalent Loan, all in accordance with the applicable provisions of this Agreement.</w:t>
      </w:r>
    </w:p>
    <w:p>
      <w:pPr>
        <w:spacing w:after="0" w:line="120" w:lineRule="exact"/>
        <w:rPr>
          <w:rFonts w:ascii="Arial" w:cs="Arial" w:eastAsia="Arial" w:hAnsi="Arial"/>
          <w:sz w:val="16"/>
          <w:szCs w:val="16"/>
          <w:color w:val="auto"/>
        </w:rPr>
      </w:pPr>
    </w:p>
    <w:p>
      <w:pPr>
        <w:ind w:left="1140" w:hanging="219"/>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any provision hereof, the Borrowers may not prepay any BA Drawing other than on the last day of its Contract Period.</w:t>
      </w:r>
    </w:p>
    <w:p>
      <w:pPr>
        <w:spacing w:after="0" w:line="194" w:lineRule="exact"/>
        <w:rPr>
          <w:rFonts w:ascii="Arial" w:cs="Arial" w:eastAsia="Arial" w:hAnsi="Arial"/>
          <w:sz w:val="16"/>
          <w:szCs w:val="16"/>
          <w:color w:val="auto"/>
        </w:rPr>
      </w:pPr>
    </w:p>
    <w:p>
      <w:pPr>
        <w:ind w:left="1220" w:hanging="299"/>
        <w:spacing w:after="0"/>
        <w:tabs>
          <w:tab w:leader="none" w:pos="1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For greater certainty, all provisions of this Agreement that are applicable to BAs shall also be applicable,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BA Equivalent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16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 and BA Drawings.</w:t>
      </w:r>
      <w:r>
        <w:rPr>
          <w:rFonts w:ascii="Arial" w:cs="Arial" w:eastAsia="Arial" w:hAnsi="Arial"/>
          <w:sz w:val="16"/>
          <w:szCs w:val="16"/>
          <w:color w:val="auto"/>
        </w:rPr>
        <w:t xml:space="preserve"> (a) Each Lender shall make each Loan to be made by it hereunder and disburse the Discount Proceeds (net of applicable acceptance fees) of each BA to be accepted and purchased by it hereunder on the proposed date thereof by wire transfer of immediately available funds in the applicable currency by 2:00 p.m., Local Time, to the account of the Applicable Agent most recently designated by such Applicable Agent for such purpose by notice to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Swingline Loans shall be made as provided in Section 2.04. The Applicable Agent will make such Loan proceeds or Discount Proceeds available to the applicable Borrower by promptly crediting the amounts so received, in like funds, to the Applicable Funding Account of such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ABR Revolving Loans or Swingline Loans made to finance the reimbursement of an LC Disbursement as provided in Section 2.05(e) shall be remitted by the Administrative Agent to the applicable Issuing Bank.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9" w:name="page50"/>
    <w:bookmarkEnd w:id="49"/>
    <w:p>
      <w:pPr>
        <w:ind w:right="20" w:firstLine="921"/>
        <w:spacing w:after="0" w:line="288"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Applicable Agent shall have received notice from a Lender prior to the proposed date of any Borrowing or acceptance and purchase of BAs that such Lender will not make available to the Applicable Agent such Lender’s share of such Borrowing or the applicable Discount Proceeds (net of applicable acceptance fees), the Applicable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or the applicable Discount Proceeds (net of applicable acceptance fees) available to the Applicable Agent, then the applicable Lender and such Borrower severally agree to pay to the Applicable Agent forthwith on demand such corresponding amount with interest thereon, for each day from and including the date such amount is made available to such Borrower to but excluding the date of payment to the Applicable Agent, at (i) in the case of such Lender, the rate reasonably determined by the Applicable Agent to be the cost to it of funding such amount or (ii) in the case of such Borrower, the interest rate applicable to the subject Loan or the applicable Discount Rate and pro-rated acceptance fee, as the case may be.</w:t>
      </w:r>
    </w:p>
    <w:p>
      <w:pPr>
        <w:spacing w:after="0" w:line="12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xml:space="preserve"> (a) Each Revolving Borrowing initially shall be of the Type specified in the applicable Borrowing Request and, in the case of a LIBOR Borrowing or a EURIBOR Borrowing, shall have an initial Interest Period as specified in such Borrowing Request. Each BA Drawing shall have a Contract Period as specified in the applicable request therefor. Thereafter, the applicable Borrower may elect to convert such Borrowing or BA Drawing to a Borrowing of a different Type (to the extent such Type is available for the applicable currency under Section 2.02(b)) or, in the case of a Borrowing in Canadian Dollars, a BA Drawing, or to continue such Borrowing or BA Drawing and, in the case of a LIBOR Borrowing or a EURIBOR Borrowing, may elect Interest Periods therefor, all as provided in this Section and on terms consistent with the other provisions of this Agreement, it being understood that no BA Drawing may be converted or continued other than at the end of the Contract Period applicable thereto. A Borrower may elect different options with respect to different portions of an affected Borrowing or BA Drawing, in which case each such portion shall be allocated ratably among the Lenders holding the Loans comprising such Borrowing or accepting the BAs comprising such BA Drawing, as the case may be, and the Loans or BAs resulting from an election made with respect to any such portion shall be considered a separate Borrowing or BA Drawing. This Section shall not apply to Swingline Borrowings, which may not be converted or continued.</w:t>
      </w:r>
    </w:p>
    <w:p>
      <w:pPr>
        <w:spacing w:after="0" w:line="127" w:lineRule="exact"/>
        <w:rPr>
          <w:sz w:val="20"/>
          <w:szCs w:val="20"/>
          <w:color w:val="auto"/>
        </w:rPr>
      </w:pPr>
    </w:p>
    <w:p>
      <w:pPr>
        <w:ind w:firstLine="921"/>
        <w:spacing w:after="0" w:line="288" w:lineRule="auto"/>
        <w:tabs>
          <w:tab w:leader="none" w:pos="11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make an election pursuant to this Section, a Borrower shall notify the Applicable Agent of such election by telephone (i) in the case of an election that would result in a Borrowing, by the time and date that a Borrowing Request would be required under Section 2.03 if such Borrower were requesting a Revolving Borrowing of the Type resulting from such election to be made on the effective date of such election, and (ii) in the case of an election that would result in a BA Drawing or the continuation of a BA Drawing, by the time and date that a request would be required under Section 2.06 if such Borrower were requesting an acceptance and purchase of BAs to be made on the effective date of such election. Each such Interest Election Request shall be irrevocable and shall be confirmed promptly by delivery to the Applicable Agent (with a copy to the Administrative Agent if such Applicable Agent shall be the Canadian Agent) of a written Interest Election Request in a form approved by the Administrative Agent and signed by a Financial Officer on behalf of the applicable Borrower. Notwithstanding any other provision of this Section, a Borrower shall not be permitted to (i) change the currency of any Borrowing or BA Drawing, (ii) elect an Interest Period for LIBOR Loans or EURIBOR Loans that does not comply with Section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50" w:name="page51"/>
    <w:bookmarkEnd w:id="50"/>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2.02(d) or any Contract Period for a BA Drawing that does not comply with Section 2.06 or (iii) convert any Borrowing or BA Drawing to a Borrowing or BA Drawing not available to such Borrower under the Class of Commitments pursuant to which such Borrowing or BA Drawing was made.</w:t>
      </w:r>
    </w:p>
    <w:p>
      <w:pPr>
        <w:spacing w:after="0" w:line="85" w:lineRule="exact"/>
        <w:rPr>
          <w:sz w:val="20"/>
          <w:szCs w:val="20"/>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 Section 2.02:</w:t>
      </w:r>
    </w:p>
    <w:p>
      <w:pPr>
        <w:spacing w:after="0" w:line="90" w:lineRule="exact"/>
        <w:rPr>
          <w:rFonts w:ascii="Arial" w:cs="Arial" w:eastAsia="Arial" w:hAnsi="Arial"/>
          <w:sz w:val="18"/>
          <w:szCs w:val="18"/>
          <w:color w:val="auto"/>
        </w:rPr>
      </w:pPr>
    </w:p>
    <w:p>
      <w:pPr>
        <w:jc w:val="both"/>
        <w:ind w:left="460" w:right="80" w:firstLine="443"/>
        <w:spacing w:after="0" w:line="259" w:lineRule="auto"/>
        <w:tabs>
          <w:tab w:leader="none" w:pos="11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Borrowing or BA Drawing to which such Interest Election Request applies and, if different options are being elected with respect to different portions thereof, the portions thereof to be allocated to each resulting Borrowing or BA Drawing (in which case the information to be specified pursuant to clauses (iii) and (iv) below shall be specified for each resulting Borrowing or BA Drawing);</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an election resulting in a Borrowing, the Type of the resulting Borrowing; and</w:t>
      </w:r>
    </w:p>
    <w:p>
      <w:pPr>
        <w:spacing w:after="0" w:line="90" w:lineRule="exact"/>
        <w:rPr>
          <w:rFonts w:ascii="Arial" w:cs="Arial" w:eastAsia="Arial" w:hAnsi="Arial"/>
          <w:sz w:val="18"/>
          <w:szCs w:val="18"/>
          <w:color w:val="auto"/>
        </w:rPr>
      </w:pPr>
    </w:p>
    <w:p>
      <w:pPr>
        <w:ind w:left="460" w:right="60" w:firstLine="443"/>
        <w:spacing w:after="0" w:line="256" w:lineRule="auto"/>
        <w:tabs>
          <w:tab w:leader="none" w:pos="11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an election resulting in a Borrowing, if the resulting Borrowing is to be a LIBOR Borrowing or a EURIBOR Borrowing, the Interest Period to be applicable thereto after giving effect to such election, which shall be a period contemplated by the definition of the term “Interest Period”, and in the case of an election resulting in a BA Drawing, the Contract Period to be applicable thereto, which shall be a period contemplated by the definition of the term “Contract Period”.</w:t>
      </w:r>
    </w:p>
    <w:p>
      <w:pPr>
        <w:spacing w:after="0" w:line="14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If any such Interest Election Request requests a LIBOR or EURIBOR Borrowing or a BA Drawing but does not specify an Interest Period or Contract Period, then the Borrower shall be deemed to have selected, as applicable, an Interest Period of one month’s duration or a Contract Period of one month’s duration.</w:t>
      </w:r>
    </w:p>
    <w:p>
      <w:pPr>
        <w:spacing w:after="0" w:line="85" w:lineRule="exact"/>
        <w:rPr>
          <w:sz w:val="20"/>
          <w:szCs w:val="20"/>
          <w:color w:val="auto"/>
        </w:rPr>
      </w:pPr>
    </w:p>
    <w:p>
      <w:pPr>
        <w:ind w:right="200" w:firstLine="921"/>
        <w:spacing w:after="0" w:line="268"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Applicable Agent shall advise each affected Lender of the details thereof and of such Lender’s portion of each resulting Borrowing or BA Drawing.</w:t>
      </w:r>
    </w:p>
    <w:p>
      <w:pPr>
        <w:spacing w:after="0" w:line="131" w:lineRule="exact"/>
        <w:rPr>
          <w:rFonts w:ascii="Arial" w:cs="Arial" w:eastAsia="Arial" w:hAnsi="Arial"/>
          <w:sz w:val="18"/>
          <w:szCs w:val="18"/>
          <w:color w:val="auto"/>
        </w:rPr>
      </w:pPr>
    </w:p>
    <w:p>
      <w:pPr>
        <w:ind w:firstLine="921"/>
        <w:spacing w:after="0" w:line="287" w:lineRule="auto"/>
        <w:tabs>
          <w:tab w:leader="none" w:pos="11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applicable Borrower fails to deliver a timely Interest Election Request with respect to an ABR Borrowing, a LIBOR Borrowing denominated in US Dollars and made to a US Borrowing Subsidiary or a Canadian Borrowing Subsidiary or a BA Drawing prior to the end of the Interest Period or Contract Period applicable thereto, then, unless such Borrowing or BA Drawing is repaid as provided herein at the end of such Interest Period or Contract Period, (i) in the case of a LIBOR Borrowing denominated in US Dollars and made to a US Borrowing Subsidiary or a Canadian Borrowing Subsidiary, such Borrowing shall be converted to an ABR Borrowing and (ii) in the case of a BA Drawing, such BA Drawing shall be converted to a Canadian Prime Rate Borrowing, at the end of such Interest Period or Contract Period. If the applicable Borrower fails to deliver an Interest Election Request with respect to any LIBOR Borrowing or EURIBOR Borrowing not referred to in the immediately preceding sentence by the third Business Day preceding the end of the Interest Period applicable thereto, and does not, by such third Business Day, notify the Applicable Agent pursuant to Section 2.11 that it will prepay such Borrowing at the end of such Interest Period, then such Borrowing will be converted or continued at the end of such Interest Period as a LIBOR Borrowing or EURIBOR Borrowing, as the case may be, with an Interest Period of one month’s duration.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1" w:name="page52"/>
    <w:bookmarkEnd w:id="51"/>
    <w:p>
      <w:pPr>
        <w:ind w:right="60" w:firstLine="921"/>
        <w:spacing w:after="0" w:line="318" w:lineRule="auto"/>
        <w:tabs>
          <w:tab w:leader="none" w:pos="1132" w:val="left"/>
        </w:tabs>
        <w:numPr>
          <w:ilvl w:val="0"/>
          <w:numId w:val="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conversion of any Borrowing (or portion thereof), or the continuation of any BA Drawing (or portion thereof), to or as a BA Drawing, the net amount that would otherwise be payable to a Borrower by each Lender pursuant to Section 2.06(f) in respect of such new BA Drawing shall be applied against the principal of such Borrowing (in the case of a conversion) or the reimbursement obligation owed to such Lender under Section 2.06(i) in respect of the BAs accepted by such Lender as part of such maturing BA Drawing (in the case of a continuation), and such Borrower shall pay to such Lender an amount equal to the difference between the principal amount of such Loan or the aggregate face amount of such maturing BAs, as the case may be, and such net amount.</w:t>
      </w:r>
    </w:p>
    <w:p>
      <w:pPr>
        <w:spacing w:after="0" w:line="99" w:lineRule="exact"/>
        <w:rPr>
          <w:rFonts w:ascii="Arial" w:cs="Arial" w:eastAsia="Arial" w:hAnsi="Arial"/>
          <w:sz w:val="15"/>
          <w:szCs w:val="15"/>
          <w:color w:val="auto"/>
        </w:rPr>
      </w:pPr>
    </w:p>
    <w:p>
      <w:pPr>
        <w:ind w:firstLine="921"/>
        <w:spacing w:after="0" w:line="252"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denominated in US Dollars and made to a US Borrowing Subsidiary or a Canadian Borrowing Subsidiary may be converted to or continued as a LIBOR Borrowing, and no Borrowing or BA Drawing denominated in Canadian Dollars may be converted to or continued as a BA Drawing, and (ii) (A) each LIBOR Borrowing denominated in US Dollars and made to a US Borrowing Subsidiary or a Canadian Borrowing Subsidiary shall, unless repaid, be converted to an ABR Borrowing at the end of the Interest Period applicable thereto, (B) each BA Drawing shall, unless repaid, be converted to a Canadian Prime Rate Borrowing at the end of the Contract Period applicable thereto and (C) each other LIBOR Borrowing or EURIBOR Borrowing shall, unless repaid by the third Business Day prior to the end of the Interest Period applicable thereto, be continued as a LIBOR Borrowing or EURIBOR Borrowing, as the case may be, with an Interest Period of one month’s duration.</w:t>
      </w:r>
    </w:p>
    <w:p>
      <w:pPr>
        <w:spacing w:after="0" w:line="15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Reduction, Extension and Increase of Commitments.</w:t>
      </w:r>
      <w:r>
        <w:rPr>
          <w:rFonts w:ascii="Arial" w:cs="Arial" w:eastAsia="Arial" w:hAnsi="Arial"/>
          <w:sz w:val="18"/>
          <w:szCs w:val="18"/>
          <w:color w:val="auto"/>
        </w:rPr>
        <w:t xml:space="preserve"> (a) Unless previously terminated, the Commitments shall terminate on the Maturity Date.</w:t>
      </w:r>
    </w:p>
    <w:p>
      <w:pPr>
        <w:spacing w:after="0" w:line="132" w:lineRule="exact"/>
        <w:rPr>
          <w:sz w:val="20"/>
          <w:szCs w:val="20"/>
          <w:color w:val="auto"/>
        </w:rPr>
      </w:pPr>
    </w:p>
    <w:p>
      <w:pPr>
        <w:ind w:firstLine="921"/>
        <w:spacing w:after="0" w:line="294" w:lineRule="auto"/>
        <w:tabs>
          <w:tab w:leader="none" w:pos="11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Company may at any time terminate, or from time to time reduce, the Commitments of any Tranche;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reduction of the Commitments of any Tranche shall be in an amount that is an integral multiple of the Borrowing Multiple and not less than the Borrowing Minimum, in each case for Borrowings denominated in US Dollars and (ii) the Company shall not terminate or reduce the Commitments of any Tranche if, after giving effect to such termination or reduction and to any concurrent payment or prepayment of Loans, BAs or LC Disbursements, the aggregate amount of Revolving Credit Exposures under such Tranche would exceed the aggregate amount of Commitments of such Tranche.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shall notify the Administrative Agent of any election to terminate or reduce the Commitments under any Tranche under</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paragraph (b) of this Section at least two Business Days prior to the effective date of such termination or reduction, specifying such election and the effective date thereof. Promptly following receipt of any such notice, the Administrative Agent shall advise the other Agents and the applicable Lenders of the contents thereof. Each notice delivered by the Company pursuant to this Section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termination of the Commitments under any Tranche may state that such notice is conditioned upon the effectiveness of other credit facilities, in which case such notice may be revoked or extended by the Company (by notice to the Administrative Agent on or prior to the specified effective date) if such condition is not satisfied or the effectiveness of such other credit facilities is delayed.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52" w:name="page53"/>
    <w:bookmarkEnd w:id="52"/>
    <w:p>
      <w:pPr>
        <w:ind w:firstLine="921"/>
        <w:spacing w:after="0" w:line="282" w:lineRule="auto"/>
        <w:tabs>
          <w:tab w:leader="none" w:pos="1162" w:val="left"/>
        </w:tabs>
        <w:numPr>
          <w:ilvl w:val="1"/>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may at any time and from time to time, by written notice to the Administrative Agent (which shall promptly deliver a copy to each of the other Agents and each of the Lenders), request that the Tranche A Commitments, Tranche B Commitments and/or Tranche C Commitments be increased. Such notice shall set forth the amount of the requested increase in the Tranche A Commitments, Tranche B Commitments and/or Tranche C Commitments and the date on which such increase is requested to become effective (which shall be not less than 30 days or more than 100 days after the date of such notice), and shall offer each Lender the opportunity to increase its Commitment by its Tranche A Percentage, Tranche B Percentage or Tranche C Percentage, as the case may be, of the proposed increased amount. Each Lender shall, by notice to the Company and the Administrative Agent given not more than 15 days after the date of the Company’s notice, either agree to increase its Commitment by all or a portion of the offered amount or decline to increase its Commitment (and any Lender that does not deliver such a notice within such period of 15 days shall be deemed to have declined to increase its Commitment). If a Lender agrees to increase its Commitment by only a portion of the offered amount, such portion shall be least $5,000,000 less than the offered amount. In the event that, on the 15th day after the Company shall have delivered a notice pursuant to the first sentence of this paragraph, the applicable Lenders shall have agreed pursuant to the preceding sentence to increase their Commitments by an aggregate amount less than the increase in the total Commitments requested by the Company, the Company may arrange for one or more Lenders or other financial institutions (any such financial institution referred to in this Section being called an “Increasing Lender”) which may include any Lender, to extend Commitments or increase their existing Commitments in an aggregate amount equal to the unsubscribed amount; </w:t>
      </w:r>
      <w:r>
        <w:rPr>
          <w:rFonts w:ascii="Arial" w:cs="Arial" w:eastAsia="Arial" w:hAnsi="Arial"/>
          <w:sz w:val="16"/>
          <w:szCs w:val="16"/>
          <w:i w:val="1"/>
          <w:iCs w:val="1"/>
          <w:color w:val="auto"/>
        </w:rPr>
        <w:t>provided</w:t>
      </w:r>
      <w:r>
        <w:rPr>
          <w:rFonts w:ascii="Arial" w:cs="Arial" w:eastAsia="Arial" w:hAnsi="Arial"/>
          <w:sz w:val="16"/>
          <w:szCs w:val="16"/>
          <w:color w:val="auto"/>
        </w:rPr>
        <w:t>, that (i) the new Commitments and increases in existing Commitments pursuant to this paragraph shall not be greater than US$200,000,000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and each Issuing Bank (which approval shall not be unreasonably withheld) and (iii) each Increasing Lender, if not already a Lender hereunder, shall become a party to this Agreement by completing and delivering to the Administrative Agent a duly executed accession agreement in a form satisfactory to the Administrative Agent and the Borrower (an “</w:t>
      </w:r>
      <w:r>
        <w:rPr>
          <w:rFonts w:ascii="Arial" w:cs="Arial" w:eastAsia="Arial" w:hAnsi="Arial"/>
          <w:sz w:val="16"/>
          <w:szCs w:val="16"/>
          <w:i w:val="1"/>
          <w:iCs w:val="1"/>
          <w:color w:val="auto"/>
        </w:rPr>
        <w:t>Accession Agreement</w:t>
      </w:r>
      <w:r>
        <w:rPr>
          <w:rFonts w:ascii="Arial" w:cs="Arial" w:eastAsia="Arial" w:hAnsi="Arial"/>
          <w:sz w:val="16"/>
          <w:szCs w:val="16"/>
          <w:color w:val="auto"/>
        </w:rPr>
        <w:t>”). New Commitments and increases in Commitments shall become effective on the date specified in the applicable notice delivered pursuant to this paragraph (but not prior to the third Business Day after the delivery of such notice to the Administrative Agent).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 and</w:t>
      </w:r>
    </w:p>
    <w:p>
      <w:pPr>
        <w:spacing w:after="0" w:line="4" w:lineRule="exact"/>
        <w:rPr>
          <w:rFonts w:ascii="Arial" w:cs="Arial" w:eastAsia="Arial" w:hAnsi="Arial"/>
          <w:sz w:val="16"/>
          <w:szCs w:val="16"/>
          <w:color w:val="auto"/>
        </w:rPr>
      </w:pPr>
    </w:p>
    <w:p>
      <w:pPr>
        <w:ind w:right="100" w:firstLine="8"/>
        <w:spacing w:after="0" w:line="300" w:lineRule="auto"/>
        <w:tabs>
          <w:tab w:leader="none" w:pos="258"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Schedule 2.01</w:t>
      </w:r>
      <w:r>
        <w:rPr>
          <w:rFonts w:ascii="Arial" w:cs="Arial" w:eastAsia="Arial" w:hAnsi="Arial"/>
          <w:sz w:val="15"/>
          <w:szCs w:val="15"/>
          <w:color w:val="auto"/>
        </w:rPr>
        <w:t xml:space="preserve">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w:t>
      </w:r>
    </w:p>
    <w:p>
      <w:pPr>
        <w:ind w:firstLine="8"/>
        <w:spacing w:after="0" w:line="287" w:lineRule="auto"/>
        <w:tabs>
          <w:tab w:leader="none" w:pos="258"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increase in the Commitment of a Lender pursuant to this paragraph shall not require the consent of any other Lender and (iii) no increase in the Commitments (or in the Commitment of any Lender) pursuant to this paragraph shall become effective unless (A) the Administrative Agent shall have received documents consistent with those delivered under Section 4.01(b) and (c), giving effect to such increase and (B) on the effective date of such increase, the representations and warranties of the Borrowers set forth in this Agreement shall be true and correct in all material respects and no Default shall have occurred and be continuing, and the Administrative Agent shall have received a certificate to that effect dated such date and executed by a Financial Officer of the Company. Following any extension of new Commitments of any Tranche or increases in existing Commitments of any Tranche pursuant to this paragraph, any Revolving Loans outstanding under such Tranche prior to the effectiveness of such increase or extension may continue outstanding until the ends of the respective Interests Periods applicable thereto, and shall then be either repaid or refinanced with new Revolving Loans under such Tranche made pursuant to Section 2.01. On the effective date of any increase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3" w:name="page54"/>
    <w:bookmarkEnd w:id="53"/>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Tranche B Commitments pursuant to this paragraph, the applicable Borrowers and Lenders shall take such actions (including making and receiving payments), if any, as the Administrative Agent shall specify in order that the extensions of credit represented by any outstanding BAs may be held by the Tranche B Lenders ratably in proportion to their Tranche B Commitments; </w:t>
      </w:r>
      <w:r>
        <w:rPr>
          <w:rFonts w:ascii="Arial" w:cs="Arial" w:eastAsia="Arial" w:hAnsi="Arial"/>
          <w:sz w:val="16"/>
          <w:szCs w:val="16"/>
          <w:i w:val="1"/>
          <w:iCs w:val="1"/>
          <w:color w:val="auto"/>
        </w:rPr>
        <w:t>provided</w:t>
      </w:r>
      <w:r>
        <w:rPr>
          <w:rFonts w:ascii="Arial" w:cs="Arial" w:eastAsia="Arial" w:hAnsi="Arial"/>
          <w:sz w:val="16"/>
          <w:szCs w:val="16"/>
          <w:color w:val="auto"/>
        </w:rPr>
        <w:t>, that if the Administrative Agent does not specify any such actions, such outstanding BAs will continue outstanding for the duration of the applicable Contract Periods and the applicable Borrowers’ reimbursement obligations under Section 2.06(i) will continue to be owed to the Lenders that accepted and purchased such BAs.</w:t>
      </w:r>
    </w:p>
    <w:p>
      <w:pPr>
        <w:spacing w:after="0" w:line="116" w:lineRule="exact"/>
        <w:rPr>
          <w:sz w:val="20"/>
          <w:szCs w:val="20"/>
          <w:color w:val="auto"/>
        </w:rPr>
      </w:pPr>
    </w:p>
    <w:p>
      <w:pPr>
        <w:ind w:firstLine="921"/>
        <w:spacing w:after="0" w:line="283"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may, by delivery of a Maturity Date Extension Request to the Administrative Agent (which shall promptly deliver a copy to each of the other Agents and the Lenders) not less than 30 days and not more than 60 days prior to the third, the fourth or the fifth anniversary of the Closing Date, request that the Lenders extend the Maturity Date for an additional period of one year; provided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whether or not it agrees to the requested extension (each Lender agreeing to a requested extension being called a </w:t>
      </w:r>
      <w:r>
        <w:rPr>
          <w:rFonts w:ascii="Arial" w:cs="Arial" w:eastAsia="Arial" w:hAnsi="Arial"/>
          <w:sz w:val="16"/>
          <w:szCs w:val="16"/>
          <w:i w:val="1"/>
          <w:iCs w:val="1"/>
          <w:color w:val="auto"/>
        </w:rPr>
        <w:t>“Consenting Lender”</w:t>
      </w:r>
      <w:r>
        <w:rPr>
          <w:rFonts w:ascii="Arial" w:cs="Arial" w:eastAsia="Arial" w:hAnsi="Arial"/>
          <w:sz w:val="16"/>
          <w:szCs w:val="16"/>
          <w:color w:val="auto"/>
        </w:rPr>
        <w:t xml:space="preserve">, and each Lender declining to agree to a requested extension being called a </w:t>
      </w:r>
      <w:r>
        <w:rPr>
          <w:rFonts w:ascii="Arial" w:cs="Arial" w:eastAsia="Arial" w:hAnsi="Arial"/>
          <w:sz w:val="16"/>
          <w:szCs w:val="16"/>
          <w:i w:val="1"/>
          <w:iCs w:val="1"/>
          <w:color w:val="auto"/>
        </w:rPr>
        <w:t>“Declining Lender”</w:t>
      </w:r>
      <w:r>
        <w:rPr>
          <w:rFonts w:ascii="Arial" w:cs="Arial" w:eastAsia="Arial" w:hAnsi="Arial"/>
          <w:sz w:val="16"/>
          <w:szCs w:val="16"/>
          <w:color w:val="auto"/>
        </w:rPr>
        <w:t>). Any Lender that has not so advised the Company and the Administrative Agent by such day shall be deemed to have declined to agree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Arial" w:cs="Arial" w:eastAsia="Arial" w:hAnsi="Arial"/>
          <w:sz w:val="16"/>
          <w:szCs w:val="16"/>
          <w:i w:val="1"/>
          <w:iCs w:val="1"/>
          <w:color w:val="auto"/>
        </w:rPr>
        <w:t>“Existing Maturity Date”</w:t>
      </w:r>
      <w:r>
        <w:rPr>
          <w:rFonts w:ascii="Arial" w:cs="Arial" w:eastAsia="Arial" w:hAnsi="Arial"/>
          <w:sz w:val="16"/>
          <w:szCs w:val="16"/>
          <w:color w:val="auto"/>
        </w:rPr>
        <w:t>). The principal amount of any outstanding Loans made by Declining Lenders, together with any accrued interest thereon and any accrued fees and other amounts payable to or for the account of such Declining Lenders hereunder, shall be due and payable on the Existing Maturity Date, and on the Existing Maturity Date the Borrowers shall also make such other prepayments of their Loans pursuant to Section 2.11 as shall be required in order that, after giving effect to the termination of the Commitments of, and all payments to,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2.15, 2.16, 2.17 and 11.03. Notwithstanding the foregoing provisions of this paragraph, the Company shall have the right, pursuant to and in accordance with Sections 2.19 and 11.04, at any time prior to the Existing Maturity Date, to replace a Declining Lender with a Lender or other financial institution that will agree to the applicable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described in Section 4.01(b) and (c), giving effect to such extension and (ii) on the effective date of such extension, the representations and warranties of the Borrowers set forth in this Agreement shall be true and correct in all material respects and no Default shall have occurred and be continuing, and the Administrative Agent shall have received a certificate to that effect dated such date and executed by a Financial Officer of the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4" w:name="page55"/>
    <w:bookmarkEnd w:id="54"/>
    <w:p>
      <w:pPr>
        <w:ind w:right="16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2.10. </w:t>
      </w:r>
      <w:r>
        <w:rPr>
          <w:rFonts w:ascii="Arial" w:cs="Arial" w:eastAsia="Arial" w:hAnsi="Arial"/>
          <w:sz w:val="16"/>
          <w:szCs w:val="16"/>
          <w:u w:val="single" w:color="auto"/>
          <w:color w:val="auto"/>
        </w:rPr>
        <w:t>Repayment of Loans and BAs; Evidence of Debt.</w:t>
      </w:r>
      <w:r>
        <w:rPr>
          <w:rFonts w:ascii="Arial" w:cs="Arial" w:eastAsia="Arial" w:hAnsi="Arial"/>
          <w:sz w:val="16"/>
          <w:szCs w:val="16"/>
          <w:color w:val="auto"/>
        </w:rPr>
        <w:t xml:space="preserve"> (a) Each Borrower hereby unconditionally promises to pay (i) to the Applicable Agent for the account of each Lender the then unpaid principal amount of each Revolving Loan of such Borrower on the Maturity Date and the face amount of each BA, if any, accepted by such Lender as provided in Section 2.06 and (ii) to the Applicable Swingline Lender the then unpaid principal amount of each Swingline Loan on the earlier of the Maturity Date and the first date after such Swingline Loan is made that is the 15th or last day of a calendar month and is at least three Business Days after such Swingline Loan is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each date that a Revolving Borrowing denominated in US Dollars or Canadian Dollars (including any ABR Borrowing) is made to a Borrower that shall have borrowed Swingline Loans, such Borrower shall repay all its outstanding Swingline Loans denominated in such currency. Each Borrower will pay the principal amount of each Loan or BA made to or drawn by such Borrower and the accrued interest on such Loan in the currency of such Loan or BA.</w:t>
      </w:r>
    </w:p>
    <w:p>
      <w:pPr>
        <w:spacing w:after="0" w:line="118" w:lineRule="exact"/>
        <w:rPr>
          <w:sz w:val="20"/>
          <w:szCs w:val="20"/>
          <w:color w:val="auto"/>
        </w:rPr>
      </w:pPr>
    </w:p>
    <w:p>
      <w:pPr>
        <w:jc w:val="both"/>
        <w:ind w:right="180" w:firstLine="921"/>
        <w:spacing w:after="0" w:line="259"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or BA accepted and purchased by such Lender, including the amounts of principal and interest payable and paid to such Lender from time to time hereunder.</w:t>
      </w:r>
    </w:p>
    <w:p>
      <w:pPr>
        <w:spacing w:after="0" w:line="140" w:lineRule="exact"/>
        <w:rPr>
          <w:rFonts w:ascii="Arial" w:cs="Arial" w:eastAsia="Arial" w:hAnsi="Arial"/>
          <w:sz w:val="18"/>
          <w:szCs w:val="18"/>
          <w:color w:val="auto"/>
        </w:rPr>
      </w:pPr>
    </w:p>
    <w:p>
      <w:pPr>
        <w:ind w:right="40" w:firstLine="921"/>
        <w:spacing w:after="0" w:line="290"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and BA accepted and purchased hereunder, the Class and Type of each such Loan and, in the case of any LIBOR or EURIBOR Loan, the Interest Period applicable thereto, (ii) the amount of any principal or interest due and payable or to become due and payable from each Borrower to each Lender hereunder and (iii) the amount of any sum received by any Agent hereunder for the account of the Lenders or any of them and each Lender’s share thereof. The London Agent and the Canadian Agent shall furnish to the Administrative Agent, promptly after the making of any Loan or Borrowing or the acceptance and purchase of any BAs with respect to which it is the Applicable Agent or the receipt of any payment of principal or interest with respect to any such Loan or Borrowing or any such BAs, information with respect thereto that will enable the Administrative Agent to maintain the accounts referred to in the preceding sentence.</w:t>
      </w:r>
    </w:p>
    <w:p>
      <w:pPr>
        <w:spacing w:after="0" w:line="118" w:lineRule="exact"/>
        <w:rPr>
          <w:rFonts w:ascii="Arial" w:cs="Arial" w:eastAsia="Arial" w:hAnsi="Arial"/>
          <w:sz w:val="16"/>
          <w:szCs w:val="16"/>
          <w:color w:val="auto"/>
        </w:rPr>
      </w:pPr>
    </w:p>
    <w:p>
      <w:pPr>
        <w:jc w:val="both"/>
        <w:ind w:right="220" w:firstLine="921"/>
        <w:spacing w:after="0" w:line="306"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106" w:lineRule="exact"/>
        <w:rPr>
          <w:rFonts w:ascii="Arial" w:cs="Arial" w:eastAsia="Arial" w:hAnsi="Arial"/>
          <w:sz w:val="16"/>
          <w:szCs w:val="16"/>
          <w:color w:val="auto"/>
        </w:rPr>
      </w:pPr>
    </w:p>
    <w:p>
      <w:pPr>
        <w:ind w:right="120" w:firstLine="921"/>
        <w:spacing w:after="0" w:line="294"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Revolving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16"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xml:space="preserve"> (a) Any Borrower shall have the right at any time and from time to time to prepay any Borrowing of such Borrower in whole or in part, subject to prior notice in accordance with paragraph (d) of this Section.</w:t>
      </w:r>
    </w:p>
    <w:p>
      <w:pPr>
        <w:spacing w:after="0" w:line="132" w:lineRule="exact"/>
        <w:rPr>
          <w:sz w:val="20"/>
          <w:szCs w:val="20"/>
          <w:color w:val="auto"/>
        </w:rPr>
      </w:pPr>
    </w:p>
    <w:p>
      <w:pPr>
        <w:ind w:firstLine="921"/>
        <w:spacing w:after="0" w:line="332" w:lineRule="auto"/>
        <w:tabs>
          <w:tab w:leader="none" w:pos="11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aggregate Revolving Credit Exposures under any Tranche shall exceed the aggregate Commitments under such Tranche, then (i) on the last day of any Interest Period for any LIBOR Borrowing or EURIBOR Borrowing, and the last day of any Contract Period for any BA</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55" w:name="page56"/>
    <w:bookmarkEnd w:id="5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Drawing, under such Tranche and (ii) on each other date on which any ABR Revolving Borrowing, Canadian Prime Rate Borrowing or Swingline Loan shall be outstanding under such Tranche, the applicable Borrowers shall prepay Loans under such Tranche in an aggregate amount equal to the lesser of (A) the amount necessary to eliminate such excess (after giving effect to any other prepayment of Loans or payment of BAs on such day) and (B) the amount of the applicable Revolving Borrowings, BA Drawings or Swingline Loans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120" w:lineRule="exact"/>
        <w:rPr>
          <w:sz w:val="20"/>
          <w:szCs w:val="20"/>
          <w:color w:val="auto"/>
        </w:rPr>
      </w:pPr>
    </w:p>
    <w:p>
      <w:pPr>
        <w:ind w:right="40" w:firstLine="921"/>
        <w:spacing w:after="0" w:line="268" w:lineRule="auto"/>
        <w:tabs>
          <w:tab w:leader="none" w:pos="1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131" w:lineRule="exact"/>
        <w:rPr>
          <w:rFonts w:ascii="Arial" w:cs="Arial" w:eastAsia="Arial" w:hAnsi="Arial"/>
          <w:sz w:val="18"/>
          <w:szCs w:val="18"/>
          <w:color w:val="auto"/>
        </w:rPr>
      </w:pPr>
    </w:p>
    <w:p>
      <w:pPr>
        <w:ind w:right="40" w:firstLine="921"/>
        <w:spacing w:after="0" w:line="286"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applicable Borrower shall notify the Applicable Agent (and, in the case of prepayment of a Swingline Loan, the Swingline Lender) by a fax notice signed by a Financial Officer on behalf of the applicable Borrower of any prepayment of a Borrowing hereunder (i) in the case of a LIBOR Borrowing denominated in US Dollars, not later than 11:00 a.m., Local Time, three Business Days before the date of such prepayment (or, in the case of a prepayment under paragraph (b) above, as soon thereafter as practicable), (ii) in the case of a LIBOR Borrowing denominated in Sterling or a EURIBOR Borrowing, not later than 11:00 a.m., Local Time, three Business days before the date of such prepayment (or, in the case of a prepayment under paragraph (b) above, as soon thereafter as practicable), (iii) in the case of an ABR Borrowing, not later than 11:00 a.m., Local Time, on the date of such prepayment and (d) in the case of a Canadian Prime Rate Borrowing, not later than 11:00 a.m., Local Time, on the date of such prepayment. Each such notice shall be irrevocable and shall specify the prepayment date and the principal amount of each Borrowing or portion thereof to be prepaid;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notice of optional prepayment is given in connection with a conditional notice of termination of the Commitments as contemplated by Section 2.09(c), then such notice of prepayment may be revoked or extended if such notice of termination is revoked or extended in accordance with Section 2.09(c). Promptly following receipt of any such notice, the Applicable Agent shall advise the applicable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w:t>
      </w:r>
    </w:p>
    <w:p>
      <w:pPr>
        <w:spacing w:after="0" w:line="12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Closing Date to but excluding the date on which such Commitment expires or is terminated;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Lender continues to have any Revolving Credit Exposure under any Tranche after its Commitment of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Accrued facility fees shall be payable in arrears on the last day of each March, June, September and December, commencing on the first such date to occur after the date hereof, and, with respect to the Commitments of any Tranche, on the date on which the Commitments of such Tranche shall terminate;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facility fees accruing on the Revolving Credit Exposure under any Tranche after the date on which the Commitments of such Tranche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payable on demand. All facility fees shall be computed on the basis of a year of 360 days and shall be payable for the actual number of days elapsed (including the first day but excluding the last day).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6" w:name="page57"/>
    <w:bookmarkEnd w:id="56"/>
    <w:p>
      <w:pPr>
        <w:ind w:left="-20" w:firstLine="921"/>
        <w:spacing w:after="0" w:line="285" w:lineRule="auto"/>
        <w:tabs>
          <w:tab w:leader="none" w:pos="1142"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agrees to pay (i) to the Administrative Agent for the account of each Tranche A Lender a participation fee with respect to its participations in Letters of Credit, which shall accrue at the Applicable Rate (as set forth under the caption “LIBOR/EURIBOR Spread and BA Stamping Fee” in the definition of such term) used to determine the interest rate applicable to LIBOR Revolving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 (ii) 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or becoming payable in respect of Letters of Credit issued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26" w:lineRule="exact"/>
        <w:rPr>
          <w:rFonts w:ascii="Arial" w:cs="Arial" w:eastAsia="Arial" w:hAnsi="Arial"/>
          <w:sz w:val="16"/>
          <w:szCs w:val="16"/>
          <w:color w:val="auto"/>
        </w:rPr>
      </w:pPr>
    </w:p>
    <w:p>
      <w:pPr>
        <w:ind w:left="-20" w:right="120" w:firstLine="921"/>
        <w:spacing w:after="0" w:line="294" w:lineRule="auto"/>
        <w:tabs>
          <w:tab w:leader="none" w:pos="11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Canadian Borrowing Subsidiary agrees to pay to the Canadian Agent, for the account of each Tranche B Lender, on each date on which BAs drawn by such Canadian Borrowing Subsidiary are accepted and purchased hereunder, in Canadian Dollars, an acceptance fee computed by multiplying the aggregate face amount of the BAs accepted by such Lender on such date by the product of (i) the Applicable Rate (as set forth under the caption “LIBOR/EURIBOR Spread and BA Stamping Fee” in the definition of such term) on such date and (ii) a fraction, the numerator of which is the number of days in the Contract Period applicable to such BAs and the denominator of which is 365.</w:t>
      </w:r>
    </w:p>
    <w:p>
      <w:pPr>
        <w:spacing w:after="0" w:line="115" w:lineRule="exact"/>
        <w:rPr>
          <w:rFonts w:ascii="Arial" w:cs="Arial" w:eastAsia="Arial" w:hAnsi="Arial"/>
          <w:sz w:val="16"/>
          <w:szCs w:val="16"/>
          <w:color w:val="auto"/>
        </w:rPr>
      </w:pPr>
    </w:p>
    <w:p>
      <w:pPr>
        <w:ind w:left="-20" w:right="160" w:firstLine="921"/>
        <w:spacing w:after="0" w:line="268" w:lineRule="auto"/>
        <w:tabs>
          <w:tab w:leader="none" w:pos="11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agrees to pay to the Agents, for their own accounts, fees payable in the amounts and at the times separately agreed upon between the Company and the Agents.</w:t>
      </w:r>
    </w:p>
    <w:p>
      <w:pPr>
        <w:spacing w:after="0" w:line="131" w:lineRule="exact"/>
        <w:rPr>
          <w:rFonts w:ascii="Arial" w:cs="Arial" w:eastAsia="Arial" w:hAnsi="Arial"/>
          <w:sz w:val="18"/>
          <w:szCs w:val="18"/>
          <w:color w:val="auto"/>
        </w:rPr>
      </w:pPr>
    </w:p>
    <w:p>
      <w:pPr>
        <w:ind w:left="-20" w:right="60" w:firstLine="921"/>
        <w:spacing w:after="0" w:line="291" w:lineRule="auto"/>
        <w:tabs>
          <w:tab w:leader="none" w:pos="11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immediately available funds, to the Administrative Agent, to the Issuing Banks (in the case of fees payable to them) or to the Canadian Agent (in the case of fees referred to in paragraph (c) of this Section) for distribution (i) in the case of facility fees, to the Lenders, (ii) in the case of the participation fees, to the Tranche A Lenders and (iii) in the case of acceptance fees, to the Tranche B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60" w:top="280" w:right="239" w:bottom="1440" w:gutter="0" w:footer="0" w:header="0"/>
        </w:sectPr>
      </w:pPr>
    </w:p>
    <w:bookmarkStart w:id="57" w:name="page58"/>
    <w:bookmarkEnd w:id="57"/>
    <w:p>
      <w:pPr>
        <w:ind w:right="2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(a) The Loans comprising each ABR Borrowing (including each Swingline Loan denominated in US Dollars) shall bear interest at the Alternate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(as set forth under the caption “ABR/Canadian Prime Rate Spread”).</w:t>
      </w:r>
    </w:p>
    <w:p>
      <w:pPr>
        <w:spacing w:after="0" w:line="85" w:lineRule="exact"/>
        <w:rPr>
          <w:sz w:val="20"/>
          <w:szCs w:val="20"/>
          <w:color w:val="auto"/>
        </w:rPr>
      </w:pPr>
    </w:p>
    <w:p>
      <w:pPr>
        <w:ind w:right="240" w:firstLine="921"/>
        <w:spacing w:after="0" w:line="259" w:lineRule="auto"/>
        <w:tabs>
          <w:tab w:leader="none" w:pos="11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Revolving Loans comprising each LIBOR Revolving Borrowing shall bear interest at the Adjusted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“LIBOR/EURIBOR Spread and BA Stamping Fee” in the definition of such term).</w:t>
      </w:r>
    </w:p>
    <w:p>
      <w:pPr>
        <w:spacing w:after="0" w:line="140" w:lineRule="exact"/>
        <w:rPr>
          <w:rFonts w:ascii="Arial" w:cs="Arial" w:eastAsia="Arial" w:hAnsi="Arial"/>
          <w:sz w:val="18"/>
          <w:szCs w:val="18"/>
          <w:color w:val="auto"/>
        </w:rPr>
      </w:pPr>
    </w:p>
    <w:p>
      <w:pPr>
        <w:jc w:val="both"/>
        <w:ind w:right="60" w:firstLine="921"/>
        <w:spacing w:after="0" w:line="259"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Revolving Loans comprising each EURIBOR Revolving Borrowing shall bear interest at the Adjusted EURIBO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“LIBOR/EURIBOR Spread and BA Stamping Fee” in the definition of such term).</w:t>
      </w:r>
    </w:p>
    <w:p>
      <w:pPr>
        <w:spacing w:after="0" w:line="140" w:lineRule="exact"/>
        <w:rPr>
          <w:rFonts w:ascii="Arial" w:cs="Arial" w:eastAsia="Arial" w:hAnsi="Arial"/>
          <w:sz w:val="18"/>
          <w:szCs w:val="18"/>
          <w:color w:val="auto"/>
        </w:rPr>
      </w:pPr>
    </w:p>
    <w:p>
      <w:pPr>
        <w:ind w:right="460" w:firstLine="921"/>
        <w:spacing w:after="0" w:line="332"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The Loans comprising each Canadian Prime Rate Borrowing (including each Swingline Loan denominated in Canadian Dollars) shall bear interest at the Canadian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(as set forth under the caption “ABR/Canadian Prime Rate Spread”).</w:t>
      </w:r>
    </w:p>
    <w:p>
      <w:pPr>
        <w:spacing w:after="0" w:line="85" w:lineRule="exact"/>
        <w:rPr>
          <w:rFonts w:ascii="Arial" w:cs="Arial" w:eastAsia="Arial" w:hAnsi="Arial"/>
          <w:sz w:val="16"/>
          <w:szCs w:val="16"/>
          <w:color w:val="auto"/>
        </w:rPr>
      </w:pPr>
    </w:p>
    <w:p>
      <w:pPr>
        <w:ind w:firstLine="921"/>
        <w:spacing w:after="0" w:line="294" w:lineRule="auto"/>
        <w:tabs>
          <w:tab w:leader="none" w:pos="115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principal of or interest on any Loan or BA,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BA or any LC Disbursement, 2%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interest rate or discount rate otherwise applicable to such Loan, BA or LC Disbursement as provided in the preceding paragraphs of this Section or (ii) in the case of any other amount, 2% per annum plus the rate applicable to ABR Loans in US Dollars as provided in paragraph (a) of this Section.</w:t>
      </w:r>
    </w:p>
    <w:p>
      <w:pPr>
        <w:spacing w:after="0" w:line="115" w:lineRule="exact"/>
        <w:rPr>
          <w:rFonts w:ascii="Arial" w:cs="Arial" w:eastAsia="Arial" w:hAnsi="Arial"/>
          <w:sz w:val="16"/>
          <w:szCs w:val="16"/>
          <w:color w:val="auto"/>
        </w:rPr>
      </w:pPr>
    </w:p>
    <w:p>
      <w:pPr>
        <w:ind w:right="120" w:firstLine="921"/>
        <w:spacing w:after="0" w:line="302" w:lineRule="auto"/>
        <w:tabs>
          <w:tab w:leader="none" w:pos="1132" w:val="left"/>
        </w:tabs>
        <w:numPr>
          <w:ilvl w:val="1"/>
          <w:numId w:val="50"/>
        </w:numPr>
        <w:rPr>
          <w:rFonts w:ascii="Arial" w:cs="Arial" w:eastAsia="Arial" w:hAnsi="Arial"/>
          <w:sz w:val="15"/>
          <w:szCs w:val="15"/>
          <w:color w:val="auto"/>
        </w:rPr>
      </w:pPr>
      <w:r>
        <w:rPr>
          <w:rFonts w:ascii="Arial" w:cs="Arial" w:eastAsia="Arial" w:hAnsi="Arial"/>
          <w:sz w:val="15"/>
          <w:szCs w:val="15"/>
          <w:color w:val="auto"/>
        </w:rPr>
        <w:t xml:space="preserve">Accrued interest on each Loan under any Tranche shall be payable in arrears on each Interest Payment Date for such Loan and upon the termination of the Commitments of such Tranche;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interest accrued pursuant to paragraph (e) of this Section shall be payable on demand, (ii) in the event of any repayment or prepayment of any Loan (other than a prepayment of an ABR Revolving Loan or a Canadian Prime Rate Revolving Loan prior to the end of the Availability Period), accrued interest on the principal amount repaid or prepaid shall be payable on the date of such repayment or prepayment and</w:t>
      </w:r>
    </w:p>
    <w:p>
      <w:pPr>
        <w:spacing w:after="0" w:line="2" w:lineRule="exact"/>
        <w:rPr>
          <w:rFonts w:ascii="Arial" w:cs="Arial" w:eastAsia="Arial" w:hAnsi="Arial"/>
          <w:sz w:val="15"/>
          <w:szCs w:val="15"/>
          <w:color w:val="auto"/>
        </w:rPr>
      </w:pPr>
    </w:p>
    <w:p>
      <w:pPr>
        <w:ind w:right="120" w:firstLine="8"/>
        <w:spacing w:after="0" w:line="255" w:lineRule="auto"/>
        <w:tabs>
          <w:tab w:leader="none" w:pos="3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of any conversion of any LIBOR Revolving Loan or EURIBOR Revolving Loan prior to the end of the current Interest Period therefor, accrued interest on such Loan shall be payable on the effective date of such conversion. All interest shall be payable in the currency in which the applicable Loan is denominated.</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 interest on Borrowings denominated in Sterling,</w:t>
      </w:r>
    </w:p>
    <w:p>
      <w:pPr>
        <w:spacing w:after="0" w:line="38" w:lineRule="exact"/>
        <w:rPr>
          <w:sz w:val="20"/>
          <w:szCs w:val="20"/>
          <w:color w:val="auto"/>
        </w:rPr>
      </w:pPr>
    </w:p>
    <w:p>
      <w:pPr>
        <w:ind w:right="140" w:firstLine="8"/>
        <w:spacing w:after="0" w:line="292" w:lineRule="auto"/>
        <w:tabs>
          <w:tab w:leader="none" w:pos="2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interest computed by reference to the Alternate Base Rate at times when the Alternate Base Rate is based on the Prime Rate and (iii) interest on Canadian Prime Rate Borrowings and acceptance fees shall each be computed on the basis of a year of 365 days (or, in the case of ABR Borrowings and Canadian Prime Rate Borrowings, 366 days in a leap year), and in each case shall be payable for the actual number of days elapsed (including the first day but excluding the last day). The applicable Adjusted LIBO Rate, Adjusted EURIBO Rate, Alternate Base Rate or Canadian Prime Rate shall be determined by the Applicable Agent, and such determination shall be conclusive absent manifest error.</w:t>
      </w:r>
    </w:p>
    <w:p>
      <w:pPr>
        <w:spacing w:after="0" w:line="116" w:lineRule="exact"/>
        <w:rPr>
          <w:rFonts w:ascii="Arial" w:cs="Arial" w:eastAsia="Arial" w:hAnsi="Arial"/>
          <w:sz w:val="16"/>
          <w:szCs w:val="16"/>
          <w:color w:val="auto"/>
        </w:rPr>
      </w:pPr>
    </w:p>
    <w:p>
      <w:pPr>
        <w:ind w:firstLine="921"/>
        <w:spacing w:after="0" w:line="259" w:lineRule="auto"/>
        <w:tabs>
          <w:tab w:leader="none" w:pos="116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rates of interest provided for in this Agreement, insofar as they apply to Swiss Borrowing Subsidiaries, are subject to adjustment as provided in this paragraph. When entering into this Agreement, the parties have assumed that the interest payable at the rates set out in this Section or in other Sections of this Agreement is not and will not become subject to the Swiss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58" w:name="page59"/>
    <w:bookmarkEnd w:id="58"/>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 Notwithstanding that the parties do not anticipate that any payment of interest will be subject to the Swiss Withholding Tax, they agree that, in the event that (i) the Swiss Withholding Tax should be imposed on interest payments by any Swiss Borrowing Subsidiary and (ii) such Swiss Borrowing Subsidiary is unable, by reason of the Swiss Withholding Tax Act, to comply with Section 2.17, the interest rate on such payments due by such Swiss Borrowing Subsidiary, including limitations therein, shall be increased in such a way that the amount of interest effectively paid to each Lender corresponds to an amount which (after making any deduction of the Non-Refundable Portion (as defined below) of the Swiss Withholding Tax) equals the payment which would have been due had no deduction of Swiss Withholding Tax been required. For the purposes of this Section, “Non-Refundable Portion” shall mean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applicable Swiss Borrowing Subsidiaries and the Lenders shall promptly co-operate in completing any procedural formalities (including submitting forms and documents required by the Swiss or foreign tax authorities) to the extent possible and necessary (i) for the applicable Swiss Borrowing Subsidiary to obtain the tax ruling from the Swiss Federal Tax Administration and (ii) for the Lenders to claim a refund of any Swiss Withholding Tax so deducted. To the extent the Swiss Federal Tax Administration issues the tax ruling only after payments subject to Swiss Withholding Tax were to be made so that the Non-Refundable Portion applied for the purpose of such payments is higher than according to the later ruling confirmation, the Applicable Agent agrees to file the aforementioned documents as required by law or applicable double taxation treaties for the Lenders to (i) claim a refund of Swiss Withholding Tax and</w:t>
      </w:r>
    </w:p>
    <w:p>
      <w:pPr>
        <w:spacing w:after="0" w:line="5"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once paid out by the Swiss Federal Tax Administration, pay the refund to the applicable Swiss Borrowing Subsidiary.</w:t>
      </w:r>
    </w:p>
    <w:p>
      <w:pPr>
        <w:spacing w:after="0" w:line="164" w:lineRule="exact"/>
        <w:rPr>
          <w:rFonts w:ascii="Arial" w:cs="Arial" w:eastAsia="Arial" w:hAnsi="Arial"/>
          <w:sz w:val="18"/>
          <w:szCs w:val="18"/>
          <w:color w:val="auto"/>
        </w:rPr>
      </w:pPr>
    </w:p>
    <w:p>
      <w:pPr>
        <w:ind w:right="80" w:firstLine="921"/>
        <w:spacing w:after="0" w:line="332" w:lineRule="auto"/>
        <w:tabs>
          <w:tab w:leader="none" w:pos="1123"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 Swiss Borrowing Subsidiary shall be required to pay any additional amount to a Lender pursuant to Section 2.13(h) as a result of such Lender having breached (i) Section 2.17(h) or (ii) the requirements for or limitations on transfers of interests under Section 11.04.</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xml:space="preserve"> If prior to the commencement of any Interest Period for a LIBOR Borrowing or a EURIBOR Borrowing:</w:t>
      </w:r>
    </w:p>
    <w:p>
      <w:pPr>
        <w:spacing w:after="0" w:line="194" w:lineRule="exact"/>
        <w:rPr>
          <w:sz w:val="20"/>
          <w:szCs w:val="20"/>
          <w:color w:val="auto"/>
        </w:rPr>
      </w:pPr>
    </w:p>
    <w:p>
      <w:pPr>
        <w:ind w:firstLine="921"/>
        <w:spacing w:after="0" w:line="268"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Applicable Agent determines (which determination shall be conclusive absent manifest error) that adequate and reasonable means do not exist for ascertaining the Adjusted LIBO Rate or the Adjusted EURIBO Rate, as the case may be, for such Interest Period; or</w:t>
      </w:r>
    </w:p>
    <w:p>
      <w:pPr>
        <w:spacing w:after="0" w:line="131" w:lineRule="exact"/>
        <w:rPr>
          <w:rFonts w:ascii="Arial" w:cs="Arial" w:eastAsia="Arial" w:hAnsi="Arial"/>
          <w:sz w:val="18"/>
          <w:szCs w:val="18"/>
          <w:color w:val="auto"/>
        </w:rPr>
      </w:pPr>
    </w:p>
    <w:p>
      <w:pPr>
        <w:ind w:right="280" w:firstLine="921"/>
        <w:spacing w:after="0" w:line="259"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Applicable Agent is advised by a majority in interest of the Lenders that would make Loans as part of such Borrowing that the Adjusted LIBO Rate or Adjusted EURIBO Rate, as the case may be, for such Interest Period will not adequately and fairly reflect the cost to such Lenders of making or maintaining the Loans included in such Borrowing for such Interest Period;</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then the Applicable Agent shall give notice thereof to the applicable Borrower and the applicable Lenders by telephone or fax as promptly as practicable thereafter and, until the Applicable Agent notifies the applicable Borrower and the applicable Lenders that the circumstances giving rise to such notice no longer exist, (i) any Interest Election Request that requests the conversion of any Revolving Borrowing to, or continuation of any Revolving Borrowing as, an affected LIBOR Borrowing or EURIBOR Borrowing, as the case may be, shall be ineffective, (ii) any affected LIBOR Borrowing or EURIBOR Borrowing that is requested to be continued shall (A) if denominated in US Dollars and made by a US Borrowing Subsidiary or a Canadian Borrowing Subsidiary, be continued as an ABR Borrowing, or (B) otherwise, be continued as a Borrowing bearing interest at a rate equal to the sum of (1) a rate per annum determined by the Administrative Agent from time to time to be sufficient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9" w:name="page60"/>
    <w:bookmarkEnd w:id="5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 the funding cost of each Lender in connection with such Borrowing plus (2) Applicable Rate (as set forth under the caption “LIBOR/EURIBOR Spread and BA Stamping Fee” in the definition of such term) and (iii) any Borrowing Request for an affected LIBOR Borrowing or a EURIBOR Borrowing shall (A) if denominated in US Dollars and made by a US Borrowing Subsidiary or a Canadian Borrowing Subsidiary, be deemed a request for an ABR Borrowing, or (B) otherwise, be ineffective.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(a) If any Change in Law shall:</w:t>
      </w:r>
    </w:p>
    <w:p>
      <w:pPr>
        <w:spacing w:after="0" w:line="90" w:lineRule="exact"/>
        <w:rPr>
          <w:sz w:val="20"/>
          <w:szCs w:val="20"/>
          <w:color w:val="auto"/>
        </w:rPr>
      </w:pPr>
    </w:p>
    <w:p>
      <w:pPr>
        <w:ind w:left="460" w:right="200" w:firstLine="443"/>
        <w:spacing w:after="0" w:line="306" w:lineRule="auto"/>
        <w:tabs>
          <w:tab w:leader="none" w:pos="11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in the case of Swingline Loans and Letters of Credit, participated in by, any Lender (except any such reserve requirement reflected in the Adjusted LIBO Rate or the Adjusted EURIBO Rate) or any Issuing Bank;</w:t>
      </w:r>
    </w:p>
    <w:p>
      <w:pPr>
        <w:spacing w:after="0" w:line="25" w:lineRule="exact"/>
        <w:rPr>
          <w:rFonts w:ascii="Arial" w:cs="Arial" w:eastAsia="Arial" w:hAnsi="Arial"/>
          <w:sz w:val="16"/>
          <w:szCs w:val="16"/>
          <w:color w:val="auto"/>
        </w:rPr>
      </w:pPr>
    </w:p>
    <w:p>
      <w:pPr>
        <w:ind w:left="460" w:right="60" w:firstLine="443"/>
        <w:spacing w:after="0" w:line="259" w:lineRule="auto"/>
        <w:tabs>
          <w:tab w:leader="none" w:pos="11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 on any Lender, any Issuing Bank or the London, European or Canadian interbank market any other condition, cost or expense (other than Taxes) affecting this Agreement or LIBOR Loans or EURIBOR Loans made by or any acceptance and purchase of BAs by such Lender or any Letter of Credit or participations therein; or</w:t>
      </w:r>
    </w:p>
    <w:p>
      <w:pPr>
        <w:spacing w:after="0" w:line="59" w:lineRule="exact"/>
        <w:rPr>
          <w:rFonts w:ascii="Arial" w:cs="Arial" w:eastAsia="Arial" w:hAnsi="Arial"/>
          <w:sz w:val="18"/>
          <w:szCs w:val="18"/>
          <w:color w:val="auto"/>
        </w:rPr>
      </w:pPr>
    </w:p>
    <w:p>
      <w:pPr>
        <w:ind w:left="460" w:right="120" w:firstLine="443"/>
        <w:spacing w:after="0" w:line="332" w:lineRule="auto"/>
        <w:tabs>
          <w:tab w:leader="none" w:pos="12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any Lender, any Issuing Bank or any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the result of any of the foregoing shall be to increase the cost to any Lender or Issuing Bank of making or maintaining any Loan or accepting and purchasing any BAs (or of maintaining its obligation to make any such Loan or to accept and purchase any such BAs) or participating in, issuing or maintaining any Letter of Credit, or to reduce the amount of any sum received or receivable by any Lender, Issuing Bank or Agent hereunder (whether of principal, interest or otherwise), then the applicable Borrower will pay to such Lender, Issuing Bank or Agent, as the case may be, such additional amount or amounts as will compensate such Lender, Issuing Bank or Agent, as the case may be, for such additional costs incurred or reduction suffered.</w:t>
      </w:r>
    </w:p>
    <w:p>
      <w:pPr>
        <w:spacing w:after="0" w:line="116" w:lineRule="exact"/>
        <w:rPr>
          <w:sz w:val="20"/>
          <w:szCs w:val="20"/>
          <w:color w:val="auto"/>
        </w:rPr>
      </w:pPr>
    </w:p>
    <w:p>
      <w:pPr>
        <w:ind w:right="40" w:firstLine="921"/>
        <w:spacing w:after="0" w:line="289" w:lineRule="auto"/>
        <w:tabs>
          <w:tab w:leader="none" w:pos="11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any Lender or Issuing Bank determines in good faith that any Change in Law regarding capital requirements or liquidity has or would have the effect of reducing the rate of return on such Lender’s or Issuing Bank’s capital or on the capital of such Lender’s or Issuing Bank’s holding company, if any, as a consequence of this Agreement or the Loans made or BAs accepted and purchased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118" w:lineRule="exact"/>
        <w:rPr>
          <w:rFonts w:ascii="Arial" w:cs="Arial" w:eastAsia="Arial" w:hAnsi="Arial"/>
          <w:sz w:val="16"/>
          <w:szCs w:val="16"/>
          <w:color w:val="auto"/>
        </w:rPr>
      </w:pPr>
    </w:p>
    <w:p>
      <w:pPr>
        <w:ind w:right="120" w:firstLine="921"/>
        <w:spacing w:after="0" w:line="298" w:lineRule="auto"/>
        <w:tabs>
          <w:tab w:leader="none" w:pos="11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certificate of a Lender, Issuing Bank or Agent setting forth the amount or amounts necessary to compensate such Lender, Issuing Bank or Agent or its holding company, as the case may be, and the manner in which such amount or amounts have been calculated, as specified in paragraph (a) or (b) of this Section, shall be delivered to the Company and shall be conclusive absent manifest error. The Company shall pay or cause the applicable Borrower to pay such Lender, Issuing Bank or Agent, as the case may be, the amount shown as due on any such certificate within 10 days after receipt thereof.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60" w:name="page61"/>
    <w:bookmarkEnd w:id="60"/>
    <w:p>
      <w:pPr>
        <w:ind w:firstLine="921"/>
        <w:spacing w:after="0" w:line="291"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Failure or delay on the part of any Lender, Issuing Bank or Agent to demand compensation pursuant to this Section shall not constitute a waiver of such Lender’s, Issuing Bank’s or Agent’s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applicable Borrower shall not be required to compensate a Lender, Issuing Bank or Agent pursuant to this Section for any increased costs or reductions incurred more than 180 days prior to the date that such Lender, Issuing Bank or Agent, as the case may be, notifies the Company of the Change in Law giving rise to such increased costs or reductions and of such Lender’s, Issuing Bank’s or Agent’s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2.16, 2.17 or</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2.21. To the extent payment of any amount due under this Section is also required under one or more of Sections 2.16, 2.17 and 2.21, such payment will be due only under Section 2.17 or, if not within the scope of Section 2.17, under any one other Section as the payee may elect.</w:t>
      </w:r>
    </w:p>
    <w:p>
      <w:pPr>
        <w:spacing w:after="0" w:line="138" w:lineRule="exact"/>
        <w:rPr>
          <w:sz w:val="20"/>
          <w:szCs w:val="20"/>
          <w:color w:val="auto"/>
        </w:rPr>
      </w:pPr>
    </w:p>
    <w:p>
      <w:pPr>
        <w:ind w:right="260" w:firstLine="921"/>
        <w:spacing w:after="0" w:line="254" w:lineRule="auto"/>
        <w:tabs>
          <w:tab w:leader="none" w:pos="11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each Lender will make claims under this Section in respect (i) the Dodd-Frank Wall Street Reform and Consumer Protection Act or requests, rules, guidelines or directives thereunder or issued in connection therewith or (ii) requests, rules guidelines or directives concerning capital adequacy promulgated by the Bank for International Settlements, the Basel Committee on Banking Regulations and Supervisory Practices (or any successor similar authority) or the United States financial regulatory authorities, in each case pursuant to Basel III, only if such Lender represents that it is the general policy or practice of such Lender to make such claims under comparable credit facilities containing yield protection provisions that permit it to make such claims.</w:t>
      </w:r>
    </w:p>
    <w:p>
      <w:pPr>
        <w:spacing w:after="0" w:line="14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LIBOR Loan or any EURIBOR Loan other than on the last day of an Interest Period applicable thereto (including as a result of an Event of Default), (b) the conversion of any LIBOR Loan or any EURIBOR Loan other than on the last day of the Interest Period applicable thereto, (c) the failure to borrow, convert, continue or prepay any LIBOR Loan or any EURIBOR Loan on the date specified in any notice delivered pursuant hereto (regardless of whether any such notice may be revoked or extended under Section 2.11(d) and is revoked or extended in accordance therewith) or (d) the assignment of any LIBOR Loan or any EURIBOR Loan other than on the last day of the Interest Period applicable thereto as a result of a request by the applicable Borrower pursuant to Section 2.19 or the CAM Exchange, then, in any such event, the applicable Borrower shall compensate each Lender for the loss, cost and expense (but not for any lost profit)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or the Adjusted EURIBO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or the Discount Proceeds applicable to such BA for such period at the interest rate which such Lender would bid were it to bid, at the commencement of such period, for deposits in the applicable currency of a comparable amount and period from other banks in the London or European interbank market. A certificate of any Lender setting forth in reasonable detail any amount or amounts that such Lender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61" w:name="page62"/>
    <w:bookmarkEnd w:id="6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2.15, 2.17 or 2.21. To the extent payment of any amount due under this Section is also required under one or more of Sections 2.15, 2.17 and 2.21, such payment will be due only under Section 2.17 or, if not within the scope of Section 2.17, under any one other Section as the payee may elect.</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or on account of any obligation of a Credit Party hereunder or under any other Credit Document shall be made free and clear of and without deduction for any Indemnified Taxes or Other Taxes;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Credit Party shall be required to deduct any Indemnified Taxes or Other Taxes from such payments, then (i) the sum payable shall be increased as necessary so that after making all required deductions (including deductions applicable to additional sums payable under this Section) each Agent, Lender and Issuing Bank (as the case may be) receives an amount equal to the sum it would have received had no such deductions been made, (ii) such Credit Party shall make such deductions and (iii) such Credit Party shall pay the full amount deducted to the relevant Governmental Authority in accordance with applicable law (and, for the avoidance of doubt, the net remittance and refund procedures as set out in Section 2.13(h) shall apply). Notwithstanding the foregoing, with respect to Swiss Withholding Tax only, no Swiss Borrowing Subsidiary shall be required to pay any additional amount to any Lender pursuant to this Section 2.17(a) to compensate for a Tax or Other Tax payable because such Lender has breached (A) Section 2.17(h) and/or (B) the requirements for or limitations on transfers of interests under Section 11.04.</w:t>
      </w:r>
    </w:p>
    <w:p>
      <w:pPr>
        <w:spacing w:after="0" w:line="120" w:lineRule="exact"/>
        <w:rPr>
          <w:sz w:val="20"/>
          <w:szCs w:val="20"/>
          <w:color w:val="auto"/>
        </w:rPr>
      </w:pPr>
    </w:p>
    <w:p>
      <w:pPr>
        <w:ind w:left="1160" w:hanging="239"/>
        <w:spacing w:after="0"/>
        <w:tabs>
          <w:tab w:leader="none" w:pos="1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addition, but without duplication, the Credit Parties shall pay any Other Taxes to the relevant Governmental Authority in accordance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164" w:lineRule="exact"/>
        <w:rPr>
          <w:rFonts w:ascii="Arial" w:cs="Arial" w:eastAsia="Arial" w:hAnsi="Arial"/>
          <w:sz w:val="16"/>
          <w:szCs w:val="16"/>
          <w:color w:val="auto"/>
        </w:rPr>
      </w:pPr>
    </w:p>
    <w:p>
      <w:pPr>
        <w:ind w:right="80" w:firstLine="921"/>
        <w:spacing w:after="0" w:line="287"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Each Credit Party shall indemnify each Agent, Lender and Issuing Bank, within 10 days after written demand therefor, for the full amount of any Indemnified Taxes or Other Taxes paid by such Agent, Lender or Issuing Bank, as the case may be, on or with respect to any payment by or on account of any obligation of such Credit Party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an Agent, Lender or Issuing Bank, or by the Administrative Agent on behalf of a Lender or Issuing Bank, shall be conclusive absent manifest error. Such Agent, Lender or Issuing Bank shall use commercially reasonable efforts to cooperate with such Credit Party, at such Credit Party’s expense, to contest any Indemnified Taxes or Other Taxes imposed on or with respect to payments made to or by such Agent, Lender or Issuing Bank and indemnified by such Credit Party that such Credit Party reasonably believes were not correctly or legally imposed or asserted by the relevant Governmental Authority.</w:t>
      </w:r>
    </w:p>
    <w:p>
      <w:pPr>
        <w:spacing w:after="0" w:line="123" w:lineRule="exact"/>
        <w:rPr>
          <w:sz w:val="20"/>
          <w:szCs w:val="20"/>
          <w:color w:val="auto"/>
        </w:rPr>
      </w:pPr>
    </w:p>
    <w:p>
      <w:pPr>
        <w:ind w:right="40" w:firstLine="921"/>
        <w:spacing w:after="0" w:line="291" w:lineRule="auto"/>
        <w:tabs>
          <w:tab w:leader="none" w:pos="1171"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Lender shall severally indemnify each Agent, within 10 days after demand therefor, for (A) any Indemnified Taxes attributable to such Lender (but only to the extent that any Credit Party has not already indemnified such Agent for such Indemnified Taxes and without limiting the obligation of the Credit Parties to do so), (B) any Taxes attributable to such Lender’s failure to comply with the provisions of Section 11.04(k) relating to the maintenance of a Participant Register and (C) any Excluded Taxes attributable to such Lender, in each case, that are payable or paid by such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62" w:name="page63"/>
    <w:bookmarkEnd w:id="62"/>
    <w:p>
      <w:pPr>
        <w:ind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any Lender by an Agent shall be conclusive absent manifest error. Each Lender hereby authorizes each Agent to set off and apply any and all amounts at any time owing to such Lender hereunder or under any other Credit Document or otherwise payable by such Agent to the Lender from any other source against any amount due to such Agent under this paragraph (c)(ii). For the avoidance of doubt, nothing in this paragraph (c)(ii) shall increase the obligations of any Borrower under this Section 2.17.</w:t>
      </w:r>
    </w:p>
    <w:p>
      <w:pPr>
        <w:spacing w:after="0" w:line="143" w:lineRule="exact"/>
        <w:rPr>
          <w:sz w:val="20"/>
          <w:szCs w:val="20"/>
          <w:color w:val="auto"/>
        </w:rPr>
      </w:pPr>
    </w:p>
    <w:p>
      <w:pPr>
        <w:jc w:val="both"/>
        <w:ind w:right="100" w:firstLine="921"/>
        <w:spacing w:after="0" w:line="306" w:lineRule="auto"/>
        <w:tabs>
          <w:tab w:leader="none" w:pos="11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a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right="100" w:firstLine="921"/>
        <w:spacing w:after="0" w:line="288" w:lineRule="auto"/>
        <w:tabs>
          <w:tab w:leader="none" w:pos="11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 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(with a copy to the Administrative Agent), at the time or times prescribed by applicable law, such properly completed and executed documentation prescribed by applicable law or reasonably requested by the Company as will permit such payments to be made without withholding or at a reduced rate; </w:t>
      </w:r>
      <w:r>
        <w:rPr>
          <w:rFonts w:ascii="Arial" w:cs="Arial" w:eastAsia="Arial" w:hAnsi="Arial"/>
          <w:sz w:val="16"/>
          <w:szCs w:val="16"/>
          <w:i w:val="1"/>
          <w:iCs w:val="1"/>
          <w:color w:val="auto"/>
        </w:rPr>
        <w:t>provided</w:t>
      </w:r>
      <w:r>
        <w:rPr>
          <w:rFonts w:ascii="Arial" w:cs="Arial" w:eastAsia="Arial" w:hAnsi="Arial"/>
          <w:sz w:val="16"/>
          <w:szCs w:val="16"/>
          <w:color w:val="auto"/>
        </w:rPr>
        <w:t>, other than in the case of any exemption or reduction on which such Lender shall have been relying at the time it became a Lender or as to 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Each Lender shall promptly notify the Company at any time it determines that it is no longer in a position to provide any such previously delivered documentation to the Company.</w:t>
      </w:r>
    </w:p>
    <w:p>
      <w:pPr>
        <w:spacing w:after="0" w:line="38" w:lineRule="exact"/>
        <w:rPr>
          <w:rFonts w:ascii="Arial" w:cs="Arial" w:eastAsia="Arial" w:hAnsi="Arial"/>
          <w:sz w:val="16"/>
          <w:szCs w:val="16"/>
          <w:color w:val="auto"/>
        </w:rPr>
      </w:pPr>
    </w:p>
    <w:p>
      <w:pPr>
        <w:ind w:left="460" w:firstLine="443"/>
        <w:spacing w:after="0" w:line="289" w:lineRule="auto"/>
        <w:tabs>
          <w:tab w:leader="none" w:pos="1157"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Without limiting the generality of the foregoing paragraph, 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Applicable Agent at the time or times prescribed by law and at such time or times reasonably requested by the Borrower or the Applicable Agent such documentation prescribed by applicable law (including as prescribed by Section 1471(b)(3)(C)(i) of the Code) and such additional documentation reasonably requested by the Borrower or the Applicable Agent as may be necessary for the Borrower and the Applicable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118" w:lineRule="exact"/>
        <w:rPr>
          <w:rFonts w:ascii="Arial" w:cs="Arial" w:eastAsia="Arial" w:hAnsi="Arial"/>
          <w:sz w:val="16"/>
          <w:szCs w:val="16"/>
          <w:color w:val="auto"/>
        </w:rPr>
      </w:pPr>
    </w:p>
    <w:p>
      <w:pPr>
        <w:ind w:firstLine="921"/>
        <w:spacing w:after="0" w:line="253" w:lineRule="auto"/>
        <w:tabs>
          <w:tab w:leader="none" w:pos="11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If the Administrative Agent or a Lender determines, in its sole discretion,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that such Borrower, upon the request of the Administrative Agent or such Lender, agrees to repay the amount paid over to such Borrower (plus any penalties, interest or other charges imposed by the relevant Governmental</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63" w:name="page64"/>
    <w:bookmarkEnd w:id="63"/>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 To the extent this Section 2.17(f) otherwise applies, the relevant Agent or Lender and the relevant Credit Party will cooperate to pursue any applicable refund, if necessary.</w:t>
      </w:r>
    </w:p>
    <w:p>
      <w:pPr>
        <w:spacing w:after="0" w:line="113" w:lineRule="exact"/>
        <w:rPr>
          <w:sz w:val="20"/>
          <w:szCs w:val="20"/>
          <w:color w:val="auto"/>
        </w:rPr>
      </w:pPr>
    </w:p>
    <w:p>
      <w:pPr>
        <w:jc w:val="both"/>
        <w:ind w:right="220" w:firstLine="921"/>
        <w:spacing w:after="0" w:line="306"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2.15, 2.16 or 2.21. To the extent payment of any amount due under this Section is also required under one or more of Sections 2.15, 2.16 and 2.21, such payment will be due only under this Section or, if not within the scope of this Section, under any one other Section as the payee may elect.</w:t>
      </w:r>
    </w:p>
    <w:p>
      <w:pPr>
        <w:spacing w:after="0" w:line="106" w:lineRule="exact"/>
        <w:rPr>
          <w:rFonts w:ascii="Arial" w:cs="Arial" w:eastAsia="Arial" w:hAnsi="Arial"/>
          <w:sz w:val="16"/>
          <w:szCs w:val="16"/>
          <w:color w:val="auto"/>
        </w:rPr>
      </w:pPr>
    </w:p>
    <w:p>
      <w:pPr>
        <w:ind w:firstLine="921"/>
        <w:spacing w:after="0" w:line="287" w:lineRule="auto"/>
        <w:tabs>
          <w:tab w:leader="none" w:pos="11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Lender that is a Lender as of the Effective Date confirms that, as of the Effective Date such Lender is a Qualifying Bank. Each person that shall become a Lender after the Effective Date confirms that as of the date such person becomes a Lender it is (i) a Qualifying Bank or (ii) one single creditor for the purposes of the Swiss Withholding Tax Rules. If any Lender that is initially a Qualifying Bank ceases to be a Qualifying Bank, any resulting Swiss Withholding Tax imposed on such Lender will be for that Lender’s account. The Company shall ensure that at any time when the Borrowing Subsidiaries include one or more Swiss Subsidiary Borrowers, each Swiss Subsidiary Borrower will comply, insofar as compliance depends on the Company’s acting or refraining from acting, with the Swiss Withholding Tax Rules. For purposes of compliance with the immediately preceding sentence in respect of Swiss Twenty Non-Bank Rule, the Company shall assume for the purposes of determining the total number of creditors which are Non-Qualifying Banks that at all times there are five Lenders that are not Qualifying Banks under this Agreement. Notwithstanding any other provision of this Agreement, the Company shall be responsible for any Swiss Withholding Tax that may be applicable as a result of a breach of its agreements set forth in this Section, but such breach shall not constitute a Default or an Event of Default for purposes of this Agreement.</w:t>
      </w:r>
    </w:p>
    <w:p>
      <w:pPr>
        <w:spacing w:after="0" w:line="122" w:lineRule="exact"/>
        <w:rPr>
          <w:rFonts w:ascii="Arial" w:cs="Arial" w:eastAsia="Arial" w:hAnsi="Arial"/>
          <w:sz w:val="16"/>
          <w:szCs w:val="16"/>
          <w:color w:val="auto"/>
        </w:rPr>
      </w:pPr>
    </w:p>
    <w:p>
      <w:pPr>
        <w:ind w:right="120" w:firstLine="921"/>
        <w:spacing w:after="0" w:line="306" w:lineRule="auto"/>
        <w:tabs>
          <w:tab w:leader="none" w:pos="112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107" w:lineRule="exact"/>
        <w:rPr>
          <w:sz w:val="20"/>
          <w:szCs w:val="20"/>
          <w:color w:val="auto"/>
        </w:rPr>
      </w:pPr>
    </w:p>
    <w:p>
      <w:pPr>
        <w:ind w:right="260" w:firstLine="921"/>
        <w:spacing w:after="0" w:line="306" w:lineRule="auto"/>
        <w:tabs>
          <w:tab w:leader="none" w:pos="1171"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106" w:lineRule="exact"/>
        <w:rPr>
          <w:rFonts w:ascii="Arial" w:cs="Arial" w:eastAsia="Arial" w:hAnsi="Arial"/>
          <w:sz w:val="16"/>
          <w:szCs w:val="16"/>
          <w:color w:val="auto"/>
        </w:rPr>
      </w:pPr>
    </w:p>
    <w:p>
      <w:pPr>
        <w:ind w:right="100" w:firstLine="921"/>
        <w:spacing w:after="0" w:line="294" w:lineRule="auto"/>
        <w:tabs>
          <w:tab w:leader="none" w:pos="1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Without limiting the generality of Section 2.17(h)(i), when a Lender provides the applicable UK DTTP Scheme reference number to the Administrative Agent and each UK Borrowing Subsidiary in accordance with Section 2.17(h)(ii),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4" w:name="page65"/>
    <w:bookmarkEnd w:id="64"/>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2.18.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xml:space="preserve">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Local Time, on the date when due, in immediately available funds, without set-off or counterclaim. Any amounts received after such time on any date may, in the discretion of the Applicable Agent, be deemed to have been received on the next succeeding Business Day for purposes of calculating interest thereon. All such payments shall be made to the Applicable Agent for the account of the applicable Lenders to such account as the Applicable Agent shall from time to time specify in one or more notices delivered to the Company, except that payments to be made directly to an Issuing Bank or Swingline Lender as expressly provided herein shall be made directly to such parties and payments pursuant to Sections 2.15, 2.16, 2.17, 2.21 and 11.03 shall be made directly to the Persons entitled thereto. The Applicable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BA or LC Disbursement shall, except as otherwise expressly provided herein, be made in the currency of such Loan, BA or LC Disbursement; all other payments hereunder and under each other Credit Document shall be made in US Dollars. Any payment required to be made by any Agent hereunder shall be deemed to have been made by the time required if such Agent shall, at or before such time, have taken the necessary steps to make such payment in accordance with the regulations or operating procedures of the clearing or settlement system used by such Agent to make such payment.</w:t>
      </w:r>
    </w:p>
    <w:p>
      <w:pPr>
        <w:spacing w:after="0" w:line="126" w:lineRule="exact"/>
        <w:rPr>
          <w:sz w:val="20"/>
          <w:szCs w:val="20"/>
          <w:color w:val="auto"/>
        </w:rPr>
      </w:pPr>
    </w:p>
    <w:p>
      <w:pPr>
        <w:ind w:right="100" w:firstLine="921"/>
        <w:spacing w:after="0" w:line="254"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If at any time insufficient funds are received by the Agents from any Borrower (or from the Company as guarantor of the Obligations of such Borrower pursuant to Article X) and available to pay fully all amounts of principal, unreimbursed LC Disbursements, interest and fees then due from such Borrower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interest and fees then due from such Borrower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of the Loans and BAs and unreimbursed LC Disbursements then due from such Borrower hereunder, ratably among the parties entitled thereto in accordance with the amounts of such principal then due to such parties.</w:t>
      </w:r>
    </w:p>
    <w:p>
      <w:pPr>
        <w:spacing w:after="0" w:line="144" w:lineRule="exact"/>
        <w:rPr>
          <w:rFonts w:ascii="Arial" w:cs="Arial" w:eastAsia="Arial" w:hAnsi="Arial"/>
          <w:sz w:val="18"/>
          <w:szCs w:val="18"/>
          <w:color w:val="auto"/>
        </w:rPr>
      </w:pPr>
    </w:p>
    <w:p>
      <w:pPr>
        <w:ind w:right="40" w:firstLine="921"/>
        <w:spacing w:after="0" w:line="287" w:lineRule="auto"/>
        <w:tabs>
          <w:tab w:leader="none" w:pos="1152"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any Lender shall, by exercising any right of set-off or counterclaim or otherwise, obtain payment in respect of its Loans, BAs, participations in LC Disbursements or Swingline Loans or accrued interest on any of the foregoing (collectively “</w:t>
      </w:r>
      <w:r>
        <w:rPr>
          <w:rFonts w:ascii="Arial" w:cs="Arial" w:eastAsia="Arial" w:hAnsi="Arial"/>
          <w:sz w:val="16"/>
          <w:szCs w:val="16"/>
          <w:i w:val="1"/>
          <w:iCs w:val="1"/>
          <w:color w:val="auto"/>
        </w:rPr>
        <w:t>Claims</w:t>
      </w:r>
      <w:r>
        <w:rPr>
          <w:rFonts w:ascii="Arial" w:cs="Arial" w:eastAsia="Arial" w:hAnsi="Arial"/>
          <w:sz w:val="16"/>
          <w:szCs w:val="16"/>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65" w:name="page66"/>
    <w:bookmarkEnd w:id="6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that any Lender acquiring a participation pursuant to the foregoing arrangements may exercise against the Company and each Borrower rights of set-off and counterclaim with respect to such participation as fully as if such Lender were a direct creditor of the Company or such Borrower in the amount of such participation.</w:t>
      </w:r>
    </w:p>
    <w:p>
      <w:pPr>
        <w:spacing w:after="0" w:line="140" w:lineRule="exact"/>
        <w:rPr>
          <w:sz w:val="20"/>
          <w:szCs w:val="20"/>
          <w:color w:val="auto"/>
        </w:rPr>
      </w:pPr>
    </w:p>
    <w:p>
      <w:pPr>
        <w:ind w:firstLine="921"/>
        <w:spacing w:after="0" w:line="290"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Unless an Agent shall have received notice from a Borrower prior to the date on which any payment is due to such Agent for the account of any Lenders or any Issuing Bank hereunder that such Borrower will not make such payment, such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such Agent forthwith on demand the amount so distributed to such Lender or Issuing Bank with interest thereon, for each day from and including the date such amount is distributed to it to but excluding the date of payment to such Agent, at a rate determined by such Agent in accordance with banking industry rules on interbank compensation.</w:t>
      </w:r>
    </w:p>
    <w:p>
      <w:pPr>
        <w:spacing w:after="0" w:line="118" w:lineRule="exact"/>
        <w:rPr>
          <w:rFonts w:ascii="Arial" w:cs="Arial" w:eastAsia="Arial" w:hAnsi="Arial"/>
          <w:sz w:val="16"/>
          <w:szCs w:val="16"/>
          <w:color w:val="auto"/>
        </w:rPr>
      </w:pPr>
    </w:p>
    <w:p>
      <w:pPr>
        <w:ind w:right="40" w:firstLine="921"/>
        <w:spacing w:after="0" w:line="256" w:lineRule="auto"/>
        <w:tabs>
          <w:tab w:leader="none" w:pos="11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2.04(c), 2.05(d) or (e), 2.07(b), 2.18(c) or 11.03(c) then the Administrative Agent may, in its discretion (notwithstanding any contrary provision hereof), and each other Agent, at the direction of the Administrative Agent, shall, apply any amounts thereafter received by it for the account of such Lender to satisfy such Lender’s obligations under such Sections until all such unsatisfied obligations are fully paid.</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Mitigation by Lenders; Replacement of Lenders; Mitigation by Borrowers.</w:t>
      </w:r>
      <w:r>
        <w:rPr>
          <w:rFonts w:ascii="Arial" w:cs="Arial" w:eastAsia="Arial" w:hAnsi="Arial"/>
          <w:sz w:val="16"/>
          <w:szCs w:val="16"/>
          <w:color w:val="auto"/>
        </w:rPr>
        <w:t xml:space="preserve"> (a) Each Lender shall, to the extent practicable, designate each Tranche A Lending Office, Tranche B Lending Office and Tranche C Lending Office, and select any branch or Affiliate through which it makes any Loan or accepts and purchases any BAs as contemplated by Section 2.02(b), with a view to minimizing, and if possible avoiding, any required payment by the Borrowers of additional amounts pursuant to Section 2.15, 2.17 or 2.21; </w:t>
      </w:r>
      <w:r>
        <w:rPr>
          <w:rFonts w:ascii="Arial" w:cs="Arial" w:eastAsia="Arial" w:hAnsi="Arial"/>
          <w:sz w:val="16"/>
          <w:szCs w:val="16"/>
          <w:i w:val="1"/>
          <w:iCs w:val="1"/>
          <w:color w:val="auto"/>
        </w:rPr>
        <w:t>provided</w:t>
      </w:r>
      <w:r>
        <w:rPr>
          <w:rFonts w:ascii="Arial" w:cs="Arial" w:eastAsia="Arial" w:hAnsi="Arial"/>
          <w:sz w:val="16"/>
          <w:szCs w:val="16"/>
          <w:color w:val="auto"/>
        </w:rPr>
        <w:t>, that no Lender shall be required to designate a Tranche A Lending Office, a Tranche B Lending Office or a Tranche C Lending Office or to select a branch or Affiliate for the making of any Loan or the acceptance and purchase of any BAs if, in the judgment of such Lender, such designation or selection would subject such Lender to any unreimbursed cost or expense or entail any other financial, legal or business disadvantage. If any Borrower is required to pay any additional amount to any Lender or to any Governmental Authority for the account of any Lender pursuant to Section 2.15, 2.17 or 2.21,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2.15, 2.17 or 2.21,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2.15, 2.17 or 2.21 as a result of any Change in Law after the Closing Date.</w:t>
      </w:r>
    </w:p>
    <w:p>
      <w:pPr>
        <w:spacing w:after="0" w:line="128" w:lineRule="exact"/>
        <w:rPr>
          <w:sz w:val="20"/>
          <w:szCs w:val="20"/>
          <w:color w:val="auto"/>
        </w:rPr>
      </w:pPr>
    </w:p>
    <w:p>
      <w:pPr>
        <w:jc w:val="both"/>
        <w:ind w:right="100" w:firstLine="921"/>
        <w:spacing w:after="0" w:line="335" w:lineRule="auto"/>
        <w:tabs>
          <w:tab w:leader="none" w:pos="1162" w:val="left"/>
        </w:tabs>
        <w:numPr>
          <w:ilvl w:val="0"/>
          <w:numId w:val="67"/>
        </w:numPr>
        <w:rPr>
          <w:rFonts w:ascii="Arial" w:cs="Arial" w:eastAsia="Arial" w:hAnsi="Arial"/>
          <w:sz w:val="15"/>
          <w:szCs w:val="15"/>
          <w:color w:val="auto"/>
        </w:rPr>
      </w:pPr>
      <w:r>
        <w:rPr>
          <w:rFonts w:ascii="Arial" w:cs="Arial" w:eastAsia="Arial" w:hAnsi="Arial"/>
          <w:sz w:val="15"/>
          <w:szCs w:val="15"/>
          <w:color w:val="auto"/>
        </w:rPr>
        <w:t>If (i) any Lender requests compensation under Section 2.15 or 2.21, (ii) any Credit Party is required to pay any additional amount to any Lender or any Governmental Authority for the account of any Lender pursuant to Section 2.17, (iii) any Lender has become a Defaulting Lender or (iv) any Lender has failed to consent to a proposed amendment, waiver, discharge or termination that under Section 11.02 requires the consent of all the Lenders (or all the affected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66" w:name="page67"/>
    <w:bookmarkEnd w:id="66"/>
    <w:p>
      <w:pPr>
        <w:ind w:right="1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Lenders or all the Lenders with Commitments of the affected Class) and with respect to which the Required Lenders (or, in circumstances where 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and obligations under the Credit Documents to an assignee that shall assume such obligations (which assignee may be another Lender, if a Lender accepts such assignment);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(x) such Borrower shall have received the prior written consent of the Administrative Agent (and (1) if a Tranche A Commitment is being assigned, each Issuing Bank and (2) if a Tranche A Commitment or a Tranche B Commitment is being assigned, the Swingline Lender), which consent, in each case, shall not unreasonably be withheld,</w:t>
      </w:r>
    </w:p>
    <w:p>
      <w:pPr>
        <w:spacing w:after="0" w:line="5" w:lineRule="exact"/>
        <w:rPr>
          <w:sz w:val="20"/>
          <w:szCs w:val="20"/>
          <w:color w:val="auto"/>
        </w:rPr>
      </w:pPr>
    </w:p>
    <w:p>
      <w:pPr>
        <w:ind w:firstLine="8"/>
        <w:spacing w:after="0" w:line="287"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and BAs and funded participations in LC Disbursements and Swingline Loans, accrued interest thereon, accrued fees and all other amounts payable to it hereunder, from the assignee (to the extent of such outstanding principal, funded participations and accrued interest and fees) or such Borrower (in the case of all other amounts) and (z) in the case of any such assignment resulting from a claim for compensation under Section 2.15 or 2.21 or payments required to be made pursuant to Section 2.17, such assignment will result in a material reduction in such compensation or payments.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20" w:lineRule="exact"/>
        <w:rPr>
          <w:rFonts w:ascii="Arial" w:cs="Arial" w:eastAsia="Arial" w:hAnsi="Arial"/>
          <w:sz w:val="16"/>
          <w:szCs w:val="16"/>
          <w:color w:val="auto"/>
        </w:rPr>
      </w:pPr>
    </w:p>
    <w:p>
      <w:pPr>
        <w:ind w:right="20" w:firstLine="921"/>
        <w:spacing w:after="0" w:line="255" w:lineRule="auto"/>
        <w:tabs>
          <w:tab w:leader="none" w:pos="1152"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132" w:lineRule="exact"/>
        <w:rPr>
          <w:sz w:val="20"/>
          <w:szCs w:val="20"/>
          <w:color w:val="auto"/>
        </w:rPr>
      </w:pPr>
    </w:p>
    <w:p>
      <w:pPr>
        <w:ind w:left="1160" w:hanging="239"/>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facility fees shall cease to accrue on the unused amount of each Commitment of such Defaulting Lender pursuant to Section 2.12(a);</w:t>
      </w:r>
    </w:p>
    <w:p>
      <w:pPr>
        <w:spacing w:after="0" w:line="194" w:lineRule="exact"/>
        <w:rPr>
          <w:rFonts w:ascii="Arial" w:cs="Arial" w:eastAsia="Arial" w:hAnsi="Arial"/>
          <w:sz w:val="16"/>
          <w:szCs w:val="16"/>
          <w:color w:val="auto"/>
        </w:rPr>
      </w:pPr>
    </w:p>
    <w:p>
      <w:pPr>
        <w:ind w:right="40" w:firstLine="921"/>
        <w:spacing w:after="0" w:line="323" w:lineRule="auto"/>
        <w:tabs>
          <w:tab w:leader="none" w:pos="1162"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amendment, waiver or other modification requiring the consent of all Lenders or all Lenders affected thereby shall, except as otherwise provided in Section 11.02, require the consent of such Defaulting Lender in accordance with the terms hereof;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7" w:name="page68"/>
    <w:bookmarkEnd w:id="67"/>
    <w:p>
      <w:pPr>
        <w:ind w:left="-20" w:right="480" w:firstLine="921"/>
        <w:spacing w:after="0" w:line="268" w:lineRule="auto"/>
        <w:tabs>
          <w:tab w:leader="none" w:pos="1132"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Tranche A Swingline Exposure, Tranche B Swingline Exposure or LC Exposure exists at the time such Revolving Lender becomes a Defaulting Lender then:</w:t>
      </w:r>
    </w:p>
    <w:p>
      <w:pPr>
        <w:spacing w:after="0" w:line="50" w:lineRule="exact"/>
        <w:rPr>
          <w:rFonts w:ascii="Arial" w:cs="Arial" w:eastAsia="Arial" w:hAnsi="Arial"/>
          <w:sz w:val="18"/>
          <w:szCs w:val="18"/>
          <w:color w:val="auto"/>
        </w:rPr>
      </w:pPr>
    </w:p>
    <w:p>
      <w:pPr>
        <w:ind w:left="440" w:right="20" w:firstLine="443"/>
        <w:spacing w:after="0" w:line="289" w:lineRule="auto"/>
        <w:tabs>
          <w:tab w:leader="none" w:pos="10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Tranche A Swingline Exposure or Tranche B Swingline Exposure (other than any portion thereof with respect to which such Defaulting Lender shall have funded its participation as contemplated by Section 2.04(c)) and any LC Exposure of such Defaulting Lender (other than any portion thereof attributable to unreimbursed LC Disbursements with respect to which such Defaulting Lender shall have funded its participation as contemplated by Sections 2.05(d) and 2.05(e)) shall be reallocated among the Non-Defaulting Lenders of the applicable Tranche ratably in accordance with their respective applicable Tranche A Percentages or Tranche B Percentages, as the case may be, but only to the extent that (A) the sum of all Non-Defaulting Lenders’ Tranche A Revolving Credit Exposures, plus such Defaulting Lender’s Tranche A Swingline Exposure and LC Exposure does not exceed the sum of all Non-Defaulting Lenders’ Tranche A Commitments, and (B) the sum of all Non-Defaulting Lenders’ Tranche B Revolving Credit Exposures, plus such Defaulting Lender’s Tranche B Swingline Exposure does not exceed the sum of all Non-Defaulting Lenders’ Tranche B Commitments;</w:t>
      </w:r>
    </w:p>
    <w:p>
      <w:pPr>
        <w:spacing w:after="0" w:line="37" w:lineRule="exact"/>
        <w:rPr>
          <w:rFonts w:ascii="Arial" w:cs="Arial" w:eastAsia="Arial" w:hAnsi="Arial"/>
          <w:sz w:val="16"/>
          <w:szCs w:val="16"/>
          <w:color w:val="auto"/>
        </w:rPr>
      </w:pPr>
    </w:p>
    <w:p>
      <w:pPr>
        <w:ind w:left="440" w:firstLine="443"/>
        <w:spacing w:after="0" w:line="255"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Company shall within two Business Days following notice by the Administrative Agent (A) first, prepay the portion of such Defaulting Lender’s Tranche A Swingline Exposure or Tranche B Swingline Exposure that has not been reallocated and (B) second, cash collateralize for the benefit of the Issuing Banks and the Tranche A Lenders the portion of such Defaulting Lender’s LC Exposure that has not been reallocated in accordance with the procedures set forth in Section 2.05(i) for so long as such LC Exposure is outstanding;</w:t>
      </w:r>
    </w:p>
    <w:p>
      <w:pPr>
        <w:spacing w:after="0" w:line="61" w:lineRule="exact"/>
        <w:rPr>
          <w:rFonts w:ascii="Arial" w:cs="Arial" w:eastAsia="Arial" w:hAnsi="Arial"/>
          <w:sz w:val="18"/>
          <w:szCs w:val="18"/>
          <w:color w:val="auto"/>
        </w:rPr>
      </w:pPr>
    </w:p>
    <w:p>
      <w:pPr>
        <w:ind w:left="440" w:right="40" w:firstLine="443"/>
        <w:spacing w:after="0" w:line="259" w:lineRule="auto"/>
        <w:tabs>
          <w:tab w:leader="none" w:pos="11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participation fees to such Defaulting Lender pursuant to Section 2.12(b) with respect to such portion of such Defaulting Lender’s LC Exposure for so long as such Defaulting Lender’s LC Exposure is cash collateralized;</w:t>
      </w:r>
    </w:p>
    <w:p>
      <w:pPr>
        <w:spacing w:after="0" w:line="59" w:lineRule="exact"/>
        <w:rPr>
          <w:rFonts w:ascii="Arial" w:cs="Arial" w:eastAsia="Arial" w:hAnsi="Arial"/>
          <w:sz w:val="18"/>
          <w:szCs w:val="18"/>
          <w:color w:val="auto"/>
        </w:rPr>
      </w:pPr>
    </w:p>
    <w:p>
      <w:pPr>
        <w:ind w:left="440" w:right="380" w:firstLine="443"/>
        <w:spacing w:after="0" w:line="268" w:lineRule="auto"/>
        <w:tabs>
          <w:tab w:leader="none" w:pos="1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any portion of the LC Exposure of such Defaulting Lender is reallocated pursuant to clause (i) above, then the fees payable to the Lenders pursuant to Section 2.12(b) shall be adjusted to give effect to such reallocation; and</w:t>
      </w:r>
    </w:p>
    <w:p>
      <w:pPr>
        <w:spacing w:after="0" w:line="50" w:lineRule="exact"/>
        <w:rPr>
          <w:rFonts w:ascii="Arial" w:cs="Arial" w:eastAsia="Arial" w:hAnsi="Arial"/>
          <w:sz w:val="18"/>
          <w:szCs w:val="18"/>
          <w:color w:val="auto"/>
        </w:rPr>
      </w:pPr>
    </w:p>
    <w:p>
      <w:pPr>
        <w:ind w:left="440" w:right="240" w:firstLine="443"/>
        <w:spacing w:after="0" w:line="255" w:lineRule="auto"/>
        <w:tabs>
          <w:tab w:leader="none" w:pos="11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any Issuing Bank or any other Lender hereunder, all participation fees payable under Section 2.12(b)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42" w:lineRule="exact"/>
        <w:rPr>
          <w:rFonts w:ascii="Arial" w:cs="Arial" w:eastAsia="Arial" w:hAnsi="Arial"/>
          <w:sz w:val="18"/>
          <w:szCs w:val="18"/>
          <w:color w:val="auto"/>
        </w:rPr>
      </w:pPr>
    </w:p>
    <w:p>
      <w:pPr>
        <w:ind w:left="-20" w:right="20" w:firstLine="921"/>
        <w:spacing w:after="0" w:line="291" w:lineRule="auto"/>
        <w:tabs>
          <w:tab w:leader="none" w:pos="1142" w:val="left"/>
        </w:tabs>
        <w:numPr>
          <w:ilvl w:val="1"/>
          <w:numId w:val="71"/>
        </w:numPr>
        <w:rPr>
          <w:rFonts w:ascii="Arial" w:cs="Arial" w:eastAsia="Arial" w:hAnsi="Arial"/>
          <w:sz w:val="16"/>
          <w:szCs w:val="16"/>
          <w:color w:val="auto"/>
        </w:rPr>
      </w:pPr>
      <w:r>
        <w:rPr>
          <w:rFonts w:ascii="Arial" w:cs="Arial" w:eastAsia="Arial" w:hAnsi="Arial"/>
          <w:sz w:val="16"/>
          <w:szCs w:val="16"/>
          <w:color w:val="auto"/>
        </w:rPr>
        <w:t>so long as such Lender is a Defaulting Lender, the Swingline Lender shall not be required to fund any Swingline Loan and no Issuing Bank shall be required to issue, amend, renew or extend any Letter of Credit unless, in each case, it is satisfied that the related exposure and the Defaulting Lender’s then outstanding Tranche A Swingline Exposure, Tranche B Swingline Exposure or LC Exposure, as applicable, will be fully covered by the Commitments of the applicable Non-Defaulting Lenders and/or cash collateral provided by the Company in accordance with Section 2.20(c), and participating interests in any such funded Swingline Loan or in any such issued, amended, renewed or extended Letter of Credit will be allocated among the applicable Non-Defaulting Lenders in a manner consistent with Section 2.20(c)(i) (and such Defaulting Lender shall not participate therein).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60" w:top="280" w:right="239" w:bottom="1440" w:gutter="0" w:footer="0" w:header="0"/>
        </w:sectPr>
      </w:pPr>
    </w:p>
    <w:bookmarkStart w:id="68" w:name="page69"/>
    <w:bookmarkEnd w:id="68"/>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(x) a Bankruptcy Event with respect to a Lender Parent shall have occurred following the date hereof and for so long as such Bankruptcy Event shall continue or (y)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such Issuing Bank shall not be required to issue, amend, renew or extend any Letter of Credit, unless the Swingline Lender or such Issuing Bank, as the case may be, shall have entered into arrangements with the Company or the applicable Lender satisfactory to the Swingline Lender or such Issuing Bank, as the case may be, to defease any risk to it in respect of such Lender hereunder.</w:t>
      </w:r>
    </w:p>
    <w:p>
      <w:pPr>
        <w:spacing w:after="0" w:line="12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In the event that the Administrative Agent, the Company, the Swingline Lender and each Issuing Bank each agree that a Defaulting Lender has adequately remedied all matters that caused such Lender to be a Defaulting Lender, then the Tranche A Swingline Exposure, Tranche B Swingline Exposure and LC Exposure of the applicable Lenders shall be readjusted to reflect the inclusion of such Lender’s Commitments and on such date such Lender shall purchase at par such of the Revolving Loans of the other Lenders as the Administrative Agent shall determine may be necessary in order for such Lender to hold such Loans in accordance with its applicable Tranche A Percentage or Tranche B Percentage, as the case may be.</w:t>
      </w:r>
    </w:p>
    <w:p>
      <w:pPr>
        <w:spacing w:after="0" w:line="1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Foreign Subsidiary Costs.</w:t>
      </w:r>
      <w:r>
        <w:rPr>
          <w:rFonts w:ascii="Arial" w:cs="Arial" w:eastAsia="Arial" w:hAnsi="Arial"/>
          <w:sz w:val="16"/>
          <w:szCs w:val="16"/>
          <w:color w:val="auto"/>
        </w:rPr>
        <w:t xml:space="preserve"> (a) If the cost to any Lender of making or maintaining any Loan to, or accepting and purchasing any BA of, or participating in any Letter of Credit or Swingline Loan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118" w:lineRule="exact"/>
        <w:rPr>
          <w:sz w:val="20"/>
          <w:szCs w:val="20"/>
          <w:color w:val="auto"/>
        </w:rPr>
      </w:pPr>
    </w:p>
    <w:p>
      <w:pPr>
        <w:ind w:right="20" w:firstLine="921"/>
        <w:spacing w:after="0" w:line="253"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if any Lender fails to give such notice within 90 days after it obtains actual knowledge of such an event, such Lender shall,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147" w:lineRule="exact"/>
        <w:rPr>
          <w:rFonts w:ascii="Arial" w:cs="Arial" w:eastAsia="Arial" w:hAnsi="Arial"/>
          <w:sz w:val="18"/>
          <w:szCs w:val="18"/>
          <w:color w:val="auto"/>
        </w:rPr>
      </w:pPr>
    </w:p>
    <w:p>
      <w:pPr>
        <w:ind w:right="180" w:firstLine="921"/>
        <w:spacing w:after="0" w:line="256"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9" w:name="page70"/>
    <w:bookmarkEnd w:id="69"/>
    <w:p>
      <w:pPr>
        <w:jc w:val="both"/>
        <w:ind w:right="200" w:firstLine="921"/>
        <w:spacing w:after="0" w:line="306" w:lineRule="auto"/>
        <w:tabs>
          <w:tab w:leader="none" w:pos="1162"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any amounts due under this Section shall be without duplication of any payments required to be made under Section 2.15, 2.16 or 2.17. To the extent payment of any amount due under this Section is also required under one or more of Sections 2.15, 2.16 and 2.17, such payment will be due only under Section 2.17 or, if not within the scope of Section 2.17, under any one other Section as the payee may elect.</w:t>
      </w:r>
    </w:p>
    <w:p>
      <w:pPr>
        <w:spacing w:after="0" w:line="10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Designation of Borrowing Subsidiaries.</w:t>
      </w:r>
      <w:r>
        <w:rPr>
          <w:rFonts w:ascii="Arial" w:cs="Arial" w:eastAsia="Arial" w:hAnsi="Arial"/>
          <w:sz w:val="16"/>
          <w:szCs w:val="16"/>
          <w:color w:val="auto"/>
        </w:rPr>
        <w:t xml:space="preserve"> (a) The Company may at any time and from time to time designate (a) any Tranche A Subsidiary as a Tranche A Borrowing Subsidiary, (b) any Tranche B Subsidiary as a Tranche B Borrowing Subsidiary or (c) any Tranche C Subsidiary as a Tranche C Borrowing Subsidiary, in each case by delivery to the Administrative Agent of a Borrower Joinder Agreement executed by such Subsidiary and by the Company, and upon such delivery such Subsidiary shall for all purposes of this Agreement be a Tranche A Borrowing Subsidiary, a Tranche B Borrowing Subsidiary or a Tranche C Borrowing Subsidiary, as the case may be, and a party to this Agreement. Any Borrowing Subsidiary shall continue to be a Tranche A Borrowing Subsidiary, a Tranche B Borrowing Subsidiary or a Tranche C Borrowing Subsidiary, as the case may be, until the Company shall have executed and delivered to the Administrative Agent a Borrower Termination Agreement with respect to such Subsidiary, whereupon such Subsidiary shall cease to be a Borrowing Subsidiary hereunder. Notwithstanding the preceding sentence, (a) no Borrower Joinder Agreement shall become effective as to any Subsidiary if it shall be unlawful for such Subsidiary to become a Borrower hereunder or for any Lender participating in a Tranche under which such Subsidiary may borrow to make Loans or otherwise extend credit to such Subsidiary as provided herein and (b) no Borrower Termination Agreement will become effective as to any Borrowing Subsidiary until all Loans made to and BAs drawn by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the Credit Agreement by such Borrowing Subsidiary) shall have been paid in full;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Borrower Termination Agreement shall be effective to terminate the right of such Borrowing Subsidiary to request or receive further extensions of credit under this Agreement. As soon as practicable upon receipt of a Borrower Joinder Agreement, the Administrative Agent shall send a copy thereof to each Tranche A Lender, Tranche B Lender or Tranche C Lender, as the case may be.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Obligations of the Borrowing Subsidiaries hereunder shall be several and not joint.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Company represents and warrants, and each other Borrower represents and warrants as to itself and its subsidiaries, to the Lenders that:</w:t>
      </w:r>
    </w:p>
    <w:p>
      <w:pPr>
        <w:spacing w:after="0" w:line="194"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Credit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70" w:name="page71"/>
    <w:bookmarkEnd w:id="70"/>
    <w:p>
      <w:pPr>
        <w:ind w:right="1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xml:space="preserve"> The Transactions to be entered into by each Credit Party are within such Credit Party’s corporate, partnership or other applicable powers and have been duly authorized by all necessary corporate, partnership or other applicable action and, if required, by stockholder or other equityholder action. This Agreement has been duly executed and delivered by each Credit Party and constitutes, and each other Credit Document to which any Credit Party is to be a party, when executed and delivered by such Credit Party, will constitute, a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0"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(a) The Transactions (i) do not require any consent or approval of, registration or filing with, or any other action by, any Governmental Authority, (ii) will not violate any applicable law or regulation or the charter, by-laws or other organizational documents of any Credit Party or any order of any Governmental Authority, (iii) will not violate or result in a default under any indenture, material agreement or other material instrument binding upon any Credit Party or its assets, or give rise to a right thereunder to require any payment to be made by any Credit Party,</w:t>
      </w:r>
    </w:p>
    <w:p>
      <w:pPr>
        <w:spacing w:after="0" w:line="3" w:lineRule="exact"/>
        <w:rPr>
          <w:sz w:val="20"/>
          <w:szCs w:val="20"/>
          <w:color w:val="auto"/>
        </w:rPr>
      </w:pPr>
    </w:p>
    <w:p>
      <w:pPr>
        <w:ind w:right="460" w:firstLine="8"/>
        <w:spacing w:after="0" w:line="323" w:lineRule="auto"/>
        <w:tabs>
          <w:tab w:leader="none" w:pos="297"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will not result in the creation or imposition of any Lien on any asset of any Credit Party (other than Liens created hereunder) and (v) have received all requisite approvals from the Guernsey Financial Services Commission for borrowings by the Company or any Guernsey Borrowing Subsidiary.</w:t>
      </w:r>
    </w:p>
    <w:p>
      <w:pPr>
        <w:spacing w:after="0" w:line="92" w:lineRule="exact"/>
        <w:rPr>
          <w:rFonts w:ascii="Arial" w:cs="Arial" w:eastAsia="Arial" w:hAnsi="Arial"/>
          <w:sz w:val="16"/>
          <w:szCs w:val="16"/>
          <w:color w:val="auto"/>
        </w:rPr>
      </w:pPr>
    </w:p>
    <w:p>
      <w:pPr>
        <w:ind w:right="100" w:firstLine="921"/>
        <w:spacing w:after="0" w:line="259" w:lineRule="auto"/>
        <w:tabs>
          <w:tab w:leader="none" w:pos="1162" w:val="left"/>
        </w:tabs>
        <w:numPr>
          <w:ilvl w:val="1"/>
          <w:numId w:val="74"/>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engaged principally, or as one of its important activities, in the business of extending credit for the purpose of purchasing or carrying margin stock (as defined in Regulation U of the Board). No part of the proceeds of any Loan or BA Drawing will be used, whether directly or indirectly, for any purpose that would entail a violation of such Regulation U.</w:t>
      </w:r>
    </w:p>
    <w:p>
      <w:pPr>
        <w:spacing w:after="0" w:line="14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xml:space="preserve"> (a) The Company has heretofore furnished to the Lenders its consolidated balance sheet and statements of income, shareholders equity and cash flows as of and for the fiscal year ended September 30, 2011, audited and reported on by Ernst &amp; Young LLP, independent public accountants.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116" w:lineRule="exact"/>
        <w:rPr>
          <w:sz w:val="20"/>
          <w:szCs w:val="20"/>
          <w:color w:val="auto"/>
        </w:rPr>
      </w:pPr>
    </w:p>
    <w:p>
      <w:pPr>
        <w:ind w:right="60" w:firstLine="921"/>
        <w:spacing w:after="0" w:line="332" w:lineRule="auto"/>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Since September 30, 2011, there has been no event or condition that has resulted or could reasonably be expected to result in a material adverse change in the business, assets, liabilities, operations or condition (financial or otherwise) of the Company and its subsidiaries, taken as a whole.</w:t>
      </w:r>
    </w:p>
    <w:p>
      <w:pPr>
        <w:spacing w:after="0" w:line="85"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(a) Each of the Company and the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40" w:lineRule="exact"/>
        <w:rPr>
          <w:sz w:val="20"/>
          <w:szCs w:val="20"/>
          <w:color w:val="auto"/>
        </w:rPr>
      </w:pPr>
    </w:p>
    <w:p>
      <w:pPr>
        <w:ind w:right="140" w:firstLine="921"/>
        <w:spacing w:after="0" w:line="306" w:lineRule="auto"/>
        <w:tabs>
          <w:tab w:leader="none" w:pos="11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280" w:right="359" w:bottom="1440" w:gutter="0" w:footer="0" w:header="0"/>
        </w:sectPr>
      </w:pPr>
    </w:p>
    <w:bookmarkStart w:id="71" w:name="page72"/>
    <w:bookmarkEnd w:id="71"/>
    <w:p>
      <w:pPr>
        <w:ind w:right="1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xml:space="preserve"> (a) There are no actions, suits or proceedings by or before any arbitrator or Governmental Authority pending against or, to the knowledge of the Company, threatened against or affecting the Company or any of the Subsidiaries (i) as to which there is a reasonable likelihood of an adverse determination and that, if adversely determined, could reasonably be expected, individually or in the aggregate, to result in a Material Adverse Effect or (ii) that involve any of the Credit Documents or the Transactions.</w:t>
      </w:r>
    </w:p>
    <w:p>
      <w:pPr>
        <w:spacing w:after="0" w:line="113" w:lineRule="exact"/>
        <w:rPr>
          <w:sz w:val="20"/>
          <w:szCs w:val="20"/>
          <w:color w:val="auto"/>
        </w:rPr>
      </w:pPr>
    </w:p>
    <w:p>
      <w:pPr>
        <w:ind w:right="120" w:firstLine="921"/>
        <w:spacing w:after="0" w:line="298"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13"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xml:space="preserve"> Each of the Company and the Subsidiaries is in compliance with all laws, regulations and orders of any Governmental Authority applicable to it or its property and all indentures, agreements and other instruments binding upon it or its property, except where the failure to comply, individually or in the aggregate, could not reasonably be expected to result in a Material Adverse Effect.</w:t>
      </w:r>
    </w:p>
    <w:p>
      <w:pPr>
        <w:spacing w:after="0" w:line="10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xml:space="preserve"> Neither the Company nor any of the Subsidiaries is an “investment company” as defined in, or subject to regulation under, the Investment Company Act of 1940.</w:t>
      </w:r>
    </w:p>
    <w:p>
      <w:pPr>
        <w:spacing w:after="0" w:line="132" w:lineRule="exact"/>
        <w:rPr>
          <w:sz w:val="20"/>
          <w:szCs w:val="20"/>
          <w:color w:val="auto"/>
        </w:rPr>
      </w:pPr>
    </w:p>
    <w:p>
      <w:pPr>
        <w:ind w:right="60" w:firstLine="913"/>
        <w:spacing w:after="0" w:line="318" w:lineRule="auto"/>
        <w:rPr>
          <w:sz w:val="20"/>
          <w:szCs w:val="20"/>
          <w:color w:val="auto"/>
        </w:rPr>
      </w:pPr>
      <w:r>
        <w:rPr>
          <w:rFonts w:ascii="Arial" w:cs="Arial" w:eastAsia="Arial" w:hAnsi="Arial"/>
          <w:sz w:val="15"/>
          <w:szCs w:val="15"/>
          <w:color w:val="auto"/>
        </w:rPr>
        <w:t xml:space="preserve">SECTION 3.09. </w:t>
      </w:r>
      <w:r>
        <w:rPr>
          <w:rFonts w:ascii="Arial" w:cs="Arial" w:eastAsia="Arial" w:hAnsi="Arial"/>
          <w:sz w:val="15"/>
          <w:szCs w:val="15"/>
          <w:u w:val="single" w:color="auto"/>
          <w:color w:val="auto"/>
        </w:rPr>
        <w:t>Taxes.</w:t>
      </w:r>
      <w:r>
        <w:rPr>
          <w:rFonts w:ascii="Arial" w:cs="Arial" w:eastAsia="Arial" w:hAnsi="Arial"/>
          <w:sz w:val="15"/>
          <w:szCs w:val="15"/>
          <w:color w:val="auto"/>
        </w:rPr>
        <w:t xml:space="preserve"> Each of the Company and the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 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0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14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Neither the Information Memorandum nor any of the other reports, financial statements, certificates or other information furnished by or on behalf of any Credit Party to the Administrative Agent or any Lender in connection with the negotiation of this Agreement or delivered hereunder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the Company represents only that such information was prepared in good faith based upon assumptions believed to be reasonable at the time.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72" w:name="page73"/>
    <w:bookmarkEnd w:id="72"/>
    <w:p>
      <w:pPr>
        <w:ind w:right="28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6"/>
          <w:szCs w:val="16"/>
          <w:u w:val="single" w:color="auto"/>
          <w:color w:val="auto"/>
        </w:rPr>
        <w:t>Subsidiaries. Schedule 3.12</w:t>
      </w:r>
      <w:r>
        <w:rPr>
          <w:rFonts w:ascii="Arial" w:cs="Arial" w:eastAsia="Arial" w:hAnsi="Arial"/>
          <w:sz w:val="16"/>
          <w:szCs w:val="16"/>
          <w:color w:val="auto"/>
        </w:rPr>
        <w:t xml:space="preserve"> correctly sets forth the name of, the jurisdiction of organization of, and the ownership interest of the Company in, each of the Subsidiaries listed therein, in each case as of the Effective Date. The Subsidiaries listed in </w:t>
      </w:r>
      <w:r>
        <w:rPr>
          <w:rFonts w:ascii="Arial" w:cs="Arial" w:eastAsia="Arial" w:hAnsi="Arial"/>
          <w:sz w:val="16"/>
          <w:szCs w:val="16"/>
          <w:u w:val="single" w:color="auto"/>
          <w:color w:val="auto"/>
        </w:rPr>
        <w:t>Schedule 3.12</w:t>
      </w:r>
      <w:r>
        <w:rPr>
          <w:rFonts w:ascii="Arial" w:cs="Arial" w:eastAsia="Arial" w:hAnsi="Arial"/>
          <w:sz w:val="16"/>
          <w:szCs w:val="16"/>
          <w:color w:val="auto"/>
        </w:rPr>
        <w:t>, together with their own subsidiaries, account as of the Effective Date for at least 90% of the Consolidated Assets of the Company and the Subsidiaries.</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OFAC Compliance</w:t>
      </w:r>
      <w:r>
        <w:rPr>
          <w:rFonts w:ascii="Arial" w:cs="Arial" w:eastAsia="Arial" w:hAnsi="Arial"/>
          <w:sz w:val="18"/>
          <w:szCs w:val="18"/>
          <w:color w:val="auto"/>
        </w:rPr>
        <w:t>. None of the Company or any Subsidiary is listed on the Specially Designated Nationals and Blocked Persons List maintained by the Office of Foreign Asset Control, Department of the Treasury (“</w:t>
      </w:r>
      <w:r>
        <w:rPr>
          <w:rFonts w:ascii="Arial" w:cs="Arial" w:eastAsia="Arial" w:hAnsi="Arial"/>
          <w:sz w:val="18"/>
          <w:szCs w:val="18"/>
          <w:i w:val="1"/>
          <w:iCs w:val="1"/>
          <w:color w:val="auto"/>
        </w:rPr>
        <w:t>OFAC</w:t>
      </w:r>
      <w:r>
        <w:rPr>
          <w:rFonts w:ascii="Arial" w:cs="Arial" w:eastAsia="Arial" w:hAnsi="Arial"/>
          <w:sz w:val="18"/>
          <w:szCs w:val="18"/>
          <w:color w:val="auto"/>
        </w:rPr>
        <w:t>”) pursuant to Executive Order No. 13224, 66 Fed. Reg. 49079 (Sept. 25, 2001), and/or any other list maintained pursuant to any of the rules and regulations of OFAC or pursuant to any other applicable Executive Orders or otherwise subject to sanction under an OFAC implemented regulation.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obligations of the Lenders to make Loans and accept and purchase BAs and of the Issuing Banks to issue Letters of Credit hereunder shall not become effective until the date on which each of the following conditions is satisfied (or waived in accordance with Section 11.02):</w:t>
      </w:r>
    </w:p>
    <w:p>
      <w:pPr>
        <w:spacing w:after="0" w:line="59" w:lineRule="exact"/>
        <w:rPr>
          <w:sz w:val="20"/>
          <w:szCs w:val="20"/>
          <w:color w:val="auto"/>
        </w:rPr>
      </w:pPr>
    </w:p>
    <w:p>
      <w:pPr>
        <w:ind w:left="460" w:right="140" w:firstLine="443"/>
        <w:spacing w:after="0" w:line="259"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either (i) a counterpart of this Agreement signed on behalf of such party or (ii) written evidence reasonably satisfactory to the Administrative Agent (which may include fax or other electronic transmission of a signed signature page of this Agreement) that such party has signed a counterpart of this Agreement.</w:t>
      </w:r>
    </w:p>
    <w:p>
      <w:pPr>
        <w:spacing w:after="0" w:line="59" w:lineRule="exact"/>
        <w:rPr>
          <w:rFonts w:ascii="Arial" w:cs="Arial" w:eastAsia="Arial" w:hAnsi="Arial"/>
          <w:sz w:val="18"/>
          <w:szCs w:val="18"/>
          <w:color w:val="auto"/>
        </w:rPr>
      </w:pPr>
    </w:p>
    <w:p>
      <w:pPr>
        <w:ind w:left="460" w:right="120" w:firstLine="443"/>
        <w:spacing w:after="0" w:line="298"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Administrative Agent shall have received a written opinion (addressed to the Administrative Agent and the Lenders and dated the Effective Date) of (i) Wilmer Cutler Pickering Hale and Dorr LLP, counsel for the Borrowers, and (ii) Mourant Ozannes, Guernsey counsel, in each case covering such matters relating to the Borrowers, the Credit Documents and the Transactions as the Administrative Agent or the Required Lenders shall reasonably request. The Company hereby requests such counsel to deliver such opinions.</w:t>
      </w:r>
    </w:p>
    <w:p>
      <w:pPr>
        <w:spacing w:after="0" w:line="31" w:lineRule="exact"/>
        <w:rPr>
          <w:rFonts w:ascii="Arial" w:cs="Arial" w:eastAsia="Arial" w:hAnsi="Arial"/>
          <w:sz w:val="16"/>
          <w:szCs w:val="16"/>
          <w:color w:val="auto"/>
        </w:rPr>
      </w:pPr>
    </w:p>
    <w:p>
      <w:pPr>
        <w:jc w:val="both"/>
        <w:ind w:left="460" w:right="20" w:firstLine="443"/>
        <w:spacing w:after="0" w:line="306"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legal matters relating to the Borrowers, the Credit Documents or the Transactions, all in form and substance satisfactory to the Administrative Agent and its counsel.</w:t>
      </w:r>
    </w:p>
    <w:p>
      <w:pPr>
        <w:spacing w:after="0" w:line="25"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dated the Effective Date and signed by the President, a Vice President or a Financial Officer of the Company, confirming that on and as of the Effective Date, the representations and warranties of the Borrowers set forth in this Agreement shall be true and correct in all material respects and no Default shall have occurred and be continuing.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73" w:name="page74"/>
    <w:bookmarkEnd w:id="73"/>
    <w:p>
      <w:pPr>
        <w:ind w:left="460" w:right="8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all fees and other amounts due and payable on or prior to the Effective Date, including, to the extent invoiced, reimbursement or payment of all out-of-pocket expenses (including fees, charges and disbursements of counsel) required to be reimbursed or paid by any Borrower hereunder.</w:t>
      </w:r>
    </w:p>
    <w:p>
      <w:pPr>
        <w:spacing w:after="0" w:line="59" w:lineRule="exact"/>
        <w:rPr>
          <w:rFonts w:ascii="Arial" w:cs="Arial" w:eastAsia="Arial" w:hAnsi="Arial"/>
          <w:sz w:val="18"/>
          <w:szCs w:val="18"/>
          <w:color w:val="auto"/>
        </w:rPr>
      </w:pPr>
    </w:p>
    <w:p>
      <w:pPr>
        <w:ind w:left="460" w:firstLine="443"/>
        <w:spacing w:after="0" w:line="256" w:lineRule="auto"/>
        <w:tabs>
          <w:tab w:leader="none" w:pos="11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Agents and Lenders shall have received all documentation and other information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not fewer than five Business Days prior to the Closing Date.</w:t>
      </w:r>
    </w:p>
    <w:p>
      <w:pPr>
        <w:spacing w:after="0" w:line="62" w:lineRule="exact"/>
        <w:rPr>
          <w:rFonts w:ascii="Arial" w:cs="Arial" w:eastAsia="Arial" w:hAnsi="Arial"/>
          <w:sz w:val="18"/>
          <w:szCs w:val="18"/>
          <w:color w:val="auto"/>
        </w:rPr>
      </w:pPr>
    </w:p>
    <w:p>
      <w:pPr>
        <w:ind w:left="460" w:right="80" w:firstLine="443"/>
        <w:spacing w:after="0" w:line="256"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principal, interest, fees and other amounts outstanding or accrued under the Existing Credit Agreement, whether or not at the time due, shall have been or shall concurrently be paid in full, the commitments thereunder shall have been or shall concurrently be terminated, the obligations thereunder shall have been or shall concurrently be satisfied and all guarantees existing in connection therewith shall have been or shall concurrently be discharged and released.</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Administrative Agent shall notify the Company and the Lenders of the Effective Date, and such notice shall be conclusive and binding. Notwithstanding the foregoing, the obligations of the Lenders to make Loans and accept and purchase BAs and of the Issuing Banks to issue Letters of Credit hereunder shall not become effective unless each of the foregoing conditions is satisfied (or waived pursuant to Section 11.02) at or prior to 5:00 p.m., New York City time, on December 31, 2011 (and in the event such conditions are not so satisfied or waived, the Commitments shall terminate at such time).</w:t>
      </w:r>
    </w:p>
    <w:p>
      <w:pPr>
        <w:spacing w:after="0" w:line="113"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xml:space="preserve"> The obligation of each Lender to make a Loan on the occasion of any Borrowing or to accept and purchase BAs on the occasion of any BA Drawing, and of each Issuing Bank to issue, amend, renew or extend any Letter of Credit, is subject to receipt of the request therefor in accordance herewith and to the satisfaction of the following conditions:</w:t>
      </w:r>
    </w:p>
    <w:p>
      <w:pPr>
        <w:spacing w:after="0" w:line="59" w:lineRule="exact"/>
        <w:rPr>
          <w:sz w:val="20"/>
          <w:szCs w:val="20"/>
          <w:color w:val="auto"/>
        </w:rPr>
      </w:pPr>
    </w:p>
    <w:p>
      <w:pPr>
        <w:ind w:left="460" w:right="140" w:firstLine="443"/>
        <w:spacing w:after="0" w:line="306" w:lineRule="auto"/>
        <w:tabs>
          <w:tab w:leader="none" w:pos="11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Borrowers set forth in this Agreement (other than, with respect to any Borrowing occurring after the Effective Date, the representations set forth in Section 3.04(b)) shall be true and correct in all material respects on and as of the date of such Borrowing or BA Drawing or the date of issuance, amendment, renewal or extension of such Letter of Credit, as applicable.</w:t>
      </w:r>
    </w:p>
    <w:p>
      <w:pPr>
        <w:spacing w:after="0" w:line="25"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BA Drawing or the issuance, amendment, renewal or extension of such Letter of Credit, as applicable, no Default shall have occurred and be continuing.</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Each Borrowing or BA Drawing and each issuance, amendment, renewal or extension of a Letter of Credit shall be deemed to constitute a representation and warranty by the Company on the date thereof as to the matters specified in paragraphs (a) and (b) of this Section.</w:t>
      </w:r>
    </w:p>
    <w:p>
      <w:pPr>
        <w:spacing w:after="0" w:line="132" w:lineRule="exact"/>
        <w:rPr>
          <w:sz w:val="20"/>
          <w:szCs w:val="20"/>
          <w:color w:val="auto"/>
        </w:rPr>
      </w:pPr>
    </w:p>
    <w:p>
      <w:pPr>
        <w:ind w:right="380" w:firstLine="913"/>
        <w:spacing w:after="0" w:line="30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Initial Credit Event for each Additional Borrowing Subsidiary.</w:t>
      </w:r>
      <w:r>
        <w:rPr>
          <w:rFonts w:ascii="Arial" w:cs="Arial" w:eastAsia="Arial" w:hAnsi="Arial"/>
          <w:sz w:val="16"/>
          <w:szCs w:val="16"/>
          <w:color w:val="auto"/>
        </w:rPr>
        <w:t xml:space="preserve"> The obligations of the Lenders to make Loans to and accept and purchase BAs issued by, and the obligations of the Issuing Banks to issue Letters of Credit for the account of, any Borrowing Subsidiary that becomes a Borrowing Subsidiary after the Closing Date in accordance with Section 2.22 are subject to the satisfaction of the following conditions:</w:t>
      </w:r>
    </w:p>
    <w:p>
      <w:pPr>
        <w:spacing w:after="0" w:line="26" w:lineRule="exact"/>
        <w:rPr>
          <w:sz w:val="20"/>
          <w:szCs w:val="20"/>
          <w:color w:val="auto"/>
        </w:rPr>
      </w:pPr>
    </w:p>
    <w:p>
      <w:pPr>
        <w:ind w:left="460" w:right="260" w:firstLine="443"/>
        <w:spacing w:after="0" w:line="268"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such Borrowing Subsidiary’s Borrower Joinder Agreement duly executed by the parties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4" w:name="page75"/>
    <w:bookmarkEnd w:id="74"/>
    <w:p>
      <w:pPr>
        <w:jc w:val="both"/>
        <w:ind w:left="460" w:right="300" w:firstLine="443"/>
        <w:spacing w:after="0" w:line="256"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such documents (including such legal opinions) as the Administrative Agent or its counsel may reasonably request relating to the formation, existence and good standing of such Borrower, the authorization and legality of the Transactions insofar as they relate to such Borrower and any other legal matters relating to such Borrower, its Borrower Joinder Agreement or the Transactions, all in form and substance reasonably satisfactory to the Administrative Agent and its counsel.</w:t>
      </w:r>
    </w:p>
    <w:p>
      <w:pPr>
        <w:spacing w:after="0" w:line="62" w:lineRule="exact"/>
        <w:rPr>
          <w:rFonts w:ascii="Arial" w:cs="Arial" w:eastAsia="Arial" w:hAnsi="Arial"/>
          <w:sz w:val="18"/>
          <w:szCs w:val="18"/>
          <w:color w:val="auto"/>
        </w:rPr>
      </w:pPr>
    </w:p>
    <w:p>
      <w:pPr>
        <w:ind w:left="460" w:right="40" w:firstLine="443"/>
        <w:spacing w:after="0" w:line="298"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Agents and Lenders shall have received, at least five Business Days prior to the making of such Loans, acceptance and purchase of such BAs or issuance of such Letters of Credit, all documentation and other information relating to such Borrower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w:t>
      </w:r>
    </w:p>
    <w:p>
      <w:pPr>
        <w:spacing w:after="0" w:line="31" w:lineRule="exact"/>
        <w:rPr>
          <w:rFonts w:ascii="Arial" w:cs="Arial" w:eastAsia="Arial" w:hAnsi="Arial"/>
          <w:sz w:val="16"/>
          <w:szCs w:val="16"/>
          <w:color w:val="auto"/>
        </w:rPr>
      </w:pPr>
    </w:p>
    <w:p>
      <w:pPr>
        <w:ind w:left="460" w:firstLine="443"/>
        <w:spacing w:after="0" w:line="289"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Lender that so requests for purposes of ensuring compliance with applicable “know your customer” rules and regulations shall have received one of the following: (i) the audited consolidated balance sheet and related statements of income, changes in shareholders’ equity and cash flows as of the end of and for the prior year of such Borrower, or (ii) if financial statements referred to in subclause (i) are not required to be prepared under the laws of the Borrower’s jurisdiction of organization, a written confirmation (the form of which shall be in the Company’s discretion) by an attorney or accountant confirming the form of financial statements the Borrower is required to prepare under the laws of the Borrower’s jurisdiction of organization together with the financial statements in such form for the prior year of such Borrower, or (iii) if no financial statements are required to be prepared by the Borrower, under the laws of the Borrower’s jurisdiction of organization, a written confirmation (the form of which shall be in the Company’s discretion) by an attorney or accountant that no financial statements at all are required to be prepared.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xml:space="preserve"> The Company will furnish to the Administrative Agent and each Lender:</w:t>
      </w:r>
    </w:p>
    <w:p>
      <w:pPr>
        <w:spacing w:after="0" w:line="90" w:lineRule="exact"/>
        <w:rPr>
          <w:sz w:val="20"/>
          <w:szCs w:val="20"/>
          <w:color w:val="auto"/>
        </w:rPr>
      </w:pPr>
    </w:p>
    <w:p>
      <w:pPr>
        <w:ind w:right="60" w:firstLine="921"/>
        <w:spacing w:after="0" w:line="256" w:lineRule="auto"/>
        <w:tabs>
          <w:tab w:leader="none" w:pos="11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 shareholders’ equity and cash flows as of the end of and for such year, setting forth in each case in comparative form the figures for the previous fiscal year, all reported on by Ernst &amp; Young LLP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75" w:name="page76"/>
    <w:bookmarkEnd w:id="75"/>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independent registered public accounting firm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26" w:lineRule="exact"/>
        <w:rPr>
          <w:sz w:val="20"/>
          <w:szCs w:val="20"/>
          <w:color w:val="auto"/>
        </w:rPr>
      </w:pPr>
    </w:p>
    <w:p>
      <w:pPr>
        <w:ind w:firstLine="921"/>
        <w:spacing w:after="0" w:line="291" w:lineRule="auto"/>
        <w:tabs>
          <w:tab w:leader="none" w:pos="1162" w:val="left"/>
        </w:tabs>
        <w:numPr>
          <w:ilvl w:val="1"/>
          <w:numId w:val="84"/>
        </w:numPr>
        <w:rPr>
          <w:rFonts w:ascii="Arial" w:cs="Arial" w:eastAsia="Arial" w:hAnsi="Arial"/>
          <w:sz w:val="16"/>
          <w:szCs w:val="16"/>
          <w:color w:val="auto"/>
        </w:rPr>
      </w:pPr>
      <w:r>
        <w:rPr>
          <w:rFonts w:ascii="Arial" w:cs="Arial" w:eastAsia="Arial" w:hAnsi="Arial"/>
          <w:sz w:val="16"/>
          <w:szCs w:val="16"/>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39" w:lineRule="exact"/>
        <w:rPr>
          <w:rFonts w:ascii="Arial" w:cs="Arial" w:eastAsia="Arial" w:hAnsi="Arial"/>
          <w:sz w:val="16"/>
          <w:szCs w:val="16"/>
          <w:color w:val="auto"/>
        </w:rPr>
      </w:pPr>
    </w:p>
    <w:p>
      <w:pPr>
        <w:ind w:left="1160" w:hanging="239"/>
        <w:spacing w:after="0"/>
        <w:tabs>
          <w:tab w:leader="none" w:pos="11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certificate of a Financial Officer of the Company</w:t>
      </w:r>
    </w:p>
    <w:p>
      <w:pPr>
        <w:spacing w:after="0" w:line="38" w:lineRule="exact"/>
        <w:rPr>
          <w:rFonts w:ascii="Arial" w:cs="Arial" w:eastAsia="Arial" w:hAnsi="Arial"/>
          <w:sz w:val="16"/>
          <w:szCs w:val="16"/>
          <w:color w:val="auto"/>
        </w:rPr>
      </w:pPr>
    </w:p>
    <w:p>
      <w:pPr>
        <w:ind w:right="40" w:firstLine="8"/>
        <w:spacing w:after="0" w:line="292" w:lineRule="auto"/>
        <w:tabs>
          <w:tab w:leader="none" w:pos="21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35" w:lineRule="exact"/>
        <w:rPr>
          <w:rFonts w:ascii="Arial" w:cs="Arial" w:eastAsia="Arial" w:hAnsi="Arial"/>
          <w:sz w:val="16"/>
          <w:szCs w:val="16"/>
          <w:color w:val="auto"/>
        </w:rPr>
      </w:pPr>
    </w:p>
    <w:p>
      <w:pPr>
        <w:ind w:right="20" w:firstLine="921"/>
        <w:spacing w:after="0" w:line="259" w:lineRule="auto"/>
        <w:tabs>
          <w:tab w:leader="none" w:pos="1162"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59" w:lineRule="exact"/>
        <w:rPr>
          <w:rFonts w:ascii="Arial" w:cs="Arial" w:eastAsia="Arial" w:hAnsi="Arial"/>
          <w:sz w:val="18"/>
          <w:szCs w:val="18"/>
          <w:color w:val="auto"/>
        </w:rPr>
      </w:pPr>
    </w:p>
    <w:p>
      <w:pPr>
        <w:ind w:right="240" w:firstLine="921"/>
        <w:spacing w:after="0" w:line="268" w:lineRule="auto"/>
        <w:tabs>
          <w:tab w:leader="none" w:pos="1152"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after either Moody’s or S&amp;P shall have announced a change in the rating established or deemed to have been established by it for the Index Debt, written notice of such rating change;</w:t>
      </w:r>
    </w:p>
    <w:p>
      <w:pPr>
        <w:spacing w:after="0" w:line="50" w:lineRule="exact"/>
        <w:rPr>
          <w:rFonts w:ascii="Arial" w:cs="Arial" w:eastAsia="Arial" w:hAnsi="Arial"/>
          <w:sz w:val="18"/>
          <w:szCs w:val="18"/>
          <w:color w:val="auto"/>
        </w:rPr>
      </w:pPr>
    </w:p>
    <w:p>
      <w:pPr>
        <w:ind w:right="180" w:firstLine="921"/>
        <w:spacing w:after="0" w:line="259" w:lineRule="auto"/>
        <w:tabs>
          <w:tab w:leader="none" w:pos="11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w:t>
      </w:r>
    </w:p>
    <w:p>
      <w:pPr>
        <w:spacing w:after="0" w:line="59" w:lineRule="exact"/>
        <w:rPr>
          <w:rFonts w:ascii="Arial" w:cs="Arial" w:eastAsia="Arial" w:hAnsi="Arial"/>
          <w:sz w:val="18"/>
          <w:szCs w:val="18"/>
          <w:color w:val="auto"/>
        </w:rPr>
      </w:pPr>
    </w:p>
    <w:p>
      <w:pPr>
        <w:ind w:right="160" w:firstLine="921"/>
        <w:spacing w:after="0" w:line="259" w:lineRule="auto"/>
        <w:tabs>
          <w:tab w:leader="none" w:pos="1162"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for itself or on behalf of any Lender, may reasonably request.</w:t>
      </w:r>
    </w:p>
    <w:p>
      <w:pPr>
        <w:spacing w:after="0" w:line="14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Information required to be delivered pursuant to this Section shall be deemed to have been delivered if such information, or one or more annual or quarterly reports containing such information, shall have been posted by the Administrative Agent on an IntraLinks or similar site to which the Lenders have been granted access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76" w:name="page77"/>
    <w:bookmarkEnd w:id="7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xml:space="preserve"> The Company will furnish to the Administrative Agent and each Lender prompt written notice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1140" w:hanging="237"/>
        <w:spacing w:after="0"/>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change in the date of its fiscal year end;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development that has resulted in or could reasonably be expected to result in a Material Adverse Effect.</w:t>
      </w:r>
    </w:p>
    <w:p>
      <w:pPr>
        <w:spacing w:after="0" w:line="17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8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6.04.</w:t>
      </w:r>
    </w:p>
    <w:p>
      <w:pPr>
        <w:spacing w:after="0" w:line="11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xml:space="preserve">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and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280" w:right="319" w:bottom="1440" w:gutter="0" w:footer="0" w:header="0"/>
        </w:sectPr>
      </w:pPr>
    </w:p>
    <w:bookmarkStart w:id="77" w:name="page78"/>
    <w:bookmarkEnd w:id="77"/>
    <w:p>
      <w:pPr>
        <w:ind w:firstLine="913"/>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5"/>
          <w:szCs w:val="15"/>
          <w:u w:val="single" w:color="auto"/>
          <w:color w:val="auto"/>
        </w:rPr>
        <w:t>Books and Records; Inspection Rights.</w:t>
      </w:r>
      <w:r>
        <w:rPr>
          <w:rFonts w:ascii="Arial" w:cs="Arial" w:eastAsia="Arial" w:hAnsi="Arial"/>
          <w:sz w:val="15"/>
          <w:szCs w:val="15"/>
          <w:color w:val="auto"/>
        </w:rPr>
        <w:t xml:space="preserve">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0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Company will, and will cause each of the Subsidiaries to, comply with all laws, rules, regulations and orders of Governmental Authorities applicable to it or its property, except where the failure to do so, individually or in the aggregate, could not reasonably be expected to result in a Material Adverse Effect.</w:t>
      </w:r>
    </w:p>
    <w:p>
      <w:pPr>
        <w:spacing w:after="0" w:line="14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proceeds of the Loans will be used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investments and share repurchases. No part of the proceeds of any Loan will be used, whether directly or indirectly, for any purpose that entails a violation of any of the Regulations of the Board, including Regulations T, U and 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Subsidiary Indebtedness.</w:t>
      </w:r>
      <w:r>
        <w:rPr>
          <w:rFonts w:ascii="Arial" w:cs="Arial" w:eastAsia="Arial" w:hAnsi="Arial"/>
          <w:sz w:val="18"/>
          <w:szCs w:val="18"/>
          <w:color w:val="auto"/>
        </w:rPr>
        <w:t xml:space="preserve"> The Company will not permit any Subsidiary to create, incur, assume or permit to exist any Indebtedness or any preferred stock or other preferred equity interests other than:</w:t>
      </w:r>
    </w:p>
    <w:p>
      <w:pPr>
        <w:spacing w:after="0" w:line="132"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Indebtedness existing on the date hereof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and Refinancing Indebtedness in respect thereof;</w:t>
      </w:r>
    </w:p>
    <w:p>
      <w:pPr>
        <w:spacing w:after="0" w:line="171" w:lineRule="exact"/>
        <w:rPr>
          <w:rFonts w:ascii="Arial" w:cs="Arial" w:eastAsia="Arial" w:hAnsi="Arial"/>
          <w:sz w:val="18"/>
          <w:szCs w:val="18"/>
          <w:color w:val="auto"/>
        </w:rPr>
      </w:pPr>
    </w:p>
    <w:p>
      <w:pPr>
        <w:ind w:right="160" w:firstLine="921"/>
        <w:spacing w:after="0" w:line="259" w:lineRule="auto"/>
        <w:tabs>
          <w:tab w:leader="none" w:pos="11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Indebtedness of any Subsidiary to the Company or any other Subsidiary and (ii) preferred stock or other preferred equity interests in any Subsidiary held by the Company or any other Subsidiary; provided that no such Indebtedness shall be assigned to, or subjected to any Lien in favor of, a Person other than the Company or a Subsidiary;</w:t>
      </w:r>
    </w:p>
    <w:p>
      <w:pPr>
        <w:spacing w:after="0" w:line="140" w:lineRule="exact"/>
        <w:rPr>
          <w:rFonts w:ascii="Arial" w:cs="Arial" w:eastAsia="Arial" w:hAnsi="Arial"/>
          <w:sz w:val="18"/>
          <w:szCs w:val="18"/>
          <w:color w:val="auto"/>
        </w:rPr>
      </w:pPr>
    </w:p>
    <w:p>
      <w:pPr>
        <w:jc w:val="both"/>
        <w:ind w:right="20" w:firstLine="921"/>
        <w:spacing w:after="0" w:line="256"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incurred to finance the acquisition, construction or improvement of any fixed or capital assets acquired, constructed or improved by the Company or any Subsidiary, and Refinancing Indebtedness in respect of such Indebtedness; provided that such Indebtedness is incurred prior to or within 180 days after such acquisition or the completion of such construction or improvement and does not exceed the cost of acquiring, constructing or improving such fixed or capital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78" w:name="page79"/>
    <w:bookmarkEnd w:id="78"/>
    <w:p>
      <w:pPr>
        <w:ind w:right="140" w:firstLine="921"/>
        <w:spacing w:after="0" w:line="256" w:lineRule="auto"/>
        <w:tabs>
          <w:tab w:leader="none" w:pos="1152"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preferred stock or preferred equity interests of any Person that becomes a Subsidiary after the date hereof; provided that such Indebtedness, preferred stock or 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143" w:lineRule="exact"/>
        <w:rPr>
          <w:rFonts w:ascii="Arial" w:cs="Arial" w:eastAsia="Arial" w:hAnsi="Arial"/>
          <w:sz w:val="18"/>
          <w:szCs w:val="18"/>
          <w:color w:val="auto"/>
        </w:rPr>
      </w:pPr>
    </w:p>
    <w:p>
      <w:pPr>
        <w:ind w:left="1140" w:hanging="219"/>
        <w:spacing w:after="0"/>
        <w:tabs>
          <w:tab w:leader="none" w:pos="11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Indebtedness of any Subsidiary as an account party in respect of letters of credit backing obligations that do not constitute Indebtedness;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Indebtedness deemed to exist in connection with any sale and lease-back transaction permitted under Section 6.03; and</w:t>
      </w:r>
    </w:p>
    <w:p>
      <w:pPr>
        <w:spacing w:after="0" w:line="171" w:lineRule="exact"/>
        <w:rPr>
          <w:rFonts w:ascii="Arial" w:cs="Arial" w:eastAsia="Arial" w:hAnsi="Arial"/>
          <w:sz w:val="18"/>
          <w:szCs w:val="18"/>
          <w:color w:val="auto"/>
        </w:rPr>
      </w:pPr>
    </w:p>
    <w:p>
      <w:pPr>
        <w:ind w:right="280" w:firstLine="921"/>
        <w:spacing w:after="0" w:line="256"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Indebtedness not expressly permitted by clauses (a) through (g) above; provided that the sum, without duplication, of (i) the outstanding Indebtedness permitted solely by this clause (h), (ii) the aggregate principal amount of the outstanding Indebtedness secured by Liens and the outstanding Securitization Transactions permitted solely by Section 6.02(h) and (iii) the Attributable Debt in respect of Sale-Leaseback Transactions permitted by Section 6.03 does not at any time exceed the Basket Amount.</w:t>
      </w:r>
    </w:p>
    <w:p>
      <w:pPr>
        <w:spacing w:after="0" w:line="143" w:lineRule="exact"/>
        <w:rPr>
          <w:sz w:val="20"/>
          <w:szCs w:val="20"/>
          <w:color w:val="auto"/>
        </w:rPr>
      </w:pPr>
    </w:p>
    <w:p>
      <w:pPr>
        <w:jc w:val="both"/>
        <w:ind w:right="520" w:firstLine="913"/>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59" w:lineRule="exact"/>
        <w:rPr>
          <w:sz w:val="20"/>
          <w:szCs w:val="20"/>
          <w:color w:val="auto"/>
        </w:rPr>
      </w:pPr>
    </w:p>
    <w:p>
      <w:pPr>
        <w:ind w:left="1140" w:hanging="237"/>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Liens securing the Obligations;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 6.01(c);</w:t>
      </w:r>
    </w:p>
    <w:p>
      <w:pPr>
        <w:spacing w:after="0" w:line="9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Lien on any property or asset of the Company or any Subsidiary or proceeds thereof existing on the date hereof (and any replacement Lien securing permitted extensions, renewals and replacements of the obligations secured by any such Lien); provided that any such Lien on any property or asset of the Company or any Subsidiary the value of which exceeds $15,000,000 is set forth on Schedule 6.02(d); provided further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34" w:lineRule="exact"/>
        <w:rPr>
          <w:rFonts w:ascii="Arial" w:cs="Arial" w:eastAsia="Arial" w:hAnsi="Arial"/>
          <w:sz w:val="16"/>
          <w:szCs w:val="16"/>
          <w:color w:val="auto"/>
        </w:rPr>
      </w:pPr>
    </w:p>
    <w:p>
      <w:pPr>
        <w:ind w:left="460" w:right="80" w:firstLine="443"/>
        <w:spacing w:after="0" w:line="291" w:lineRule="auto"/>
        <w:tabs>
          <w:tab w:leader="none" w:pos="11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9" w:name="page80"/>
    <w:bookmarkEnd w:id="79"/>
    <w:p>
      <w:pPr>
        <w:ind w:left="460" w:firstLine="443"/>
        <w:spacing w:after="0" w:line="255" w:lineRule="auto"/>
        <w:tabs>
          <w:tab w:leader="none" w:pos="1117" w:val="left"/>
        </w:tabs>
        <w:numPr>
          <w:ilvl w:val="1"/>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on fixed or capital assets acquired, constructed or improved by the Company or any Subsidiary securing Indebtedness incurred to finance such acquisition, construction or improvement;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Liens deemed to exist in connection with Sale-Leaseback transactions permitted under Section 6.03; and</w:t>
      </w:r>
    </w:p>
    <w:p>
      <w:pPr>
        <w:spacing w:after="0" w:line="90" w:lineRule="exact"/>
        <w:rPr>
          <w:rFonts w:ascii="Arial" w:cs="Arial" w:eastAsia="Arial" w:hAnsi="Arial"/>
          <w:sz w:val="18"/>
          <w:szCs w:val="18"/>
          <w:color w:val="auto"/>
        </w:rPr>
      </w:pPr>
    </w:p>
    <w:p>
      <w:pPr>
        <w:ind w:left="460" w:right="240" w:firstLine="443"/>
        <w:spacing w:after="0" w:line="303" w:lineRule="auto"/>
        <w:tabs>
          <w:tab w:leader="none" w:pos="1147" w:val="left"/>
        </w:tabs>
        <w:numPr>
          <w:ilvl w:val="1"/>
          <w:numId w:val="90"/>
        </w:numPr>
        <w:rPr>
          <w:rFonts w:ascii="Arial" w:cs="Arial" w:eastAsia="Arial" w:hAnsi="Arial"/>
          <w:sz w:val="15"/>
          <w:szCs w:val="15"/>
          <w:color w:val="auto"/>
        </w:rPr>
      </w:pPr>
      <w:r>
        <w:rPr>
          <w:rFonts w:ascii="Arial" w:cs="Arial" w:eastAsia="Arial" w:hAnsi="Arial"/>
          <w:sz w:val="15"/>
          <w:szCs w:val="15"/>
          <w:color w:val="auto"/>
        </w:rPr>
        <w:t>other Liens on assets other than Equity Interests in Subsidiaries securing or deemed to exist in connection with Indebtedness, and sales of accounts receivable and rights in respect thereof pursuant to Securitization Transactions; provided that the sum, without duplication, of (i) the aggregate principal amount of the outstanding Indebtedness secured by Liens and the outstanding Securitization Transactions permitted solely by this clause (h),</w:t>
      </w:r>
    </w:p>
    <w:p>
      <w:pPr>
        <w:spacing w:after="0" w:line="1" w:lineRule="exact"/>
        <w:rPr>
          <w:rFonts w:ascii="Arial" w:cs="Arial" w:eastAsia="Arial" w:hAnsi="Arial"/>
          <w:sz w:val="15"/>
          <w:szCs w:val="15"/>
          <w:color w:val="auto"/>
        </w:rPr>
      </w:pPr>
    </w:p>
    <w:p>
      <w:pPr>
        <w:ind w:left="460" w:right="20" w:firstLine="4"/>
        <w:spacing w:after="0" w:line="261" w:lineRule="auto"/>
        <w:tabs>
          <w:tab w:leader="none" w:pos="7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outstanding Indebtedness permitted solely by Section 6.01(h) and (iii) the Attributable Debt in respect of Sale-Leaseback Transactions permitted by Section 6.03 does not at any time exceed the Basket Amount.</w:t>
      </w:r>
    </w:p>
    <w:p>
      <w:pPr>
        <w:spacing w:after="0" w:line="138" w:lineRule="exact"/>
        <w:rPr>
          <w:sz w:val="20"/>
          <w:szCs w:val="20"/>
          <w:color w:val="auto"/>
        </w:rPr>
      </w:pPr>
    </w:p>
    <w:p>
      <w:pPr>
        <w:ind w:right="320" w:firstLine="913"/>
        <w:spacing w:after="0" w:line="294"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Sale and Lease Back Transactions.</w:t>
      </w:r>
      <w:r>
        <w:rPr>
          <w:rFonts w:ascii="Arial" w:cs="Arial" w:eastAsia="Arial" w:hAnsi="Arial"/>
          <w:sz w:val="16"/>
          <w:szCs w:val="16"/>
          <w:color w:val="auto"/>
        </w:rPr>
        <w:t xml:space="preserve"> The Company will not, and will not permit any Subsidiary to, enter into any Sale-Leaseback Transaction except (a) a Sale-Leaseback Transaction between the Company and a Subsidiary or between Subsidiaries, and (b) to the extent the sum, without duplication, of (i) the Attributable Debt with respect to all such Sale-Leaseback Transactions in effect at any time, (ii) the outstanding Indebtedness permitted solely by Section 6.01(h) and (iii) the aggregate principal amount of the outstanding Indebtedness secured by Liens and the outstanding Securitization Transactions permitted solely by Section 6.02(h) does not at any time exceed the Basket Amount.</w:t>
      </w:r>
    </w:p>
    <w:p>
      <w:pPr>
        <w:spacing w:after="0" w:line="116" w:lineRule="exact"/>
        <w:rPr>
          <w:sz w:val="20"/>
          <w:szCs w:val="20"/>
          <w:color w:val="auto"/>
        </w:rPr>
      </w:pPr>
    </w:p>
    <w:p>
      <w:pPr>
        <w:ind w:right="40" w:firstLine="913"/>
        <w:spacing w:after="0" w:line="306"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u w:val="single" w:color="auto"/>
          <w:color w:val="auto"/>
        </w:rPr>
        <w:t>Fundamental Changes.</w:t>
      </w:r>
      <w:r>
        <w:rPr>
          <w:rFonts w:ascii="Arial" w:cs="Arial" w:eastAsia="Arial" w:hAnsi="Arial"/>
          <w:sz w:val="15"/>
          <w:szCs w:val="15"/>
          <w:color w:val="auto"/>
        </w:rPr>
        <w:t xml:space="preserve"> (a) The Company will not, and will not permit any Subsidiary to, merge or consolidate with any other Person, or permit any other Person to merge or consolidate with it, or sell, transfer, lease or otherwise dispose of (in one 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into the Company or any other Subsidiary; (ii) any Subsidiary may sell, lease or otherwise transfer all or any part of its assets to the Company or to another Subsidiary, including by liquidation or dissolution; (iii) the Company and the Subsidiaries may (A) sell, transfer, lease or otherwise dispose of inventory and worn out or obsolete equipment in the ordinary course of business and (B) sell other assets (including through one or more mergers of Subsidiaries) so long as (1) the greater of the aggregate book value and the aggregate fair market value of the assets sold pursuant to this clause (B) during any fiscal year of the Company does not exceed 10% of the Consolidated Assets of the Company and the Subsidiaries as of the end of the immediately preceding fiscal year, and (2) if the greater of the aggregate book value and the aggregate fair market value of all assets so sold during such fiscal year exceeds 5% of Consolidated Assets as of the end of the immediately preceding fiscal year, the tangible assets so sold during such fiscal year do not account for more than 5% of Consolidated Tangible Assets as of the end of such immediately preceding fiscal year; and (iv) the Company or any Subsidiary may acquire all or substantially all the equity interests or assets of any other Person or assets constituting a division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80" w:name="page81"/>
    <w:bookmarkEnd w:id="8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business unit, including through a merger of any Person with the Company or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that (A) in the case of any such acquisition involving a merger to which the Company is a party, the Company shall be the surviving or resulting corporation and (B) in the case of any Material Acquisition, (1) no Default shall exist after giving effect to such acquisition, and (2) the Company shall be in compliance on a pro forma basis with the covenants set forth in Sections 6.06 and 6.07 as of the end of and for the most recent period of four fiscal quarters for which financial statements shall have been delivered pursuant to</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Section 5.01,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144" w:lineRule="exact"/>
        <w:rPr>
          <w:sz w:val="20"/>
          <w:szCs w:val="20"/>
          <w:color w:val="auto"/>
        </w:rPr>
      </w:pPr>
    </w:p>
    <w:p>
      <w:pPr>
        <w:ind w:right="360" w:firstLine="921"/>
        <w:spacing w:after="0" w:line="332" w:lineRule="auto"/>
        <w:tabs>
          <w:tab w:leader="none" w:pos="11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85"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xml:space="preserve"> The Company will not, nor will it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the foregoing shall not apply to restrictions and conditions imposed by law or by any Credit Document, (b) the foregoing shall not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restrictions and conditions existing on the date hereof and identified on </w:t>
      </w:r>
      <w:r>
        <w:rPr>
          <w:rFonts w:ascii="Arial" w:cs="Arial" w:eastAsia="Arial" w:hAnsi="Arial"/>
          <w:sz w:val="18"/>
          <w:szCs w:val="18"/>
          <w:u w:val="single" w:color="auto"/>
          <w:color w:val="auto"/>
        </w:rPr>
        <w:t>Schedule 6.05</w:t>
      </w:r>
      <w:r>
        <w:rPr>
          <w:rFonts w:ascii="Arial" w:cs="Arial" w:eastAsia="Arial" w:hAnsi="Arial"/>
          <w:sz w:val="18"/>
          <w:szCs w:val="18"/>
          <w:color w:val="auto"/>
        </w:rPr>
        <w:t xml:space="preserve"> (but shall apply to any extension or renewal, or any amendment or modification expanding the scope, of any such restriction or condition) and (c) the foregoing shall not apply to customary restrictions and conditions that are contained in any agreement for the sale of any asset or Subsidiary in a transaction permitted by this Agreement and applicable only to the asset or Subsidiary that is to be sold.</w:t>
      </w:r>
    </w:p>
    <w:p>
      <w:pPr>
        <w:spacing w:after="0" w:line="14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The Company will not permit the ratio of (a) Consolidated EBITDA to (b) Consolidated Interest Expense, in each case for any period of four consecutive fiscal quarters, to be less than 4.00 to 1.00.</w:t>
      </w:r>
    </w:p>
    <w:p>
      <w:pPr>
        <w:spacing w:after="0" w:line="132"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Consolidated Total Debt to Consolidated EBITDA Ratio.</w:t>
      </w:r>
      <w:r>
        <w:rPr>
          <w:rFonts w:ascii="Arial" w:cs="Arial" w:eastAsia="Arial" w:hAnsi="Arial"/>
          <w:sz w:val="16"/>
          <w:szCs w:val="16"/>
          <w:color w:val="auto"/>
        </w:rPr>
        <w:t xml:space="preserve"> The Company will not at any time permit the ratio of (a) Consolidated Total Indebtedness at such time to (b) Consolidated EBITDA for the most recently ended period of four consecutive fiscal quarters to be greater than 3.25 to 1.00.</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i w:val="1"/>
          <w:iCs w:val="1"/>
          <w:color w:val="auto"/>
        </w:rPr>
        <w:t>Events of Default</w:t>
      </w:r>
      <w:r>
        <w:rPr>
          <w:rFonts w:ascii="Arial" w:cs="Arial" w:eastAsia="Arial" w:hAnsi="Arial"/>
          <w:sz w:val="18"/>
          <w:szCs w:val="18"/>
          <w:color w:val="auto"/>
        </w:rPr>
        <w:t>”) shall occur:</w:t>
      </w:r>
    </w:p>
    <w:p>
      <w:pPr>
        <w:spacing w:after="0" w:line="90" w:lineRule="exact"/>
        <w:rPr>
          <w:sz w:val="20"/>
          <w:szCs w:val="20"/>
          <w:color w:val="auto"/>
        </w:rPr>
      </w:pPr>
    </w:p>
    <w:p>
      <w:pPr>
        <w:ind w:left="460" w:right="280" w:firstLine="443"/>
        <w:spacing w:after="0" w:line="332"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Borrower shall fail to pay any principal of any Loan or any BA or any reimbursement obligation in respect of any LC Disbursement when and as the same shall become due and payable, whether at the due date thereof or at a date fixed for prepayment thereof or otherwise;</w:t>
      </w:r>
    </w:p>
    <w:p>
      <w:pPr>
        <w:spacing w:after="0" w:line="4"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Business Days;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81" w:name="page82"/>
    <w:bookmarkEnd w:id="81"/>
    <w:p>
      <w:pPr>
        <w:ind w:firstLine="443"/>
        <w:spacing w:after="0" w:line="256" w:lineRule="auto"/>
        <w:tabs>
          <w:tab w:leader="none" w:pos="677"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representation or warranty or statement made or deemed made by or on behalf of the Company or any Subsidiary in or in connection with any Credit Document or any amendment or modification thereof or waiver thereunder, or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62" w:lineRule="exact"/>
        <w:rPr>
          <w:rFonts w:ascii="Arial" w:cs="Arial" w:eastAsia="Arial" w:hAnsi="Arial"/>
          <w:sz w:val="18"/>
          <w:szCs w:val="18"/>
          <w:color w:val="auto"/>
        </w:rPr>
      </w:pPr>
    </w:p>
    <w:p>
      <w:pPr>
        <w:ind w:right="20" w:firstLine="443"/>
        <w:spacing w:after="0" w:line="268" w:lineRule="auto"/>
        <w:tabs>
          <w:tab w:leader="none" w:pos="6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or any Borrower shall fail to observe or perform any covenant, condition or agreement contained in Section 5.02, 5.03 (with respect to the existence of any Borrower) or 5.08 or in Article VI;</w:t>
      </w:r>
    </w:p>
    <w:p>
      <w:pPr>
        <w:spacing w:after="0" w:line="50" w:lineRule="exact"/>
        <w:rPr>
          <w:rFonts w:ascii="Arial" w:cs="Arial" w:eastAsia="Arial" w:hAnsi="Arial"/>
          <w:sz w:val="18"/>
          <w:szCs w:val="18"/>
          <w:color w:val="auto"/>
        </w:rPr>
      </w:pPr>
    </w:p>
    <w:p>
      <w:pPr>
        <w:jc w:val="both"/>
        <w:ind w:right="100" w:firstLine="443"/>
        <w:spacing w:after="0" w:line="259" w:lineRule="auto"/>
        <w:tabs>
          <w:tab w:leader="none" w:pos="6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Credit Party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59" w:lineRule="exact"/>
        <w:rPr>
          <w:rFonts w:ascii="Arial" w:cs="Arial" w:eastAsia="Arial" w:hAnsi="Arial"/>
          <w:sz w:val="18"/>
          <w:szCs w:val="18"/>
          <w:color w:val="auto"/>
        </w:rPr>
      </w:pPr>
    </w:p>
    <w:p>
      <w:pPr>
        <w:ind w:right="520" w:firstLine="443"/>
        <w:spacing w:after="0" w:line="268" w:lineRule="auto"/>
        <w:tabs>
          <w:tab w:leader="none" w:pos="6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at the maturity date thereof;</w:t>
      </w:r>
    </w:p>
    <w:p>
      <w:pPr>
        <w:spacing w:after="0" w:line="50" w:lineRule="exact"/>
        <w:rPr>
          <w:rFonts w:ascii="Arial" w:cs="Arial" w:eastAsia="Arial" w:hAnsi="Arial"/>
          <w:sz w:val="18"/>
          <w:szCs w:val="18"/>
          <w:color w:val="auto"/>
        </w:rPr>
      </w:pPr>
    </w:p>
    <w:p>
      <w:pPr>
        <w:ind w:right="100" w:firstLine="443"/>
        <w:spacing w:after="0" w:line="290"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secured Indebtedness that becomes due as a result of the voluntary sale or transfer of the property or assets securing such Indebtedness;</w:t>
      </w:r>
    </w:p>
    <w:p>
      <w:pPr>
        <w:spacing w:after="0" w:line="37" w:lineRule="exact"/>
        <w:rPr>
          <w:rFonts w:ascii="Arial" w:cs="Arial" w:eastAsia="Arial" w:hAnsi="Arial"/>
          <w:sz w:val="16"/>
          <w:szCs w:val="16"/>
          <w:color w:val="auto"/>
        </w:rPr>
      </w:pPr>
    </w:p>
    <w:p>
      <w:pPr>
        <w:ind w:right="80" w:firstLine="443"/>
        <w:spacing w:after="0" w:line="290" w:lineRule="auto"/>
        <w:tabs>
          <w:tab w:leader="none" w:pos="68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 (iii) a declaration that the Company or any Material Subsidiary is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proceedings are commenced </w:t>
      </w:r>
      <w:r>
        <w:rPr>
          <w:rFonts w:ascii="Arial" w:cs="Arial" w:eastAsia="Arial" w:hAnsi="Arial"/>
          <w:sz w:val="16"/>
          <w:szCs w:val="16"/>
          <w:i w:val="1"/>
          <w:iCs w:val="1"/>
          <w:color w:val="auto"/>
        </w:rPr>
        <w:t>in saise</w:t>
      </w:r>
      <w:r>
        <w:rPr>
          <w:rFonts w:ascii="Arial" w:cs="Arial" w:eastAsia="Arial" w:hAnsi="Arial"/>
          <w:sz w:val="16"/>
          <w:szCs w:val="16"/>
          <w:color w:val="auto"/>
        </w:rPr>
        <w:t xml:space="preserve"> or an initial vesting is declared over the Borrower or any Material Subsidiary or over the assets of the Borrower or any Material Subsidiary, and, in any such case, such proceeding or petition shall continue undismissed for 60 days or an order or decree approving, ordering or declaring any of the foregoing shall be entered;</w:t>
      </w:r>
    </w:p>
    <w:p>
      <w:pPr>
        <w:spacing w:after="0" w:line="37" w:lineRule="exact"/>
        <w:rPr>
          <w:rFonts w:ascii="Arial" w:cs="Arial" w:eastAsia="Arial" w:hAnsi="Arial"/>
          <w:sz w:val="16"/>
          <w:szCs w:val="16"/>
          <w:color w:val="auto"/>
        </w:rPr>
      </w:pPr>
    </w:p>
    <w:p>
      <w:pPr>
        <w:ind w:right="80" w:firstLine="443"/>
        <w:spacing w:after="0" w:line="306" w:lineRule="auto"/>
        <w:tabs>
          <w:tab w:leader="none" w:pos="64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any Borrower or any Material Subsidiary shall (i) voluntarily commence any proceeding or file any petition seeking liquidation, reorganization or other relief under any Federal, state or foreign bankruptcy, insolvency, receivership or similar law now or hereafter in effect or seeking a declaration that the Company or any Material Subsidiary is </w:t>
      </w:r>
      <w:r>
        <w:rPr>
          <w:rFonts w:ascii="Arial" w:cs="Arial" w:eastAsia="Arial" w:hAnsi="Arial"/>
          <w:sz w:val="16"/>
          <w:szCs w:val="16"/>
          <w:i w:val="1"/>
          <w:iCs w:val="1"/>
          <w:color w:val="auto"/>
        </w:rPr>
        <w:t>en desastre</w:t>
      </w:r>
      <w:r>
        <w:rPr>
          <w:rFonts w:ascii="Arial" w:cs="Arial" w:eastAsia="Arial" w:hAnsi="Arial"/>
          <w:sz w:val="16"/>
          <w:szCs w:val="16"/>
          <w:color w:val="auto"/>
        </w:rPr>
        <w:t>, (ii) consent to the institution of, or fail to contest in a timely and appropriate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700" w:top="280" w:right="239" w:bottom="1440" w:gutter="0" w:footer="0" w:header="0"/>
        </w:sectPr>
      </w:pPr>
    </w:p>
    <w:bookmarkStart w:id="82" w:name="page83"/>
    <w:bookmarkEnd w:id="82"/>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any proceeding or petition described in clause (h) of this Article, (iii) apply for or consent to the appointment of a receiver, trustee, custodian, sequestrator, conservator or similar official for any Borrower or any other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62" w:lineRule="exact"/>
        <w:rPr>
          <w:sz w:val="20"/>
          <w:szCs w:val="20"/>
          <w:color w:val="auto"/>
        </w:rPr>
      </w:pPr>
    </w:p>
    <w:p>
      <w:pPr>
        <w:ind w:left="1120" w:hanging="217"/>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Borrower or any Material Subsidiary shall admit in writing its inability, or fail generally, to pay its debts as they become due;</w:t>
      </w:r>
    </w:p>
    <w:p>
      <w:pPr>
        <w:spacing w:after="0" w:line="90" w:lineRule="exact"/>
        <w:rPr>
          <w:rFonts w:ascii="Arial" w:cs="Arial" w:eastAsia="Arial" w:hAnsi="Arial"/>
          <w:sz w:val="18"/>
          <w:szCs w:val="18"/>
          <w:color w:val="auto"/>
        </w:rPr>
      </w:pPr>
    </w:p>
    <w:p>
      <w:pPr>
        <w:jc w:val="both"/>
        <w:ind w:left="460" w:right="60" w:firstLine="443"/>
        <w:spacing w:after="0" w:line="323" w:lineRule="auto"/>
        <w:tabs>
          <w:tab w:leader="none" w:pos="1147" w:val="left"/>
        </w:tabs>
        <w:numPr>
          <w:ilvl w:val="0"/>
          <w:numId w:val="95"/>
        </w:numPr>
        <w:rPr>
          <w:rFonts w:ascii="Arial" w:cs="Arial" w:eastAsia="Arial" w:hAnsi="Arial"/>
          <w:sz w:val="15"/>
          <w:szCs w:val="15"/>
          <w:color w:val="auto"/>
        </w:rPr>
      </w:pPr>
      <w:r>
        <w:rPr>
          <w:rFonts w:ascii="Arial" w:cs="Arial" w:eastAsia="Arial" w:hAnsi="Arial"/>
          <w:sz w:val="15"/>
          <w:szCs w:val="15"/>
          <w:color w:val="auto"/>
        </w:rPr>
        <w:t>one or more judgments for the payment of money in an aggregate amount in excess of US$50,000,000 shall be rendered against any Borrower, any other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 or any other Subsidiary to enforce any one or more judgments in such aggregate amount and such action shall not have been promptly stayed;</w:t>
      </w:r>
    </w:p>
    <w:p>
      <w:pPr>
        <w:spacing w:after="0" w:line="16" w:lineRule="exact"/>
        <w:rPr>
          <w:rFonts w:ascii="Arial" w:cs="Arial" w:eastAsia="Arial" w:hAnsi="Arial"/>
          <w:sz w:val="15"/>
          <w:szCs w:val="15"/>
          <w:color w:val="auto"/>
        </w:rPr>
      </w:pPr>
    </w:p>
    <w:p>
      <w:pPr>
        <w:ind w:left="460" w:right="60" w:firstLine="443"/>
        <w:spacing w:after="0" w:line="268" w:lineRule="auto"/>
        <w:tabs>
          <w:tab w:leader="none" w:pos="11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ERISA Event shall have occurred or shall exist that, in the opinion of the Required Lenders, when taken together with all other ERISA Events and other such events and conditions, could reasonably be expected to result in a Material Adverse Effect;</w:t>
      </w:r>
    </w:p>
    <w:p>
      <w:pPr>
        <w:spacing w:after="0" w:line="50" w:lineRule="exact"/>
        <w:rPr>
          <w:rFonts w:ascii="Arial" w:cs="Arial" w:eastAsia="Arial" w:hAnsi="Arial"/>
          <w:sz w:val="18"/>
          <w:szCs w:val="18"/>
          <w:color w:val="auto"/>
        </w:rPr>
      </w:pPr>
    </w:p>
    <w:p>
      <w:pPr>
        <w:ind w:left="460" w:right="680" w:firstLine="443"/>
        <w:spacing w:after="0" w:line="268" w:lineRule="auto"/>
        <w:tabs>
          <w:tab w:leader="none" w:pos="11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guarantee of the Company under Article X shall cease to be, or shall be asserted by the Company not to be, a legal, valid or binding obligation of the Company;</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assets of any Borrower or any Material Subsidiary that in the aggregate are material to the Company and the Subsidiaries, taken as a whole, shall be expropriated, nationalized or otherwise taken by any Governmental Authority if such expropriation, nationalization or taking could reasonably be expected to result in a Material Adverse Effect;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then, and in every such event (other than an event with respect to the Company or any Borrower described in clause (h) or (i) of this Article), and at any time thereafter during the continuance of such event, the Administrative Agent may, and at the request of the Required Lenders shall, by notice to the Company, take either or both of the following actions, at the same or different times: (i) terminate the Commitments, and thereupon the Commitments shall terminate immediately and (ii) declare the Loans and all payment obligations of the Borrowers in respect of BAs then outstanding to be due and payable in whole (or in part, in which case any principal not so declared to be due and payable may thereafter be declared to be due and payable), and thereupon the principal of the Loans and all payment obligations of the Borrowers in respect of BAs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or any Subsidiary described in clause (h) or (i) of this Article, the Commitments shall automatically terminate and the principal of the Loans and all payment obligations of the Borrowers in respect of BAs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Agents</w:t>
      </w:r>
    </w:p>
    <w:p>
      <w:pPr>
        <w:spacing w:after="0" w:line="171" w:lineRule="exact"/>
        <w:rPr>
          <w:sz w:val="20"/>
          <w:szCs w:val="20"/>
          <w:color w:val="auto"/>
        </w:rPr>
      </w:pPr>
    </w:p>
    <w:p>
      <w:pPr>
        <w:ind w:right="80" w:firstLine="913"/>
        <w:spacing w:after="0" w:line="318" w:lineRule="auto"/>
        <w:rPr>
          <w:sz w:val="20"/>
          <w:szCs w:val="20"/>
          <w:color w:val="auto"/>
        </w:rPr>
      </w:pPr>
      <w:r>
        <w:rPr>
          <w:rFonts w:ascii="Arial" w:cs="Arial" w:eastAsia="Arial" w:hAnsi="Arial"/>
          <w:sz w:val="15"/>
          <w:szCs w:val="15"/>
          <w:color w:val="auto"/>
        </w:rPr>
        <w:t>Each of the Lenders and Issuing Banks hereby irrevocably appoints the Agents as its agents and authorizes the Agents to take such actions on its behalf and to exercise such powers as are delegated to the Agents by the terms of the Credit Documents, together with such actions and powers as are reasonably incidental thereto. It is understood and agreed that the use of the term “agent” herein or in any other Credit Documents (or any other similar term) with reference to the Agents is 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00"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Any Person serving as an Agent hereunder shall have the same rights and powers in its capacity as a Lender or an Issuing Bank as any other Lender or Issuing Bank and may exercise the same as though it were not an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an Agent hereunder and without any duty to account therefor to the Lenders or Issuing Banks.</w:t>
      </w:r>
    </w:p>
    <w:p>
      <w:pPr>
        <w:spacing w:after="0" w:line="113" w:lineRule="exact"/>
        <w:rPr>
          <w:sz w:val="20"/>
          <w:szCs w:val="20"/>
          <w:color w:val="auto"/>
        </w:rPr>
      </w:pPr>
    </w:p>
    <w:p>
      <w:pPr>
        <w:ind w:firstLine="913"/>
        <w:spacing w:after="0" w:line="301" w:lineRule="auto"/>
        <w:rPr>
          <w:sz w:val="20"/>
          <w:szCs w:val="20"/>
          <w:color w:val="auto"/>
        </w:rPr>
      </w:pPr>
      <w:r>
        <w:rPr>
          <w:rFonts w:ascii="Arial" w:cs="Arial" w:eastAsia="Arial" w:hAnsi="Arial"/>
          <w:sz w:val="15"/>
          <w:szCs w:val="15"/>
          <w:color w:val="auto"/>
        </w:rPr>
        <w:t xml:space="preserve">The Agents shall not have any duties or obligations except those expressly set forth in the Credit Documents.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by the Credit Documents that the Agents are required to exercise in writing as directed by the Required Lenders (or such other number or percentage of the Lenders as shall be necessary, or as the relevant Agent shall believe in good faith to be necessary, under the circumstances as provided in the Credit Documents),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Agent shall not be required to take any action that, in its opinion, could expose it to liability or be contrary to any Credit Document or applicable law, and (c) except as expressly set forth in the Credit Documents, the Agents shall not have any duty to disclose, and shall not be liable for the failure to disclose, any information relating to the Company, any of the Subsidiaries or any other Affiliates of the foregoing that is communicated to or obtained by the Agents or any of their Affiliates in any capacity. The Agents shall not be liable to any Lender or Issuing Bank for any action taken or not taken by them with the consent or at the request of the Required Lenders (or such other number or percentage of the Lenders as shall be necessary, or as the relevant Agent shall believe in good faith to be necessary, under the circumstances as provided in the Credit Documents) or in the absence of their own gross negligence or wilful misconduct (such absence to be presumed unless otherwise determined by a court of competent jurisdiction by a final and nonappealable judgment). Each Agent shall be deemed not to have knowledge of any Default unless and until written notice thereof (stating that it is a “notice of default”) is given to such Agent by the Company or a Lender, and the Agents shall not be responsible for or have any duty to ascertain or inquire into (i) any statement, warranty or representation made in or in connection with any Credit Document, (ii) the contents of any certificate, report or other document delivered thereunder or in connection therewith,</w:t>
      </w:r>
    </w:p>
    <w:p>
      <w:pPr>
        <w:spacing w:after="0" w:line="3" w:lineRule="exact"/>
        <w:rPr>
          <w:sz w:val="20"/>
          <w:szCs w:val="20"/>
          <w:color w:val="auto"/>
        </w:rPr>
      </w:pPr>
    </w:p>
    <w:p>
      <w:pPr>
        <w:ind w:right="20" w:firstLine="8"/>
        <w:spacing w:after="0" w:line="295" w:lineRule="auto"/>
        <w:tabs>
          <w:tab w:leader="none" w:pos="30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performance or observance of any of the covenants, agreements or other terms or conditions set forth in any Credit Document or the occurrence of any Default, (iv) the validity, enforceability, effectiveness or genuineness of any Credit Document or any other agreement, instrument or document or (v) the satisfaction of any condition set forth in Article IV or elsewhere in any Credit Document, other than to confirm receipt of items expressly required to be delivered to such Agent or satisfaction of any condition that expressly refers to the matters described therein being acceptable or satisfactory to such Agent.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84" w:name="page85"/>
    <w:bookmarkEnd w:id="84"/>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Agent shall be entitled to rely upon, and shall not incur any liability to any Lender or Issuing Bank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Each Agent also may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Each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12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Each Agent may perform any and all its duties and exercise its rights and powers hereunder or under any other Credit Document by or through any one or more sub-agents appointed by it. Each Agent and any such sub-agent may perform any and all its duties and exercise its rights and powers through its respective Related Parties. The exculpatory provisions of the preceding paragraphs and the provisions of Section 11.03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43"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Subject to the appointment and acceptance of a successor Agent as provided in this paragraph, each Agent may resign at any time by notifying the other Agents, the Lenders, the Issuing Banks and the Company. Upon any such resignation, the Required Lenders (in the case of a resignation by the Administrative Agent) or the Administrative Agent (in the case of a resignation by any other Agent) shall have the right, in consultation with the Company and, so long as no Event of Default shall have occurred and be continuing, with the Company’s prior consent (which shall not be unreasonably withheld), to appoint a successor. If no successor Agent shall have been so appointed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that is reasonably acceptable to the Company.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and under the other Credit Documents. The fees payable by the Company to a successor Agent shall be the same as those payable to its predecessor unless otherwise agreed between the Company and such successor. Notwithstanding the foregoing, in the event no successor Agent shall have been so appointed and shall have accepted such appointment within 30 days after the retiring Agent gives notice of its intent to resign, the retiring Agent may give notice of the effectiveness of its resignation to the Lenders, the Issuing Banks and the Company, whereupon, on the date of effectiveness of such resignation stated in such notice, (a) the retiring Agent shall be discharged from its duties and obligations hereunder and under the other Credit Documents and (b) the Required Lenders (in the case of a resignation by the Administrative Agent) or the Administrative Agent (in the case of a resignation by any other Agent) shall succeed to and become vested with all the rights, powers, privileges and duties of the retiring Agent, provided that (i) all payments required to be made hereunder or under any other Credit Document to the retiring Agent for the account of any Person other than such Agent shall be made directly to such Person and (ii) all notices and other communications required or contemplated to be given or made to the retiring Agent shall also directly be given or made to each Lender and each Issuing Bank. Following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85" w:name="page86"/>
    <w:bookmarkEnd w:id="8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the Agent’s resignation from its capacity as such, the provisions of this Article and Section 11.03, as well as any exculpatory, reimbursement and indemnification provisions set forth in any other Credit Document, shall continue in effect for the benefit of such retiring Agent, its sub agents and their respective Related Parties in respect of any actions taken or omitted to be taken by any of them while it was acting as Agent</w:t>
      </w:r>
    </w:p>
    <w:p>
      <w:pPr>
        <w:spacing w:after="0" w:line="10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Each Lender and Issuing Bank acknowledges that it has, independently and without reliance upon any Agent, the Arrangers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any Agent,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2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Each Lender, by delivering its signature page to this Agreement and funding its Loans on the Effective Date, or delivering its signature page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any Agent or the Lenders on the Effective Date.</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In case of the pendency of any proceeding with respect to any Credit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32" w:lineRule="exact"/>
        <w:rPr>
          <w:sz w:val="20"/>
          <w:szCs w:val="20"/>
          <w:color w:val="auto"/>
        </w:rPr>
      </w:pPr>
    </w:p>
    <w:p>
      <w:pPr>
        <w:ind w:left="460" w:right="140" w:firstLine="443"/>
        <w:spacing w:after="0" w:line="306" w:lineRule="auto"/>
        <w:tabs>
          <w:tab w:leader="none" w:pos="113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and LC Exposure that are owing and unpaid and to file such other documents as may be necessary or advisable in order to have the claims of the Lenders, the Issuing Banks and the Agents (including any claim under Sections 2.12, 2.13, 2.15, 2.16, 2.17 and 11.03) allowed in such judicial proceeding;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or the Issuing Banks, to pay to each Agent any amount due to it, in its capacity as Agent, under the Credit Documents (including under Section 11.03). In the case of such a proceeding, the Administrative Agent shall not have the authority to vote on behalf of any Lender on any plan of reorganization.</w:t>
      </w:r>
    </w:p>
    <w:p>
      <w:pPr>
        <w:spacing w:after="0" w:line="143"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The parties agree that none of the Joint Lead Arrangers and Joint Bookrunners, the Syndication Agent and the Documentation Agent named on the cover page of this Agreement shall, in such capacities, have any powers, duties or responsibilities under this Agreement or any other Credit Document (except in its capacity, as applicable, as a Lender or an Issuing Bank), but all such Persons shall have the benefit of the indemnities provided for hereunder.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Collection Allocation Mechanism</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On the CAM Exchange Date, (a) the Commitments shall automatically and without further act be terminated as provided in Article VII and (b)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It is understood and agreed that Lenders holding interests in BAs immediately prior to the CAM Exchange shall discharge their obligations with respect to the payment of such BAs at the maturity thereof in exchange for the interests acquired by such Lenders in funded Loans in the CAM Exchange. Each Lender, each person acquiring a participation from any Lender as contemplated by Section 11.04 and each Credit Party hereby consents and agrees to the CAM Exchange. Each Credit Party and each Lender agrees from time to time to execute and deliver to the Agents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Borrower to execute or deliver or of any Lender to accept any such promissory note, instrument or document shall not affect the validity or effectiveness of the CAM Exchange.</w:t>
      </w:r>
    </w:p>
    <w:p>
      <w:pPr>
        <w:spacing w:after="0" w:line="124" w:lineRule="exact"/>
        <w:rPr>
          <w:sz w:val="20"/>
          <w:szCs w:val="20"/>
          <w:color w:val="auto"/>
        </w:rPr>
      </w:pPr>
    </w:p>
    <w:p>
      <w:pPr>
        <w:jc w:val="both"/>
        <w:ind w:right="120" w:firstLine="913"/>
        <w:spacing w:after="0" w:line="255" w:lineRule="auto"/>
        <w:rPr>
          <w:sz w:val="20"/>
          <w:szCs w:val="20"/>
          <w:color w:val="auto"/>
        </w:rPr>
      </w:pPr>
      <w:r>
        <w:rPr>
          <w:rFonts w:ascii="Arial" w:cs="Arial" w:eastAsia="Arial" w:hAnsi="Arial"/>
          <w:sz w:val="18"/>
          <w:szCs w:val="18"/>
          <w:color w:val="auto"/>
        </w:rPr>
        <w:t xml:space="preserve">As a result of the CAM Exchange, on and after the CAM Exchange Date, each payment received by an Agent pursuant to any Credit Document in respect of the Designated Obligations shall be distributed to the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43"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 with Section 2.05(d),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In order to induce the Lenders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1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The Company waives presentment to, demand of payment from and protest to any Borrowing Subsidiary of any of the Obligations, and also waives notice of acceptance of its obligations and notice of protest for nonpayment. The Company further waives any rights it may have at law, including the </w:t>
      </w:r>
      <w:r>
        <w:rPr>
          <w:rFonts w:ascii="Arial" w:cs="Arial" w:eastAsia="Arial" w:hAnsi="Arial"/>
          <w:sz w:val="16"/>
          <w:szCs w:val="16"/>
          <w:i w:val="1"/>
          <w:iCs w:val="1"/>
          <w:color w:val="auto"/>
        </w:rPr>
        <w:t>droit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w:t>
      </w:r>
      <w:r>
        <w:rPr>
          <w:rFonts w:ascii="Arial" w:cs="Arial" w:eastAsia="Arial" w:hAnsi="Arial"/>
          <w:sz w:val="16"/>
          <w:szCs w:val="16"/>
          <w:color w:val="auto"/>
        </w:rPr>
        <w:t>or any other right it may otherwise have had of requiring the Lenders and the Agents to pursue the Borrowing Subsidiaries or any other person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enforcing the Guarantee or before any action is taken hereunder against it, or any other right whether known as the </w:t>
      </w:r>
      <w:r>
        <w:rPr>
          <w:rFonts w:ascii="Arial" w:cs="Arial" w:eastAsia="Arial" w:hAnsi="Arial"/>
          <w:sz w:val="16"/>
          <w:szCs w:val="16"/>
          <w:i w:val="1"/>
          <w:iCs w:val="1"/>
          <w:color w:val="auto"/>
        </w:rPr>
        <w:t>droit de division</w:t>
      </w:r>
      <w:r>
        <w:rPr>
          <w:rFonts w:ascii="Arial" w:cs="Arial" w:eastAsia="Arial" w:hAnsi="Arial"/>
          <w:sz w:val="16"/>
          <w:szCs w:val="16"/>
          <w:color w:val="auto"/>
        </w:rPr>
        <w:t xml:space="preserve"> or otherwise whereby the liability of the Company might otherwise have been reduced in any matter whatsoever or apportioned with any other guarantor or any other person. The obligations of the Company hereunder shall not be affected by (a) the failure of any Agent or Lender to assert any claim or demand or to enforce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other Borrower.</w:t>
      </w:r>
    </w:p>
    <w:p>
      <w:pPr>
        <w:spacing w:after="0" w:line="124"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any Agent or Lender to any balance of any deposit account or credit on the books of any Agent or Lender in favor of any Borrower or any other Person.</w:t>
      </w:r>
    </w:p>
    <w:p>
      <w:pPr>
        <w:spacing w:after="0" w:line="14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43"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Company further agrees that its obligations hereunder shall continue to be effective or be reinstated, as the case may be, if at any time payment, or any part thereof, of any Obligation is rescinded or must otherwise be restored by any Agent or Lender upon the bankruptcy or reorganization of any Borrowing Subsidiary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88" w:name="page89"/>
    <w:bookmarkEnd w:id="88"/>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furtherance of the foregoing and not in limitation of any other right any Agent or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any Agent or Lender, forthwith pay, or cause to be paid, to the Applicable Agent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Agent or Lender, not consistent with the protection of its rights or interests, then, at the election of the Administrative Agent, the Company shall make payment of such Obligation in US Dollars (based upon the applicable Exchange Rate in effect on the date of payment) and/or in New York, and shall indemnify each Agent, Issuing Bank and Lender against any losses or reasonable out-of-pocket expenses that it shall sustain as a result of such alternative payment.</w:t>
      </w:r>
    </w:p>
    <w:p>
      <w:pPr>
        <w:spacing w:after="0" w:line="12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Upon payment by the Company of any sums as provided above, all rights of the Company against any Borrowing Subsidiary arising as a result thereof by way of right of subrogation or otherwise shall in all respects be subordinate and junior in right of payment to the prior indefeasible payment in full of all the Obligations owed by such Borrowing Subsidiary to the Agents, the Issuing Bank and the Lenders.</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as follows:</w:t>
      </w:r>
    </w:p>
    <w:p>
      <w:pPr>
        <w:spacing w:after="0" w:line="59" w:lineRule="exact"/>
        <w:rPr>
          <w:sz w:val="20"/>
          <w:szCs w:val="20"/>
          <w:color w:val="auto"/>
        </w:rPr>
      </w:pPr>
    </w:p>
    <w:p>
      <w:pPr>
        <w:ind w:left="460" w:right="100" w:firstLine="443"/>
        <w:spacing w:after="0" w:line="268" w:lineRule="auto"/>
        <w:tabs>
          <w:tab w:leader="none" w:pos="11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to the Company, to it in care of Amdocs Limited, Suite 5, Tower Hill House, Le Bordage, St. Peter Port, Guernsey GY1 3QT, Channel Islands, with a copy to Amdocs, Inc., 1390 Timberlake Manor Parkway, Chesterfield, Missouri 63017;</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to any Borrower (other than the Company), to it in care of the Company as provided in clause (i) above;</w:t>
      </w:r>
    </w:p>
    <w:p>
      <w:pPr>
        <w:spacing w:after="0" w:line="90" w:lineRule="exact"/>
        <w:rPr>
          <w:rFonts w:ascii="Arial" w:cs="Arial" w:eastAsia="Arial" w:hAnsi="Arial"/>
          <w:sz w:val="18"/>
          <w:szCs w:val="18"/>
          <w:color w:val="auto"/>
        </w:rPr>
      </w:pPr>
    </w:p>
    <w:p>
      <w:pPr>
        <w:ind w:left="460" w:right="240" w:firstLine="443"/>
        <w:spacing w:after="0" w:line="256" w:lineRule="auto"/>
        <w:tabs>
          <w:tab w:leader="none" w:pos="12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to the Administrative Agent, JPMorgan Chase Bank, N.A., in its capacity as a Swingline Lender or JPMorgan Chase Bank, N.A., in its capacity as Issuing Bank, to JPMorgan Chase Bank, N.A., Loan and Agency Services Group, 1111 Fannin, Floor 10, Houston, TX 77002, Attention of Talitha Humes (Fax No. (713) 750-2878), with a copy to JPMorgan Chase Bank, N.A., 383 Madison Avenue, New York, New York 10179, Attention of Sandeep Parihar (Fax No. (212) 270 3279);</w:t>
      </w:r>
    </w:p>
    <w:p>
      <w:pPr>
        <w:spacing w:after="0" w:line="62"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to the London Agent, to J. P. Morgan Europe Limited, 125 London Wall, Floor 9, London EC2Y 5AJ, Attention of Agency Department (Fax No. 44-207-777-2360), with a copy to the Administrative Agent as provided under clause (iii)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80" w:right="279" w:bottom="1440" w:gutter="0" w:footer="0" w:header="0"/>
        </w:sectPr>
      </w:pPr>
    </w:p>
    <w:bookmarkStart w:id="89" w:name="page90"/>
    <w:bookmarkEnd w:id="89"/>
    <w:p>
      <w:pPr>
        <w:ind w:left="460" w:right="560" w:firstLine="443"/>
        <w:spacing w:after="0" w:line="332"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Canadian Agent, to JPMorgan Chase Bank, N.A., Toronto Branch, 1111 Fannin, Floor 10, Houston, TX 77002, Attention of Carla Kinney (Fax No. (713) 374-4312), with a copy to the Administrative Agent as provided under clause (iii) above; and</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to any other Issuing Bank or Lender, to it at its address (or fax number) set forth in its Administrative Questionnaire.</w:t>
      </w:r>
    </w:p>
    <w:p>
      <w:pPr>
        <w:spacing w:after="0" w:line="171"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paragraph (b) of this Section shall be effective as provided in such paragraph.</w:t>
      </w:r>
    </w:p>
    <w:p>
      <w:pPr>
        <w:spacing w:after="0" w:line="113" w:lineRule="exact"/>
        <w:rPr>
          <w:sz w:val="20"/>
          <w:szCs w:val="20"/>
          <w:color w:val="auto"/>
        </w:rPr>
      </w:pPr>
    </w:p>
    <w:p>
      <w:pPr>
        <w:ind w:right="40" w:firstLine="921"/>
        <w:spacing w:after="0" w:line="294" w:lineRule="auto"/>
        <w:tabs>
          <w:tab w:leader="none" w:pos="116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and Issuing Banks hereunder may be delivered or furnished by electronic communications (including email and Internet and intranet websites) pursuant to procedures approved by the Agents;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notices pursuant to Article II unless otherwise agreed by the Applicable Agent and the applicable Lender. Any Agent or Borrower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 or rescinded by any such Person by notice to each other such Person.</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party hereto may change its address or fax number for notices and other communications hereunder by notice to the other parties hereto.</w:t>
      </w:r>
    </w:p>
    <w:p>
      <w:pPr>
        <w:spacing w:after="0" w:line="194" w:lineRule="exact"/>
        <w:rPr>
          <w:rFonts w:ascii="Arial" w:cs="Arial" w:eastAsia="Arial" w:hAnsi="Arial"/>
          <w:sz w:val="16"/>
          <w:szCs w:val="16"/>
          <w:color w:val="auto"/>
        </w:rPr>
      </w:pPr>
    </w:p>
    <w:p>
      <w:pPr>
        <w:ind w:right="80" w:firstLine="921"/>
        <w:spacing w:after="0" w:line="291" w:lineRule="auto"/>
        <w:tabs>
          <w:tab w:leader="none" w:pos="116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agrees that the Agents may, but shall not be obligated to, make any Communication by posting such Communication on Debt Domain, Intralinks, Syndtrak or a similar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Platform is provided “as is” and “as available”. Neither any Agent nor any of its Related Parties warrants, or shall be deemed to warrant, the adequacy of the Platform and each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Agents or any of their Related Parties in connection with the Communications or the Platform.</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any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Credit Documents are cumulative and are not exclusive of any rights or remedies that they would otherwise have. No waiver of any provision of any Credit Document or consent to any departure by any Credit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acceptance and purchase of a BA or issuance of a Letter of Credit shall not be construed as a waiver of any Default, regardless of whether any Agent, any Lender or any Issuing Bank may have had notice or knowledge of such Default at the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90" w:name="page91"/>
    <w:bookmarkEnd w:id="90"/>
    <w:p>
      <w:pPr>
        <w:ind w:left="-8" w:firstLine="921"/>
        <w:spacing w:after="0" w:line="301" w:lineRule="auto"/>
        <w:tabs>
          <w:tab w:leader="none" w:pos="1154" w:val="left"/>
        </w:tabs>
        <w:numPr>
          <w:ilvl w:val="1"/>
          <w:numId w:val="10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None of this Agreement, any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Credit Party or Credit Parties that are parties thereto, in each case with the consent of the Required Lenders;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any Commitment of any Lender without the written consent of such Lender, (B) reduce the principal amount of any Loan, payment obligation in respect of a BA or LC Disbursement or reduce the rate of interest thereon, or reduce any fees payable hereunder, without the written consent of each Lender affected thereby, (C) postpone the maturity of any Loan or BA,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affected thereby, (D) change the currencies in which such Lender is required to lend, without the written consent of each Lender affected thereby,</w:t>
      </w:r>
    </w:p>
    <w:p>
      <w:pPr>
        <w:spacing w:after="0" w:line="3" w:lineRule="exact"/>
        <w:rPr>
          <w:rFonts w:ascii="Arial" w:cs="Arial" w:eastAsia="Arial" w:hAnsi="Arial"/>
          <w:sz w:val="15"/>
          <w:szCs w:val="15"/>
          <w:color w:val="auto"/>
        </w:rPr>
      </w:pPr>
    </w:p>
    <w:p>
      <w:pPr>
        <w:ind w:left="272" w:hanging="272"/>
        <w:spacing w:after="0"/>
        <w:tabs>
          <w:tab w:leader="none" w:pos="27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change Section 2.18(b) or (c) in a manner that would alter the pro rata sharing of payments required thereby, without the written consent of each Lender,</w:t>
      </w:r>
    </w:p>
    <w:p>
      <w:pPr>
        <w:spacing w:after="0" w:line="32" w:lineRule="exact"/>
        <w:rPr>
          <w:rFonts w:ascii="Arial" w:cs="Arial" w:eastAsia="Arial" w:hAnsi="Arial"/>
          <w:sz w:val="16"/>
          <w:szCs w:val="16"/>
          <w:color w:val="auto"/>
        </w:rPr>
      </w:pPr>
    </w:p>
    <w:p>
      <w:pPr>
        <w:ind w:left="-8" w:firstLine="8"/>
        <w:spacing w:after="0" w:line="284" w:lineRule="auto"/>
        <w:tabs>
          <w:tab w:leader="none" w:pos="25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change any of the provisions of this Section or the percentage set forth in the definition of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(G) release the Company from its Guarantee under Article X or limit the liability of the Company in respect of such Guarantee, without the written consent of each Lender or (H) change any provision of any Credit Document in a manner that by its terms adversely affects the rights in respect of payments or prepayments due to Lenders with Commitments or Obligations of any Class differently than those with Commitments or Obligations of any other Class, without the written consent of Lenders holding a majority in interest of the Commitments and outstanding Loans and BAs of the adversely affected Class;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no such agreement shall amend, modify or otherwise affect the rights or duties of any Agent or Issuing Bank or the Swingline Lender without the prior written consent of such Agent or Issuing Bank or the Swingline Lender, as the case may be, and (ii)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 Notwithstanding the foregoing, any provision of this Agreement may be amended by an agreement in writing entered into by the Company, the Required Lenders and the Administrative Agent (and, if their rights or obligations are affected thereby, the other Agents, the Issuing Banks and the Swingline Lender) if (i) by the terms of such agreement the Commitments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and BA accepted by it and all other amounts owing to it or accrued for its account under this Agreement. For the avoidance of doubt, increases in the Commitments pursuant to Section 2.09(d), extensions of the Maturity Date pursuant to Section 2.09(e) and terminations of the status of Subsidiaries as Borrowing Subsidiaries pursuant to Section 2.22 may be effected in accordance with the requirements of, and subject to the conditions set forth in, such respective Sections and shall not be deemed to constitute amendments subject to the provisions of this paragraph. Notwithstanding the</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92"/>
          </w:cols>
          <w:pgMar w:left="248" w:top="280" w:right="259" w:bottom="1440" w:gutter="0" w:footer="0" w:header="0"/>
        </w:sectPr>
      </w:pPr>
    </w:p>
    <w:bookmarkStart w:id="91" w:name="page92"/>
    <w:bookmarkEnd w:id="91"/>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no consent with respect to any amendment, waiver or other modification of this Agreement or any other Credit Document shall be required of any Defaulting Lender, except with respect to any amendment, waiver or other modification referred to in clauses (A), (B) or (C) of clause (ii) of the first proviso of this paragraph and then only in the event such Defaulting Lender shall be affected by such amendment, waiver or other modification.</w:t>
      </w:r>
    </w:p>
    <w:p>
      <w:pPr>
        <w:spacing w:after="0" w:line="10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Company shall pay (i) all reasonable out-of-pocket expenses incurred by the Agents, the Arrangers and their Affiliates, including the reasonable fees, charges and disbursements of counsel for the Agents,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renewal or extension of any Letter of Credit or any demand for payment thereunder and (iii) all out-of-pocket expenses incurred by any Agent, Arranger, Issuing Bank or Lender, including the fees, charges and disbursements of counsel for such Agent, Arranger, Issuing Bank or Lender, in connection with the enforcement or protection of its rights in connection with the Credit Documents, including its rights under this Section, or in connection with the Loans made, the BAs accepted and purchased or the Letters of Credit issued hereunder, including all such out-of-pocket expenses incurred during any workout, restructuring or negotiations in respect of such Loans, BAs or Letters of Credit.</w:t>
      </w:r>
    </w:p>
    <w:p>
      <w:pPr>
        <w:spacing w:after="0" w:line="123" w:lineRule="exact"/>
        <w:rPr>
          <w:sz w:val="20"/>
          <w:szCs w:val="20"/>
          <w:color w:val="auto"/>
        </w:rPr>
      </w:pPr>
    </w:p>
    <w:p>
      <w:pPr>
        <w:ind w:right="20" w:firstLine="921"/>
        <w:spacing w:after="0" w:line="302" w:lineRule="auto"/>
        <w:tabs>
          <w:tab w:leader="none" w:pos="1162" w:val="left"/>
        </w:tabs>
        <w:numPr>
          <w:ilvl w:val="1"/>
          <w:numId w:val="103"/>
        </w:numPr>
        <w:rPr>
          <w:rFonts w:ascii="Arial" w:cs="Arial" w:eastAsia="Arial" w:hAnsi="Arial"/>
          <w:sz w:val="15"/>
          <w:szCs w:val="15"/>
          <w:color w:val="auto"/>
        </w:rPr>
      </w:pPr>
      <w:r>
        <w:rPr>
          <w:rFonts w:ascii="Arial" w:cs="Arial" w:eastAsia="Arial" w:hAnsi="Arial"/>
          <w:sz w:val="15"/>
          <w:szCs w:val="15"/>
          <w:color w:val="auto"/>
        </w:rPr>
        <w:t>The Company and the other Borrowers shall indemnify each Agent, Arranger, Issuing Bank and Lender, and each Related Party of any of the foregoing Persons (each such Person being called an “</w:t>
      </w:r>
      <w:r>
        <w:rPr>
          <w:rFonts w:ascii="Arial" w:cs="Arial" w:eastAsia="Arial" w:hAnsi="Arial"/>
          <w:sz w:val="15"/>
          <w:szCs w:val="15"/>
          <w:i w:val="1"/>
          <w:iCs w:val="1"/>
          <w:color w:val="auto"/>
        </w:rPr>
        <w:t>Indemnitee</w:t>
      </w:r>
      <w:r>
        <w:rPr>
          <w:rFonts w:ascii="Arial" w:cs="Arial" w:eastAsia="Arial" w:hAnsi="Arial"/>
          <w:sz w:val="15"/>
          <w:szCs w:val="15"/>
          <w:color w:val="auto"/>
        </w:rPr>
        <w:t>”) against, and hold each Indemnitee harmless from, any and all losses, claims, damages, penalties,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hereby, the performance by the parties to the Credit Documents of their respective obligations thereunder or the consummation of the Transactions or any other transactions contemplated hereby,</w:t>
      </w:r>
    </w:p>
    <w:p>
      <w:pPr>
        <w:ind w:firstLine="8"/>
        <w:spacing w:after="0" w:line="285" w:lineRule="auto"/>
        <w:tabs>
          <w:tab w:leader="none" w:pos="30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any Loan, BA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Environmental Liability related in any way to the Company or any of the Subsidiaries or (v) any actual or prospective claim, litigation, investigation or proceeding relating to any of the foregoing, whether based on contract, tort or any other theory and regardless of whether initiated by any Indemnitee or a third party or whether any Indemnitee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wilful misconduct of such Indemnitee or from the breach by such Indemnitee of its agreements under the Credit Documents (other than unintentional breaches that are immaterial or that are corrected promptly after they come to the attention of such Indemnitee). Notwithstanding the foregoing, the indemnification obligations of each Borrowing Subsidiary (but not of the Company) under this paragraph (b) will be limited to losses, claims, damages, penalties, liabilities and related expenses directly related to such Borrowing Subsidiary (including the execution, delivery and performance of this Agreement by such Borrowing Subsidiary, the Loans made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92" w:name="page93"/>
    <w:bookmarkEnd w:id="92"/>
    <w:p>
      <w:pPr>
        <w:ind w:right="20" w:firstLine="921"/>
        <w:spacing w:after="0" w:line="310" w:lineRule="auto"/>
        <w:tabs>
          <w:tab w:leader="none" w:pos="1152" w:val="left"/>
        </w:tabs>
        <w:numPr>
          <w:ilvl w:val="0"/>
          <w:numId w:val="1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extent that the Company or any other Borrower fails to pay any amount required to be paid by it to any Agent (or any sub-agent thereof) or Issuing Bank or the Swingline Lender, or any Related Party of any of the foregoing (without limiting their obligation to do so), under paragraph (a) or (b) of this Section, each Lender severally agrees to pay to such Agent (or any such sub-agent), such Issuing Bank, the Swingline Lender or such Related Party, as the case may be, such Lender’s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(determined as of the time that the applicable unreimbursed expense or indemnity payment is sought) of such unpaid amount;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unreimbursed expense or indemnified loss, claim, damage, liability or related expense, as the case may be, was incurred by or asserted against such Agent (or any such sub-agent), any Issuing Bank or the Swingline Lender in its capacity as such, or against any Related Party of any of the foregoing acting for any Agent (or any such sub-agent), any Issuing Bank or the Swingline Lender in connection with such capacity. For purposes hereof, a Lender’s “</w:t>
      </w:r>
      <w:r>
        <w:rPr>
          <w:rFonts w:ascii="Arial" w:cs="Arial" w:eastAsia="Arial" w:hAnsi="Arial"/>
          <w:sz w:val="15"/>
          <w:szCs w:val="15"/>
          <w:i w:val="1"/>
          <w:iCs w:val="1"/>
          <w:color w:val="auto"/>
        </w:rPr>
        <w:t>pro</w:t>
      </w:r>
      <w:r>
        <w:rPr>
          <w:rFonts w:ascii="Arial" w:cs="Arial" w:eastAsia="Arial" w:hAnsi="Arial"/>
          <w:sz w:val="15"/>
          <w:szCs w:val="15"/>
          <w:color w:val="auto"/>
        </w:rPr>
        <w:t xml:space="preserve"> </w:t>
      </w:r>
      <w:r>
        <w:rPr>
          <w:rFonts w:ascii="Arial" w:cs="Arial" w:eastAsia="Arial" w:hAnsi="Arial"/>
          <w:sz w:val="15"/>
          <w:szCs w:val="15"/>
          <w:i w:val="1"/>
          <w:iCs w:val="1"/>
          <w:color w:val="auto"/>
        </w:rPr>
        <w:t>rata share</w:t>
      </w:r>
      <w:r>
        <w:rPr>
          <w:rFonts w:ascii="Arial" w:cs="Arial" w:eastAsia="Arial" w:hAnsi="Arial"/>
          <w:sz w:val="15"/>
          <w:szCs w:val="15"/>
          <w:color w:val="auto"/>
        </w:rPr>
        <w:t>” shall be determined based upon its share of the sum of the aggregate Revolving Credit Exposures and unused Commitments at the time.</w:t>
      </w:r>
    </w:p>
    <w:p>
      <w:pPr>
        <w:spacing w:after="0" w:line="108" w:lineRule="exact"/>
        <w:rPr>
          <w:rFonts w:ascii="Arial" w:cs="Arial" w:eastAsia="Arial" w:hAnsi="Arial"/>
          <w:sz w:val="15"/>
          <w:szCs w:val="15"/>
          <w:color w:val="auto"/>
        </w:rPr>
      </w:pPr>
    </w:p>
    <w:p>
      <w:pPr>
        <w:ind w:firstLine="921"/>
        <w:spacing w:after="0" w:line="306" w:lineRule="auto"/>
        <w:tabs>
          <w:tab w:leader="none" w:pos="116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Borrowers shall not assert, and hereby waive, any claim against any Indemnitee,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any Loan, BA or Letter of Credit or the use of the proceeds thereof.</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171"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Related Parties of each of the Agents, the Issuing Banks and the Lenders) any legal or equitable right, remedy or claim under or by reason of this Agreement.</w:t>
      </w:r>
    </w:p>
    <w:p>
      <w:pPr>
        <w:spacing w:after="0" w:line="118" w:lineRule="exact"/>
        <w:rPr>
          <w:sz w:val="20"/>
          <w:szCs w:val="20"/>
          <w:color w:val="auto"/>
        </w:rPr>
      </w:pPr>
    </w:p>
    <w:p>
      <w:pPr>
        <w:jc w:val="both"/>
        <w:ind w:right="100" w:firstLine="921"/>
        <w:spacing w:after="0" w:line="259" w:lineRule="auto"/>
        <w:tabs>
          <w:tab w:leader="none" w:pos="11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of:</w:t>
      </w:r>
    </w:p>
    <w:p>
      <w:pPr>
        <w:spacing w:after="0" w:line="59" w:lineRule="exact"/>
        <w:rPr>
          <w:sz w:val="20"/>
          <w:szCs w:val="20"/>
          <w:color w:val="auto"/>
        </w:rPr>
      </w:pPr>
    </w:p>
    <w:p>
      <w:pPr>
        <w:ind w:left="460" w:right="60" w:firstLine="443"/>
        <w:spacing w:after="0" w:line="255" w:lineRule="auto"/>
        <w:tabs>
          <w:tab w:leader="none" w:pos="118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Company shall be required for an assignment to a Lender, an Affiliate of a Lender, an Approved Fund (except to the extent such assignment to an Affiliate or Approved Fund will result in an increase in the payments required to be made by any Borrower under Section 2.13(h), 2.15, 2.17 or 2.21) or, if an Event of Default has occurred and is continuing, any other assignee;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five Business Days after having received notice thereof;</w:t>
      </w:r>
    </w:p>
    <w:p>
      <w:pPr>
        <w:spacing w:after="0" w:line="61" w:lineRule="exact"/>
        <w:rPr>
          <w:rFonts w:ascii="Arial" w:cs="Arial" w:eastAsia="Arial" w:hAnsi="Arial"/>
          <w:sz w:val="18"/>
          <w:szCs w:val="18"/>
          <w:color w:val="auto"/>
        </w:rPr>
      </w:pPr>
    </w:p>
    <w:p>
      <w:pPr>
        <w:ind w:left="1180" w:hanging="277"/>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93" w:name="page94"/>
    <w:bookmarkEnd w:id="93"/>
    <w:p>
      <w:pPr>
        <w:ind w:left="720" w:hanging="277"/>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Issuing Bank, in the case of an assignment of a Tranche A Commitment; and</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90" w:lineRule="exact"/>
        <w:rPr>
          <w:sz w:val="20"/>
          <w:szCs w:val="20"/>
          <w:color w:val="auto"/>
        </w:rPr>
      </w:pPr>
    </w:p>
    <w:p>
      <w:pPr>
        <w:ind w:right="80" w:firstLine="443"/>
        <w:spacing w:after="0" w:line="255" w:lineRule="auto"/>
        <w:tabs>
          <w:tab w:leader="none" w:pos="72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any Commitment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Company shall be required if an Event of Default has occurred and is continuing;</w:t>
      </w:r>
    </w:p>
    <w:p>
      <w:pPr>
        <w:spacing w:after="0" w:line="61" w:lineRule="exact"/>
        <w:rPr>
          <w:rFonts w:ascii="Arial" w:cs="Arial" w:eastAsia="Arial" w:hAnsi="Arial"/>
          <w:sz w:val="18"/>
          <w:szCs w:val="18"/>
          <w:color w:val="auto"/>
        </w:rPr>
      </w:pPr>
    </w:p>
    <w:p>
      <w:pPr>
        <w:ind w:right="100" w:firstLine="443"/>
        <w:spacing w:after="0" w:line="268" w:lineRule="auto"/>
        <w:tabs>
          <w:tab w:leader="none" w:pos="7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partial assignment of a Commitment and extensions of credit under a Tranche shall be made as an assignment of a proportionate part of all the assigning Lender’s rights and obligations under such Tranche;</w:t>
      </w:r>
    </w:p>
    <w:p>
      <w:pPr>
        <w:spacing w:after="0" w:line="50" w:lineRule="exact"/>
        <w:rPr>
          <w:rFonts w:ascii="Arial" w:cs="Arial" w:eastAsia="Arial" w:hAnsi="Arial"/>
          <w:sz w:val="18"/>
          <w:szCs w:val="18"/>
          <w:color w:val="auto"/>
        </w:rPr>
      </w:pPr>
    </w:p>
    <w:p>
      <w:pPr>
        <w:ind w:right="80" w:firstLine="443"/>
        <w:spacing w:after="0" w:line="268" w:lineRule="auto"/>
        <w:tabs>
          <w:tab w:leader="none" w:pos="71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w:t>
      </w:r>
    </w:p>
    <w:p>
      <w:pPr>
        <w:spacing w:after="0" w:line="50" w:lineRule="exact"/>
        <w:rPr>
          <w:rFonts w:ascii="Arial" w:cs="Arial" w:eastAsia="Arial" w:hAnsi="Arial"/>
          <w:sz w:val="18"/>
          <w:szCs w:val="18"/>
          <w:color w:val="auto"/>
        </w:rPr>
      </w:pPr>
    </w:p>
    <w:p>
      <w:pPr>
        <w:ind w:right="220" w:firstLine="443"/>
        <w:spacing w:after="0" w:line="298" w:lineRule="auto"/>
        <w:tabs>
          <w:tab w:leader="none" w:pos="72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their securities) will be made available and who may receive such information in accordance with the assignee’s compliance procedures and applicable laws, including Federal, State and foreign securities laws;</w:t>
      </w:r>
    </w:p>
    <w:p>
      <w:pPr>
        <w:spacing w:after="0" w:line="31" w:lineRule="exact"/>
        <w:rPr>
          <w:rFonts w:ascii="Arial" w:cs="Arial" w:eastAsia="Arial" w:hAnsi="Arial"/>
          <w:sz w:val="16"/>
          <w:szCs w:val="16"/>
          <w:color w:val="auto"/>
        </w:rPr>
      </w:pPr>
    </w:p>
    <w:p>
      <w:pPr>
        <w:ind w:firstLine="443"/>
        <w:spacing w:after="0" w:line="255" w:lineRule="auto"/>
        <w:tabs>
          <w:tab w:leader="none" w:pos="7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assignee shall be able to receive payments of interest from the Borrowers under the Tranche or Tranches in which it will participate free of withholding taxes referred to in clause (b) or (c), as applicable, of the definition of “Excluded Taxes” (other than any such withholding taxes resulting from a Change in Law after the Closing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2.17(e);</w:t>
      </w:r>
    </w:p>
    <w:p>
      <w:pPr>
        <w:spacing w:after="0" w:line="61" w:lineRule="exact"/>
        <w:rPr>
          <w:rFonts w:ascii="Arial" w:cs="Arial" w:eastAsia="Arial" w:hAnsi="Arial"/>
          <w:sz w:val="18"/>
          <w:szCs w:val="18"/>
          <w:color w:val="auto"/>
        </w:rPr>
      </w:pPr>
    </w:p>
    <w:p>
      <w:pPr>
        <w:ind w:right="100" w:firstLine="443"/>
        <w:spacing w:after="0" w:line="289" w:lineRule="auto"/>
        <w:tabs>
          <w:tab w:leader="none" w:pos="69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11.04, and provided that no Event of Default under clauses (a), (b), (h), (i) or (j) of Article VII has occurred and is continuing, any assignment (or other transfer of rights or obligations) to a person that has not represented that it is a Qualifying Bank of any Tranche A Commitment or Tranche B Commitment or of any Loan to any Swiss Subsidiary Borrower shall be subject to the prior written consent of the Company (such consent not to be unreasonably withheld, but it being understood that such consent will be deemed reasonably withheld if such assignment would, in the Company’s judgment, (x) result in a breach of the Swiss Ten Non-Bank Rule, or (y) result in there being more than five Lenders that are Non-Qualifying Banks for purposes of the Swiss Twenty Non-Bank Rule, and such consent, in the case of the foregoing clause (x) or (y), if permitted to be withheld pursuant to the foregoing provisions, shall not to be deemed given by the passage of time and the failure to object under Section 11.04(b)(i)(A));</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20"/>
          </w:cols>
          <w:pgMar w:left="700" w:top="280" w:right="279" w:bottom="1440" w:gutter="0" w:footer="0" w:header="0"/>
        </w:sectPr>
      </w:pPr>
    </w:p>
    <w:bookmarkStart w:id="94" w:name="page95"/>
    <w:bookmarkEnd w:id="94"/>
    <w:p>
      <w:pPr>
        <w:ind w:left="460" w:right="220" w:firstLine="443"/>
        <w:spacing w:after="0" w:line="268" w:lineRule="auto"/>
        <w:tabs>
          <w:tab w:leader="none" w:pos="11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assignee shall be capable of lending in the applicable currencies and to the applicable Borrowers under the Tranche or Tranches in which it will participate;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Credit Party or Affiliate of a Credit Party may be an assignee.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Section, the term “Approved Fund” has the following meaning:</w:t>
      </w:r>
    </w:p>
    <w:p>
      <w:pPr>
        <w:spacing w:after="0" w:line="171"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40" w:lineRule="exact"/>
        <w:rPr>
          <w:sz w:val="20"/>
          <w:szCs w:val="20"/>
          <w:color w:val="auto"/>
        </w:rPr>
      </w:pPr>
    </w:p>
    <w:p>
      <w:pPr>
        <w:ind w:right="60" w:firstLine="921"/>
        <w:spacing w:after="0" w:line="312" w:lineRule="auto"/>
        <w:tabs>
          <w:tab w:leader="none" w:pos="115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2.21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105" w:lineRule="exact"/>
        <w:rPr>
          <w:rFonts w:ascii="Arial" w:cs="Arial" w:eastAsia="Arial" w:hAnsi="Arial"/>
          <w:sz w:val="15"/>
          <w:szCs w:val="15"/>
          <w:color w:val="auto"/>
        </w:rPr>
      </w:pPr>
    </w:p>
    <w:p>
      <w:pPr>
        <w:ind w:firstLine="921"/>
        <w:spacing w:after="0" w:line="290" w:lineRule="auto"/>
        <w:tabs>
          <w:tab w:leader="none" w:pos="116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 non-fiduciary agent of the Borrowers, shall maintain at one of its offices in The City of New York a copy of each Assignment and Assumption delivered to it and a register for the recordation of the names and addresses of the Lenders, and the Commitments of, and principal amounts owing to, each Lender pursuant to the terms hereof from time to time (the “</w:t>
      </w:r>
      <w:r>
        <w:rPr>
          <w:rFonts w:ascii="Arial" w:cs="Arial" w:eastAsia="Arial" w:hAnsi="Arial"/>
          <w:sz w:val="16"/>
          <w:szCs w:val="16"/>
          <w:i w:val="1"/>
          <w:iCs w:val="1"/>
          <w:color w:val="auto"/>
        </w:rPr>
        <w:t>Register</w:t>
      </w:r>
      <w:r>
        <w:rPr>
          <w:rFonts w:ascii="Arial" w:cs="Arial" w:eastAsia="Arial" w:hAnsi="Arial"/>
          <w:sz w:val="16"/>
          <w:szCs w:val="16"/>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or Lender at any reasonable time and from time to time upon reasonable prior notice.</w:t>
      </w:r>
    </w:p>
    <w:p>
      <w:pPr>
        <w:spacing w:after="0" w:line="118" w:lineRule="exact"/>
        <w:rPr>
          <w:rFonts w:ascii="Arial" w:cs="Arial" w:eastAsia="Arial" w:hAnsi="Arial"/>
          <w:sz w:val="16"/>
          <w:szCs w:val="16"/>
          <w:color w:val="auto"/>
        </w:rPr>
      </w:pPr>
    </w:p>
    <w:p>
      <w:pPr>
        <w:ind w:right="220" w:firstLine="921"/>
        <w:spacing w:after="0" w:line="290" w:lineRule="auto"/>
        <w:tabs>
          <w:tab w:leader="none" w:pos="11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95" w:name="page96"/>
    <w:bookmarkEnd w:id="95"/>
    <w:p>
      <w:pPr>
        <w:ind w:left="-8" w:right="40" w:firstLine="921"/>
        <w:spacing w:after="0" w:line="301" w:lineRule="auto"/>
        <w:tabs>
          <w:tab w:leader="none" w:pos="1124" w:val="left"/>
        </w:tabs>
        <w:numPr>
          <w:ilvl w:val="1"/>
          <w:numId w:val="1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may, without the consent of the Company, the Administrative Agent, the Issuing Banks or any other Lender, sell participations to one or more banks or other entities (a “</w:t>
      </w:r>
      <w:r>
        <w:rPr>
          <w:rFonts w:ascii="Arial" w:cs="Arial" w:eastAsia="Arial" w:hAnsi="Arial"/>
          <w:sz w:val="15"/>
          <w:szCs w:val="15"/>
          <w:i w:val="1"/>
          <w:iCs w:val="1"/>
          <w:color w:val="auto"/>
        </w:rPr>
        <w:t>Participant</w:t>
      </w:r>
      <w:r>
        <w:rPr>
          <w:rFonts w:ascii="Arial" w:cs="Arial" w:eastAsia="Arial" w:hAnsi="Arial"/>
          <w:sz w:val="15"/>
          <w:szCs w:val="15"/>
          <w:color w:val="auto"/>
        </w:rPr>
        <w:t xml:space="preserve">”) in all or a portion of such Lender’s rights and/or obligations under this Agreement (including all or a portion of its Commitments and its Loans and other extensions of credit hereunder);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 such Lender’s obligations under this Agreement shall remain unchanged, (ii) such Lender shall remain solely responsible to the other parties hereto for the performance of such obligations and (iii) the Borrowers, the Agents,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agreement or instrument may provide that such Lender will not, without the consent of the Participant, agree to any amendment, modification or waiver described in clause</w:t>
      </w:r>
    </w:p>
    <w:p>
      <w:pPr>
        <w:spacing w:after="0" w:line="4" w:lineRule="exact"/>
        <w:rPr>
          <w:rFonts w:ascii="Arial" w:cs="Arial" w:eastAsia="Arial" w:hAnsi="Arial"/>
          <w:sz w:val="15"/>
          <w:szCs w:val="15"/>
          <w:color w:val="auto"/>
        </w:rPr>
      </w:pPr>
    </w:p>
    <w:p>
      <w:pPr>
        <w:jc w:val="both"/>
        <w:ind w:left="-8" w:right="80" w:firstLine="8"/>
        <w:spacing w:after="0" w:line="295" w:lineRule="auto"/>
        <w:tabs>
          <w:tab w:leader="none" w:pos="25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of the first proviso to Section 11.02(b) that affects such Participant. Subject to the other provisions of this Section, each Borrower agrees that each Participant shall be entitled to the benefits of Sections 2.15, 2.16, 2.17 and 2.21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such Participant agrees to be subject to Section 2.18(c) as though it were a Lender.</w:t>
      </w:r>
    </w:p>
    <w:p>
      <w:pPr>
        <w:spacing w:after="0" w:line="115" w:lineRule="exact"/>
        <w:rPr>
          <w:rFonts w:ascii="Arial" w:cs="Arial" w:eastAsia="Arial" w:hAnsi="Arial"/>
          <w:sz w:val="16"/>
          <w:szCs w:val="16"/>
          <w:color w:val="auto"/>
        </w:rPr>
      </w:pPr>
    </w:p>
    <w:p>
      <w:pPr>
        <w:ind w:left="-8" w:right="140" w:firstLine="921"/>
        <w:spacing w:after="0" w:line="256" w:lineRule="auto"/>
        <w:tabs>
          <w:tab w:leader="none" w:pos="115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2.15, 2.17 or 2.21 than the applicable Lender would have been entitled to receive with respect to the participation sold to such Participant. A Participant shall not be entitled to the benefits of Section 2.17 unless the Company is notified of the participation sold to such Participant and such Participant agrees, for the benefit of the Borrowers, to comply with Section 2.17(e) as though it were a Lender.</w:t>
      </w:r>
    </w:p>
    <w:p>
      <w:pPr>
        <w:spacing w:after="0" w:line="143" w:lineRule="exact"/>
        <w:rPr>
          <w:rFonts w:ascii="Arial" w:cs="Arial" w:eastAsia="Arial" w:hAnsi="Arial"/>
          <w:sz w:val="18"/>
          <w:szCs w:val="18"/>
          <w:color w:val="auto"/>
        </w:rPr>
      </w:pPr>
    </w:p>
    <w:p>
      <w:pPr>
        <w:ind w:left="-8" w:right="120" w:firstLine="921"/>
        <w:spacing w:after="0" w:line="256" w:lineRule="auto"/>
        <w:tabs>
          <w:tab w:leader="none" w:pos="115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43" w:lineRule="exact"/>
        <w:rPr>
          <w:rFonts w:ascii="Arial" w:cs="Arial" w:eastAsia="Arial" w:hAnsi="Arial"/>
          <w:sz w:val="18"/>
          <w:szCs w:val="18"/>
          <w:color w:val="auto"/>
        </w:rPr>
      </w:pPr>
    </w:p>
    <w:p>
      <w:pPr>
        <w:ind w:left="-8" w:firstLine="921"/>
        <w:spacing w:after="0" w:line="307" w:lineRule="auto"/>
        <w:tabs>
          <w:tab w:leader="none" w:pos="1115" w:val="left"/>
        </w:tabs>
        <w:numPr>
          <w:ilvl w:val="1"/>
          <w:numId w:val="113"/>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but subject to satisfaction of the conditions set forth in Section 11.04(b)(ii)(E) and (F), any Lender (a “</w:t>
      </w:r>
      <w:r>
        <w:rPr>
          <w:rFonts w:ascii="Arial" w:cs="Arial" w:eastAsia="Arial" w:hAnsi="Arial"/>
          <w:sz w:val="15"/>
          <w:szCs w:val="15"/>
          <w:i w:val="1"/>
          <w:iCs w:val="1"/>
          <w:color w:val="auto"/>
        </w:rPr>
        <w:t>Granting Bank</w:t>
      </w:r>
      <w:r>
        <w:rPr>
          <w:rFonts w:ascii="Arial" w:cs="Arial" w:eastAsia="Arial" w:hAnsi="Arial"/>
          <w:sz w:val="15"/>
          <w:szCs w:val="15"/>
          <w:color w:val="auto"/>
        </w:rPr>
        <w:t>”) may grant to a special purpose funding vehicle (an “</w:t>
      </w:r>
      <w:r>
        <w:rPr>
          <w:rFonts w:ascii="Arial" w:cs="Arial" w:eastAsia="Arial" w:hAnsi="Arial"/>
          <w:sz w:val="15"/>
          <w:szCs w:val="15"/>
          <w:i w:val="1"/>
          <w:iCs w:val="1"/>
          <w:color w:val="auto"/>
        </w:rPr>
        <w:t>SPC</w:t>
      </w:r>
      <w:r>
        <w:rPr>
          <w:rFonts w:ascii="Arial" w:cs="Arial" w:eastAsia="Arial" w:hAnsi="Arial"/>
          <w:sz w:val="15"/>
          <w:szCs w:val="15"/>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2.15, 2.16, 2.17 and 2.21 shall be determined as if the Granting Bank had made such Loan and (iv) any notices given by the Agents, the Borrowers and the other Lenders with respect to any Loan provided by a SPC may be given to the Granting Bank and the Granting Bank shall have the authority to act on behalf of the SPC with respect to such Loans and/or notices. The making of Loans and other extensions of credit by a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12"/>
          </w:cols>
          <w:pgMar w:left="248" w:top="280" w:right="239" w:bottom="1440" w:gutter="0" w:footer="0" w:header="0"/>
        </w:sectPr>
      </w:pPr>
    </w:p>
    <w:bookmarkStart w:id="96" w:name="page97"/>
    <w:bookmarkEnd w:id="9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118" w:lineRule="exact"/>
        <w:rPr>
          <w:sz w:val="20"/>
          <w:szCs w:val="20"/>
          <w:color w:val="auto"/>
        </w:rPr>
      </w:pPr>
    </w:p>
    <w:p>
      <w:pPr>
        <w:ind w:right="80" w:firstLine="921"/>
        <w:spacing w:after="0" w:line="255" w:lineRule="auto"/>
        <w:tabs>
          <w:tab w:leader="none" w:pos="11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avoidance of doubt, and with respect to any Swiss Borrowing Subsidiary, no Lender, participant or subparticipant shall enter into any agreement with another person under which payments are made by reference to this Agreement or to any hereto related transfer, assignment, participation, subparticipation or similar agreement if such agreement would be treated as a debt instrument that can be subject to Swiss Withholding Tax according to the Swiss Withholding Tax Rules, but nothing in this Section 11.04(j) restricts any Lender, participant or subparticipant from entering into any agreement that would not be so treated.</w:t>
      </w:r>
    </w:p>
    <w:p>
      <w:pPr>
        <w:spacing w:after="0" w:line="142" w:lineRule="exact"/>
        <w:rPr>
          <w:rFonts w:ascii="Arial" w:cs="Arial" w:eastAsia="Arial" w:hAnsi="Arial"/>
          <w:sz w:val="18"/>
          <w:szCs w:val="18"/>
          <w:color w:val="auto"/>
        </w:rPr>
      </w:pPr>
    </w:p>
    <w:p>
      <w:pPr>
        <w:ind w:right="100" w:firstLine="921"/>
        <w:spacing w:after="0" w:line="288" w:lineRule="auto"/>
        <w:tabs>
          <w:tab w:leader="none" w:pos="116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hereunder or under any other Credit Document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none of the Agents (in any Agent’s capacity as Agent) shall have any responsibility for maintaining a Participant Register.</w:t>
      </w:r>
    </w:p>
    <w:p>
      <w:pPr>
        <w:spacing w:after="0" w:line="120"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Credit Parties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the acceptance and purchase of any BAs and the issuance of any Letters of Credit, regardless of any investigation made by any such other party or on its behalf and notwithstanding that any Agent, any Arranger, the Syndication Agent, the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Applicable Agent a written consent to the release of the Tranche A Lenders from their obligations hereunder with respect to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97" w:name="page98"/>
    <w:bookmarkEnd w:id="9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issued by such Issuing Bank (whether as a result of the obligations of the Company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2.05(d) or 2.05(e). The provisions of Sections 2.15, 2.16, 2.17, 2.18(e), 2.21 and 11.03 and Article VIII shall survive and remain in full force and effect regardless of the consummation of the transactions contemplated hereby, the repayment of the Loans and BAs, the expiration or termination of the Letters of Credit and the Commitments or the termination of this Agreement or any provision hereof.</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Agents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 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Agents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fax or other electronic imaging means shall be effective as delivery of a manually executed counterpart of this Agreement.</w:t>
      </w:r>
    </w:p>
    <w:p>
      <w:pPr>
        <w:spacing w:after="0" w:line="12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Right of Setoff</w:t>
      </w:r>
      <w:r>
        <w:rPr>
          <w:rFonts w:ascii="Arial" w:cs="Arial" w:eastAsia="Arial" w:hAnsi="Arial"/>
          <w:sz w:val="16"/>
          <w:szCs w:val="16"/>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Credit Party against any of and all the obligations of such Credit Party now or hereafter existing under this Agreement or any other Credit Document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20"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New York.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80" w:right="279" w:bottom="1440" w:gutter="0" w:footer="0" w:header="0"/>
        </w:sectPr>
      </w:pPr>
    </w:p>
    <w:bookmarkStart w:id="98" w:name="page99"/>
    <w:bookmarkEnd w:id="98"/>
    <w:p>
      <w:pPr>
        <w:ind w:right="20" w:firstLine="921"/>
        <w:spacing w:after="0" w:line="289" w:lineRule="auto"/>
        <w:tabs>
          <w:tab w:leader="none" w:pos="11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that any Agent, Issuing Bank or Lender may otherwise have to bring any action or proceeding relating to this Agreement or any other Credit Document against any Borrower or its properties in the courts of any jurisdiction.</w:t>
      </w:r>
    </w:p>
    <w:p>
      <w:pPr>
        <w:spacing w:after="0" w:line="118" w:lineRule="exact"/>
        <w:rPr>
          <w:rFonts w:ascii="Arial" w:cs="Arial" w:eastAsia="Arial" w:hAnsi="Arial"/>
          <w:sz w:val="16"/>
          <w:szCs w:val="16"/>
          <w:color w:val="auto"/>
        </w:rPr>
      </w:pPr>
    </w:p>
    <w:p>
      <w:pPr>
        <w:jc w:val="both"/>
        <w:ind w:right="20" w:firstLine="921"/>
        <w:spacing w:after="0" w:line="256" w:lineRule="auto"/>
        <w:tabs>
          <w:tab w:leader="none" w:pos="11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3" w:lineRule="exact"/>
        <w:rPr>
          <w:rFonts w:ascii="Arial" w:cs="Arial" w:eastAsia="Arial" w:hAnsi="Arial"/>
          <w:sz w:val="18"/>
          <w:szCs w:val="18"/>
          <w:color w:val="auto"/>
        </w:rPr>
      </w:pPr>
    </w:p>
    <w:p>
      <w:pPr>
        <w:ind w:firstLine="921"/>
        <w:spacing w:after="0" w:line="290" w:lineRule="auto"/>
        <w:tabs>
          <w:tab w:leader="none" w:pos="11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Credit Party has appointed CT Corporation System, 111 Eighth Avenue, 13</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10011, as its authorized agent (the “</w:t>
      </w:r>
      <w:r>
        <w:rPr>
          <w:rFonts w:ascii="Arial" w:cs="Arial" w:eastAsia="Arial" w:hAnsi="Arial"/>
          <w:sz w:val="16"/>
          <w:szCs w:val="16"/>
          <w:i w:val="1"/>
          <w:iCs w:val="1"/>
          <w:color w:val="auto"/>
        </w:rPr>
        <w:t>Authorized Agent</w:t>
      </w:r>
      <w:r>
        <w:rPr>
          <w:rFonts w:ascii="Arial" w:cs="Arial" w:eastAsia="Arial" w:hAnsi="Arial"/>
          <w:sz w:val="16"/>
          <w:szCs w:val="16"/>
          <w:color w:val="auto"/>
        </w:rPr>
        <w:t>”) upon whom process may be served in any action arising out of or based on this Agreement or any other Credit Document which may be instituted in any court referred to in clause (b) of this Section by any Agent, Issuing Bank or Lender or their Affiliates, and waives any other requirements of or objections to personal jurisdiction with respect thereto. Such appointment shall be irrevocable. Each Credit Party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Credit Party shall be deemed, in every respect, effective service of process upon such Credit Party.</w:t>
      </w:r>
    </w:p>
    <w:p>
      <w:pPr>
        <w:spacing w:after="0" w:line="118" w:lineRule="exact"/>
        <w:rPr>
          <w:rFonts w:ascii="Arial" w:cs="Arial" w:eastAsia="Arial" w:hAnsi="Arial"/>
          <w:sz w:val="16"/>
          <w:szCs w:val="16"/>
          <w:color w:val="auto"/>
        </w:rPr>
      </w:pPr>
    </w:p>
    <w:p>
      <w:pPr>
        <w:ind w:right="380" w:firstLine="921"/>
        <w:spacing w:after="0" w:line="332" w:lineRule="auto"/>
        <w:tabs>
          <w:tab w:leader="none" w:pos="115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8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280" w:right="299" w:bottom="1440" w:gutter="0" w:footer="0" w:header="0"/>
        </w:sectPr>
      </w:pPr>
    </w:p>
    <w:bookmarkStart w:id="99" w:name="page100"/>
    <w:bookmarkEnd w:id="99"/>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right="40" w:firstLine="913"/>
        <w:spacing w:after="0" w:line="305" w:lineRule="auto"/>
        <w:rPr>
          <w:sz w:val="20"/>
          <w:szCs w:val="20"/>
          <w:color w:val="auto"/>
        </w:rPr>
      </w:pPr>
      <w:r>
        <w:rPr>
          <w:rFonts w:ascii="Arial" w:cs="Arial" w:eastAsia="Arial" w:hAnsi="Arial"/>
          <w:sz w:val="15"/>
          <w:szCs w:val="15"/>
          <w:color w:val="auto"/>
        </w:rPr>
        <w:t xml:space="preserve">SECTION 11.12. </w:t>
      </w:r>
      <w:r>
        <w:rPr>
          <w:rFonts w:ascii="Arial" w:cs="Arial" w:eastAsia="Arial" w:hAnsi="Arial"/>
          <w:sz w:val="15"/>
          <w:szCs w:val="15"/>
          <w:u w:val="single" w:color="auto"/>
          <w:color w:val="auto"/>
        </w:rPr>
        <w:t>Confidentiality</w:t>
      </w:r>
      <w:r>
        <w:rPr>
          <w:rFonts w:ascii="Arial" w:cs="Arial" w:eastAsia="Arial" w:hAnsi="Arial"/>
          <w:sz w:val="15"/>
          <w:szCs w:val="15"/>
          <w:color w:val="auto"/>
        </w:rPr>
        <w:t>. Each Agent, Issuing Bank and Lender agrees to maintain the confidentiality of the Information (as defined below), and will not use such confidential Information for any purpose or in any manner except in connection with this Agreement, except that Information may be disclosed (a) to its and its Affiliates’ directors, officers, employees and agents,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supervisory or regulatory authority (including any self-regulatory authority, such as the National Association of Insurance Commissioners) (it being agreed that, except in the case of a request by a bank supervisory or regulatory authority, such Agent, Issuing Bank or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such Agent, Issuing Bank or Lender will to the extent reasonably practicable and permitted by law provide the Company with prior notice of such disclosure), (d) 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or (ii) any actual or prospective counterparty (or its advisors) to any Hedging Agreement or other derivative transaction relating to the Company or any Subsidiary and its obligations, (g) with the written consent of the Company, (h) to the extent such Information (i) becomes publicly available other than as a result of a breach of this Section or any other confidentiality agreement to which it is party with the Company or any Subsidiary or (ii) becomes available to such Agent, Issuing Bank or Lender on a nonconfidential basis from a source other than the Company,</w:t>
      </w:r>
    </w:p>
    <w:p>
      <w:pPr>
        <w:spacing w:after="0" w:line="176" w:lineRule="exact"/>
        <w:rPr>
          <w:sz w:val="20"/>
          <w:szCs w:val="20"/>
          <w:color w:val="auto"/>
        </w:rPr>
      </w:pPr>
    </w:p>
    <w:p>
      <w:pPr>
        <w:ind w:right="40" w:firstLine="8"/>
        <w:spacing w:after="0" w:line="288" w:lineRule="auto"/>
        <w:tabs>
          <w:tab w:leader="none" w:pos="21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any rating agency when required by it, provided that, prior to any disclosure, such rating agency shall undertake in writing to preserve the confidentiality of any confidential information relating to the Credit Parties received by it from any Agent or any Lender, or (j) on a confidential basis to the CUSIP Service Bureau or any similar agency to the extent required by such agency in connection with the issuance and monitoring of CUSIP numbers with respect to the Loans. For the purposes of this Section, “</w:t>
      </w:r>
      <w:r>
        <w:rPr>
          <w:rFonts w:ascii="Arial" w:cs="Arial" w:eastAsia="Arial" w:hAnsi="Arial"/>
          <w:sz w:val="16"/>
          <w:szCs w:val="16"/>
          <w:i w:val="1"/>
          <w:iCs w:val="1"/>
          <w:color w:val="auto"/>
        </w:rPr>
        <w:t>Information</w:t>
      </w:r>
      <w:r>
        <w:rPr>
          <w:rFonts w:ascii="Arial" w:cs="Arial" w:eastAsia="Arial" w:hAnsi="Arial"/>
          <w:sz w:val="16"/>
          <w:szCs w:val="16"/>
          <w:color w:val="auto"/>
        </w:rPr>
        <w:t>” means all confidential information received from the Company relating to the Company or its businesses, other than any such information that is available to any Agent, Issuing Bank or Lender on a nonconfidential basis prior to disclosure by the Company.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Arial" w:cs="Arial" w:eastAsia="Arial" w:hAnsi="Arial"/>
          <w:sz w:val="16"/>
          <w:szCs w:val="16"/>
          <w:i w:val="1"/>
          <w:iCs w:val="1"/>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i w:val="1"/>
          <w:iCs w:val="1"/>
          <w:color w:val="auto"/>
        </w:rPr>
        <w:t>Maximum Rate</w:t>
      </w:r>
      <w:r>
        <w:rPr>
          <w:rFonts w:ascii="Arial" w:cs="Arial" w:eastAsia="Arial" w:hAnsi="Arial"/>
          <w:sz w:val="16"/>
          <w:szCs w:val="16"/>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100" w:name="page101"/>
    <w:bookmarkEnd w:id="10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shall be cumulated and the interest and Charges payable to such Lender in respect of other extensions of credit or periods shall be increased (but not above the Maximum Rate therefor) until such cumulated amount, together with interest thereon at the Federal Funds Effective Rate to the date of repayment, shall have been received by such Lender.</w:t>
      </w:r>
    </w:p>
    <w:p>
      <w:pPr>
        <w:spacing w:after="0" w:line="140"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Borrowers that pursuant to the requirements of the USA PATRIOT Act, it is required to obtain, verify and record information that identifies the Borrowers, which information includes the names and addresses of the Borrowers and other information that will allow such Lender to identify the Borrowers in accordance with the USA PATRIOT Act.</w:t>
      </w:r>
    </w:p>
    <w:p>
      <w:pPr>
        <w:spacing w:after="0" w:line="10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(a) Each Lender acknowledges that all information furnished to it pursuant to this Agreement by the Credit Parties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such procedures and applicable law, including Federal, state and foreign securities laws.</w:t>
      </w:r>
    </w:p>
    <w:p>
      <w:pPr>
        <w:spacing w:after="0" w:line="143" w:lineRule="exact"/>
        <w:rPr>
          <w:sz w:val="20"/>
          <w:szCs w:val="20"/>
          <w:color w:val="auto"/>
        </w:rPr>
      </w:pPr>
    </w:p>
    <w:p>
      <w:pPr>
        <w:ind w:right="20" w:firstLine="921"/>
        <w:spacing w:after="0" w:line="294" w:lineRule="auto"/>
        <w:tabs>
          <w:tab w:leader="none" w:pos="116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All such information, including requests for waivers and amendments, furnished by the Credit Parties or the Administrative Agent pursuant to, or in the course of administering, this Agreement will be syndicate-level information, which may contain material non-public information about the Company and the Subsidiaries and their securities. Accordingly, each Lender represents to the Credit Parties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1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No Fiduciary Duty</w:t>
      </w:r>
      <w:r>
        <w:rPr>
          <w:rFonts w:ascii="Arial" w:cs="Arial" w:eastAsia="Arial" w:hAnsi="Arial"/>
          <w:sz w:val="18"/>
          <w:szCs w:val="18"/>
          <w:color w:val="auto"/>
        </w:rPr>
        <w:t>. Each Credit Party agrees that in connection with all aspects of the Transactions and any communications in connection therewith, the Company and its Affiliates, on the one hand, and the Agents, the Arrangers, the Issuing Banks, the Lenders and their respective Affiliates, on the other hand, will have a business relationship that does not create, by implication or otherwise, any fiduciary duty on the part of the Agents, the Arrangers, the Issuing Banks, the Lenders or their respective Affiliates, and no such duty will be deemed to have arisen in connection with any such Transactions or communications.</w:t>
      </w:r>
    </w:p>
    <w:p>
      <w:pPr>
        <w:spacing w:after="0" w:line="143"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11.17. </w:t>
      </w:r>
      <w:r>
        <w:rPr>
          <w:rFonts w:ascii="Arial" w:cs="Arial" w:eastAsia="Arial" w:hAnsi="Arial"/>
          <w:sz w:val="16"/>
          <w:szCs w:val="16"/>
          <w:u w:val="single" w:color="auto"/>
          <w:color w:val="auto"/>
        </w:rPr>
        <w:t>Senior Indebtedness</w:t>
      </w:r>
      <w:r>
        <w:rPr>
          <w:rFonts w:ascii="Arial" w:cs="Arial" w:eastAsia="Arial" w:hAnsi="Arial"/>
          <w:sz w:val="16"/>
          <w:szCs w:val="16"/>
          <w:color w:val="auto"/>
        </w:rPr>
        <w:t>. In the event that any Credit Party shall at any time issue or have outstanding any Subordinated Indebtedness, such Credit Party shall take all such actions as shall be necessary under the terms of such Subordinated Indebtedness to cause the Obligations of such Credit Party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Credit Party are hereby designated as “senior indebtedness” and as “designated senior indebtedness” under and in respect of any indenture or other agreement or instrument under which Subordinated Indebtedness of such Credit Party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80" w:right="259" w:bottom="1440" w:gutter="0" w:footer="0" w:header="0"/>
        </w:sectPr>
      </w:pPr>
    </w:p>
    <w:bookmarkStart w:id="101" w:name="page102"/>
    <w:bookmarkEnd w:id="101"/>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11.18. </w:t>
      </w:r>
      <w:r>
        <w:rPr>
          <w:rFonts w:ascii="Arial" w:cs="Arial" w:eastAsia="Arial" w:hAnsi="Arial"/>
          <w:sz w:val="18"/>
          <w:szCs w:val="18"/>
          <w:u w:val="single" w:color="auto"/>
          <w:color w:val="auto"/>
        </w:rPr>
        <w:t>Conversion of Currencies</w:t>
      </w:r>
      <w:r>
        <w:rPr>
          <w:rFonts w:ascii="Arial" w:cs="Arial" w:eastAsia="Arial" w:hAnsi="Arial"/>
          <w:sz w:val="18"/>
          <w:szCs w:val="18"/>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43" w:lineRule="exact"/>
        <w:rPr>
          <w:sz w:val="20"/>
          <w:szCs w:val="20"/>
          <w:color w:val="auto"/>
        </w:rPr>
      </w:pPr>
    </w:p>
    <w:p>
      <w:pPr>
        <w:ind w:firstLine="921"/>
        <w:spacing w:after="0" w:line="289" w:lineRule="auto"/>
        <w:tabs>
          <w:tab w:leader="none" w:pos="116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obligations of each party hereto in respect of any sum due to any other party hereto or any holder of the obligations owing hereunder (the “</w:t>
      </w:r>
      <w:r>
        <w:rPr>
          <w:rFonts w:ascii="Arial" w:cs="Arial" w:eastAsia="Arial" w:hAnsi="Arial"/>
          <w:sz w:val="16"/>
          <w:szCs w:val="16"/>
          <w:i w:val="1"/>
          <w:iCs w:val="1"/>
          <w:color w:val="auto"/>
        </w:rPr>
        <w:t>Applicable Creditor</w:t>
      </w:r>
      <w:r>
        <w:rPr>
          <w:rFonts w:ascii="Arial" w:cs="Arial" w:eastAsia="Arial" w:hAnsi="Arial"/>
          <w:sz w:val="16"/>
          <w:szCs w:val="16"/>
          <w:color w:val="auto"/>
        </w:rPr>
        <w:t>”) shall, notwithstanding any judgment in a currency (the “</w:t>
      </w:r>
      <w:r>
        <w:rPr>
          <w:rFonts w:ascii="Arial" w:cs="Arial" w:eastAsia="Arial" w:hAnsi="Arial"/>
          <w:sz w:val="16"/>
          <w:szCs w:val="16"/>
          <w:i w:val="1"/>
          <w:iCs w:val="1"/>
          <w:color w:val="auto"/>
        </w:rPr>
        <w:t>Judgment Currency</w:t>
      </w:r>
      <w:r>
        <w:rPr>
          <w:rFonts w:ascii="Arial" w:cs="Arial" w:eastAsia="Arial" w:hAnsi="Arial"/>
          <w:sz w:val="16"/>
          <w:szCs w:val="16"/>
          <w:color w:val="auto"/>
        </w:rPr>
        <w:t>”) other than the currency in which such sum is stated to be due hereunder (the “</w:t>
      </w:r>
      <w:r>
        <w:rPr>
          <w:rFonts w:ascii="Arial" w:cs="Arial" w:eastAsia="Arial" w:hAnsi="Arial"/>
          <w:sz w:val="16"/>
          <w:szCs w:val="16"/>
          <w:i w:val="1"/>
          <w:iCs w:val="1"/>
          <w:color w:val="auto"/>
        </w:rPr>
        <w:t>Agreement Currency</w:t>
      </w:r>
      <w:r>
        <w:rPr>
          <w:rFonts w:ascii="Arial" w:cs="Arial" w:eastAsia="Arial" w:hAnsi="Arial"/>
          <w:sz w:val="16"/>
          <w:szCs w:val="16"/>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1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Waiver</w:t>
      </w:r>
      <w:r>
        <w:rPr>
          <w:rFonts w:ascii="Arial" w:cs="Arial" w:eastAsia="Arial" w:hAnsi="Arial"/>
          <w:sz w:val="18"/>
          <w:szCs w:val="18"/>
          <w:color w:val="auto"/>
        </w:rPr>
        <w:t>. Each Lender party hereto that is also a party to the Existing Credit Agreement hereby waives the notice requirements of Section 2.09(c) and Section 2.11(d) of the Existing Credit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80" w:right="279" w:bottom="1440" w:gutter="0" w:footer="0" w:header="0"/>
        </w:sectPr>
      </w:pPr>
    </w:p>
    <w:bookmarkStart w:id="102" w:name="page103"/>
    <w:bookmarkEnd w:id="10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7200"/>
        <w:spacing w:after="0"/>
        <w:tabs>
          <w:tab w:leader="none" w:pos="7580" w:val="left"/>
        </w:tabs>
        <w:rPr>
          <w:sz w:val="20"/>
          <w:szCs w:val="20"/>
          <w:color w:val="auto"/>
        </w:rPr>
      </w:pPr>
      <w:r>
        <w:rPr>
          <w:rFonts w:ascii="Arial" w:cs="Arial" w:eastAsia="Arial" w:hAnsi="Arial"/>
          <w:sz w:val="18"/>
          <w:szCs w:val="18"/>
          <w:color w:val="auto"/>
        </w:rPr>
        <w:t>by</w:t>
        <w:tab/>
        <w:t>/s/ Thomas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Thomas O’Brien</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Treasurer and Secretary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EUROPEAN SOFTWARE MARKETING LIMITED,</w:t>
      </w:r>
    </w:p>
    <w:p>
      <w:pPr>
        <w:spacing w:after="0" w:line="225" w:lineRule="exact"/>
        <w:rPr>
          <w:sz w:val="20"/>
          <w:szCs w:val="20"/>
          <w:color w:val="auto"/>
        </w:rPr>
      </w:pPr>
    </w:p>
    <w:p>
      <w:pPr>
        <w:ind w:left="7200"/>
        <w:spacing w:after="0"/>
        <w:tabs>
          <w:tab w:leader="none" w:pos="7580" w:val="left"/>
        </w:tabs>
        <w:rPr>
          <w:sz w:val="20"/>
          <w:szCs w:val="20"/>
          <w:color w:val="auto"/>
        </w:rPr>
      </w:pPr>
      <w:r>
        <w:rPr>
          <w:rFonts w:ascii="Arial" w:cs="Arial" w:eastAsia="Arial" w:hAnsi="Arial"/>
          <w:sz w:val="18"/>
          <w:szCs w:val="18"/>
          <w:color w:val="auto"/>
        </w:rPr>
        <w:t>by</w:t>
        <w:tab/>
        <w:t>/s/ Eleni Smila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Eleni Smila</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11160"/>
          </w:cols>
          <w:pgMar w:left="240" w:top="280" w:right="499" w:bottom="1440" w:gutter="0" w:footer="0" w:header="0"/>
        </w:sectPr>
      </w:pPr>
    </w:p>
    <w:bookmarkStart w:id="103" w:name="page104"/>
    <w:bookmarkEnd w:id="10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individually and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Issuing Bank and Swingline Lender,</w:t>
      </w:r>
    </w:p>
    <w:p>
      <w:pPr>
        <w:spacing w:after="0" w:line="242" w:lineRule="exact"/>
        <w:rPr>
          <w:sz w:val="20"/>
          <w:szCs w:val="20"/>
          <w:color w:val="auto"/>
        </w:rPr>
      </w:pPr>
    </w:p>
    <w:p>
      <w:pPr>
        <w:ind w:left="6000"/>
        <w:spacing w:after="0"/>
        <w:tabs>
          <w:tab w:leader="none" w:pos="6380" w:val="left"/>
        </w:tabs>
        <w:rPr>
          <w:sz w:val="20"/>
          <w:szCs w:val="20"/>
          <w:color w:val="auto"/>
        </w:rPr>
      </w:pPr>
      <w:r>
        <w:rPr>
          <w:rFonts w:ascii="Arial" w:cs="Arial" w:eastAsia="Arial" w:hAnsi="Arial"/>
          <w:sz w:val="18"/>
          <w:szCs w:val="18"/>
          <w:color w:val="auto"/>
        </w:rPr>
        <w:t>by</w:t>
        <w:tab/>
        <w:t>/s/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10795</wp:posOffset>
            </wp:positionV>
            <wp:extent cx="24612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John G. Kowalczuk</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 P. MORGAN EUROPE LIMITED, individually and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London Agent,</w:t>
      </w:r>
    </w:p>
    <w:p>
      <w:pPr>
        <w:spacing w:after="0" w:line="219" w:lineRule="exact"/>
        <w:rPr>
          <w:sz w:val="20"/>
          <w:szCs w:val="20"/>
          <w:color w:val="auto"/>
        </w:rPr>
      </w:pPr>
    </w:p>
    <w:p>
      <w:pPr>
        <w:ind w:left="6000"/>
        <w:spacing w:after="0"/>
        <w:tabs>
          <w:tab w:leader="none" w:pos="6380" w:val="left"/>
        </w:tabs>
        <w:rPr>
          <w:sz w:val="20"/>
          <w:szCs w:val="20"/>
          <w:color w:val="auto"/>
        </w:rPr>
      </w:pPr>
      <w:r>
        <w:rPr>
          <w:rFonts w:ascii="Arial" w:cs="Arial" w:eastAsia="Arial" w:hAnsi="Arial"/>
          <w:sz w:val="18"/>
          <w:szCs w:val="18"/>
          <w:color w:val="auto"/>
        </w:rPr>
        <w:t>by</w:t>
        <w:tab/>
        <w:t>/s/ Ching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10795</wp:posOffset>
            </wp:positionV>
            <wp:extent cx="24612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Ching Loh</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JPMORGAN CHASE BANK, N.A., TORONTO BRANCH,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individually and as Canadian Agent and Swingline Lender,</w:t>
      </w:r>
    </w:p>
    <w:p>
      <w:pPr>
        <w:spacing w:after="0" w:line="242" w:lineRule="exact"/>
        <w:rPr>
          <w:sz w:val="20"/>
          <w:szCs w:val="20"/>
          <w:color w:val="auto"/>
        </w:rPr>
      </w:pPr>
    </w:p>
    <w:p>
      <w:pPr>
        <w:ind w:left="6000"/>
        <w:spacing w:after="0"/>
        <w:tabs>
          <w:tab w:leader="none" w:pos="6380" w:val="left"/>
        </w:tabs>
        <w:rPr>
          <w:sz w:val="20"/>
          <w:szCs w:val="20"/>
          <w:color w:val="auto"/>
        </w:rPr>
      </w:pPr>
      <w:r>
        <w:rPr>
          <w:rFonts w:ascii="Arial" w:cs="Arial" w:eastAsia="Arial" w:hAnsi="Arial"/>
          <w:sz w:val="18"/>
          <w:szCs w:val="18"/>
          <w:color w:val="auto"/>
        </w:rPr>
        <w:t>by</w:t>
        <w:tab/>
        <w:t>/s/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10795</wp:posOffset>
            </wp:positionV>
            <wp:extent cx="24612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John G. Kowalczuk</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director</w:t>
      </w:r>
    </w:p>
    <w:p>
      <w:pPr>
        <w:spacing w:after="0" w:line="16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9940"/>
          </w:cols>
          <w:pgMar w:left="1440" w:top="280" w:right="519" w:bottom="1440" w:gutter="0" w:footer="0" w:header="0"/>
        </w:sectPr>
      </w:pPr>
    </w:p>
    <w:bookmarkStart w:id="104" w:name="page105"/>
    <w:bookmarkEnd w:id="10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 individually and as Syndication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ind w:left="58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Debra E. Delvecchio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Debra E. Delvecchio</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AMERICA, N.A. (CANADA BRANCH),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individually,</w:t>
      </w:r>
    </w:p>
    <w:p>
      <w:pPr>
        <w:spacing w:after="0" w:line="219" w:lineRule="exact"/>
        <w:rPr>
          <w:sz w:val="20"/>
          <w:szCs w:val="20"/>
          <w:color w:val="auto"/>
        </w:rPr>
      </w:pPr>
    </w:p>
    <w:p>
      <w:pPr>
        <w:ind w:left="58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Medina Sales De Andrade</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10020"/>
          </w:cols>
          <w:pgMar w:left="1440" w:top="280"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PLC, individually and as Documentation Agent,</w:t>
      </w:r>
    </w:p>
    <w:p>
      <w:pPr>
        <w:spacing w:after="0" w:line="225" w:lineRule="exact"/>
        <w:rPr>
          <w:sz w:val="20"/>
          <w:szCs w:val="20"/>
          <w:color w:val="auto"/>
        </w:rPr>
      </w:pPr>
    </w:p>
    <w:p>
      <w:pPr>
        <w:ind w:left="58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Ben Handler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Debt Finance Origination</w:t>
      </w:r>
    </w:p>
    <w:p>
      <w:pPr>
        <w:spacing w:after="0" w:line="16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[Signature Page to Amdocs Limited Credit Agreement]</w:t>
      </w:r>
    </w:p>
    <w:p>
      <w:pPr>
        <w:sectPr>
          <w:pgSz w:w="11900" w:h="16838" w:orient="portrait"/>
          <w:cols w:equalWidth="0" w:num="1">
            <w:col w:w="10080"/>
          </w:cols>
          <w:pgMar w:left="1440" w:top="280" w:right="379" w:bottom="1440" w:gutter="0" w:footer="0" w:header="0"/>
        </w:sectPr>
      </w:pPr>
    </w:p>
    <w:bookmarkStart w:id="106" w:name="page107"/>
    <w:bookmarkEnd w:id="106"/>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SIGNATURE PAGE TO THE AMDOCS LIMITED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Michael Vondriska</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any institution requiring a second signature line: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2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 Walton</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any institution requiring a second signature line: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240" w:top="280"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N.A.</w:t>
      </w:r>
    </w:p>
    <w:p>
      <w:pPr>
        <w:spacing w:after="0" w:line="22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Michael King</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For any institution requiring a second signature line: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225"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John H.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John H. Lee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Account Manager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For any institution requiring a second signature line: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 BANK OF CANADA, LONDON BRANCH</w:t>
      </w:r>
    </w:p>
    <w:p>
      <w:pPr>
        <w:spacing w:after="0" w:line="200" w:lineRule="exact"/>
        <w:rPr>
          <w:sz w:val="20"/>
          <w:szCs w:val="20"/>
          <w:color w:val="auto"/>
        </w:rPr>
      </w:pPr>
    </w:p>
    <w:p>
      <w:pPr>
        <w:spacing w:after="0" w:line="264"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R.J.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R.J. Bell</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For any institution requiring a second signature line: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BANK LEUMI LE-ISRAEL B.M.</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Anat Golan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Anat Golan</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Relationship Manager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For any institution requiring a second signature line:</w:t>
      </w:r>
    </w:p>
    <w:p>
      <w:pPr>
        <w:spacing w:after="0" w:line="248"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Iris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Iris Rosenberg</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Head of Technology Sector</w:t>
      </w:r>
    </w:p>
    <w:p>
      <w:pPr>
        <w:sectPr>
          <w:pgSz w:w="11900" w:h="16838" w:orient="portrait"/>
          <w:cols w:equalWidth="0" w:num="1">
            <w:col w:w="10219"/>
          </w:cols>
          <w:pgMar w:left="240" w:top="280"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540" w:val="left"/>
        </w:tabs>
        <w:rPr>
          <w:sz w:val="20"/>
          <w:szCs w:val="20"/>
          <w:color w:val="auto"/>
        </w:rPr>
      </w:pPr>
      <w:r>
        <w:rPr>
          <w:rFonts w:ascii="Arial" w:cs="Arial" w:eastAsia="Arial" w:hAnsi="Arial"/>
          <w:sz w:val="18"/>
          <w:szCs w:val="18"/>
          <w:color w:val="auto"/>
        </w:rPr>
        <w:t>by</w:t>
        <w:tab/>
        <w:t>/s/ Jeffrey Dears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Jeffrey Dears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For any institution requiring a second signature line: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Mandatory Costs Rate</w:t>
      </w:r>
    </w:p>
    <w:p>
      <w:pPr>
        <w:spacing w:after="0" w:line="212" w:lineRule="exact"/>
        <w:rPr>
          <w:sz w:val="20"/>
          <w:szCs w:val="20"/>
          <w:color w:val="auto"/>
        </w:rPr>
      </w:pPr>
    </w:p>
    <w:p>
      <w:pPr>
        <w:ind w:left="460" w:right="8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Mandatory Costs Rate is an addition to the interest rate to compensate Lenders for the cost of compliance with (a) the requirements of the Bank of England and/or the Financial Services Authority (or, in either case, any other authority which replaces all or any of its functions) or (b) the requirements of the European Central Bank.</w:t>
      </w:r>
    </w:p>
    <w:p>
      <w:pPr>
        <w:spacing w:after="0" w:line="59"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the first day of each Interest Period (or as soon as possible thereafter) the London Agent shall calculate, as a percentage rate, a rate (the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Cost Rate</w:t>
      </w:r>
      <w:r>
        <w:rPr>
          <w:rFonts w:ascii="Arial" w:cs="Arial" w:eastAsia="Arial" w:hAnsi="Arial"/>
          <w:sz w:val="18"/>
          <w:szCs w:val="18"/>
          <w:color w:val="auto"/>
        </w:rPr>
        <w:t>”) for each Lender, in accordance with the paragraphs set out below. The Mandatory Costs Rate will be calculated by the London Agent as a</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 average of the Lenders’ Additional Cost Rates (weighted in proportion to the percentage participation of each Lender in the relevant Loan) and will be expressed as a percentage rate per annum. The London Agent will, at the request of the Company, deliver to the Company a statement setting forth the calculation of Mandatory Costs Rate.</w:t>
      </w:r>
    </w:p>
    <w:p>
      <w:pPr>
        <w:spacing w:after="0" w:line="61" w:lineRule="exact"/>
        <w:rPr>
          <w:rFonts w:ascii="Arial" w:cs="Arial" w:eastAsia="Arial" w:hAnsi="Arial"/>
          <w:sz w:val="18"/>
          <w:szCs w:val="18"/>
          <w:color w:val="auto"/>
        </w:rPr>
      </w:pPr>
    </w:p>
    <w:p>
      <w:pPr>
        <w:ind w:left="460" w:right="180" w:hanging="452"/>
        <w:spacing w:after="0" w:line="294"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Additional Cost Rate for any Lender lending from a Lending Office in a member state of the European Community that (i) adopts or has adopted the Euro and (ii) has retained the Euro as its lawful currency in accordance with legislation of the European Community relating to Economic and Monetary Union will be the percentage notified by that Lender to the London Agent. This percentage will be certified by that Lender in its notice to the London Agent to be its reasonable determination of the cost (expressed as a percentage of that Lender’s participation in all Loans made from that Lending Office) of complying with the minimum reserve requirements of the European Central Bank in respect of loans made from that Lending Office.</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Additional Cost Rate for any Lender lending from a Lending Office in the United Kingdom will be calculated by the London Agent as follows: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relation to a Loan denominated in Sterling:</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AB + C</w:t>
            </w:r>
            <w:r>
              <w:rPr>
                <w:rFonts w:ascii="Arial" w:cs="Arial" w:eastAsia="Arial" w:hAnsi="Arial"/>
                <w:sz w:val="18"/>
                <w:szCs w:val="18"/>
                <w:color w:val="auto"/>
                <w:w w:val="91"/>
              </w:rPr>
              <w:t>(</w:t>
            </w:r>
            <w:r>
              <w:rPr>
                <w:rFonts w:ascii="Arial" w:cs="Arial" w:eastAsia="Arial" w:hAnsi="Arial"/>
                <w:sz w:val="18"/>
                <w:szCs w:val="18"/>
                <w:i w:val="1"/>
                <w:iCs w:val="1"/>
                <w:color w:val="auto"/>
                <w:w w:val="91"/>
              </w:rPr>
              <w:t>B –D</w:t>
            </w:r>
            <w:r>
              <w:rPr>
                <w:rFonts w:ascii="Arial" w:cs="Arial" w:eastAsia="Arial" w:hAnsi="Arial"/>
                <w:sz w:val="18"/>
                <w:szCs w:val="18"/>
                <w:color w:val="auto"/>
                <w:w w:val="91"/>
              </w:rPr>
              <w:t>) +</w:t>
            </w:r>
            <w:r>
              <w:rPr>
                <w:rFonts w:ascii="Arial" w:cs="Arial" w:eastAsia="Arial" w:hAnsi="Arial"/>
                <w:sz w:val="18"/>
                <w:szCs w:val="18"/>
                <w:i w:val="1"/>
                <w:iCs w:val="1"/>
                <w:color w:val="auto"/>
                <w:w w:val="91"/>
              </w:rPr>
              <w:t xml:space="preserve"> E </w:t>
            </w:r>
            <w:r>
              <w:rPr>
                <w:rFonts w:ascii="Arial" w:cs="Arial" w:eastAsia="Arial" w:hAnsi="Arial"/>
                <w:sz w:val="18"/>
                <w:szCs w:val="18"/>
                <w:color w:val="auto"/>
                <w:w w:val="91"/>
              </w:rPr>
              <w:t>x 0.01</w:t>
            </w:r>
          </w:p>
        </w:tc>
        <w:tc>
          <w:tcPr>
            <w:tcW w:w="180" w:type="dxa"/>
            <w:vAlign w:val="bottom"/>
          </w:tcPr>
          <w:p>
            <w:pPr>
              <w:spacing w:after="0"/>
              <w:rPr>
                <w:sz w:val="17"/>
                <w:szCs w:val="17"/>
                <w:color w:val="auto"/>
              </w:rPr>
            </w:pP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w w:val="85"/>
              </w:rPr>
              <w:t>% per annum</w:t>
            </w:r>
          </w:p>
        </w:tc>
        <w:tc>
          <w:tcPr>
            <w:tcW w:w="0" w:type="dxa"/>
            <w:vAlign w:val="bottom"/>
          </w:tcPr>
          <w:p>
            <w:pPr>
              <w:spacing w:after="0"/>
              <w:rPr>
                <w:sz w:val="1"/>
                <w:szCs w:val="1"/>
                <w:color w:val="auto"/>
              </w:rPr>
            </w:pPr>
          </w:p>
        </w:tc>
      </w:tr>
      <w:tr>
        <w:trPr>
          <w:trHeight w:val="127"/>
        </w:trPr>
        <w:tc>
          <w:tcPr>
            <w:tcW w:w="198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0"/>
              </w:rPr>
              <w:t>100 – (</w:t>
            </w:r>
            <w:r>
              <w:rPr>
                <w:rFonts w:ascii="Arial" w:cs="Arial" w:eastAsia="Arial" w:hAnsi="Arial"/>
                <w:sz w:val="18"/>
                <w:szCs w:val="18"/>
                <w:i w:val="1"/>
                <w:iCs w:val="1"/>
                <w:color w:val="auto"/>
                <w:w w:val="90"/>
              </w:rPr>
              <w:t>A+C</w:t>
            </w:r>
            <w:r>
              <w:rPr>
                <w:rFonts w:ascii="Arial" w:cs="Arial" w:eastAsia="Arial" w:hAnsi="Arial"/>
                <w:sz w:val="18"/>
                <w:szCs w:val="18"/>
                <w:color w:val="auto"/>
                <w:w w:val="90"/>
              </w:rPr>
              <w:t>)</w:t>
            </w: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relation to a Loan denominated in any currency other than Sterling:</w:t>
      </w:r>
    </w:p>
    <w:p>
      <w:pPr>
        <w:spacing w:after="0" w:line="67"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 xml:space="preserve">E </w:t>
            </w:r>
            <w:r>
              <w:rPr>
                <w:rFonts w:ascii="Arial" w:cs="Arial" w:eastAsia="Arial" w:hAnsi="Arial"/>
                <w:sz w:val="18"/>
                <w:szCs w:val="18"/>
                <w:color w:val="auto"/>
                <w:w w:val="90"/>
              </w:rPr>
              <w:t>x 0.01</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auto"/>
                <w:w w:val="84"/>
              </w:rPr>
              <w:t>% per annum</w:t>
            </w:r>
          </w:p>
        </w:tc>
        <w:tc>
          <w:tcPr>
            <w:tcW w:w="0" w:type="dxa"/>
            <w:vAlign w:val="bottom"/>
          </w:tcPr>
          <w:p>
            <w:pPr>
              <w:spacing w:after="0"/>
              <w:rPr>
                <w:sz w:val="1"/>
                <w:szCs w:val="1"/>
                <w:color w:val="auto"/>
              </w:rPr>
            </w:pPr>
          </w:p>
        </w:tc>
      </w:tr>
      <w:tr>
        <w:trPr>
          <w:trHeight w:val="127"/>
        </w:trPr>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300</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ind w:left="900" w:right="20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is the percentage of Eligible Liabilities (assuming these to be in excess of any stated minimum) which such Lender is from time to time required to maintain as an interest free cash ratio deposit with the Bank of England to comply with cash ratio requirements.</w:t>
      </w:r>
    </w:p>
    <w:p>
      <w:pPr>
        <w:spacing w:after="0" w:line="51" w:lineRule="exact"/>
        <w:rPr>
          <w:sz w:val="20"/>
          <w:szCs w:val="20"/>
          <w:color w:val="auto"/>
        </w:rPr>
      </w:pPr>
    </w:p>
    <w:p>
      <w:pPr>
        <w:ind w:left="900" w:right="580" w:hanging="446"/>
        <w:spacing w:after="0" w:line="33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is the percentage rate of interest (excluding the spreads set forth in the definition of “Applicable Rate” and the Mandatory Costs Rate and any additional rate of interest specified in Clause 2.13(e)) payable for the relevant Interest Period on the Loan.</w:t>
      </w:r>
    </w:p>
    <w:p>
      <w:pPr>
        <w:spacing w:after="0" w:line="4" w:lineRule="exact"/>
        <w:rPr>
          <w:sz w:val="20"/>
          <w:szCs w:val="20"/>
          <w:color w:val="auto"/>
        </w:rPr>
      </w:pPr>
    </w:p>
    <w:p>
      <w:pPr>
        <w:ind w:left="900" w:right="4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 the percentage (if any) of Eligible Liabilities which such Lender is required from time to time to maintain as interest bearing Special Deposits with the Bank of England.</w:t>
      </w:r>
    </w:p>
    <w:p>
      <w:pPr>
        <w:sectPr>
          <w:pgSz w:w="11900" w:h="16838" w:orient="portrait"/>
          <w:cols w:equalWidth="0" w:num="1">
            <w:col w:w="11420"/>
          </w:cols>
          <w:pgMar w:left="240" w:top="280" w:right="239" w:bottom="1440" w:gutter="0" w:footer="0" w:header="0"/>
        </w:sectPr>
      </w:pPr>
    </w:p>
    <w:bookmarkStart w:id="111" w:name="page112"/>
    <w:bookmarkEnd w:id="111"/>
    <w:p>
      <w:pPr>
        <w:ind w:left="892" w:hanging="446"/>
        <w:spacing w:after="0"/>
        <w:tabs>
          <w:tab w:leader="none" w:pos="892"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the percentage rate per annum payable by the Bank of England to the Agent on interest-bearing Special Deposits.</w:t>
      </w:r>
    </w:p>
    <w:p>
      <w:pPr>
        <w:spacing w:after="0" w:line="90" w:lineRule="exact"/>
        <w:rPr>
          <w:sz w:val="20"/>
          <w:szCs w:val="20"/>
          <w:color w:val="auto"/>
        </w:rPr>
      </w:pPr>
    </w:p>
    <w:p>
      <w:pPr>
        <w:ind w:left="892" w:right="40" w:hanging="446"/>
        <w:spacing w:after="0" w:line="332" w:lineRule="auto"/>
        <w:tabs>
          <w:tab w:leader="none" w:pos="89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is designed to compensate Lenders for amounts payable under the Fees Rules and is calculated by the Agent as being the average of the most recent rates of charge supplied by the Reference Banks to the Agent pursuant to paragraph 7 below and expressed in pounds per £1,000,000.</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the purposes of this Exhibit:</w:t>
      </w:r>
    </w:p>
    <w:p>
      <w:pPr>
        <w:spacing w:after="0" w:line="90" w:lineRule="exact"/>
        <w:rPr>
          <w:sz w:val="20"/>
          <w:szCs w:val="20"/>
          <w:color w:val="auto"/>
        </w:rPr>
      </w:pPr>
    </w:p>
    <w:p>
      <w:pPr>
        <w:ind w:left="892" w:hanging="446"/>
        <w:spacing w:after="0" w:line="268"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Liabilities</w:t>
      </w:r>
      <w:r>
        <w:rPr>
          <w:rFonts w:ascii="Arial" w:cs="Arial" w:eastAsia="Arial" w:hAnsi="Arial"/>
          <w:sz w:val="18"/>
          <w:szCs w:val="18"/>
          <w:color w:val="auto"/>
        </w:rPr>
        <w:t>” and “</w:t>
      </w:r>
      <w:r>
        <w:rPr>
          <w:rFonts w:ascii="Arial" w:cs="Arial" w:eastAsia="Arial" w:hAnsi="Arial"/>
          <w:sz w:val="18"/>
          <w:szCs w:val="18"/>
          <w:i w:val="1"/>
          <w:iCs w:val="1"/>
          <w:color w:val="auto"/>
        </w:rPr>
        <w:t>Special Deposits</w:t>
      </w:r>
      <w:r>
        <w:rPr>
          <w:rFonts w:ascii="Arial" w:cs="Arial" w:eastAsia="Arial" w:hAnsi="Arial"/>
          <w:sz w:val="18"/>
          <w:szCs w:val="18"/>
          <w:color w:val="auto"/>
        </w:rPr>
        <w:t>” have the meanings given to them from time to time under or pursuant to the Bank of England Act 1998 or (as may be appropriate) by the Bank of England;</w:t>
      </w:r>
    </w:p>
    <w:p>
      <w:pPr>
        <w:spacing w:after="0" w:line="50"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Fees Rules</w:t>
      </w:r>
      <w:r>
        <w:rPr>
          <w:rFonts w:ascii="Arial" w:cs="Arial" w:eastAsia="Arial" w:hAnsi="Arial"/>
          <w:sz w:val="18"/>
          <w:szCs w:val="18"/>
          <w:color w:val="auto"/>
        </w:rPr>
        <w:t>” means the rules on periodic fees contained in the Financial Services Authority Fees Manual or such other law or regulation as may be in force from time to time in respect of the payment of fees for the acceptance of deposits;</w:t>
      </w:r>
    </w:p>
    <w:p>
      <w:pPr>
        <w:spacing w:after="0" w:line="50"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Fee Tariffs</w:t>
      </w:r>
      <w:r>
        <w:rPr>
          <w:rFonts w:ascii="Arial" w:cs="Arial" w:eastAsia="Arial" w:hAnsi="Arial"/>
          <w:sz w:val="18"/>
          <w:szCs w:val="18"/>
          <w:color w:val="auto"/>
        </w:rPr>
        <w:t>” means the fee tariffs specified in the Fees Rules under the activity group A.1 Deposit acceptors (ignoring any minimum fee or zero rated fee required pursuant to the Fees Rules but taking into account any applicable discount rate); and</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Tariff Base</w:t>
      </w:r>
      <w:r>
        <w:rPr>
          <w:rFonts w:ascii="Arial" w:cs="Arial" w:eastAsia="Arial" w:hAnsi="Arial"/>
          <w:sz w:val="18"/>
          <w:szCs w:val="18"/>
          <w:color w:val="auto"/>
        </w:rPr>
        <w:t>” has the meaning given to it in, and will be calculated in accordance with, the Fees Rules.</w:t>
      </w:r>
    </w:p>
    <w:p>
      <w:pPr>
        <w:spacing w:after="0" w:line="90" w:lineRule="exact"/>
        <w:rPr>
          <w:rFonts w:ascii="Arial" w:cs="Arial" w:eastAsia="Arial" w:hAnsi="Arial"/>
          <w:sz w:val="18"/>
          <w:szCs w:val="18"/>
          <w:color w:val="auto"/>
        </w:rPr>
      </w:pPr>
    </w:p>
    <w:p>
      <w:pPr>
        <w:ind w:left="452" w:right="80" w:hanging="452"/>
        <w:spacing w:after="0" w:line="332"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application of the above formulae, A, B, C and D will be included in the formulae as percentages (i.e., 5 % will be included in the formula as 5 and not as 0.05). A negative result obtained by subtracting D from B shall be taken as zero. The resulting figures shall be rounded to four decimal places.</w:t>
      </w:r>
    </w:p>
    <w:p>
      <w:pPr>
        <w:spacing w:after="0" w:line="4" w:lineRule="exact"/>
        <w:rPr>
          <w:rFonts w:ascii="Arial" w:cs="Arial" w:eastAsia="Arial" w:hAnsi="Arial"/>
          <w:sz w:val="16"/>
          <w:szCs w:val="16"/>
          <w:color w:val="auto"/>
        </w:rPr>
      </w:pPr>
    </w:p>
    <w:p>
      <w:pPr>
        <w:ind w:left="452" w:right="20" w:hanging="452"/>
        <w:spacing w:after="0" w:line="298"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requested by the London Agent, each Reference Bank shall, as soon as practicable after publication by the Financial Services Authority, supply to the London Agent, the rate of charge payable by such Reference Bank to the Financial Services Authority pursuant to the Fees Rules in respect of the relevant financial year of the Financial Services Authority (calculated for this purpose by such Reference Bank as being the average of the Fee Tariffs applicable to such Reference Bank for that financial year) and expressed in pounds per £1,000,000 of the Tariff Base of such Reference Bank.</w:t>
      </w:r>
    </w:p>
    <w:p>
      <w:pPr>
        <w:spacing w:after="0" w:line="31" w:lineRule="exact"/>
        <w:rPr>
          <w:rFonts w:ascii="Arial" w:cs="Arial" w:eastAsia="Arial" w:hAnsi="Arial"/>
          <w:sz w:val="16"/>
          <w:szCs w:val="16"/>
          <w:color w:val="auto"/>
        </w:rPr>
      </w:pPr>
    </w:p>
    <w:p>
      <w:pPr>
        <w:ind w:left="452" w:right="60" w:hanging="452"/>
        <w:spacing w:after="0" w:line="332"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Lender shall supply any information required by the London Agent for the purpose of calculating its Additional Cost Rate. In particular, but without limitation, each Lender shall supply the following information on or prior to the date on which it becomes a Lender:</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jurisdiction of its Lending Office;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other information that the London Agent may reasonably require for such purpose.</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Each Lender shall promptly notify the London Agent of any change to the information provided by it pursuant to this paragraph.</w:t>
      </w:r>
    </w:p>
    <w:p>
      <w:pPr>
        <w:sectPr>
          <w:pgSz w:w="11900" w:h="16838" w:orient="portrait"/>
          <w:cols w:equalWidth="0" w:num="1">
            <w:col w:w="11312"/>
          </w:cols>
          <w:pgMar w:left="248" w:top="280" w:right="339" w:bottom="1440" w:gutter="0" w:footer="0" w:header="0"/>
        </w:sectPr>
      </w:pPr>
    </w:p>
    <w:bookmarkStart w:id="112" w:name="page113"/>
    <w:bookmarkEnd w:id="112"/>
    <w:p>
      <w:pPr>
        <w:ind w:left="452" w:hanging="452"/>
        <w:spacing w:after="0" w:line="298" w:lineRule="auto"/>
        <w:tabs>
          <w:tab w:leader="none" w:pos="4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percentages of each Lender for the purpose of A and C above and the rates of charge of each Reference Bank for the purpose of E above shall be determined by the London Agent based upon the information supplied to it pursuant to paragraphs 7 and 8 above and on the assumption that, unless a Lender notifies the London Agent to the contrary, each Lender’s obligations in relation to cash ratio deposits and Special Deposits are the same as those of a typical bank from its jurisdiction of incorporation with a Lending Office in the same jurisdiction as its Lending Office.</w:t>
      </w:r>
    </w:p>
    <w:p>
      <w:pPr>
        <w:spacing w:after="0" w:line="31" w:lineRule="exact"/>
        <w:rPr>
          <w:rFonts w:ascii="Arial" w:cs="Arial" w:eastAsia="Arial" w:hAnsi="Arial"/>
          <w:sz w:val="16"/>
          <w:szCs w:val="16"/>
          <w:color w:val="auto"/>
        </w:rPr>
      </w:pPr>
    </w:p>
    <w:p>
      <w:pPr>
        <w:ind w:left="452" w:right="40" w:hanging="452"/>
        <w:spacing w:after="0" w:line="259" w:lineRule="auto"/>
        <w:tabs>
          <w:tab w:leader="none" w:pos="4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London Agent shall have no liability to any person if such determination results in an Additional Cost Rate which over or under compensates any Lender and shall be entitled to assume that the information provided by any Lender or Reference Bank pursuant to paragraphs 3, 7 and 8 above is true and correct in all respects.</w:t>
      </w:r>
    </w:p>
    <w:p>
      <w:pPr>
        <w:spacing w:after="0" w:line="59" w:lineRule="exact"/>
        <w:rPr>
          <w:rFonts w:ascii="Arial" w:cs="Arial" w:eastAsia="Arial" w:hAnsi="Arial"/>
          <w:sz w:val="18"/>
          <w:szCs w:val="18"/>
          <w:color w:val="auto"/>
        </w:rPr>
      </w:pPr>
    </w:p>
    <w:p>
      <w:pPr>
        <w:ind w:left="452" w:right="200" w:hanging="452"/>
        <w:spacing w:after="0" w:line="357" w:lineRule="auto"/>
        <w:tabs>
          <w:tab w:leader="none" w:pos="45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London Agent shall distribute the additional amounts received as a result of the Mandatory Costs Rate to the Lenders on the basis of the Additional Cost Rate for each Lender based on the information provided by each Lender and each Reference Bank pursuant to paragraphs 3, 7 and 8 above.</w:t>
      </w:r>
    </w:p>
    <w:p>
      <w:pPr>
        <w:ind w:left="452" w:right="340" w:hanging="452"/>
        <w:spacing w:after="0" w:line="332" w:lineRule="auto"/>
        <w:tabs>
          <w:tab w:leader="none" w:pos="4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determination by the London Agent pursuant to this Schedule in relation to a formula, the Mandatory Costs Rate, an Additional Cost Rate or any amount payable to a Lender shall, in the absence of manifest error, be conclusive and binding on all parties to the Agreement.</w:t>
      </w:r>
    </w:p>
    <w:p>
      <w:pPr>
        <w:spacing w:after="0" w:line="4" w:lineRule="exact"/>
        <w:rPr>
          <w:rFonts w:ascii="Arial" w:cs="Arial" w:eastAsia="Arial" w:hAnsi="Arial"/>
          <w:sz w:val="16"/>
          <w:szCs w:val="16"/>
          <w:color w:val="auto"/>
        </w:rPr>
      </w:pPr>
    </w:p>
    <w:p>
      <w:pPr>
        <w:ind w:left="452" w:right="20" w:hanging="452"/>
        <w:spacing w:after="0" w:line="298" w:lineRule="auto"/>
        <w:tabs>
          <w:tab w:leader="none" w:pos="4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London Agent may from time to time, after consultation with the Company and the Lenders, determine and notify to all parties to the Agreement any amendments that are required to be made to this Exhibit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to the Agreement.</w:t>
      </w:r>
    </w:p>
    <w:sectPr>
      <w:pgSz w:w="11900" w:h="16838" w:orient="portrait"/>
      <w:cols w:equalWidth="0" w:num="1">
        <w:col w:w="11312"/>
      </w:cols>
      <w:pgMar w:left="248"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1)"/>
      <w:numFmt w:val="lowerLetter"/>
      <w:start w:val="1"/>
    </w:lvl>
  </w:abstractNum>
  <w:abstractNum w:abstractNumId="1">
    <w:nsid w:val="2F305DEF"/>
    <w:multiLevelType w:val="hybridMultilevel"/>
    <w:lvl w:ilvl="0">
      <w:lvlJc w:val="left"/>
      <w:lvlText w:val="(%1)"/>
      <w:numFmt w:val="lowerRoman"/>
      <w:start w:val="1"/>
    </w:lvl>
  </w:abstractNum>
  <w:abstractNum w:abstractNumId="2">
    <w:nsid w:val="25A70BF7"/>
    <w:multiLevelType w:val="hybridMultilevel"/>
    <w:lvl w:ilvl="0">
      <w:lvlJc w:val="left"/>
      <w:lvlText w:val="(%1)"/>
      <w:numFmt w:val="lowerRoman"/>
      <w:start w:val="2"/>
    </w:lvl>
  </w:abstractNum>
  <w:abstractNum w:abstractNumId="3">
    <w:nsid w:val="1DBABF00"/>
    <w:multiLevelType w:val="hybridMultilevel"/>
    <w:lvl w:ilvl="0">
      <w:lvlJc w:val="left"/>
      <w:lvlText w:val="(%1)"/>
      <w:numFmt w:val="lowerLetter"/>
      <w:start w:val="2"/>
    </w:lvl>
  </w:abstractNum>
  <w:abstractNum w:abstractNumId="4">
    <w:nsid w:val="4AD084E9"/>
    <w:multiLevelType w:val="hybridMultilevel"/>
    <w:lvl w:ilvl="0">
      <w:lvlJc w:val="left"/>
      <w:lvlText w:val="(%1)"/>
      <w:numFmt w:val="lowerLetter"/>
      <w:start w:val="1"/>
    </w:lvl>
  </w:abstractNum>
  <w:abstractNum w:abstractNumId="5">
    <w:nsid w:val="1F48EAA1"/>
    <w:multiLevelType w:val="hybridMultilevel"/>
    <w:lvl w:ilvl="0">
      <w:lvlJc w:val="left"/>
      <w:lvlText w:val="(%1)"/>
      <w:numFmt w:val="lowerLetter"/>
      <w:start w:val="2"/>
    </w:lvl>
  </w:abstractNum>
  <w:abstractNum w:abstractNumId="6">
    <w:nsid w:val="1381823A"/>
    <w:multiLevelType w:val="hybridMultilevel"/>
    <w:lvl w:ilvl="0">
      <w:lvlJc w:val="left"/>
      <w:lvlText w:val="(%1)"/>
      <w:numFmt w:val="lowerLetter"/>
      <w:start w:val="6"/>
    </w:lvl>
  </w:abstractNum>
  <w:abstractNum w:abstractNumId="7">
    <w:nsid w:val="5DB70AE5"/>
    <w:multiLevelType w:val="hybridMultilevel"/>
    <w:lvl w:ilvl="0">
      <w:lvlJc w:val="left"/>
      <w:lvlText w:val="(%1)"/>
      <w:numFmt w:val="lowerLetter"/>
      <w:start w:val="1"/>
    </w:lvl>
  </w:abstractNum>
  <w:abstractNum w:abstractNumId="8">
    <w:nsid w:val="100F8FCA"/>
    <w:multiLevelType w:val="hybridMultilevel"/>
    <w:lvl w:ilvl="0">
      <w:lvlJc w:val="left"/>
      <w:lvlText w:val="(%1)"/>
      <w:numFmt w:val="lowerLetter"/>
      <w:start w:val="2"/>
    </w:lvl>
  </w:abstractNum>
  <w:abstractNum w:abstractNumId="9">
    <w:nsid w:val="6590700B"/>
    <w:multiLevelType w:val="hybridMultilevel"/>
    <w:lvl w:ilvl="0">
      <w:lvlJc w:val="left"/>
      <w:lvlText w:val="(%1)"/>
      <w:numFmt w:val="lowerLetter"/>
      <w:start w:val="3"/>
    </w:lvl>
  </w:abstractNum>
  <w:abstractNum w:abstractNumId="10">
    <w:nsid w:val="15014ACB"/>
    <w:multiLevelType w:val="hybridMultilevel"/>
    <w:lvl w:ilvl="0">
      <w:lvlJc w:val="left"/>
      <w:lvlText w:val="(%1)"/>
      <w:numFmt w:val="lowerLetter"/>
      <w:start w:val="1"/>
    </w:lvl>
  </w:abstractNum>
  <w:abstractNum w:abstractNumId="11">
    <w:nsid w:val="5F5E7FD0"/>
    <w:multiLevelType w:val="hybridMultilevel"/>
    <w:lvl w:ilvl="0">
      <w:lvlJc w:val="left"/>
      <w:lvlText w:val="(%1)"/>
      <w:numFmt w:val="lowerLetter"/>
      <w:start w:val="5"/>
    </w:lvl>
  </w:abstractNum>
  <w:abstractNum w:abstractNumId="12">
    <w:nsid w:val="98A3148"/>
    <w:multiLevelType w:val="hybridMultilevel"/>
    <w:lvl w:ilvl="0">
      <w:lvlJc w:val="left"/>
      <w:lvlText w:val="(%1)"/>
      <w:numFmt w:val="lowerLetter"/>
      <w:start w:val="2"/>
    </w:lvl>
  </w:abstractNum>
  <w:abstractNum w:abstractNumId="13">
    <w:nsid w:val="799D0247"/>
    <w:multiLevelType w:val="hybridMultilevel"/>
    <w:lvl w:ilvl="0">
      <w:lvlJc w:val="left"/>
      <w:lvlText w:val="(%1)"/>
      <w:numFmt w:val="lowerLetter"/>
      <w:start w:val="9"/>
    </w:lvl>
  </w:abstractNum>
  <w:abstractNum w:abstractNumId="14">
    <w:nsid w:val="6B94764"/>
    <w:multiLevelType w:val="hybridMultilevel"/>
    <w:lvl w:ilvl="0">
      <w:lvlJc w:val="left"/>
      <w:lvlText w:val="(%1)"/>
      <w:numFmt w:val="lowerLetter"/>
      <w:start w:val="5"/>
    </w:lvl>
  </w:abstractNum>
  <w:abstractNum w:abstractNumId="15">
    <w:nsid w:val="42C296BD"/>
    <w:multiLevelType w:val="hybridMultilevel"/>
    <w:lvl w:ilvl="0">
      <w:lvlJc w:val="left"/>
      <w:lvlText w:val="(%1)"/>
      <w:numFmt w:val="upperLetter"/>
      <w:start w:val="1"/>
    </w:lvl>
    <w:lvl w:ilvl="1">
      <w:lvlJc w:val="left"/>
      <w:lvlText w:val="(%2)"/>
      <w:numFmt w:val="lowerLetter"/>
      <w:start w:val="2"/>
    </w:lvl>
  </w:abstractNum>
  <w:abstractNum w:abstractNumId="16">
    <w:nsid w:val="168E121F"/>
    <w:multiLevelType w:val="hybridMultilevel"/>
    <w:lvl w:ilvl="0">
      <w:lvlJc w:val="left"/>
      <w:lvlText w:val="(%1)"/>
      <w:numFmt w:val="lowerLetter"/>
      <w:start w:val="2"/>
    </w:lvl>
  </w:abstractNum>
  <w:abstractNum w:abstractNumId="17">
    <w:nsid w:val="1EBA5D23"/>
    <w:multiLevelType w:val="hybridMultilevel"/>
    <w:lvl w:ilvl="0">
      <w:lvlJc w:val="left"/>
      <w:lvlText w:val="%1"/>
      <w:numFmt w:val="lowerLetter"/>
      <w:start w:val="1"/>
    </w:lvl>
    <w:lvl w:ilvl="1">
      <w:lvlJc w:val="left"/>
      <w:lvlText w:val="(%2)"/>
      <w:numFmt w:val="lowerLetter"/>
      <w:start w:val="3"/>
    </w:lvl>
  </w:abstractNum>
  <w:abstractNum w:abstractNumId="18">
    <w:nsid w:val="661E3F1E"/>
    <w:multiLevelType w:val="hybridMultilevel"/>
    <w:lvl w:ilvl="0">
      <w:lvlJc w:val="left"/>
      <w:lvlText w:val="(%1)"/>
      <w:numFmt w:val="lowerLetter"/>
      <w:start w:val="9"/>
    </w:lvl>
    <w:lvl w:ilvl="1">
      <w:lvlJc w:val="left"/>
      <w:lvlText w:val="(%2)"/>
      <w:numFmt w:val="lowerLetter"/>
      <w:start w:val="4"/>
    </w:lvl>
  </w:abstractNum>
  <w:abstractNum w:abstractNumId="19">
    <w:nsid w:val="5DC79EA8"/>
    <w:multiLevelType w:val="hybridMultilevel"/>
    <w:lvl w:ilvl="0">
      <w:lvlJc w:val="left"/>
      <w:lvlText w:val="(%1)"/>
      <w:numFmt w:val="lowerRoman"/>
      <w:start w:val="1"/>
    </w:lvl>
  </w:abstractNum>
  <w:abstractNum w:abstractNumId="20">
    <w:nsid w:val="540A471C"/>
    <w:multiLevelType w:val="hybridMultilevel"/>
    <w:lvl w:ilvl="0">
      <w:lvlJc w:val="left"/>
      <w:lvlText w:val="(%1)"/>
      <w:numFmt w:val="lowerRoman"/>
      <w:start w:val="6"/>
    </w:lvl>
  </w:abstractNum>
  <w:abstractNum w:abstractNumId="21">
    <w:nsid w:val="7BD3EE7B"/>
    <w:multiLevelType w:val="hybridMultilevel"/>
    <w:lvl w:ilvl="0">
      <w:lvlJc w:val="left"/>
      <w:lvlText w:val="%1"/>
      <w:numFmt w:val="lowerRoman"/>
      <w:start w:val="1"/>
    </w:lvl>
    <w:lvl w:ilvl="1">
      <w:lvlJc w:val="left"/>
      <w:lvlText w:val="(%2)"/>
      <w:numFmt w:val="lowerLetter"/>
      <w:start w:val="2"/>
    </w:lvl>
  </w:abstractNum>
  <w:abstractNum w:abstractNumId="22">
    <w:nsid w:val="51D9C564"/>
    <w:multiLevelType w:val="hybridMultilevel"/>
    <w:lvl w:ilvl="0">
      <w:lvlJc w:val="left"/>
      <w:lvlText w:val="(%1)"/>
      <w:numFmt w:val="lowerRoman"/>
      <w:start w:val="1"/>
    </w:lvl>
    <w:lvl w:ilvl="1">
      <w:lvlJc w:val="left"/>
      <w:lvlText w:val="%2"/>
      <w:numFmt w:val="lowerLetter"/>
      <w:start w:val="1"/>
    </w:lvl>
  </w:abstractNum>
  <w:abstractNum w:abstractNumId="23">
    <w:nsid w:val="613EFDC5"/>
    <w:multiLevelType w:val="hybridMultilevel"/>
    <w:lvl w:ilvl="0">
      <w:lvlJc w:val="left"/>
      <w:lvlText w:val="(%1)"/>
      <w:numFmt w:val="lowerLetter"/>
      <w:start w:val="2"/>
    </w:lvl>
  </w:abstractNum>
  <w:abstractNum w:abstractNumId="24">
    <w:nsid w:val="BF72B14"/>
    <w:multiLevelType w:val="hybridMultilevel"/>
    <w:lvl w:ilvl="0">
      <w:lvlJc w:val="left"/>
      <w:lvlText w:val="(%1)"/>
      <w:numFmt w:val="lowerLetter"/>
      <w:start w:val="3"/>
    </w:lvl>
  </w:abstractNum>
  <w:abstractNum w:abstractNumId="25">
    <w:nsid w:val="11447B73"/>
    <w:multiLevelType w:val="hybridMultilevel"/>
    <w:lvl w:ilvl="0">
      <w:lvlJc w:val="left"/>
      <w:lvlText w:val="%1"/>
      <w:numFmt w:val="lowerLetter"/>
      <w:start w:val="1"/>
    </w:lvl>
    <w:lvl w:ilvl="1">
      <w:lvlJc w:val="left"/>
      <w:lvlText w:val="(%2)"/>
      <w:numFmt w:val="lowerLetter"/>
      <w:start w:val="6"/>
    </w:lvl>
  </w:abstractNum>
  <w:abstractNum w:abstractNumId="26">
    <w:nsid w:val="42963E5A"/>
    <w:multiLevelType w:val="hybridMultilevel"/>
    <w:lvl w:ilvl="0">
      <w:lvlJc w:val="left"/>
      <w:lvlText w:val="(%1)"/>
      <w:numFmt w:val="lowerLetter"/>
      <w:start w:val="61"/>
    </w:lvl>
    <w:lvl w:ilvl="1">
      <w:lvlJc w:val="left"/>
      <w:lvlText w:val="%2"/>
      <w:numFmt w:val="lowerLetter"/>
      <w:start w:val="1"/>
    </w:lvl>
  </w:abstractNum>
  <w:abstractNum w:abstractNumId="27">
    <w:nsid w:val="A0382C5"/>
    <w:multiLevelType w:val="hybridMultilevel"/>
    <w:lvl w:ilvl="0">
      <w:lvlJc w:val="left"/>
      <w:lvlText w:val="(%1)"/>
      <w:numFmt w:val="lowerLetter"/>
      <w:start w:val="7"/>
    </w:lvl>
  </w:abstractNum>
  <w:abstractNum w:abstractNumId="28">
    <w:nsid w:val="8F2B15E"/>
    <w:multiLevelType w:val="hybridMultilevel"/>
    <w:lvl w:ilvl="0">
      <w:lvlJc w:val="left"/>
      <w:lvlText w:val="(%1)"/>
      <w:numFmt w:val="lowerLetter"/>
      <w:start w:val="10"/>
    </w:lvl>
  </w:abstractNum>
  <w:abstractNum w:abstractNumId="29">
    <w:nsid w:val="1A32234B"/>
    <w:multiLevelType w:val="hybridMultilevel"/>
    <w:lvl w:ilvl="0">
      <w:lvlJc w:val="left"/>
      <w:lvlText w:val="%1"/>
      <w:numFmt w:val="lowerRoman"/>
      <w:start w:val="1"/>
    </w:lvl>
    <w:lvl w:ilvl="1">
      <w:lvlJc w:val="left"/>
      <w:lvlText w:val="(%2)"/>
      <w:numFmt w:val="lowerLetter"/>
      <w:start w:val="3"/>
    </w:lvl>
  </w:abstractNum>
  <w:abstractNum w:abstractNumId="30">
    <w:nsid w:val="3B0FD379"/>
    <w:multiLevelType w:val="hybridMultilevel"/>
    <w:lvl w:ilvl="0">
      <w:lvlJc w:val="left"/>
      <w:lvlText w:val="(%1)"/>
      <w:numFmt w:val="lowerRoman"/>
      <w:start w:val="1"/>
    </w:lvl>
    <w:lvl w:ilvl="1">
      <w:lvlJc w:val="left"/>
      <w:lvlText w:val="%2"/>
      <w:numFmt w:val="lowerLetter"/>
      <w:start w:val="1"/>
    </w:lvl>
  </w:abstractNum>
  <w:abstractNum w:abstractNumId="31">
    <w:nsid w:val="68EB2F63"/>
    <w:multiLevelType w:val="hybridMultilevel"/>
    <w:lvl w:ilvl="0">
      <w:lvlJc w:val="left"/>
      <w:lvlText w:val="(%1)"/>
      <w:numFmt w:val="lowerLetter"/>
      <w:start w:val="4"/>
    </w:lvl>
  </w:abstractNum>
  <w:abstractNum w:abstractNumId="32">
    <w:nsid w:val="4962813B"/>
    <w:multiLevelType w:val="hybridMultilevel"/>
    <w:lvl w:ilvl="0">
      <w:lvlJc w:val="left"/>
      <w:lvlText w:val="(%1)"/>
      <w:numFmt w:val="lowerLetter"/>
      <w:start w:val="5"/>
    </w:lvl>
  </w:abstractNum>
  <w:abstractNum w:abstractNumId="33">
    <w:nsid w:val="60B6DF70"/>
    <w:multiLevelType w:val="hybridMultilevel"/>
    <w:lvl w:ilvl="0">
      <w:lvlJc w:val="left"/>
      <w:lvlText w:val="(%1)"/>
      <w:numFmt w:val="lowerLetter"/>
      <w:start w:val="10"/>
    </w:lvl>
  </w:abstractNum>
  <w:abstractNum w:abstractNumId="34">
    <w:nsid w:val="6A5EE64"/>
    <w:multiLevelType w:val="hybridMultilevel"/>
    <w:lvl w:ilvl="0">
      <w:lvlJc w:val="left"/>
      <w:lvlText w:val="(%1)"/>
      <w:numFmt w:val="lowerLetter"/>
      <w:start w:val="2"/>
    </w:lvl>
  </w:abstractNum>
  <w:abstractNum w:abstractNumId="35">
    <w:nsid w:val="14330624"/>
    <w:multiLevelType w:val="hybridMultilevel"/>
    <w:lvl w:ilvl="0">
      <w:lvlJc w:val="left"/>
      <w:lvlText w:val="(%1)"/>
      <w:numFmt w:val="lowerLetter"/>
      <w:start w:val="2"/>
    </w:lvl>
  </w:abstractNum>
  <w:abstractNum w:abstractNumId="36">
    <w:nsid w:val="7FFFCA11"/>
    <w:multiLevelType w:val="hybridMultilevel"/>
    <w:lvl w:ilvl="0">
      <w:lvlJc w:val="left"/>
      <w:lvlText w:val="%1"/>
      <w:numFmt w:val="lowerRoman"/>
      <w:start w:val="1"/>
    </w:lvl>
    <w:lvl w:ilvl="1">
      <w:lvlJc w:val="left"/>
      <w:lvlText w:val="(%2)"/>
      <w:numFmt w:val="lowerLetter"/>
      <w:start w:val="3"/>
    </w:lvl>
  </w:abstractNum>
  <w:abstractNum w:abstractNumId="37">
    <w:nsid w:val="1A27709E"/>
    <w:multiLevelType w:val="hybridMultilevel"/>
    <w:lvl w:ilvl="0">
      <w:lvlJc w:val="left"/>
      <w:lvlText w:val="(%1)"/>
      <w:numFmt w:val="lowerRoman"/>
      <w:start w:val="1"/>
    </w:lvl>
    <w:lvl w:ilvl="1">
      <w:lvlJc w:val="left"/>
      <w:lvlText w:val="%2"/>
      <w:numFmt w:val="lowerLetter"/>
      <w:start w:val="1"/>
    </w:lvl>
  </w:abstractNum>
  <w:abstractNum w:abstractNumId="38">
    <w:nsid w:val="71EA1109"/>
    <w:multiLevelType w:val="hybridMultilevel"/>
    <w:lvl w:ilvl="0">
      <w:lvlJc w:val="left"/>
      <w:lvlText w:val="(%1)"/>
      <w:numFmt w:val="lowerLetter"/>
      <w:start w:val="4"/>
    </w:lvl>
  </w:abstractNum>
  <w:abstractNum w:abstractNumId="39">
    <w:nsid w:val="100F59DC"/>
    <w:multiLevelType w:val="hybridMultilevel"/>
    <w:lvl w:ilvl="0">
      <w:lvlJc w:val="left"/>
      <w:lvlText w:val="(%1)"/>
      <w:numFmt w:val="lowerLetter"/>
      <w:start w:val="6"/>
    </w:lvl>
  </w:abstractNum>
  <w:abstractNum w:abstractNumId="40">
    <w:nsid w:val="7FB7E0AA"/>
    <w:multiLevelType w:val="hybridMultilevel"/>
    <w:lvl w:ilvl="0">
      <w:lvlJc w:val="left"/>
      <w:lvlText w:val="(%1)"/>
      <w:numFmt w:val="lowerLetter"/>
      <w:start w:val="2"/>
    </w:lvl>
  </w:abstractNum>
  <w:abstractNum w:abstractNumId="41">
    <w:nsid w:val="6EB5BD4"/>
    <w:multiLevelType w:val="hybridMultilevel"/>
    <w:lvl w:ilvl="0">
      <w:lvlJc w:val="left"/>
      <w:lvlText w:val="%1"/>
      <w:numFmt w:val="lowerLetter"/>
      <w:start w:val="1"/>
    </w:lvl>
    <w:lvl w:ilvl="1">
      <w:lvlJc w:val="left"/>
      <w:lvlText w:val="(%2)"/>
      <w:numFmt w:val="lowerLetter"/>
      <w:start w:val="4"/>
    </w:lvl>
  </w:abstractNum>
  <w:abstractNum w:abstractNumId="42">
    <w:nsid w:val="6F6DD9AC"/>
    <w:multiLevelType w:val="hybridMultilevel"/>
    <w:lvl w:ilvl="0">
      <w:lvlJc w:val="left"/>
      <w:lvlText w:val="(%1)"/>
      <w:numFmt w:val="lowerLetter"/>
      <w:start w:val="35"/>
    </w:lvl>
    <w:lvl w:ilvl="1">
      <w:lvlJc w:val="left"/>
      <w:lvlText w:val="%2"/>
      <w:numFmt w:val="lowerLetter"/>
      <w:start w:val="1"/>
    </w:lvl>
  </w:abstractNum>
  <w:abstractNum w:abstractNumId="43">
    <w:nsid w:val="94211F2"/>
    <w:multiLevelType w:val="hybridMultilevel"/>
    <w:lvl w:ilvl="0">
      <w:lvlJc w:val="left"/>
      <w:lvlText w:val="(%1)"/>
      <w:numFmt w:val="lowerLetter"/>
      <w:start w:val="35"/>
    </w:lvl>
    <w:lvl w:ilvl="1">
      <w:lvlJc w:val="left"/>
      <w:lvlText w:val="%2"/>
      <w:numFmt w:val="lowerLetter"/>
      <w:start w:val="1"/>
    </w:lvl>
  </w:abstractNum>
  <w:abstractNum w:abstractNumId="44">
    <w:nsid w:val="885E1B"/>
    <w:multiLevelType w:val="hybridMultilevel"/>
    <w:lvl w:ilvl="0">
      <w:lvlJc w:val="left"/>
      <w:lvlText w:val="(%1)"/>
      <w:numFmt w:val="lowerLetter"/>
      <w:start w:val="5"/>
    </w:lvl>
  </w:abstractNum>
  <w:abstractNum w:abstractNumId="45">
    <w:nsid w:val="76272110"/>
    <w:multiLevelType w:val="hybridMultilevel"/>
    <w:lvl w:ilvl="0">
      <w:lvlJc w:val="left"/>
      <w:lvlText w:val="(%1)"/>
      <w:numFmt w:val="lowerLetter"/>
      <w:start w:val="2"/>
    </w:lvl>
  </w:abstractNum>
  <w:abstractNum w:abstractNumId="46">
    <w:nsid w:val="4C04A8AF"/>
    <w:multiLevelType w:val="hybridMultilevel"/>
    <w:lvl w:ilvl="0">
      <w:lvlJc w:val="left"/>
      <w:lvlText w:val="(%1)"/>
      <w:numFmt w:val="lowerLetter"/>
      <w:start w:val="2"/>
    </w:lvl>
  </w:abstractNum>
  <w:abstractNum w:abstractNumId="47">
    <w:nsid w:val="1716703B"/>
    <w:multiLevelType w:val="hybridMultilevel"/>
    <w:lvl w:ilvl="0">
      <w:lvlJc w:val="left"/>
      <w:lvlText w:val="(%1)"/>
      <w:numFmt w:val="lowerLetter"/>
      <w:start w:val="3"/>
    </w:lvl>
  </w:abstractNum>
  <w:abstractNum w:abstractNumId="48">
    <w:nsid w:val="14E17E33"/>
    <w:multiLevelType w:val="hybridMultilevel"/>
    <w:lvl w:ilvl="0">
      <w:lvlJc w:val="left"/>
      <w:lvlText w:val="(%1)"/>
      <w:numFmt w:val="lowerLetter"/>
      <w:start w:val="2"/>
    </w:lvl>
  </w:abstractNum>
  <w:abstractNum w:abstractNumId="49">
    <w:nsid w:val="3222E7CD"/>
    <w:multiLevelType w:val="hybridMultilevel"/>
    <w:lvl w:ilvl="0">
      <w:lvlJc w:val="left"/>
      <w:lvlText w:val="%1"/>
      <w:numFmt w:val="lowerLetter"/>
      <w:start w:val="1"/>
    </w:lvl>
    <w:lvl w:ilvl="1">
      <w:lvlJc w:val="left"/>
      <w:lvlText w:val="(%2)"/>
      <w:numFmt w:val="lowerLetter"/>
      <w:start w:val="2"/>
    </w:lvl>
  </w:abstractNum>
  <w:abstractNum w:abstractNumId="50">
    <w:nsid w:val="74DE0EE3"/>
    <w:multiLevelType w:val="hybridMultilevel"/>
    <w:lvl w:ilvl="0">
      <w:lvlJc w:val="left"/>
      <w:lvlText w:val="(%1)"/>
      <w:numFmt w:val="lowerLetter"/>
      <w:start w:val="61"/>
    </w:lvl>
    <w:lvl w:ilvl="1">
      <w:lvlJc w:val="left"/>
      <w:lvlText w:val="(%2)"/>
      <w:numFmt w:val="lowerLetter"/>
      <w:start w:val="7"/>
    </w:lvl>
  </w:abstractNum>
  <w:abstractNum w:abstractNumId="51">
    <w:nsid w:val="68EBC550"/>
    <w:multiLevelType w:val="hybridMultilevel"/>
    <w:lvl w:ilvl="0">
      <w:lvlJc w:val="left"/>
      <w:lvlText w:val="(%1)"/>
      <w:numFmt w:val="lowerLetter"/>
      <w:start w:val="35"/>
    </w:lvl>
    <w:lvl w:ilvl="1">
      <w:lvlJc w:val="left"/>
      <w:lvlText w:val="(%2)"/>
      <w:numFmt w:val="lowerLetter"/>
      <w:start w:val="8"/>
    </w:lvl>
  </w:abstractNum>
  <w:abstractNum w:abstractNumId="52">
    <w:nsid w:val="2DF6D648"/>
    <w:multiLevelType w:val="hybridMultilevel"/>
    <w:lvl w:ilvl="0">
      <w:lvlJc w:val="left"/>
      <w:lvlText w:val="(%1)"/>
      <w:numFmt w:val="lowerRoman"/>
      <w:start w:val="2"/>
    </w:lvl>
    <w:lvl w:ilvl="1">
      <w:lvlJc w:val="left"/>
      <w:lvlText w:val="(%2)"/>
      <w:numFmt w:val="lowerRoman"/>
      <w:start w:val="1"/>
    </w:lvl>
  </w:abstractNum>
  <w:abstractNum w:abstractNumId="53">
    <w:nsid w:val="46B7D447"/>
    <w:multiLevelType w:val="hybridMultilevel"/>
    <w:lvl w:ilvl="0">
      <w:lvlJc w:val="left"/>
      <w:lvlText w:val="(%1)"/>
      <w:numFmt w:val="lowerLetter"/>
      <w:start w:val="1"/>
    </w:lvl>
  </w:abstractNum>
  <w:abstractNum w:abstractNumId="54">
    <w:nsid w:val="4A2AC315"/>
    <w:multiLevelType w:val="hybridMultilevel"/>
    <w:lvl w:ilvl="0">
      <w:lvlJc w:val="left"/>
      <w:lvlText w:val="(%1)"/>
      <w:numFmt w:val="lowerRoman"/>
      <w:start w:val="1"/>
    </w:lvl>
  </w:abstractNum>
  <w:abstractNum w:abstractNumId="55">
    <w:nsid w:val="39EE015C"/>
    <w:multiLevelType w:val="hybridMultilevel"/>
    <w:lvl w:ilvl="0">
      <w:lvlJc w:val="left"/>
      <w:lvlText w:val="(%1)"/>
      <w:numFmt w:val="lowerLetter"/>
      <w:start w:val="2"/>
    </w:lvl>
  </w:abstractNum>
  <w:abstractNum w:abstractNumId="56">
    <w:nsid w:val="57FC4FBB"/>
    <w:multiLevelType w:val="hybridMultilevel"/>
    <w:lvl w:ilvl="0">
      <w:lvlJc w:val="left"/>
      <w:lvlText w:val="(%1)"/>
      <w:numFmt w:val="lowerLetter"/>
      <w:start w:val="4"/>
    </w:lvl>
  </w:abstractNum>
  <w:abstractNum w:abstractNumId="57">
    <w:nsid w:val="CC1016F"/>
    <w:multiLevelType w:val="hybridMultilevel"/>
    <w:lvl w:ilvl="0">
      <w:lvlJc w:val="left"/>
      <w:lvlText w:val="(%1)"/>
      <w:numFmt w:val="lowerLetter"/>
      <w:start w:val="6"/>
    </w:lvl>
  </w:abstractNum>
  <w:abstractNum w:abstractNumId="58">
    <w:nsid w:val="43F18422"/>
    <w:multiLevelType w:val="hybridMultilevel"/>
    <w:lvl w:ilvl="0">
      <w:lvlJc w:val="left"/>
      <w:lvlText w:val="(%1)"/>
      <w:numFmt w:val="lowerLetter"/>
      <w:start w:val="2"/>
    </w:lvl>
  </w:abstractNum>
  <w:abstractNum w:abstractNumId="59">
    <w:nsid w:val="60EF0119"/>
    <w:multiLevelType w:val="hybridMultilevel"/>
    <w:lvl w:ilvl="0">
      <w:lvlJc w:val="left"/>
      <w:lvlText w:val="(%1)"/>
      <w:numFmt w:val="lowerRoman"/>
      <w:start w:val="2"/>
    </w:lvl>
  </w:abstractNum>
  <w:abstractNum w:abstractNumId="60">
    <w:nsid w:val="26F324BA"/>
    <w:multiLevelType w:val="hybridMultilevel"/>
    <w:lvl w:ilvl="0">
      <w:lvlJc w:val="left"/>
      <w:lvlText w:val="(%1)"/>
      <w:numFmt w:val="lowerLetter"/>
      <w:start w:val="4"/>
    </w:lvl>
    <w:lvl w:ilvl="1">
      <w:lvlJc w:val="left"/>
      <w:lvlText w:val="%2"/>
      <w:numFmt w:val="lowerLetter"/>
      <w:start w:val="1"/>
    </w:lvl>
  </w:abstractNum>
  <w:abstractNum w:abstractNumId="61">
    <w:nsid w:val="7F01579B"/>
    <w:multiLevelType w:val="hybridMultilevel"/>
    <w:lvl w:ilvl="0">
      <w:lvlJc w:val="left"/>
      <w:lvlText w:val="(%1)"/>
      <w:numFmt w:val="lowerLetter"/>
      <w:start w:val="35"/>
    </w:lvl>
    <w:lvl w:ilvl="1">
      <w:lvlJc w:val="left"/>
      <w:lvlText w:val="(%2)"/>
      <w:numFmt w:val="lowerLetter"/>
      <w:start w:val="6"/>
    </w:lvl>
  </w:abstractNum>
  <w:abstractNum w:abstractNumId="62">
    <w:nsid w:val="49DA307D"/>
    <w:multiLevelType w:val="hybridMultilevel"/>
    <w:lvl w:ilvl="0">
      <w:lvlJc w:val="left"/>
      <w:lvlText w:val="(%1)"/>
      <w:numFmt w:val="lowerLetter"/>
      <w:start w:val="7"/>
    </w:lvl>
  </w:abstractNum>
  <w:abstractNum w:abstractNumId="63">
    <w:nsid w:val="7055A5F5"/>
    <w:multiLevelType w:val="hybridMultilevel"/>
    <w:lvl w:ilvl="0">
      <w:lvlJc w:val="left"/>
      <w:lvlText w:val="(%1)"/>
      <w:numFmt w:val="lowerRoman"/>
      <w:start w:val="2"/>
    </w:lvl>
  </w:abstractNum>
  <w:abstractNum w:abstractNumId="64">
    <w:nsid w:val="5FB8370B"/>
    <w:multiLevelType w:val="hybridMultilevel"/>
    <w:lvl w:ilvl="0">
      <w:lvlJc w:val="left"/>
      <w:lvlText w:val="(%1)"/>
      <w:numFmt w:val="lowerLetter"/>
      <w:start w:val="2"/>
    </w:lvl>
  </w:abstractNum>
  <w:abstractNum w:abstractNumId="65">
    <w:nsid w:val="50801EE1"/>
    <w:multiLevelType w:val="hybridMultilevel"/>
    <w:lvl w:ilvl="0">
      <w:lvlJc w:val="left"/>
      <w:lvlText w:val="(%1)"/>
      <w:numFmt w:val="lowerLetter"/>
      <w:start w:val="4"/>
    </w:lvl>
  </w:abstractNum>
  <w:abstractNum w:abstractNumId="66">
    <w:nsid w:val="488AC1A"/>
    <w:multiLevelType w:val="hybridMultilevel"/>
    <w:lvl w:ilvl="0">
      <w:lvlJc w:val="left"/>
      <w:lvlText w:val="(%1)"/>
      <w:numFmt w:val="lowerLetter"/>
      <w:start w:val="2"/>
    </w:lvl>
  </w:abstractNum>
  <w:abstractNum w:abstractNumId="67">
    <w:nsid w:val="5FB8011C"/>
    <w:multiLevelType w:val="hybridMultilevel"/>
    <w:lvl w:ilvl="0">
      <w:lvlJc w:val="left"/>
      <w:lvlText w:val="(%1)"/>
      <w:numFmt w:val="lowerLetter"/>
      <w:start w:val="25"/>
    </w:lvl>
    <w:lvl w:ilvl="1">
      <w:lvlJc w:val="left"/>
      <w:lvlText w:val="(%2)"/>
      <w:numFmt w:val="lowerLetter"/>
      <w:start w:val="3"/>
    </w:lvl>
  </w:abstractNum>
  <w:abstractNum w:abstractNumId="68">
    <w:nsid w:val="6AA78F7F"/>
    <w:multiLevelType w:val="hybridMultilevel"/>
    <w:lvl w:ilvl="0">
      <w:lvlJc w:val="left"/>
      <w:lvlText w:val="(%1)"/>
      <w:numFmt w:val="lowerLetter"/>
      <w:start w:val="1"/>
    </w:lvl>
  </w:abstractNum>
  <w:abstractNum w:abstractNumId="69">
    <w:nsid w:val="7672BD23"/>
    <w:multiLevelType w:val="hybridMultilevel"/>
    <w:lvl w:ilvl="0">
      <w:lvlJc w:val="left"/>
      <w:lvlText w:val="%1"/>
      <w:numFmt w:val="lowerRoman"/>
      <w:start w:val="1"/>
    </w:lvl>
    <w:lvl w:ilvl="1">
      <w:lvlJc w:val="left"/>
      <w:lvlText w:val="(%2)"/>
      <w:numFmt w:val="lowerLetter"/>
      <w:start w:val="3"/>
    </w:lvl>
  </w:abstractNum>
  <w:abstractNum w:abstractNumId="70">
    <w:nsid w:val="6FC75AF8"/>
    <w:multiLevelType w:val="hybridMultilevel"/>
    <w:lvl w:ilvl="0">
      <w:lvlJc w:val="left"/>
      <w:lvlText w:val="(%1)"/>
      <w:numFmt w:val="lowerRoman"/>
      <w:start w:val="1"/>
    </w:lvl>
    <w:lvl w:ilvl="1">
      <w:lvlJc w:val="left"/>
      <w:lvlText w:val="(%2)"/>
      <w:numFmt w:val="lowerLetter"/>
      <w:start w:val="4"/>
    </w:lvl>
  </w:abstractNum>
  <w:abstractNum w:abstractNumId="71">
    <w:nsid w:val="6A5F7029"/>
    <w:multiLevelType w:val="hybridMultilevel"/>
    <w:lvl w:ilvl="0">
      <w:lvlJc w:val="left"/>
      <w:lvlText w:val="(%1)"/>
      <w:numFmt w:val="lowerLetter"/>
      <w:start w:val="2"/>
    </w:lvl>
  </w:abstractNum>
  <w:abstractNum w:abstractNumId="72">
    <w:nsid w:val="7D5E18F8"/>
    <w:multiLevelType w:val="hybridMultilevel"/>
    <w:lvl w:ilvl="0">
      <w:lvlJc w:val="left"/>
      <w:lvlText w:val="(%1)"/>
      <w:numFmt w:val="lowerLetter"/>
      <w:start w:val="4"/>
    </w:lvl>
  </w:abstractNum>
  <w:abstractNum w:abstractNumId="73">
    <w:nsid w:val="5F3534A4"/>
    <w:multiLevelType w:val="hybridMultilevel"/>
    <w:lvl w:ilvl="0">
      <w:lvlJc w:val="left"/>
      <w:lvlText w:val="(%1)"/>
      <w:numFmt w:val="lowerRoman"/>
      <w:start w:val="4"/>
    </w:lvl>
    <w:lvl w:ilvl="1">
      <w:lvlJc w:val="left"/>
      <w:lvlText w:val="(%2)"/>
      <w:numFmt w:val="lowerLetter"/>
      <w:start w:val="2"/>
    </w:lvl>
  </w:abstractNum>
  <w:abstractNum w:abstractNumId="74">
    <w:nsid w:val="73A1821B"/>
    <w:multiLevelType w:val="hybridMultilevel"/>
    <w:lvl w:ilvl="0">
      <w:lvlJc w:val="left"/>
      <w:lvlText w:val="(%1)"/>
      <w:numFmt w:val="lowerLetter"/>
      <w:start w:val="2"/>
    </w:lvl>
  </w:abstractNum>
  <w:abstractNum w:abstractNumId="75">
    <w:nsid w:val="7DE67713"/>
    <w:multiLevelType w:val="hybridMultilevel"/>
    <w:lvl w:ilvl="0">
      <w:lvlJc w:val="left"/>
      <w:lvlText w:val="(%1)"/>
      <w:numFmt w:val="lowerLetter"/>
      <w:start w:val="2"/>
    </w:lvl>
  </w:abstractNum>
  <w:abstractNum w:abstractNumId="76">
    <w:nsid w:val="555C55B5"/>
    <w:multiLevelType w:val="hybridMultilevel"/>
    <w:lvl w:ilvl="0">
      <w:lvlJc w:val="left"/>
      <w:lvlText w:val="(%1)"/>
      <w:numFmt w:val="lowerLetter"/>
      <w:start w:val="2"/>
    </w:lvl>
  </w:abstractNum>
  <w:abstractNum w:abstractNumId="77">
    <w:nsid w:val="3FA62ACA"/>
    <w:multiLevelType w:val="hybridMultilevel"/>
    <w:lvl w:ilvl="0">
      <w:lvlJc w:val="left"/>
      <w:lvlText w:val="(%1)"/>
      <w:numFmt w:val="lowerLetter"/>
      <w:start w:val="1"/>
    </w:lvl>
  </w:abstractNum>
  <w:abstractNum w:abstractNumId="78">
    <w:nsid w:val="14FCE74E"/>
    <w:multiLevelType w:val="hybridMultilevel"/>
    <w:lvl w:ilvl="0">
      <w:lvlJc w:val="left"/>
      <w:lvlText w:val="(%1)"/>
      <w:numFmt w:val="lowerLetter"/>
      <w:start w:val="5"/>
    </w:lvl>
  </w:abstractNum>
  <w:abstractNum w:abstractNumId="79">
    <w:nsid w:val="6A3DD3E8"/>
    <w:multiLevelType w:val="hybridMultilevel"/>
    <w:lvl w:ilvl="0">
      <w:lvlJc w:val="left"/>
      <w:lvlText w:val="(%1)"/>
      <w:numFmt w:val="lowerLetter"/>
      <w:start w:val="1"/>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2"/>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1"/>
    </w:lvl>
    <w:lvl w:ilvl="1">
      <w:lvlJc w:val="left"/>
      <w:lvlText w:val="(%2)"/>
      <w:numFmt w:val="lowerLetter"/>
      <w:start w:val="2"/>
    </w:lvl>
  </w:abstractNum>
  <w:abstractNum w:abstractNumId="84">
    <w:nsid w:val="5092CA79"/>
    <w:multiLevelType w:val="hybridMultilevel"/>
    <w:lvl w:ilvl="0">
      <w:lvlJc w:val="left"/>
      <w:lvlText w:val="(%1)"/>
      <w:numFmt w:val="lowerLetter"/>
      <w:start w:val="9"/>
    </w:lvl>
    <w:lvl w:ilvl="1">
      <w:lvlJc w:val="left"/>
      <w:lvlText w:val="(%2)"/>
      <w:numFmt w:val="lowerLetter"/>
      <w:start w:val="4"/>
    </w:lvl>
  </w:abstractNum>
  <w:abstractNum w:abstractNumId="85">
    <w:nsid w:val="1D545C4D"/>
    <w:multiLevelType w:val="hybridMultilevel"/>
    <w:lvl w:ilvl="0">
      <w:lvlJc w:val="left"/>
      <w:lvlText w:val="(%1)"/>
      <w:numFmt w:val="lowerLetter"/>
      <w:start w:val="1"/>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5"/>
    </w:lvl>
  </w:abstractNum>
  <w:abstractNum w:abstractNumId="88">
    <w:nsid w:val="2A155DBC"/>
    <w:multiLevelType w:val="hybridMultilevel"/>
    <w:lvl w:ilvl="0">
      <w:lvlJc w:val="left"/>
      <w:lvlText w:val="(%1)"/>
      <w:numFmt w:val="lowerLetter"/>
      <w:start w:val="1"/>
    </w:lvl>
  </w:abstractNum>
  <w:abstractNum w:abstractNumId="89">
    <w:nsid w:val="1D9F6E5F"/>
    <w:multiLevelType w:val="hybridMultilevel"/>
    <w:lvl w:ilvl="0">
      <w:lvlJc w:val="left"/>
      <w:lvlText w:val="%1"/>
      <w:numFmt w:val="lowerLetter"/>
      <w:start w:val="1"/>
    </w:lvl>
    <w:lvl w:ilvl="1">
      <w:lvlJc w:val="left"/>
      <w:lvlText w:val="(%2)"/>
      <w:numFmt w:val="lowerLetter"/>
      <w:start w:val="6"/>
    </w:lvl>
  </w:abstractNum>
  <w:abstractNum w:abstractNumId="90">
    <w:nsid w:val="97E1B4E"/>
    <w:multiLevelType w:val="hybridMultilevel"/>
    <w:lvl w:ilvl="0">
      <w:lvlJc w:val="left"/>
      <w:lvlText w:val="(%1)"/>
      <w:numFmt w:val="lowerLetter"/>
      <w:start w:val="35"/>
    </w:lvl>
    <w:lvl w:ilvl="1">
      <w:lvlJc w:val="left"/>
      <w:lvlText w:val="%2"/>
      <w:numFmt w:val="lowerLetter"/>
      <w:start w:val="1"/>
    </w:lvl>
  </w:abstractNum>
  <w:abstractNum w:abstractNumId="91">
    <w:nsid w:val="51088277"/>
    <w:multiLevelType w:val="hybridMultilevel"/>
    <w:lvl w:ilvl="0">
      <w:lvlJc w:val="left"/>
      <w:lvlText w:val="(%1)"/>
      <w:numFmt w:val="lowerLetter"/>
      <w:start w:val="2"/>
    </w:lvl>
  </w:abstractNum>
  <w:abstractNum w:abstractNumId="92">
    <w:nsid w:val="1CA0C5FA"/>
    <w:multiLevelType w:val="hybridMultilevel"/>
    <w:lvl w:ilvl="0">
      <w:lvlJc w:val="left"/>
      <w:lvlText w:val="(%1)"/>
      <w:numFmt w:val="lowerLetter"/>
      <w:start w:val="1"/>
    </w:lvl>
  </w:abstractNum>
  <w:abstractNum w:abstractNumId="93">
    <w:nsid w:val="53584BCB"/>
    <w:multiLevelType w:val="hybridMultilevel"/>
    <w:lvl w:ilvl="0">
      <w:lvlJc w:val="left"/>
      <w:lvlText w:val="(%1)"/>
      <w:numFmt w:val="lowerLetter"/>
      <w:start w:val="3"/>
    </w:lvl>
  </w:abstractNum>
  <w:abstractNum w:abstractNumId="94">
    <w:nsid w:val="415E286C"/>
    <w:multiLevelType w:val="hybridMultilevel"/>
    <w:lvl w:ilvl="0">
      <w:lvlJc w:val="left"/>
      <w:lvlText w:val="(%1)"/>
      <w:numFmt w:val="lowerLetter"/>
      <w:start w:val="10"/>
    </w:lvl>
  </w:abstractNum>
  <w:abstractNum w:abstractNumId="95">
    <w:nsid w:val="7C58FD05"/>
    <w:multiLevelType w:val="hybridMultilevel"/>
    <w:lvl w:ilvl="0">
      <w:lvlJc w:val="left"/>
      <w:lvlText w:val="(%1)"/>
      <w:numFmt w:val="lowerRoman"/>
      <w:start w:val="3"/>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Roman"/>
      <w:start w:val="1"/>
    </w:lvl>
  </w:abstractNum>
  <w:abstractNum w:abstractNumId="98">
    <w:nsid w:val="5C10FE21"/>
    <w:multiLevelType w:val="hybridMultilevel"/>
    <w:lvl w:ilvl="0">
      <w:lvlJc w:val="left"/>
      <w:lvlText w:val="(%1)"/>
      <w:numFmt w:val="lowerRoman"/>
      <w:start w:val="5"/>
    </w:lvl>
  </w:abstractNum>
  <w:abstractNum w:abstractNumId="99">
    <w:nsid w:val="E7FFA2B"/>
    <w:multiLevelType w:val="hybridMultilevel"/>
    <w:lvl w:ilvl="0">
      <w:lvlJc w:val="left"/>
      <w:lvlText w:val="(%1)"/>
      <w:numFmt w:val="lowerLetter"/>
      <w:start w:val="2"/>
    </w:lvl>
  </w:abstractNum>
  <w:abstractNum w:abstractNumId="100">
    <w:nsid w:val="3C5991AA"/>
    <w:multiLevelType w:val="hybridMultilevel"/>
    <w:lvl w:ilvl="0">
      <w:lvlJc w:val="left"/>
      <w:lvlText w:val="%1"/>
      <w:numFmt w:val="upperLetter"/>
      <w:start w:val="1"/>
    </w:lvl>
    <w:lvl w:ilvl="1">
      <w:lvlJc w:val="left"/>
      <w:lvlText w:val="(%2)"/>
      <w:numFmt w:val="lowerLetter"/>
      <w:start w:val="2"/>
    </w:lvl>
  </w:abstractNum>
  <w:abstractNum w:abstractNumId="101">
    <w:nsid w:val="4BD8591A"/>
    <w:multiLevelType w:val="hybridMultilevel"/>
    <w:lvl w:ilvl="0">
      <w:lvlJc w:val="left"/>
      <w:lvlText w:val="(%1)"/>
      <w:numFmt w:val="upperLetter"/>
      <w:start w:val="5"/>
    </w:lvl>
    <w:lvl w:ilvl="1">
      <w:lvlJc w:val="left"/>
      <w:lvlText w:val="%2"/>
      <w:numFmt w:val="lowerLetter"/>
      <w:start w:val="1"/>
    </w:lvl>
  </w:abstractNum>
  <w:abstractNum w:abstractNumId="102">
    <w:nsid w:val="78DF6A55"/>
    <w:multiLevelType w:val="hybridMultilevel"/>
    <w:lvl w:ilvl="0">
      <w:lvlJc w:val="left"/>
      <w:lvlText w:val="%1"/>
      <w:numFmt w:val="lowerLetter"/>
      <w:start w:val="1"/>
    </w:lvl>
    <w:lvl w:ilvl="1">
      <w:lvlJc w:val="left"/>
      <w:lvlText w:val="(%2)"/>
      <w:numFmt w:val="lowerLetter"/>
      <w:start w:val="2"/>
    </w:lvl>
  </w:abstractNum>
  <w:abstractNum w:abstractNumId="103">
    <w:nsid w:val="39B7AAA2"/>
    <w:multiLevelType w:val="hybridMultilevel"/>
    <w:lvl w:ilvl="0">
      <w:lvlJc w:val="left"/>
      <w:lvlText w:val="(%1)"/>
      <w:numFmt w:val="lowerLetter"/>
      <w:start w:val="61"/>
    </w:lvl>
    <w:lvl w:ilvl="1">
      <w:lvlJc w:val="left"/>
      <w:lvlText w:val="%2"/>
      <w:numFmt w:val="lowerLetter"/>
      <w:start w:val="1"/>
    </w:lvl>
  </w:abstractNum>
  <w:abstractNum w:abstractNumId="104">
    <w:nsid w:val="2B0D8DBE"/>
    <w:multiLevelType w:val="hybridMultilevel"/>
    <w:lvl w:ilvl="0">
      <w:lvlJc w:val="left"/>
      <w:lvlText w:val="(%1)"/>
      <w:numFmt w:val="lowerLetter"/>
      <w:start w:val="3"/>
    </w:lvl>
  </w:abstractNum>
  <w:abstractNum w:abstractNumId="105">
    <w:nsid w:val="6C80EC70"/>
    <w:multiLevelType w:val="hybridMultilevel"/>
    <w:lvl w:ilvl="0">
      <w:lvlJc w:val="left"/>
      <w:lvlText w:val="(%1)"/>
      <w:numFmt w:val="lowerLetter"/>
      <w:start w:val="2"/>
    </w:lvl>
  </w:abstractNum>
  <w:abstractNum w:abstractNumId="106">
    <w:nsid w:val="379E21B5"/>
    <w:multiLevelType w:val="hybridMultilevel"/>
    <w:lvl w:ilvl="0">
      <w:lvlJc w:val="left"/>
      <w:lvlText w:val="(%1)"/>
      <w:numFmt w:val="upperLetter"/>
      <w:start w:val="1"/>
    </w:lvl>
  </w:abstractNum>
  <w:abstractNum w:abstractNumId="107">
    <w:nsid w:val="69E373"/>
    <w:multiLevelType w:val="hybridMultilevel"/>
    <w:lvl w:ilvl="0">
      <w:lvlJc w:val="left"/>
      <w:lvlText w:val="(%1)"/>
      <w:numFmt w:val="upperLetter"/>
      <w:start w:val="3"/>
    </w:lvl>
    <w:lvl w:ilvl="1">
      <w:lvlJc w:val="left"/>
      <w:lvlText w:val="(%2)"/>
      <w:numFmt w:val="lowerRoman"/>
      <w:start w:val="2"/>
    </w:lvl>
  </w:abstractNum>
  <w:abstractNum w:abstractNumId="108">
    <w:nsid w:val="2C27173B"/>
    <w:multiLevelType w:val="hybridMultilevel"/>
    <w:lvl w:ilvl="0">
      <w:lvlJc w:val="left"/>
      <w:lvlText w:val="(%1)"/>
      <w:numFmt w:val="upperLetter"/>
      <w:start w:val="1"/>
    </w:lvl>
  </w:abstractNum>
  <w:abstractNum w:abstractNumId="109">
    <w:nsid w:val="4C9B0904"/>
    <w:multiLevelType w:val="hybridMultilevel"/>
    <w:lvl w:ilvl="0">
      <w:lvlJc w:val="left"/>
      <w:lvlText w:val="(%1)"/>
      <w:numFmt w:val="upperLetter"/>
      <w:start w:val="7"/>
    </w:lvl>
  </w:abstractNum>
  <w:abstractNum w:abstractNumId="110">
    <w:nsid w:val="6AA7B75C"/>
    <w:multiLevelType w:val="hybridMultilevel"/>
    <w:lvl w:ilvl="0">
      <w:lvlJc w:val="left"/>
      <w:lvlText w:val="(%1)"/>
      <w:numFmt w:val="lowerLetter"/>
      <w:start w:val="3"/>
    </w:lvl>
  </w:abstractNum>
  <w:abstractNum w:abstractNumId="111">
    <w:nsid w:val="1DF029D3"/>
    <w:multiLevelType w:val="hybridMultilevel"/>
    <w:lvl w:ilvl="0">
      <w:lvlJc w:val="left"/>
      <w:lvlText w:val="%1"/>
      <w:numFmt w:val="lowerLetter"/>
      <w:start w:val="1"/>
    </w:lvl>
    <w:lvl w:ilvl="1">
      <w:lvlJc w:val="left"/>
      <w:lvlText w:val="(%2)"/>
      <w:numFmt w:val="lowerLetter"/>
      <w:start w:val="6"/>
    </w:lvl>
  </w:abstractNum>
  <w:abstractNum w:abstractNumId="112">
    <w:nsid w:val="5675FF36"/>
    <w:multiLevelType w:val="hybridMultilevel"/>
    <w:lvl w:ilvl="0">
      <w:lvlJc w:val="left"/>
      <w:lvlText w:val="(%1)"/>
      <w:numFmt w:val="lowerLetter"/>
      <w:start w:val="35"/>
    </w:lvl>
    <w:lvl w:ilvl="1">
      <w:lvlJc w:val="left"/>
      <w:lvlText w:val="(%2)"/>
      <w:numFmt w:val="lowerLetter"/>
      <w:start w:val="7"/>
    </w:lvl>
  </w:abstractNum>
  <w:abstractNum w:abstractNumId="113">
    <w:nsid w:val="3DD15094"/>
    <w:multiLevelType w:val="hybridMultilevel"/>
    <w:lvl w:ilvl="0">
      <w:lvlJc w:val="left"/>
      <w:lvlText w:val="(%1)"/>
      <w:numFmt w:val="lowerLetter"/>
      <w:start w:val="10"/>
    </w:lvl>
  </w:abstractNum>
  <w:abstractNum w:abstractNumId="114">
    <w:nsid w:val="3DB012B3"/>
    <w:multiLevelType w:val="hybridMultilevel"/>
    <w:lvl w:ilvl="0">
      <w:lvlJc w:val="left"/>
      <w:lvlText w:val="(%1)"/>
      <w:numFmt w:val="lowerLetter"/>
      <w:start w:val="2"/>
    </w:lvl>
  </w:abstractNum>
  <w:abstractNum w:abstractNumId="115">
    <w:nsid w:val="2708C9AF"/>
    <w:multiLevelType w:val="hybridMultilevel"/>
    <w:lvl w:ilvl="0">
      <w:lvlJc w:val="left"/>
      <w:lvlText w:val="(%1)"/>
      <w:numFmt w:val="lowerRoman"/>
      <w:start w:val="1"/>
    </w:lvl>
  </w:abstractNum>
  <w:abstractNum w:abstractNumId="116">
    <w:nsid w:val="5B25ACE2"/>
    <w:multiLevelType w:val="hybridMultilevel"/>
    <w:lvl w:ilvl="0">
      <w:lvlJc w:val="left"/>
      <w:lvlText w:val="(%1)"/>
      <w:numFmt w:val="lowerLetter"/>
      <w:start w:val="2"/>
    </w:lvl>
  </w:abstractNum>
  <w:abstractNum w:abstractNumId="117">
    <w:nsid w:val="175DFCF0"/>
    <w:multiLevelType w:val="hybridMultilevel"/>
    <w:lvl w:ilvl="0">
      <w:lvlJc w:val="left"/>
      <w:lvlText w:val="(%1)"/>
      <w:numFmt w:val="lowerLetter"/>
      <w:start w:val="2"/>
    </w:lvl>
  </w:abstractNum>
  <w:abstractNum w:abstractNumId="118">
    <w:nsid w:val="4F97E3E4"/>
    <w:multiLevelType w:val="hybridMultilevel"/>
    <w:lvl w:ilvl="0">
      <w:lvlJc w:val="left"/>
      <w:lvlText w:val="%1."/>
      <w:numFmt w:val="decimal"/>
      <w:start w:val="1"/>
    </w:lvl>
    <w:lvl w:ilvl="1">
      <w:lvlJc w:val="left"/>
      <w:lvlText w:val="(%2)"/>
      <w:numFmt w:val="lowerLetter"/>
      <w:start w:val="1"/>
    </w:lvl>
  </w:abstractNum>
  <w:abstractNum w:abstractNumId="119">
    <w:nsid w:val="53B0A9E"/>
    <w:multiLevelType w:val="hybridMultilevel"/>
    <w:lvl w:ilvl="0">
      <w:lvlJc w:val="left"/>
      <w:lvlText w:val="(%1)"/>
      <w:numFmt w:val="lowerLetter"/>
      <w:start w:val="2"/>
    </w:lvl>
  </w:abstractNum>
  <w:abstractNum w:abstractNumId="120">
    <w:nsid w:val="34FD6B4F"/>
    <w:multiLevelType w:val="hybridMultilevel"/>
    <w:lvl w:ilvl="0">
      <w:lvlJc w:val="left"/>
      <w:lvlText w:val="A"/>
      <w:numFmt w:val="bullet"/>
      <w:start w:val="1"/>
    </w:lvl>
  </w:abstractNum>
  <w:abstractNum w:abstractNumId="121">
    <w:nsid w:val="5915FF32"/>
    <w:multiLevelType w:val="hybridMultilevel"/>
    <w:lvl w:ilvl="0">
      <w:lvlJc w:val="left"/>
      <w:lvlText w:val="B"/>
      <w:numFmt w:val="bullet"/>
      <w:start w:val="1"/>
    </w:lvl>
  </w:abstractNum>
  <w:abstractNum w:abstractNumId="122">
    <w:nsid w:val="56438D15"/>
    <w:multiLevelType w:val="hybridMultilevel"/>
    <w:lvl w:ilvl="0">
      <w:lvlJc w:val="left"/>
      <w:lvlText w:val="C"/>
      <w:numFmt w:val="bullet"/>
      <w:start w:val="1"/>
    </w:lvl>
  </w:abstractNum>
  <w:abstractNum w:abstractNumId="123">
    <w:nsid w:val="519E3149"/>
    <w:multiLevelType w:val="hybridMultilevel"/>
    <w:lvl w:ilvl="0">
      <w:lvlJc w:val="left"/>
      <w:lvlText w:val="D"/>
      <w:numFmt w:val="bullet"/>
      <w:start w:val="1"/>
    </w:lvl>
  </w:abstractNum>
  <w:abstractNum w:abstractNumId="124">
    <w:nsid w:val="2C6E4AFD"/>
    <w:multiLevelType w:val="hybridMultilevel"/>
    <w:lvl w:ilvl="0">
      <w:lvlJc w:val="left"/>
      <w:lvlText w:val="%1."/>
      <w:numFmt w:val="decimal"/>
      <w:start w:val="4"/>
    </w:lvl>
    <w:lvl w:ilvl="1">
      <w:lvlJc w:val="left"/>
      <w:lvlText w:val="E"/>
      <w:numFmt w:val="bullet"/>
      <w:start w:val="1"/>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6"/>
    </w:lvl>
    <w:lvl w:ilvl="1">
      <w:lvlJc w:val="left"/>
      <w:lvlText w:val="(%2)"/>
      <w:numFmt w:val="lowerLetter"/>
      <w:start w:val="1"/>
    </w:lvl>
  </w:abstractNum>
  <w:abstractNum w:abstractNumId="127">
    <w:nsid w:val="5046B5A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2019-12-10T17:47:09Z</dcterms:created>
  <dcterms:modified xsi:type="dcterms:W3CDTF">2019-12-10T17:47:09Z</dcterms:modified>
</cp:coreProperties>
</file>