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February 4, 2020, Amdocs Limited (“Amdocs”) issued a press release announcing financial results for the quarter ended December 31, 2019. A copy of the press release is furnished as Exhibit 99.1 to this Report of Foreign Private Issuer on Form 6-K.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020"/>
          </w:cols>
          <w:pgMar w:left="440" w:top="274" w:right="43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8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68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February 4, 2020.</w:t>
      </w:r>
    </w:p>
    <w:p>
      <w:pPr>
        <w:sectPr>
          <w:pgSz w:w="11900" w:h="16838" w:orient="portrait"/>
          <w:cols w:equalWidth="0" w:num="1">
            <w:col w:w="10019"/>
          </w:cols>
          <w:pgMar w:left="440" w:top="274" w:right="1440"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172085</wp:posOffset>
            </wp:positionV>
            <wp:extent cx="6226175" cy="900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261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First Quarter Fiscal 2020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Revenue of $1.04 Billion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Backlog of $3.52 Billion, up 4.5%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Raises Fiscal 2020 Normalized Free Cash Flow Outlook to $500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2020 Highlights</w:t>
      </w:r>
    </w:p>
    <w:p>
      <w:pPr>
        <w:spacing w:after="0" w:line="256" w:lineRule="exact"/>
        <w:rPr>
          <w:sz w:val="20"/>
          <w:szCs w:val="20"/>
          <w:color w:val="auto"/>
        </w:rPr>
      </w:pPr>
    </w:p>
    <w:p>
      <w:pPr>
        <w:ind w:left="980" w:right="1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$1,042 million, above the midpoint of the $1,015-$1,055 million guidance range, adjusting for a positive impact from foreign currency movements of approximately $4 million compared to our guidance assumptions</w:t>
      </w:r>
    </w:p>
    <w:p>
      <w:pPr>
        <w:spacing w:after="0" w:line="197"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$0.85, above the midpoint of the $0.79-$0.87 guidance range</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$1.06, above the midpoint of the $1.02-$1.08 guidance range</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$144 million; GAAP operating margin of 13.8%</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$178 million; non-GAAP operating margin of 17.1%</w:t>
      </w:r>
    </w:p>
    <w:p>
      <w:pPr>
        <w:spacing w:after="0" w:line="252" w:lineRule="exact"/>
        <w:rPr>
          <w:rFonts w:ascii="Arial" w:cs="Arial" w:eastAsia="Arial" w:hAnsi="Arial"/>
          <w:sz w:val="18"/>
          <w:szCs w:val="18"/>
          <w:color w:val="auto"/>
        </w:rPr>
      </w:pPr>
    </w:p>
    <w:p>
      <w:pPr>
        <w:ind w:left="980" w:right="78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free cash flow of $105 million, comprised of cash flow from operations of $164 million, less $59 million in net capital expenditures and other; normalized free cash flow of $121 million </w:t>
      </w:r>
      <w:r>
        <w:rPr>
          <w:rFonts w:ascii="Arial" w:cs="Arial" w:eastAsia="Arial" w:hAnsi="Arial"/>
          <w:sz w:val="15"/>
          <w:szCs w:val="15"/>
          <w:color w:val="auto"/>
        </w:rPr>
        <w:t>(1)</w:t>
      </w:r>
    </w:p>
    <w:p>
      <w:pPr>
        <w:spacing w:after="0" w:line="197"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$3.52 billion, up $30 million sequentially and up 4.5% as compared to last year’s first fiscal quarter</w:t>
      </w:r>
    </w:p>
    <w:p>
      <w:pPr>
        <w:spacing w:after="0" w:line="252" w:lineRule="exact"/>
        <w:rPr>
          <w:rFonts w:ascii="Arial" w:cs="Arial" w:eastAsia="Arial" w:hAnsi="Arial"/>
          <w:sz w:val="18"/>
          <w:szCs w:val="18"/>
          <w:color w:val="auto"/>
        </w:rPr>
      </w:pPr>
    </w:p>
    <w:p>
      <w:pPr>
        <w:ind w:left="980" w:right="12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at the new increased rate of $0.3275 per share, as approved at the January 2020 annual general meeting of shareholders, to be paid on April 24, 2020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 LOUIS – February 4, 2020 </w:t>
      </w:r>
      <w:r>
        <w:rPr>
          <w:rFonts w:ascii="Arial" w:cs="Arial" w:eastAsia="Arial" w:hAnsi="Arial"/>
          <w:sz w:val="16"/>
          <w:szCs w:val="16"/>
          <w:color w:val="auto"/>
        </w:rPr>
        <w:t>– Amdocs Limited (NASDAQ: DOX) today reported operating results for the three months ended December 31, 2019.</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pleased to report a solid start to the fiscal year, with record revenue driven by sequential growth in North America, and healthy year-over-year trends in Europe and Rest</w:t>
      </w:r>
    </w:p>
    <w:p>
      <w:pPr>
        <w:spacing w:after="0" w:line="166" w:lineRule="exact"/>
        <w:rPr>
          <w:sz w:val="20"/>
          <w:szCs w:val="20"/>
          <w:color w:val="auto"/>
        </w:rPr>
      </w:pPr>
    </w:p>
    <w:p>
      <w:pPr>
        <w:ind w:left="320" w:hanging="316"/>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refer to the Selected Financial Metrics tables below (figures may not sum because of rounding).</w:t>
      </w:r>
    </w:p>
    <w:p>
      <w:pPr>
        <w:sectPr>
          <w:pgSz w:w="11900" w:h="16838" w:orient="portrait"/>
          <w:cols w:equalWidth="0" w:num="1">
            <w:col w:w="11020"/>
          </w:cols>
          <w:pgMar w:left="440" w:top="121" w:right="4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World. Profitability was consistent with our operating plan, including investments to support the ramp-up of new activities at AT&amp;T and other customers, and we returned more than 100% of normalized free cash flow to shareholders through our share repurchases and quarterly dividend payment programs,” said Shuky Sheffer, president and chief executive officer of Amdocs Management Limited.</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Sheffer continued, “During Q1, we secured pivotal new wins that extend our core market leadership in key domains such as digital modernization and customer experience. Earlier in the quarter, we announced that Vodafone Germany had selected Amdocs for a strategic transformation project, and we have followed this today with the signing of a large-scale managed transformation award at Orange Spain and a multi-year managed services agreement with A1 Bulgaria, a subsidiary of the A1 Telekom Austria Group. In Rest of World, Korea Telecom has selected Amdocs CatalogONE to further accelerate the introduction and monetization of new 5G consumer and enterprise offerings in the South Korean market. This important new award will allow KT to strengthen its position as a global leader in 5G adoption and is consistent with the growing industry demand we are seeing for 5G monetization capabilities that are deployed on the cloud.”</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Sheffer concluded, “Turning to the outlook, we expect revenue growth to accelerate in the fiscal second half as new customer activity ramps-up. Our visibility is supported by record 12-month backlog of $3.5 billion, which is up 4.5% from a year ago, and we have slightly increased our full year outlook for free cash flow generation. Overall, we are on-track to deliver total expected shareholder returns</w:t>
      </w:r>
      <w:r>
        <w:rPr>
          <w:rFonts w:ascii="Arial" w:cs="Arial" w:eastAsia="Arial" w:hAnsi="Arial"/>
          <w:sz w:val="15"/>
          <w:szCs w:val="15"/>
          <w:color w:val="auto"/>
        </w:rPr>
        <w:t>2</w:t>
      </w:r>
      <w:r>
        <w:rPr>
          <w:rFonts w:ascii="Arial" w:cs="Arial" w:eastAsia="Arial" w:hAnsi="Arial"/>
          <w:sz w:val="18"/>
          <w:szCs w:val="18"/>
          <w:color w:val="auto"/>
        </w:rPr>
        <w:t xml:space="preserve"> in the mid-to-high single digits for the eighth consecutive year in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for the first fiscal quarter ended December 31, 2019 was $1,042 million, up $12 million sequentially from the fourth fiscal quarter of 2019 and up 3.0% as reported and 3.1% in constant currency as compared to last year’s first fiscal quarter. Revenue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62" w:lineRule="exact"/>
        <w:rPr>
          <w:sz w:val="20"/>
          <w:szCs w:val="20"/>
          <w:color w:val="auto"/>
        </w:rPr>
      </w:pPr>
    </w:p>
    <w:p>
      <w:pPr>
        <w:ind w:right="80" w:firstLine="4"/>
        <w:spacing w:after="0" w:line="253" w:lineRule="auto"/>
        <w:tabs>
          <w:tab w:leader="none" w:pos="309"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expected shareholder return includes non-GAAP EPS growth of 3% to 7% in fiscal 2020 plus dividend yield of ~1.8% (assumes quarterly dividend rate of $0.3275 as approved by shareholders at the annual meeting in January 2020)</w:t>
      </w:r>
    </w:p>
    <w:p>
      <w:pPr>
        <w:sectPr>
          <w:pgSz w:w="11900" w:h="16838" w:orient="portrait"/>
          <w:cols w:equalWidth="0" w:num="1">
            <w:col w:w="11020"/>
          </w:cols>
          <w:pgMar w:left="440" w:top="274" w:right="43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fiscal quarter of 2020 includes a positive impact from foreign currency movements of approximately $3 million relative to the fourth quarter of fiscal 2019. Revenue was above the midpoint of Amdocs’ guidance, adjusting for the positive impact of approximately $4 million of foreign currency movements relative to guidance.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GAAP net income for the first quarter of fiscal 2020 was $115.9 million, or $0.85 per diluted share, compared to GAAP net income of $101.7 million, or $0.72 per diluted share, in the prior fiscal year’s first quarter. Net income on a non-GAAP basis was $144.2 million, or $1.06 per diluted share, compared to non-GAAP net income of $137.8 million, or $0.98 per diluted share, in the first quarter of fiscal 2019. Non-GAAP net income excludes amortization of purchased intangible assets and other acquisition-related costs, changes in certain acquisitions related liabilities measured at fair value, equity-based compensation expenses, net of related tax effects, in the first quarter of fiscal 2020 and in the first quarter of fiscal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80" w:right="6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February 4, 2020,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$0.3275 per share and set March 31, 2020 as the record date for determining the shareholders entitled to receive the dividend, which will be payable on April 24, 2020.</w:t>
      </w:r>
    </w:p>
    <w:p>
      <w:pPr>
        <w:spacing w:after="0" w:line="86"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$90 million of ordinary shares during the first quarter of fiscal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w:t>
      </w:r>
    </w:p>
    <w:p>
      <w:pPr>
        <w:sectPr>
          <w:pgSz w:w="11900" w:h="16838" w:orient="portrait"/>
          <w:cols w:equalWidth="0" w:num="1">
            <w:col w:w="10880"/>
          </w:cols>
          <w:pgMar w:left="440" w:top="274"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going support activities, was $3.52 billion at the end of the first quarter of fiscal 2020, up $30 million from the end of the prior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Outlook</w:t>
      </w:r>
    </w:p>
    <w:p>
      <w:pPr>
        <w:spacing w:after="0" w:line="256" w:lineRule="exact"/>
        <w:rPr>
          <w:sz w:val="20"/>
          <w:szCs w:val="20"/>
          <w:color w:val="auto"/>
        </w:rPr>
      </w:pPr>
    </w:p>
    <w:p>
      <w:pPr>
        <w:ind w:left="980" w:right="26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approximately $1,035-$1,075 million, assuming approximately $2 million sequential positive impact from foreign currency fluctuations as compared to the first quarter of fiscal 2020</w:t>
      </w:r>
    </w:p>
    <w:p>
      <w:pPr>
        <w:spacing w:after="0" w:line="197"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diluted EPS of approximately $0.82-$0.90.</w:t>
      </w:r>
    </w:p>
    <w:p>
      <w:pPr>
        <w:spacing w:after="0" w:line="252" w:lineRule="exact"/>
        <w:rPr>
          <w:rFonts w:ascii="Arial" w:cs="Arial" w:eastAsia="Arial" w:hAnsi="Arial"/>
          <w:sz w:val="18"/>
          <w:szCs w:val="18"/>
          <w:color w:val="auto"/>
        </w:rPr>
      </w:pPr>
    </w:p>
    <w:p>
      <w:pPr>
        <w:ind w:left="980" w:right="20" w:hanging="43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diluted EPS of approximately $1.03-$1.09, excluding amortization of purchased intangible assets and other acquisition-related costs, changes in certain acquisitions related liabilities measured at fair value, and approximately $0.06-$0.08 per share of equity-based compensation expense, net of related tax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2020 Outlook</w:t>
      </w:r>
    </w:p>
    <w:p>
      <w:pPr>
        <w:spacing w:after="0" w:line="256" w:lineRule="exact"/>
        <w:rPr>
          <w:sz w:val="20"/>
          <w:szCs w:val="20"/>
          <w:color w:val="auto"/>
        </w:rPr>
      </w:pPr>
    </w:p>
    <w:p>
      <w:pPr>
        <w:ind w:left="980" w:hanging="436"/>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Expects revenue growth of 2.5%-5.5% year-over-year on a reported basis as compared with 1.5%-5.5% year-over-year previously</w:t>
      </w:r>
    </w:p>
    <w:p>
      <w:pPr>
        <w:spacing w:after="0" w:line="263" w:lineRule="exact"/>
        <w:rPr>
          <w:rFonts w:ascii="Arial" w:cs="Arial" w:eastAsia="Arial" w:hAnsi="Arial"/>
          <w:sz w:val="17"/>
          <w:szCs w:val="17"/>
          <w:color w:val="auto"/>
        </w:rPr>
      </w:pPr>
    </w:p>
    <w:p>
      <w:pPr>
        <w:ind w:left="980" w:hanging="43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Expects revenue growth of 2.5%-5.5% year-over-year on a constant currency basis as compared with 2.0%-6.0% year-over-year previously</w:t>
      </w:r>
    </w:p>
    <w:p>
      <w:pPr>
        <w:spacing w:after="0" w:line="275" w:lineRule="exact"/>
        <w:rPr>
          <w:rFonts w:ascii="Arial" w:cs="Arial" w:eastAsia="Arial" w:hAnsi="Arial"/>
          <w:sz w:val="16"/>
          <w:szCs w:val="16"/>
          <w:color w:val="auto"/>
        </w:rPr>
      </w:pPr>
    </w:p>
    <w:p>
      <w:pPr>
        <w:ind w:left="980" w:right="480" w:hanging="436"/>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Full year fiscal 2020 revenue guidance incorporates just over 1% of growth from the acquisition of TTS Wireless, and an immaterial impact from foreign currency fluctuations as compared with a negative impact of about 0.5% year-over-year previously</w:t>
      </w:r>
    </w:p>
    <w:p>
      <w:pPr>
        <w:spacing w:after="0" w:line="150" w:lineRule="exact"/>
        <w:rPr>
          <w:rFonts w:ascii="Arial" w:cs="Arial" w:eastAsia="Arial" w:hAnsi="Arial"/>
          <w:sz w:val="16"/>
          <w:szCs w:val="16"/>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Reiterates GAAP diluted earnings per share growth of roughly 5.0%-12.0% year-over-year</w:t>
      </w:r>
    </w:p>
    <w:p>
      <w:pPr>
        <w:spacing w:after="0" w:line="252" w:lineRule="exact"/>
        <w:rPr>
          <w:rFonts w:ascii="Arial" w:cs="Arial" w:eastAsia="Arial" w:hAnsi="Arial"/>
          <w:sz w:val="18"/>
          <w:szCs w:val="18"/>
          <w:color w:val="auto"/>
        </w:rPr>
      </w:pPr>
    </w:p>
    <w:p>
      <w:pPr>
        <w:ind w:left="980" w:right="520" w:hanging="436"/>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Reiterates non-GAAP diluted earnings per share growth of roughly 3.0%-7.0% year-over-year, excluding amortization of purchased intangible assets and other acquisition-related costs, changes in certain acquisitions related liabilities measured at fair value, and approximately $0.24-$0.30 per share of equity-based compensation expense, net of related tax effects.</w:t>
      </w:r>
    </w:p>
    <w:p>
      <w:pPr>
        <w:sectPr>
          <w:pgSz w:w="11900" w:h="16838" w:orient="portrait"/>
          <w:cols w:equalWidth="0" w:num="1">
            <w:col w:w="11000"/>
          </w:cols>
          <w:pgMar w:left="440" w:top="274" w:right="459" w:bottom="1440" w:gutter="0" w:footer="0" w:header="0"/>
        </w:sectPr>
      </w:pPr>
    </w:p>
    <w:bookmarkStart w:id="8" w:name="page9"/>
    <w:bookmarkEnd w:id="8"/>
    <w:p>
      <w:pPr>
        <w:ind w:left="980" w:right="120" w:hanging="43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Expects free cash flow of approximately $400 million, comprised of cash flow from operations, less net capital expenditures and other, as compared with $350 million previously</w:t>
      </w:r>
    </w:p>
    <w:p>
      <w:pPr>
        <w:spacing w:after="0" w:line="197" w:lineRule="exact"/>
        <w:rPr>
          <w:rFonts w:ascii="Arial" w:cs="Arial" w:eastAsia="Arial" w:hAnsi="Arial"/>
          <w:sz w:val="18"/>
          <w:szCs w:val="18"/>
          <w:color w:val="auto"/>
        </w:rPr>
      </w:pPr>
    </w:p>
    <w:p>
      <w:pPr>
        <w:ind w:left="980" w:hanging="43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Expects normalized free cash flow of approximately $500 million as compared with $480 million previously; normalized free cash flow excludes capital expenditure of up to $90 million related to the new campus development in Israel, as compared with capital expenditure of up to $120 million previously, and other items</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second fiscal quarter 2020 and full year fiscal 2020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Amdocs will host a conference call on February 4, 2020 at 5:00 p.m. Eastern Time to discuss the Company’s first quarter of fiscal 2020 results. To participate, please dial +1 (844) 513-7152, or +1 (508) 637-5600 outside the United States, approximately 15 minutes before the call and enter passcode 4096989. The call will also be carried live on the Internet via the Amdocs website, www.amdocs.com.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80" w:hanging="4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ectPr>
          <w:pgSz w:w="11900" w:h="16838" w:orient="portrait"/>
          <w:cols w:equalWidth="0" w:num="1">
            <w:col w:w="11020"/>
          </w:cols>
          <w:pgMar w:left="440" w:top="274" w:right="439" w:bottom="1440" w:gutter="0" w:footer="0" w:header="0"/>
        </w:sectPr>
      </w:pPr>
    </w:p>
    <w:bookmarkStart w:id="9" w:name="page10"/>
    <w:bookmarkEnd w:id="9"/>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certain acquisition-related liabilities measured at fair value;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Free cash flow equals cash generated by operating activities less net capital expenditures and other, and normalized free cash flow is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0980"/>
          </w:cols>
          <w:pgMar w:left="440" w:top="274" w:right="479" w:bottom="1440" w:gutter="0" w:footer="0" w:header="0"/>
        </w:sectPr>
      </w:pPr>
    </w:p>
    <w:bookmarkStart w:id="10" w:name="page11"/>
    <w:bookmarkEnd w:id="10"/>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up with Amdocs news by visiting the Company’s website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w:t>
      </w:r>
    </w:p>
    <w:p>
      <w:pPr>
        <w:sectPr>
          <w:pgSz w:w="11900" w:h="16838" w:orient="portrait"/>
          <w:cols w:equalWidth="0" w:num="1">
            <w:col w:w="10940"/>
          </w:cols>
          <w:pgMar w:left="440" w:top="274" w:right="5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25,000 employees serve customers in over 85 countries. Listed on the NASDAQ Global Select Market, Amdocs had revenue of $4.1 billion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2019 filed on December 16,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15"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1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$1,041,957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$1,012,055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177,940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174,849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8220" w:type="dxa"/>
            <w:vAlign w:val="bottom"/>
          </w:tcPr>
          <w:p>
            <w:pPr>
              <w:ind w:left="3600"/>
              <w:spacing w:after="0"/>
              <w:rPr>
                <w:sz w:val="20"/>
                <w:szCs w:val="20"/>
                <w:color w:val="auto"/>
              </w:rPr>
            </w:pPr>
            <w:r>
              <w:rPr>
                <w:rFonts w:ascii="Arial" w:cs="Arial" w:eastAsia="Arial" w:hAnsi="Arial"/>
                <w:sz w:val="18"/>
                <w:szCs w:val="18"/>
                <w:b w:val="1"/>
                <w:bCs w:val="1"/>
                <w:color w:val="auto"/>
              </w:rPr>
              <w:t>Free Cash Flows and Normalized Free Cash Flow</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20" w:type="dxa"/>
            <w:vAlign w:val="bottom"/>
          </w:tcPr>
          <w:p>
            <w:pPr>
              <w:ind w:left="504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$163,908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$ 109,650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Purchase of property and equipment, net (*)</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(58,535)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(37,278)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Payments for legal dispute settlement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Net capital expenditures related to the new campus development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13,937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Normalized Free Cash Flow</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firstLine="4"/>
        <w:spacing w:after="0" w:line="253"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under “Purchase of property and equipment, net”, include proceed from sale of property and equipment of $373 and $31 for the three months ended 31 December 2019 and 2018, respectively.</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certain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3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related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measured at 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effect</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$686,312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(5,346)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$ 678,654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123,467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Amortization of purchased intangible assets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898,380</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115,932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(6,140)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certain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3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related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measured at 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effect</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$662,568</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(4,851)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(3,791)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$ 653,926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121,860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Amortization of purchased intangible assets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878,958</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133,097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32,927</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101,692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(5,626)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1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485,875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receivable, net, including unbilled of $205,080 and $227,061, respectively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1,002,264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1,711,524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1,675,574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Lease assets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280,670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2,645,341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2,667,997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456,031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5,632,275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5,292,826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1,076,333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1,089,748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1,268,486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1,207,930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Lease liabilities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223,664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Amdocs Limited Shareholders’ equity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3,539,295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3,499,957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3,581,804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3,542,466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5,632,275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5,292,826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$ 115,932</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$ 101,692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48,999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6,359</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short-term interest-bearing investments</w:t>
            </w:r>
          </w:p>
        </w:tc>
        <w:tc>
          <w:tcPr>
            <w:tcW w:w="1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(34,693)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20" w:type="dxa"/>
            <w:vAlign w:val="bottom"/>
            <w:gridSpan w:val="3"/>
          </w:tcPr>
          <w:p>
            <w:pPr>
              <w:jc w:val="right"/>
              <w:ind w:right="140"/>
              <w:spacing w:after="0"/>
              <w:rPr>
                <w:sz w:val="20"/>
                <w:szCs w:val="20"/>
                <w:color w:val="auto"/>
              </w:rPr>
            </w:pPr>
            <w:r>
              <w:rPr>
                <w:rFonts w:ascii="Arial" w:cs="Arial" w:eastAsia="Arial" w:hAnsi="Arial"/>
                <w:sz w:val="18"/>
                <w:szCs w:val="18"/>
                <w:color w:val="auto"/>
              </w:rPr>
              <w:t>(10,114)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Lease assets and liabilities, net</w:t>
            </w:r>
          </w:p>
        </w:tc>
        <w:tc>
          <w:tcPr>
            <w:tcW w:w="2820" w:type="dxa"/>
            <w:vAlign w:val="bottom"/>
            <w:gridSpan w:val="3"/>
          </w:tcPr>
          <w:p>
            <w:pPr>
              <w:jc w:val="right"/>
              <w:ind w:right="14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12,855</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(58,535)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(60,993)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(43,892)</w:t>
            </w:r>
          </w:p>
        </w:tc>
        <w:tc>
          <w:tcPr>
            <w:tcW w:w="0" w:type="dxa"/>
            <w:vAlign w:val="bottom"/>
          </w:tcPr>
          <w:p>
            <w:pPr>
              <w:spacing w:after="0"/>
              <w:rPr>
                <w:sz w:val="1"/>
                <w:szCs w:val="1"/>
                <w:color w:val="auto"/>
              </w:rPr>
            </w:pPr>
          </w:p>
        </w:tc>
      </w:tr>
      <w:tr>
        <w:trPr>
          <w:trHeight w:val="33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(90,020)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41,178</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(38,413)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2820" w:type="dxa"/>
            <w:vAlign w:val="bottom"/>
            <w:gridSpan w:val="3"/>
          </w:tcPr>
          <w:p>
            <w:pPr>
              <w:jc w:val="right"/>
              <w:ind w:right="140"/>
              <w:spacing w:after="0"/>
              <w:rPr>
                <w:sz w:val="20"/>
                <w:szCs w:val="20"/>
                <w:color w:val="auto"/>
              </w:rPr>
            </w:pPr>
            <w:r>
              <w:rPr>
                <w:rFonts w:ascii="Arial" w:cs="Arial" w:eastAsia="Arial" w:hAnsi="Arial"/>
                <w:sz w:val="18"/>
                <w:szCs w:val="18"/>
                <w:color w:val="auto"/>
              </w:rPr>
              <w:t>(1,411)</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485,875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ind w:right="100" w:firstLine="4"/>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$373 and $31, for the three months ended 31 December 2019 and 2018, respectively.</w:t>
      </w:r>
    </w:p>
    <w:p>
      <w:pPr>
        <w:sectPr>
          <w:pgSz w:w="11900" w:h="16838" w:orient="portrait"/>
          <w:cols w:equalWidth="0" w:num="1">
            <w:col w:w="11040"/>
          </w:cols>
          <w:pgMar w:left="440" w:top="270"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left="418"/>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8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6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Europe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6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26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1,024.7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1,019.7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418"/>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8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6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2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8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6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2020-02-05T05:06:38Z</dcterms:created>
  <dcterms:modified xsi:type="dcterms:W3CDTF">2020-02-05T05:06:38Z</dcterms:modified>
</cp:coreProperties>
</file>