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PROSPECTUS SUPPLEMENT NO. 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25, 2001)</w:t>
      </w:r>
    </w:p>
    <w:p>
      <w:pPr>
        <w:spacing w:after="0" w:line="20" w:lineRule="exact"/>
        <w:rPr>
          <w:sz w:val="24"/>
          <w:szCs w:val="24"/>
          <w:color w:val="auto"/>
        </w:rPr>
      </w:pPr>
      <w:r>
        <w:rPr>
          <w:sz w:val="24"/>
          <w:szCs w:val="24"/>
          <w:color w:val="auto"/>
        </w:rPr>
        <w:br w:type="column"/>
      </w:r>
    </w:p>
    <w:p>
      <w:pPr>
        <w:ind w:right="1779" w:firstLine="421"/>
        <w:spacing w:after="0" w:line="290" w:lineRule="auto"/>
        <w:rPr>
          <w:sz w:val="20"/>
          <w:szCs w:val="20"/>
          <w:color w:val="auto"/>
        </w:rPr>
      </w:pPr>
      <w:r>
        <w:rPr>
          <w:rFonts w:ascii="Courier New" w:cs="Courier New" w:eastAsia="Courier New" w:hAnsi="Courier New"/>
          <w:sz w:val="16"/>
          <w:szCs w:val="16"/>
          <w:color w:val="auto"/>
        </w:rPr>
        <w:t>FILED PURSUANT TO RULE 424(B)(3) Registration Statement No. 333-67572</w:t>
      </w:r>
    </w:p>
    <w:p>
      <w:pPr>
        <w:spacing w:after="0" w:line="164" w:lineRule="exact"/>
        <w:rPr>
          <w:sz w:val="24"/>
          <w:szCs w:val="24"/>
          <w:color w:val="auto"/>
        </w:rPr>
      </w:pPr>
    </w:p>
    <w:p>
      <w:pPr>
        <w:sectPr>
          <w:pgSz w:w="11900" w:h="16838" w:orient="portrait"/>
          <w:cols w:equalWidth="0" w:num="2">
            <w:col w:w="4220" w:space="420"/>
            <w:col w:w="5579"/>
          </w:cols>
          <w:pgMar w:left="240" w:top="649" w:right="1440" w:bottom="1440" w:gutter="0" w:footer="0" w:header="0"/>
        </w:sect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$500,000,000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2% Convertible Notes due June 1, 2008</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5,429,350 Ordinary Shares Issuable</w:t>
      </w:r>
    </w:p>
    <w:p>
      <w:pPr>
        <w:jc w:val="center"/>
        <w:ind w:right="1779"/>
        <w:spacing w:after="0"/>
        <w:rPr>
          <w:sz w:val="20"/>
          <w:szCs w:val="20"/>
          <w:color w:val="auto"/>
        </w:rPr>
      </w:pPr>
      <w:r>
        <w:rPr>
          <w:rFonts w:ascii="Courier New" w:cs="Courier New" w:eastAsia="Courier New" w:hAnsi="Courier New"/>
          <w:sz w:val="18"/>
          <w:szCs w:val="18"/>
          <w:color w:val="auto"/>
        </w:rPr>
        <w:t>Upon Conversion of the Notes</w:t>
      </w:r>
    </w:p>
    <w:p>
      <w:pPr>
        <w:sectPr>
          <w:pgSz w:w="11900" w:h="16838" w:orient="portrait"/>
          <w:cols w:equalWidth="0" w:num="1">
            <w:col w:w="10219"/>
          </w:cols>
          <w:pgMar w:left="240" w:top="649" w:right="1440" w:bottom="1440" w:gutter="0" w:footer="0" w:header="0"/>
          <w:type w:val="continuous"/>
        </w:sectPr>
      </w:pP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prospectus supplement relates to the resale by holders of our 2% Convertible Notes due June 1, 2008 and ordinary shares issuable upon conversion of the notes. This prospectus supplement may only be delivered or used in connection with our prospectus dated September 25, 2001. Our ordinary shares are traded on the New York Stock Exchange under the symbol "DOX."</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PROSPECTUS SUPPLEMENT DATED JANUARY 23, 2002</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appearing in the following table supplements or supersedes in part the information in the table under the caption "Selling Holders", beginning on page 50 in our prospectus and was provided by or on behalf of the selling holders.</w:t>
      </w:r>
    </w:p>
    <w:p>
      <w:pPr>
        <w:spacing w:after="0" w:line="202"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ORDINARY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SHARES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NOTES</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 AFTER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BENEFICIALLY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OWNED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ORDINARY</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OWNED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959"/>
        <w:spacing w:after="0"/>
        <w:rPr>
          <w:sz w:val="20"/>
          <w:szCs w:val="20"/>
          <w:color w:val="auto"/>
        </w:rPr>
      </w:pPr>
      <w:r>
        <w:rPr>
          <w:rFonts w:ascii="Courier New" w:cs="Courier New" w:eastAsia="Courier New" w:hAnsi="Courier New"/>
          <w:sz w:val="18"/>
          <w:szCs w:val="18"/>
          <w:color w:val="auto"/>
        </w:rPr>
        <w:t>SHARES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w:t>
      </w:r>
    </w:p>
    <w:p>
      <w:pPr>
        <w:jc w:val="center"/>
        <w:ind w:right="8959"/>
        <w:spacing w:after="0" w:line="233" w:lineRule="auto"/>
        <w:rPr>
          <w:sz w:val="20"/>
          <w:szCs w:val="20"/>
          <w:color w:val="auto"/>
        </w:rPr>
      </w:pPr>
      <w:r>
        <w:rPr>
          <w:rFonts w:ascii="Courier New" w:cs="Courier New" w:eastAsia="Courier New" w:hAnsi="Courier New"/>
          <w:sz w:val="18"/>
          <w:szCs w:val="18"/>
          <w:color w:val="auto"/>
        </w:rPr>
        <w:t>OFFERED</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OFFERED(1)</w:t>
      </w:r>
    </w:p>
    <w:p>
      <w:pPr>
        <w:jc w:val="center"/>
        <w:ind w:right="8959"/>
        <w:spacing w:after="0"/>
        <w:rPr>
          <w:sz w:val="20"/>
          <w:szCs w:val="20"/>
          <w:color w:val="auto"/>
        </w:rPr>
      </w:pPr>
      <w:r>
        <w:rPr>
          <w:rFonts w:ascii="Courier New" w:cs="Courier New" w:eastAsia="Courier New" w:hAnsi="Courier New"/>
          <w:sz w:val="18"/>
          <w:szCs w:val="18"/>
          <w:color w:val="auto"/>
        </w:rPr>
        <w:t>AMOUNT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 - -</w:t>
      </w:r>
    </w:p>
    <w:p>
      <w:pPr>
        <w:ind w:left="60"/>
        <w:spacing w:after="0"/>
        <w:rPr>
          <w:sz w:val="20"/>
          <w:szCs w:val="20"/>
          <w:color w:val="auto"/>
        </w:rPr>
      </w:pPr>
      <w:r>
        <w:rPr>
          <w:rFonts w:ascii="Courier New" w:cs="Courier New" w:eastAsia="Courier New" w:hAnsi="Courier New"/>
          <w:sz w:val="18"/>
          <w:szCs w:val="18"/>
          <w:color w:val="auto"/>
        </w:rPr>
        <w:t>-----------</w:t>
      </w:r>
    </w:p>
    <w:p>
      <w:pPr>
        <w:ind w:left="580" w:hanging="523"/>
        <w:spacing w:after="0" w:line="237" w:lineRule="auto"/>
        <w:tabs>
          <w:tab w:leader="none" w:pos="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80" w:hanging="523"/>
        <w:spacing w:after="0" w:line="238" w:lineRule="auto"/>
        <w:tabs>
          <w:tab w:leader="none" w:pos="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100" w:right="90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Goldman Sachs and Company $1,500,000 16,288 16,288 0 *</w:t>
      </w:r>
    </w:p>
    <w:p>
      <w:pPr>
        <w:spacing w:after="0" w:line="1" w:lineRule="exact"/>
        <w:rPr>
          <w:sz w:val="20"/>
          <w:szCs w:val="20"/>
          <w:color w:val="auto"/>
        </w:rPr>
      </w:pPr>
    </w:p>
    <w:p>
      <w:pPr>
        <w:ind w:left="220" w:right="8999" w:hanging="163"/>
        <w:spacing w:after="0" w:line="268" w:lineRule="auto"/>
        <w:tabs>
          <w:tab w:leader="none" w:pos="48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Chipeta Way Salt</w:t>
      </w:r>
    </w:p>
    <w:p>
      <w:pPr>
        <w:jc w:val="center"/>
        <w:ind w:right="8959"/>
        <w:spacing w:after="0" w:line="233" w:lineRule="auto"/>
        <w:rPr>
          <w:sz w:val="20"/>
          <w:szCs w:val="20"/>
          <w:color w:val="auto"/>
        </w:rPr>
      </w:pPr>
      <w:r>
        <w:rPr>
          <w:rFonts w:ascii="Courier New" w:cs="Courier New" w:eastAsia="Courier New" w:hAnsi="Courier New"/>
          <w:sz w:val="18"/>
          <w:szCs w:val="18"/>
          <w:color w:val="auto"/>
        </w:rPr>
        <w:t>Lake City,</w:t>
      </w:r>
    </w:p>
    <w:p>
      <w:pPr>
        <w:jc w:val="center"/>
        <w:ind w:right="8959"/>
        <w:spacing w:after="0"/>
        <w:rPr>
          <w:sz w:val="20"/>
          <w:szCs w:val="20"/>
          <w:color w:val="auto"/>
        </w:rPr>
      </w:pPr>
      <w:r>
        <w:rPr>
          <w:rFonts w:ascii="Courier New" w:cs="Courier New" w:eastAsia="Courier New" w:hAnsi="Courier New"/>
          <w:sz w:val="18"/>
          <w:szCs w:val="18"/>
          <w:color w:val="auto"/>
        </w:rPr>
        <w:t>UT 84108</w:t>
      </w:r>
    </w:p>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Indicates less than 1%.</w:t>
      </w:r>
    </w:p>
    <w:p>
      <w:pPr>
        <w:spacing w:after="0" w:line="207" w:lineRule="exact"/>
        <w:rPr>
          <w:sz w:val="20"/>
          <w:szCs w:val="20"/>
          <w:color w:val="auto"/>
        </w:rPr>
      </w:pPr>
    </w:p>
    <w:p>
      <w:pPr>
        <w:ind w:left="420" w:right="1779" w:hanging="412"/>
        <w:spacing w:after="0" w:line="271" w:lineRule="auto"/>
        <w:tabs>
          <w:tab w:leader="none" w:pos="4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conversion of all the holder's notes at a conversion rate of 10.8587 ordinary shares per each $1,000 principal amount of the notes and resale of all ordinary shares offered hereby. In addition, the per share conversion price, and therefore the number of ordinary shares issuable upon conversion of the notes, is subject to adjustment. As a result, the aggregate principal amount of the notes and the number of shares of ordinary shares issuable upon conversion of the notes may increase or decrease.</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295"/>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2019-12-14T20:56:56Z</dcterms:created>
  <dcterms:modified xsi:type="dcterms:W3CDTF">2019-12-14T20:56:56Z</dcterms:modified>
</cp:coreProperties>
</file>