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January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220"/>
        <w:spacing w:after="0"/>
        <w:tabs>
          <w:tab w:leader="none" w:pos="3680" w:val="left"/>
          <w:tab w:leader="none" w:pos="484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 [ ]</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 [ ]</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 [ ]</w:t>
      </w:r>
    </w:p>
    <w:p>
      <w:pPr>
        <w:spacing w:after="0" w:line="208"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2220"/>
        <w:spacing w:after="0"/>
        <w:tabs>
          <w:tab w:leader="none" w:pos="5040" w:val="left"/>
          <w:tab w:leader="none" w:pos="546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632"/>
        <w:spacing w:after="0" w:line="237" w:lineRule="auto"/>
        <w:rPr>
          <w:sz w:val="20"/>
          <w:szCs w:val="20"/>
          <w:color w:val="auto"/>
        </w:rPr>
      </w:pPr>
      <w:r>
        <w:rPr>
          <w:rFonts w:ascii="Courier New" w:cs="Courier New" w:eastAsia="Courier New" w:hAnsi="Courier New"/>
          <w:sz w:val="18"/>
          <w:szCs w:val="18"/>
          <w:color w:val="auto"/>
        </w:rPr>
        <w:t>On January 17, 2007, Amdocs Limited ("Amdocs") issued a press release announcing financial results for the quarter ended December 31, 2006. A copy of the press release is furnished as Exhibit 99.1 to this Report of Foreign Private Issuer on Form 6-K.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18, 2007</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470" w:lineRule="auto"/>
        <w:rPr>
          <w:sz w:val="20"/>
          <w:szCs w:val="20"/>
          <w:color w:val="auto"/>
        </w:rPr>
      </w:pPr>
      <w:r>
        <w:rPr>
          <w:rFonts w:ascii="Courier New" w:cs="Courier New" w:eastAsia="Courier New" w:hAnsi="Courier New"/>
          <w:sz w:val="18"/>
          <w:szCs w:val="18"/>
          <w:color w:val="auto"/>
        </w:rPr>
        <w:t>EXHIBIT NO.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January 17, 2007.</w:t>
      </w:r>
    </w:p>
    <w:p>
      <w:pPr>
        <w:sectPr>
          <w:pgSz w:w="11900" w:h="16838" w:orient="portrait"/>
          <w:cols w:equalWidth="0" w:num="2">
            <w:col w:w="1280" w:space="720"/>
            <w:col w:w="8219"/>
          </w:cols>
          <w:pgMar w:left="240" w:top="1128"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AMDOCS LIMITED REPORTS RECORD REVENUE OF $691 MILLION</w:t>
      </w:r>
    </w:p>
    <w:p>
      <w:pPr>
        <w:spacing w:after="0" w:line="207" w:lineRule="exact"/>
        <w:rPr>
          <w:sz w:val="20"/>
          <w:szCs w:val="20"/>
          <w:color w:val="auto"/>
        </w:rPr>
      </w:pPr>
    </w:p>
    <w:p>
      <w:pPr>
        <w:ind w:left="1580" w:right="2319" w:hanging="1474"/>
        <w:spacing w:after="0" w:line="235" w:lineRule="auto"/>
        <w:rPr>
          <w:sz w:val="20"/>
          <w:szCs w:val="20"/>
          <w:color w:val="auto"/>
        </w:rPr>
      </w:pPr>
      <w:r>
        <w:rPr>
          <w:rFonts w:ascii="Courier New" w:cs="Courier New" w:eastAsia="Courier New" w:hAnsi="Courier New"/>
          <w:sz w:val="18"/>
          <w:szCs w:val="18"/>
          <w:color w:val="auto"/>
        </w:rPr>
        <w:t>AMDOCS REPORTS 26% GROWTH IN QUARTERLY DILUTED NON-GAAP EARNINGS PER SHARE TO $0.53; DILUTED GAAP EARNINGS PER SHARE OF $0.42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revenue increased 18% to $691 million</w:t>
      </w:r>
    </w:p>
    <w:p>
      <w:pPr>
        <w:spacing w:after="0" w:line="206" w:lineRule="exact"/>
        <w:rPr>
          <w:rFonts w:ascii="Courier New" w:cs="Courier New" w:eastAsia="Courier New" w:hAnsi="Courier New"/>
          <w:sz w:val="18"/>
          <w:szCs w:val="18"/>
          <w:color w:val="auto"/>
        </w:rPr>
      </w:pPr>
    </w:p>
    <w:p>
      <w:pPr>
        <w:ind w:left="640" w:right="2099"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 increase in first quarter diluted non-GAAP EPS, excluding acquisition-related costs and equity-based compensation expense, net of related tax effects, to $0.53</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$0.42</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$49 million</w:t>
      </w:r>
    </w:p>
    <w:p>
      <w:pPr>
        <w:spacing w:after="0" w:line="206"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Announced pending acquisition of SigValue Technologies, Inc., expanding Amdocs offering for fast-growing emerging markets</w:t>
      </w:r>
    </w:p>
    <w:p>
      <w:pPr>
        <w:spacing w:after="0" w:line="208" w:lineRule="exact"/>
        <w:rPr>
          <w:rFonts w:ascii="Courier New" w:cs="Courier New" w:eastAsia="Courier New" w:hAnsi="Courier New"/>
          <w:sz w:val="18"/>
          <w:szCs w:val="18"/>
          <w:color w:val="auto"/>
        </w:rPr>
      </w:pPr>
    </w:p>
    <w:p>
      <w:pPr>
        <w:ind w:left="640" w:right="1779" w:hanging="632"/>
        <w:spacing w:after="0" w:line="273" w:lineRule="auto"/>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quarter fiscal 2007 guidance: Expected revenue of approximately $705 million and diluted non-GAAP EPS of $0.49 - $0.51, excluding acquisition-related costs, restructuring charges and approximately $0.05-$0.06 per share of equity-based compensation expense, net of related tax effects. Diluted GAAP EPS is expected to be approximately $0.35-$0.39</w:t>
      </w:r>
    </w:p>
    <w:p>
      <w:pPr>
        <w:spacing w:after="0" w:line="178"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Updated fiscal 2007 guidance: Expected revenue of approximately</w:t>
      </w:r>
    </w:p>
    <w:p>
      <w:pPr>
        <w:spacing w:after="0" w:line="4" w:lineRule="exact"/>
        <w:rPr>
          <w:rFonts w:ascii="Courier New" w:cs="Courier New" w:eastAsia="Courier New" w:hAnsi="Courier New"/>
          <w:sz w:val="18"/>
          <w:szCs w:val="18"/>
          <w:color w:val="auto"/>
        </w:rPr>
      </w:pPr>
    </w:p>
    <w:p>
      <w:pPr>
        <w:ind w:left="640"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$2.83-$2.91 billion and diluted non-GAAP EPS of $2.02-$2.12, which exclude acquisition-related costs, restructuring charges and approximately $0.21-$0.24 per share of equity-based compensation expense, net of related tax effects. Diluted GAAP EPS is expected to be approximately $1.54-$1.68</w:t>
      </w:r>
    </w:p>
    <w:p>
      <w:pPr>
        <w:spacing w:after="0" w:line="18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 LOUIS, MO -- JANUARY 17, 2007 -- Amdocs Limited (NYSE: DOX) today reported that for the quarter ended December 31, 2006, revenue was $691.0 million, an increase of 17.7% from last year's first quarter. Net income on a non-GAAP basis was $118.1 million, or $0.53 per diluted share (excluding acquisition-related costs, which include amortization of purchased intangible assets, and excluding equity-based compensation expense, net of related tax effects, of $24.8 million), compared to non-GAAP net income of $90.0 million, or $0.42 per diluted share, in the first quarter of fiscal 2006 (excluding acquisition-related costs, which include amortization of purchased intangible assets, and equity-based</w:t>
      </w:r>
    </w:p>
    <w:p>
      <w:pPr>
        <w:sectPr>
          <w:pgSz w:w="11900" w:h="16838" w:orient="portrait"/>
          <w:cols w:equalWidth="0" w:num="1">
            <w:col w:w="10219"/>
          </w:cols>
          <w:pgMar w:left="240" w:top="339"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compensation expense, net of related tax effects, of $14.7 million). The Company's GAAP net income was $93.3 million, or $0.42 per diluted share, compared to GAAP net income of $75.3 million, or $0.36 per diluted share, in the first quarter of fiscal 2006. Free cash flow for the quarter was $49.1 million, comprised of cash flow from operations of $99.1 million less $50.0 million in net capital expenditures.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first quarter of fiscal 2007, the Company successfully resolved a tax audit of a prior fiscal year that resulted in the release of certain tax reserves and a decrease in income tax expense for the quarter. The release of tax reserves attributable to the conclusion of the tax audit, as well as changes in the Company's tax reserves made during the quarter in the ordinary course of business, accounted for $8.7 million of the Company's non-GAAP net income for the quarter of $118.1 million. Excluding the effect of this release, the Company would have reported non-GAAP EPS of $0.50 and GAAP EPS of $0.38. The Company expects its non-GAAP effective tax rate for fiscal 2007 (excluding the tax effect of acquisition-related costs, restructuring charges and equity-based compensation expense) to be between 14% and 17%. The GAAP effective tax rate is expected to be between 10% and 14%.</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are pleased to report another quarter with record revenue and strong earnings," said Dov Baharav, chief executive officer of Amdocs Management Limited. "Overall, our existing business remains strong. Transformation projects driven by the need to address consolidation and convergence continue to drive demand for our products and services. The adoption of large transformation projects is somewhat slower than we had been predicting and this has caused us to slightly reduce our revenue estimate for fiscal 2007. We continue to see these consolidation and convergence projects as a long-term industry trend which should provide Amdocs with growth opportunities for years to come. We recognize that we operate in a challenging and changing environment. We remain focused on executing on our strategy and remain optimistic regarding our outlook for fiscal 2007 and beyond."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new business included 13 wins across geographies and lines of business, including some smaller deals related to the recent Cramer and Qpass acquisitions. A customer in Asia has signed a five-year contract which will include an upgrade to Amdocs 7 functionality to support its more than 10 million subscribers. Amdocs will be the systems integrator for this deployment. In Europe, another existing</w:t>
      </w:r>
    </w:p>
    <w:p>
      <w:pPr>
        <w:sectPr>
          <w:pgSz w:w="11900" w:h="16838" w:orient="portrait"/>
          <w:cols w:equalWidth="0" w:num="1">
            <w:col w:w="10219"/>
          </w:cols>
          <w:pgMar w:left="240" w:top="925" w:right="1440" w:bottom="1440" w:gutter="0" w:footer="0" w:header="0"/>
        </w:sectPr>
      </w:pPr>
    </w:p>
    <w:bookmarkStart w:id="6" w:name="page7"/>
    <w:bookmarkEnd w:id="6"/>
    <w:p>
      <w:pPr>
        <w:ind w:right="1879"/>
        <w:spacing w:after="0" w:line="275" w:lineRule="auto"/>
        <w:rPr>
          <w:sz w:val="20"/>
          <w:szCs w:val="20"/>
          <w:color w:val="auto"/>
        </w:rPr>
      </w:pPr>
      <w:r>
        <w:rPr>
          <w:rFonts w:ascii="Courier New" w:cs="Courier New" w:eastAsia="Courier New" w:hAnsi="Courier New"/>
          <w:sz w:val="16"/>
          <w:szCs w:val="16"/>
          <w:color w:val="auto"/>
        </w:rPr>
        <w:t>customer has chosen to upgrade to Amdocs 7. The OSS division of Amdocs, which includes Cramer, continued its success with several new deals with customers in North America, Europe and elsewhere. An existing Amdocs customer has signed a five year agreement to support its billing, ordering and CRM systems.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expects that revenue for the second quarter of fiscal 2007 will be approximately $705 million. Diluted earnings per share on a non-GAAP basis for the second quarter are expected to be $0.49-$0.51, excluding acquisition-related costs, restructuring charges and the impact of approximately $0.05-$0.06 per share of equity-based compensation expense, net of related tax effects. Diluted GAAP EPS is expected to be approximately $0.35-$0.39.</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some restructuring and cost containment actions, Amdocs expects to incur a pre-tax charge of approximately $6 to $9 million in the quarter ended March 31, 2007, primarily for severance and other employee-related items.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Updated fiscal 2007 guidance: Expected revenue of approximately $2.83-$2.91 billion and diluted non-GAAP EPS of $2.02-$2.12, which excludes acquisition-related costs, restructuring charges and approximately $0.21-$0.24 per share of equity-based compensation expense, net of related tax effects. Diluted GAAP EPS is expected to be approximately $1.54-$1.68.</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will host a conference call on January 17, 2007 at 5 p.m. Eastern Time to discuss the Company's first quarter results. The call will be carried live on the Internet via www.InvestorCalendar.com and the Amdocs website, www.amdocs.com.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NON-GAAP FINANCIAL MEASURES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w:t>
      </w:r>
    </w:p>
    <w:p>
      <w:pPr>
        <w:sectPr>
          <w:pgSz w:w="11900" w:h="16838" w:orient="portrait"/>
          <w:cols w:equalWidth="0" w:num="1">
            <w:col w:w="10219"/>
          </w:cols>
          <w:pgMar w:left="240" w:top="925" w:right="1440" w:bottom="144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non-GAAP income taxes and effective tax rate and non-GAAP net income. These non-GAAP measures exclude the following items:</w:t>
      </w:r>
    </w:p>
    <w:p>
      <w:pPr>
        <w:spacing w:after="0" w:line="203"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purchased intangible assets;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 and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effects related to the above.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effective tax rate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its internal budgeting process and in monitoring the results of the business, Amdocs' management uses financial statements that do not include amortization of purchased intangible assets,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w:t>
      </w:r>
    </w:p>
    <w:p>
      <w:pPr>
        <w:sectPr>
          <w:pgSz w:w="11900" w:h="16838" w:orient="portrait"/>
          <w:cols w:equalWidth="0" w:num="1">
            <w:col w:w="10219"/>
          </w:cols>
          <w:pgMar w:left="240" w:top="723" w:right="1440" w:bottom="1440" w:gutter="0" w:footer="0" w:header="0"/>
        </w:sectPr>
      </w:pPr>
    </w:p>
    <w:bookmarkStart w:id="8" w:name="page9"/>
    <w:bookmarkEnd w:id="8"/>
    <w:p>
      <w:pPr>
        <w:jc w:val="both"/>
        <w:ind w:right="2319"/>
        <w:spacing w:after="0" w:line="236" w:lineRule="auto"/>
        <w:rPr>
          <w:sz w:val="20"/>
          <w:szCs w:val="20"/>
          <w:color w:val="auto"/>
        </w:rPr>
      </w:pPr>
      <w:r>
        <w:rPr>
          <w:rFonts w:ascii="Courier New" w:cs="Courier New" w:eastAsia="Courier New" w:hAnsi="Courier New"/>
          <w:sz w:val="18"/>
          <w:szCs w:val="18"/>
          <w:color w:val="auto"/>
        </w:rPr>
        <w:t>amounts of the expenses between companies can vary greatly depending on the assumptions used by an individual company in determining the amounts of the expenses.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Please refer to the Reconciliation of Selected Financial Metrics from GAAP to Non-GAAP tables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$2.48 billion in fiscal 2006, Amdocs has over 16,000 employees and serves customers in more than 50 countries around the world. For more information, visit Amdocs at www.amdocs.com.</w:t>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filed on December 13, 2006.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925"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AMDOCS LIMITED</w:t>
      </w:r>
    </w:p>
    <w:p>
      <w:pPr>
        <w:ind w:left="254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right"/>
        <w:ind w:right="399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2006 2005 ---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280" w:right="8899" w:hanging="115"/>
        <w:spacing w:after="0" w:line="268" w:lineRule="auto"/>
        <w:tabs>
          <w:tab w:leader="none" w:pos="4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License $ 31,744 $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31,661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w:t>
      </w:r>
    </w:p>
    <w:p>
      <w:pPr>
        <w:jc w:val="center"/>
        <w:ind w:right="8739"/>
        <w:spacing w:after="0"/>
        <w:rPr>
          <w:sz w:val="20"/>
          <w:szCs w:val="20"/>
          <w:color w:val="auto"/>
        </w:rPr>
      </w:pPr>
      <w:r>
        <w:rPr>
          <w:rFonts w:ascii="Courier New" w:cs="Courier New" w:eastAsia="Courier New" w:hAnsi="Courier New"/>
          <w:sz w:val="18"/>
          <w:szCs w:val="18"/>
          <w:color w:val="auto"/>
        </w:rPr>
        <w:t>659,288</w:t>
      </w:r>
    </w:p>
    <w:p>
      <w:pPr>
        <w:ind w:left="60"/>
        <w:spacing w:after="0" w:line="237" w:lineRule="auto"/>
        <w:rPr>
          <w:sz w:val="20"/>
          <w:szCs w:val="20"/>
          <w:color w:val="auto"/>
        </w:rPr>
      </w:pPr>
      <w:r>
        <w:rPr>
          <w:rFonts w:ascii="Courier New" w:cs="Courier New" w:eastAsia="Courier New" w:hAnsi="Courier New"/>
          <w:sz w:val="18"/>
          <w:szCs w:val="18"/>
          <w:color w:val="auto"/>
        </w:rPr>
        <w:t>555,367 -----</w:t>
      </w:r>
    </w:p>
    <w:p>
      <w:pPr>
        <w:ind w:left="540" w:hanging="428"/>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691,032</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587,028</w:t>
      </w:r>
    </w:p>
    <w:p>
      <w:pPr>
        <w:ind w:left="280"/>
        <w:spacing w:after="0"/>
        <w:rPr>
          <w:sz w:val="20"/>
          <w:szCs w:val="20"/>
          <w:color w:val="auto"/>
        </w:rPr>
      </w:pPr>
      <w:r>
        <w:rPr>
          <w:rFonts w:ascii="Courier New" w:cs="Courier New" w:eastAsia="Courier New" w:hAnsi="Courier New"/>
          <w:sz w:val="18"/>
          <w:szCs w:val="18"/>
          <w:color w:val="auto"/>
        </w:rPr>
        <w:t>Operating</w:t>
      </w:r>
    </w:p>
    <w:p>
      <w:pPr>
        <w:ind w:left="28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Cost of</w:t>
      </w:r>
    </w:p>
    <w:p>
      <w:pPr>
        <w:jc w:val="center"/>
        <w:ind w:right="8739"/>
        <w:spacing w:after="0"/>
        <w:rPr>
          <w:sz w:val="20"/>
          <w:szCs w:val="20"/>
          <w:color w:val="auto"/>
        </w:rPr>
      </w:pPr>
      <w:r>
        <w:rPr>
          <w:rFonts w:ascii="Courier New" w:cs="Courier New" w:eastAsia="Courier New" w:hAnsi="Courier New"/>
          <w:sz w:val="18"/>
          <w:szCs w:val="18"/>
          <w:color w:val="auto"/>
        </w:rPr>
        <w:t>license 1,069</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1,062 Cost of</w:t>
      </w:r>
    </w:p>
    <w:p>
      <w:pPr>
        <w:jc w:val="center"/>
        <w:ind w:right="8739"/>
        <w:spacing w:after="0"/>
        <w:rPr>
          <w:sz w:val="20"/>
          <w:szCs w:val="20"/>
          <w:color w:val="auto"/>
        </w:rPr>
      </w:pPr>
      <w:r>
        <w:rPr>
          <w:rFonts w:ascii="Courier New" w:cs="Courier New" w:eastAsia="Courier New" w:hAnsi="Courier New"/>
          <w:sz w:val="18"/>
          <w:szCs w:val="18"/>
          <w:color w:val="auto"/>
        </w:rPr>
        <w:t>service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435,121</w:t>
      </w:r>
    </w:p>
    <w:p>
      <w:pPr>
        <w:jc w:val="center"/>
        <w:ind w:right="8739"/>
        <w:spacing w:after="0"/>
        <w:rPr>
          <w:sz w:val="20"/>
          <w:szCs w:val="20"/>
          <w:color w:val="auto"/>
        </w:rPr>
      </w:pPr>
      <w:r>
        <w:rPr>
          <w:rFonts w:ascii="Courier New" w:cs="Courier New" w:eastAsia="Courier New" w:hAnsi="Courier New"/>
          <w:sz w:val="18"/>
          <w:szCs w:val="18"/>
          <w:color w:val="auto"/>
        </w:rPr>
        <w:t>374,051</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Research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739"/>
        <w:spacing w:after="0"/>
        <w:rPr>
          <w:sz w:val="20"/>
          <w:szCs w:val="20"/>
          <w:color w:val="auto"/>
        </w:rPr>
      </w:pPr>
      <w:r>
        <w:rPr>
          <w:rFonts w:ascii="Courier New" w:cs="Courier New" w:eastAsia="Courier New" w:hAnsi="Courier New"/>
          <w:sz w:val="18"/>
          <w:szCs w:val="18"/>
          <w:color w:val="auto"/>
        </w:rPr>
        <w:t>60,468 43,114</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jc w:val="center"/>
        <w:ind w:right="8739"/>
        <w:spacing w:after="0"/>
        <w:rPr>
          <w:sz w:val="20"/>
          <w:szCs w:val="20"/>
          <w:color w:val="auto"/>
        </w:rPr>
      </w:pPr>
      <w:r>
        <w:rPr>
          <w:rFonts w:ascii="Courier New" w:cs="Courier New" w:eastAsia="Courier New" w:hAnsi="Courier New"/>
          <w:sz w:val="18"/>
          <w:szCs w:val="18"/>
          <w:color w:val="auto"/>
        </w:rPr>
        <w:t>general and</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89,170 78,550</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of purchased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assets 17,698</w:t>
      </w:r>
    </w:p>
    <w:p>
      <w:pPr>
        <w:jc w:val="center"/>
        <w:ind w:right="8739"/>
        <w:spacing w:after="0"/>
        <w:rPr>
          <w:sz w:val="20"/>
          <w:szCs w:val="20"/>
          <w:color w:val="auto"/>
        </w:rPr>
      </w:pPr>
      <w:r>
        <w:rPr>
          <w:rFonts w:ascii="Courier New" w:cs="Courier New" w:eastAsia="Courier New" w:hAnsi="Courier New"/>
          <w:sz w:val="18"/>
          <w:szCs w:val="18"/>
          <w:color w:val="auto"/>
        </w:rPr>
        <w:t>7,572 -------</w:t>
      </w:r>
    </w:p>
    <w:p>
      <w:pPr>
        <w:ind w:left="220"/>
        <w:spacing w:after="0" w:line="237" w:lineRule="auto"/>
        <w:rPr>
          <w:sz w:val="20"/>
          <w:szCs w:val="20"/>
          <w:color w:val="auto"/>
        </w:rPr>
      </w:pPr>
      <w:r>
        <w:rPr>
          <w:rFonts w:ascii="Courier New" w:cs="Courier New" w:eastAsia="Courier New" w:hAnsi="Courier New"/>
          <w:sz w:val="18"/>
          <w:szCs w:val="18"/>
          <w:color w:val="auto"/>
        </w:rPr>
        <w:t>- --------</w:t>
      </w:r>
    </w:p>
    <w:p>
      <w:pPr>
        <w:jc w:val="center"/>
        <w:ind w:right="8739"/>
        <w:spacing w:after="0"/>
        <w:rPr>
          <w:sz w:val="20"/>
          <w:szCs w:val="20"/>
          <w:color w:val="auto"/>
        </w:rPr>
      </w:pPr>
      <w:r>
        <w:rPr>
          <w:rFonts w:ascii="Courier New" w:cs="Courier New" w:eastAsia="Courier New" w:hAnsi="Courier New"/>
          <w:sz w:val="18"/>
          <w:szCs w:val="18"/>
          <w:color w:val="auto"/>
        </w:rPr>
        <w:t>603,526</w:t>
      </w:r>
    </w:p>
    <w:p>
      <w:pPr>
        <w:ind w:left="60"/>
        <w:spacing w:after="0" w:line="237" w:lineRule="auto"/>
        <w:rPr>
          <w:sz w:val="20"/>
          <w:szCs w:val="20"/>
          <w:color w:val="auto"/>
        </w:rPr>
      </w:pPr>
      <w:r>
        <w:rPr>
          <w:rFonts w:ascii="Courier New" w:cs="Courier New" w:eastAsia="Courier New" w:hAnsi="Courier New"/>
          <w:sz w:val="18"/>
          <w:szCs w:val="18"/>
          <w:color w:val="auto"/>
        </w:rPr>
        <w:t>504,349 -----</w:t>
      </w:r>
    </w:p>
    <w:p>
      <w:pPr>
        <w:ind w:left="540" w:hanging="428"/>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jc w:val="center"/>
        <w:ind w:right="8739"/>
        <w:spacing w:after="0"/>
        <w:rPr>
          <w:sz w:val="20"/>
          <w:szCs w:val="20"/>
          <w:color w:val="auto"/>
        </w:rPr>
      </w:pPr>
      <w:r>
        <w:rPr>
          <w:rFonts w:ascii="Courier New" w:cs="Courier New" w:eastAsia="Courier New" w:hAnsi="Courier New"/>
          <w:sz w:val="18"/>
          <w:szCs w:val="18"/>
          <w:color w:val="auto"/>
        </w:rPr>
        <w:t>income 87,506</w:t>
      </w:r>
    </w:p>
    <w:p>
      <w:pPr>
        <w:jc w:val="center"/>
        <w:ind w:right="8739"/>
        <w:spacing w:after="0" w:line="237" w:lineRule="auto"/>
        <w:rPr>
          <w:sz w:val="20"/>
          <w:szCs w:val="20"/>
          <w:color w:val="auto"/>
        </w:rPr>
      </w:pPr>
      <w:r>
        <w:rPr>
          <w:rFonts w:ascii="Courier New" w:cs="Courier New" w:eastAsia="Courier New" w:hAnsi="Courier New"/>
          <w:sz w:val="18"/>
          <w:szCs w:val="18"/>
          <w:color w:val="auto"/>
        </w:rPr>
        <w:t>82,679</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739"/>
        <w:spacing w:after="0"/>
        <w:rPr>
          <w:sz w:val="20"/>
          <w:szCs w:val="20"/>
          <w:color w:val="auto"/>
        </w:rPr>
      </w:pPr>
      <w:r>
        <w:rPr>
          <w:rFonts w:ascii="Courier New" w:cs="Courier New" w:eastAsia="Courier New" w:hAnsi="Courier New"/>
          <w:sz w:val="18"/>
          <w:szCs w:val="18"/>
          <w:color w:val="auto"/>
        </w:rPr>
        <w:t>income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other, net</w:t>
      </w:r>
    </w:p>
    <w:p>
      <w:pPr>
        <w:jc w:val="center"/>
        <w:ind w:right="8739"/>
        <w:spacing w:after="0"/>
        <w:rPr>
          <w:sz w:val="20"/>
          <w:szCs w:val="20"/>
          <w:color w:val="auto"/>
        </w:rPr>
      </w:pPr>
      <w:r>
        <w:rPr>
          <w:rFonts w:ascii="Courier New" w:cs="Courier New" w:eastAsia="Courier New" w:hAnsi="Courier New"/>
          <w:sz w:val="18"/>
          <w:szCs w:val="18"/>
          <w:color w:val="auto"/>
        </w:rPr>
        <w:t>11,739 8,414</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00" w:hanging="535"/>
        <w:spacing w:after="0"/>
        <w:tabs>
          <w:tab w:leader="none" w:pos="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spacing w:after="0" w:line="3"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99,245 91,093 Income taxes 5,903 15,759 ------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93,342 $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75,334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spacing w:after="0" w:line="4" w:lineRule="exact"/>
        <w:rPr>
          <w:rFonts w:ascii="Courier New" w:cs="Courier New" w:eastAsia="Courier New" w:hAnsi="Courier New"/>
          <w:sz w:val="18"/>
          <w:szCs w:val="18"/>
          <w:color w:val="auto"/>
        </w:rPr>
      </w:pPr>
    </w:p>
    <w:p>
      <w:pPr>
        <w:jc w:val="center"/>
        <w:ind w:left="120" w:right="8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$ 0.45 $ 0.38</w:t>
      </w:r>
    </w:p>
    <w:p>
      <w:pPr>
        <w:spacing w:after="0" w:line="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8"/>
          <w:szCs w:val="18"/>
          <w:color w:val="auto"/>
        </w:rPr>
      </w:pPr>
    </w:p>
    <w:p>
      <w:pPr>
        <w:jc w:val="both"/>
        <w:ind w:left="160" w:right="8839" w:hanging="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earnings per share (1) $</w:t>
      </w:r>
    </w:p>
    <w:p>
      <w:pPr>
        <w:sectPr>
          <w:pgSz w:w="11900" w:h="16838" w:orient="portrait"/>
          <w:cols w:equalWidth="0" w:num="1">
            <w:col w:w="10219"/>
          </w:cols>
          <w:pgMar w:left="240" w:top="1325" w:right="1440" w:bottom="0" w:gutter="0" w:footer="0" w:header="0"/>
        </w:sectPr>
      </w:pPr>
    </w:p>
    <w:bookmarkStart w:id="11" w:name="page12"/>
    <w:bookmarkEnd w:id="11"/>
    <w:p>
      <w:pPr>
        <w:jc w:val="center"/>
        <w:ind w:right="8739"/>
        <w:spacing w:after="0"/>
        <w:rPr>
          <w:sz w:val="20"/>
          <w:szCs w:val="20"/>
          <w:color w:val="auto"/>
        </w:rPr>
      </w:pPr>
      <w:r>
        <w:rPr>
          <w:rFonts w:ascii="Courier New" w:cs="Courier New" w:eastAsia="Courier New" w:hAnsi="Courier New"/>
          <w:sz w:val="18"/>
          <w:szCs w:val="18"/>
          <w:color w:val="auto"/>
        </w:rPr>
        <w:t>0.42 $ 0.36</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Basic</w:t>
      </w:r>
    </w:p>
    <w:p>
      <w:pPr>
        <w:jc w:val="center"/>
        <w:ind w:right="873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206,450</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200,525</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Diluted</w:t>
      </w:r>
    </w:p>
    <w:p>
      <w:pPr>
        <w:jc w:val="center"/>
        <w:ind w:right="8739"/>
        <w:spacing w:after="0"/>
        <w:rPr>
          <w:sz w:val="20"/>
          <w:szCs w:val="20"/>
          <w:color w:val="auto"/>
        </w:rPr>
      </w:pPr>
      <w:r>
        <w:rPr>
          <w:rFonts w:ascii="Courier New" w:cs="Courier New" w:eastAsia="Courier New" w:hAnsi="Courier New"/>
          <w:sz w:val="18"/>
          <w:szCs w:val="18"/>
          <w:color w:val="auto"/>
        </w:rPr>
        <w:t>weighted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739"/>
        <w:spacing w:after="0"/>
        <w:rPr>
          <w:sz w:val="20"/>
          <w:szCs w:val="20"/>
          <w:color w:val="auto"/>
        </w:rPr>
      </w:pPr>
      <w:r>
        <w:rPr>
          <w:rFonts w:ascii="Courier New" w:cs="Courier New" w:eastAsia="Courier New" w:hAnsi="Courier New"/>
          <w:sz w:val="18"/>
          <w:szCs w:val="18"/>
          <w:color w:val="auto"/>
        </w:rPr>
        <w:t>number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222,718</w:t>
      </w:r>
    </w:p>
    <w:p>
      <w:pPr>
        <w:jc w:val="center"/>
        <w:ind w:right="8739"/>
        <w:spacing w:after="0" w:line="237" w:lineRule="auto"/>
        <w:rPr>
          <w:sz w:val="20"/>
          <w:szCs w:val="20"/>
          <w:color w:val="auto"/>
        </w:rPr>
      </w:pPr>
      <w:r>
        <w:rPr>
          <w:rFonts w:ascii="Courier New" w:cs="Courier New" w:eastAsia="Courier New" w:hAnsi="Courier New"/>
          <w:sz w:val="18"/>
          <w:szCs w:val="18"/>
          <w:color w:val="auto"/>
        </w:rPr>
        <w:t>214,871</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640" w:right="177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impact of assumed conversion of the convertible notes, $985 and $1,000, representing interest expense and amortization of issuance costs, were added back to net income for the three months ended December 31, 2006 and 2005, respectively, for the purpose of computing diluted earnings per share.</w:t>
      </w:r>
    </w:p>
    <w:p>
      <w:pPr>
        <w:sectPr>
          <w:pgSz w:w="11900" w:h="16838" w:orient="portrait"/>
          <w:cols w:equalWidth="0" w:num="1">
            <w:col w:w="10219"/>
          </w:cols>
          <w:pgMar w:left="240" w:top="136"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AMDOCS LIMITED</w:t>
      </w:r>
    </w:p>
    <w:p>
      <w:pPr>
        <w:ind w:left="2860"/>
        <w:spacing w:after="0" w:line="238" w:lineRule="auto"/>
        <w:rPr>
          <w:sz w:val="20"/>
          <w:szCs w:val="20"/>
          <w:color w:val="auto"/>
        </w:rPr>
      </w:pPr>
      <w:r>
        <w:rPr>
          <w:rFonts w:ascii="Courier New" w:cs="Courier New" w:eastAsia="Courier New" w:hAnsi="Courier New"/>
          <w:sz w:val="18"/>
          <w:szCs w:val="18"/>
          <w:color w:val="auto"/>
        </w:rPr>
        <w:t>SELECTED FINANCIAL METRICS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THREE</w:t>
      </w:r>
    </w:p>
    <w:p>
      <w:pPr>
        <w:jc w:val="center"/>
        <w:ind w:right="90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9059"/>
        <w:spacing w:after="0"/>
        <w:rPr>
          <w:sz w:val="20"/>
          <w:szCs w:val="20"/>
          <w:color w:val="auto"/>
        </w:rPr>
      </w:pPr>
      <w:r>
        <w:rPr>
          <w:rFonts w:ascii="Courier New" w:cs="Courier New" w:eastAsia="Courier New" w:hAnsi="Courier New"/>
          <w:sz w:val="18"/>
          <w:szCs w:val="18"/>
          <w:color w:val="auto"/>
        </w:rPr>
        <w:t>ENDED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DECEMBER</w:t>
      </w:r>
    </w:p>
    <w:p>
      <w:pPr>
        <w:ind w:left="60"/>
        <w:spacing w:after="0" w:line="238" w:lineRule="auto"/>
        <w:rPr>
          <w:sz w:val="20"/>
          <w:szCs w:val="20"/>
          <w:color w:val="auto"/>
        </w:rPr>
      </w:pPr>
      <w:r>
        <w:rPr>
          <w:rFonts w:ascii="Courier New" w:cs="Courier New" w:eastAsia="Courier New" w:hAnsi="Courier New"/>
          <w:sz w:val="18"/>
          <w:szCs w:val="18"/>
          <w:color w:val="auto"/>
        </w:rPr>
        <w:t>31,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hanging="214"/>
        <w:spacing w:after="0"/>
        <w:tabs>
          <w:tab w:leader="none" w:pos="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spacing w:after="0" w:line="4" w:lineRule="exact"/>
        <w:rPr>
          <w:rFonts w:ascii="Courier New" w:cs="Courier New" w:eastAsia="Courier New" w:hAnsi="Courier New"/>
          <w:sz w:val="18"/>
          <w:szCs w:val="18"/>
          <w:color w:val="auto"/>
        </w:rPr>
      </w:pPr>
    </w:p>
    <w:p>
      <w:pPr>
        <w:jc w:val="center"/>
        <w:ind w:left="60" w:right="911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$691,032 $587,028 Non-GAAP operating income 120,529 101,311 Non-GAAP net income 118,116 89,975 Non-GAAP diluted earnings per share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$ 0.53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$ 0.42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222,718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214,871</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impact of assumed conversion of the convertible notes, $985 and $1,000, representing interest expense and amortization of issuance costs, were added back to net income for the three months ended December 31, 2006 and 2005, respectively, for the purpose of computing diluted earnings per share.</w:t>
      </w:r>
    </w:p>
    <w:p>
      <w:pPr>
        <w:sectPr>
          <w:pgSz w:w="11900" w:h="16838" w:orient="portrait"/>
          <w:cols w:equalWidth="0" w:num="1">
            <w:col w:w="10219"/>
          </w:cols>
          <w:pgMar w:left="240" w:top="1122"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120"/>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2006 --------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RECONCILIATION</w:t>
      </w:r>
    </w:p>
    <w:p>
      <w:pPr>
        <w:ind w:left="60"/>
        <w:spacing w:after="0" w:line="238" w:lineRule="auto"/>
        <w:rPr>
          <w:sz w:val="20"/>
          <w:szCs w:val="20"/>
          <w:color w:val="auto"/>
        </w:rPr>
      </w:pPr>
      <w:r>
        <w:rPr>
          <w:rFonts w:ascii="Courier New" w:cs="Courier New" w:eastAsia="Courier New" w:hAnsi="Courier New"/>
          <w:sz w:val="18"/>
          <w:szCs w:val="18"/>
          <w:color w:val="auto"/>
        </w:rPr>
        <w:t>ITEMS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AMORTIZATION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EQUITY</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BASED NON-</w:t>
      </w:r>
    </w:p>
    <w:p>
      <w:pPr>
        <w:jc w:val="center"/>
        <w:ind w:right="8739"/>
        <w:spacing w:after="0"/>
        <w:rPr>
          <w:sz w:val="20"/>
          <w:szCs w:val="20"/>
          <w:color w:val="auto"/>
        </w:rPr>
      </w:pPr>
      <w:r>
        <w:rPr>
          <w:rFonts w:ascii="Courier New" w:cs="Courier New" w:eastAsia="Courier New" w:hAnsi="Courier New"/>
          <w:sz w:val="18"/>
          <w:szCs w:val="18"/>
          <w:color w:val="auto"/>
        </w:rPr>
        <w:t>GAAP GAAP</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PURCHASED</w:t>
      </w:r>
    </w:p>
    <w:p>
      <w:pPr>
        <w:jc w:val="center"/>
        <w:ind w:right="8739"/>
        <w:spacing w:after="0"/>
        <w:rPr>
          <w:sz w:val="20"/>
          <w:szCs w:val="20"/>
          <w:color w:val="auto"/>
        </w:rPr>
      </w:pPr>
      <w:r>
        <w:rPr>
          <w:rFonts w:ascii="Courier New" w:cs="Courier New" w:eastAsia="Courier New" w:hAnsi="Courier New"/>
          <w:sz w:val="18"/>
          <w:szCs w:val="18"/>
          <w:color w:val="auto"/>
        </w:rPr>
        <w:t>COMPENSATION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TAX EFFECT</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EXPENSE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Operating</w:t>
      </w:r>
    </w:p>
    <w:p>
      <w:pPr>
        <w:ind w:left="28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Cost of</w:t>
      </w:r>
    </w:p>
    <w:p>
      <w:pPr>
        <w:jc w:val="center"/>
        <w:ind w:right="8739"/>
        <w:spacing w:after="0"/>
        <w:rPr>
          <w:sz w:val="20"/>
          <w:szCs w:val="20"/>
          <w:color w:val="auto"/>
        </w:rPr>
      </w:pPr>
      <w:r>
        <w:rPr>
          <w:rFonts w:ascii="Courier New" w:cs="Courier New" w:eastAsia="Courier New" w:hAnsi="Courier New"/>
          <w:sz w:val="18"/>
          <w:szCs w:val="18"/>
          <w:color w:val="auto"/>
        </w:rPr>
        <w:t>license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1,069 $ -- $</w:t>
      </w:r>
    </w:p>
    <w:p>
      <w:pPr>
        <w:ind w:left="580" w:hanging="310"/>
        <w:spacing w:after="0"/>
        <w:tabs>
          <w:tab w:leader="none" w:pos="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1,069 Cost of</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435,121 --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(6,322)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428,799</w:t>
      </w:r>
    </w:p>
    <w:p>
      <w:pPr>
        <w:spacing w:after="0" w:line="4" w:lineRule="exact"/>
        <w:rPr>
          <w:rFonts w:ascii="Courier New" w:cs="Courier New" w:eastAsia="Courier New" w:hAnsi="Courier New"/>
          <w:sz w:val="18"/>
          <w:szCs w:val="18"/>
          <w:color w:val="auto"/>
        </w:rPr>
      </w:pPr>
    </w:p>
    <w:p>
      <w:pPr>
        <w:jc w:val="center"/>
        <w:ind w:right="8739" w:firstLine="104"/>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Research and development 60,468 -- (1,778) -- 58,690 Selling, general and administrative 89,170 -- (7,225) -- 81,945 Amortization of purchased intangible assets 17,698 (17,698) -- -</w:t>
      </w:r>
    </w:p>
    <w:p>
      <w:pPr>
        <w:spacing w:after="0" w:line="189" w:lineRule="exact"/>
        <w:rPr>
          <w:rFonts w:ascii="Courier New" w:cs="Courier New" w:eastAsia="Courier New" w:hAnsi="Courier New"/>
          <w:sz w:val="18"/>
          <w:szCs w:val="18"/>
          <w:color w:val="auto"/>
        </w:rPr>
      </w:pPr>
    </w:p>
    <w:p>
      <w:pPr>
        <w:ind w:left="280" w:hanging="221"/>
        <w:spacing w:after="0" w:line="238" w:lineRule="auto"/>
        <w:tabs>
          <w:tab w:leader="none" w:pos="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603,526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(17,698)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(15,325) --</w:t>
      </w:r>
    </w:p>
    <w:p>
      <w:pPr>
        <w:sectPr>
          <w:pgSz w:w="11900" w:h="16838" w:orient="portrait"/>
          <w:cols w:equalWidth="0" w:num="1">
            <w:col w:w="10219"/>
          </w:cols>
          <w:pgMar w:left="240" w:top="1122" w:right="1440" w:bottom="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8"/>
          <w:szCs w:val="18"/>
          <w:color w:val="auto"/>
        </w:rPr>
        <w:t>570,503 -----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Operating</w:t>
      </w:r>
    </w:p>
    <w:p>
      <w:pPr>
        <w:ind w:left="60"/>
        <w:spacing w:after="0" w:line="237" w:lineRule="auto"/>
        <w:rPr>
          <w:sz w:val="20"/>
          <w:szCs w:val="20"/>
          <w:color w:val="auto"/>
        </w:rPr>
      </w:pPr>
      <w:r>
        <w:rPr>
          <w:rFonts w:ascii="Courier New" w:cs="Courier New" w:eastAsia="Courier New" w:hAnsi="Courier New"/>
          <w:sz w:val="18"/>
          <w:szCs w:val="18"/>
          <w:color w:val="auto"/>
        </w:rPr>
        <w:t>income 87,506</w:t>
      </w:r>
    </w:p>
    <w:p>
      <w:pPr>
        <w:ind w:left="60"/>
        <w:spacing w:after="0"/>
        <w:rPr>
          <w:sz w:val="20"/>
          <w:szCs w:val="20"/>
          <w:color w:val="auto"/>
        </w:rPr>
      </w:pPr>
      <w:r>
        <w:rPr>
          <w:rFonts w:ascii="Courier New" w:cs="Courier New" w:eastAsia="Courier New" w:hAnsi="Courier New"/>
          <w:sz w:val="18"/>
          <w:szCs w:val="18"/>
          <w:color w:val="auto"/>
        </w:rPr>
        <w:t>17,698 15,325</w:t>
      </w:r>
    </w:p>
    <w:p>
      <w:pPr>
        <w:ind w:left="60"/>
        <w:spacing w:after="0" w:line="237" w:lineRule="auto"/>
        <w:rPr>
          <w:sz w:val="20"/>
          <w:szCs w:val="20"/>
          <w:color w:val="auto"/>
        </w:rPr>
      </w:pPr>
      <w:r>
        <w:rPr>
          <w:rFonts w:ascii="Courier New" w:cs="Courier New" w:eastAsia="Courier New" w:hAnsi="Courier New"/>
          <w:sz w:val="18"/>
          <w:szCs w:val="18"/>
          <w:color w:val="auto"/>
        </w:rPr>
        <w:t>-- 120,529 --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310"/>
        <w:spacing w:after="0" w:line="237" w:lineRule="auto"/>
        <w:tabs>
          <w:tab w:leader="none" w:pos="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taxes 5,903 -</w:t>
      </w:r>
    </w:p>
    <w:p>
      <w:pPr>
        <w:spacing w:after="0" w:line="4" w:lineRule="exact"/>
        <w:rPr>
          <w:rFonts w:ascii="Courier New" w:cs="Courier New" w:eastAsia="Courier New" w:hAnsi="Courier New"/>
          <w:sz w:val="18"/>
          <w:szCs w:val="18"/>
          <w:color w:val="auto"/>
        </w:rPr>
      </w:pPr>
    </w:p>
    <w:p>
      <w:pPr>
        <w:ind w:left="60" w:right="8799" w:firstLine="157"/>
        <w:spacing w:after="0" w:line="268" w:lineRule="auto"/>
        <w:tabs>
          <w:tab w:leader="none" w:pos="42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-- 8,249 14,152 ------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93,342 $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17,698 $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15,325</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$(8,249)</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$118,116 ----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120"/>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2005 --------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ITEMS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AMORTIZATION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EQUITY</w:t>
      </w:r>
    </w:p>
    <w:p>
      <w:pPr>
        <w:jc w:val="center"/>
        <w:ind w:right="8739"/>
        <w:spacing w:after="0"/>
        <w:rPr>
          <w:sz w:val="20"/>
          <w:szCs w:val="20"/>
          <w:color w:val="auto"/>
        </w:rPr>
      </w:pPr>
      <w:r>
        <w:rPr>
          <w:rFonts w:ascii="Courier New" w:cs="Courier New" w:eastAsia="Courier New" w:hAnsi="Courier New"/>
          <w:sz w:val="18"/>
          <w:szCs w:val="18"/>
          <w:color w:val="auto"/>
        </w:rPr>
        <w:t>BASED NON-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GAAP GAAP</w:t>
      </w:r>
    </w:p>
    <w:p>
      <w:pPr>
        <w:jc w:val="center"/>
        <w:ind w:right="8739"/>
        <w:spacing w:after="0"/>
        <w:rPr>
          <w:sz w:val="20"/>
          <w:szCs w:val="20"/>
          <w:color w:val="auto"/>
        </w:rPr>
      </w:pPr>
      <w:r>
        <w:rPr>
          <w:rFonts w:ascii="Courier New" w:cs="Courier New" w:eastAsia="Courier New" w:hAnsi="Courier New"/>
          <w:sz w:val="18"/>
          <w:szCs w:val="18"/>
          <w:color w:val="auto"/>
        </w:rPr>
        <w:t>PURCHASED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TAX EFFECT</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EXPENSE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Operating</w:t>
      </w:r>
    </w:p>
    <w:p>
      <w:pPr>
        <w:ind w:left="28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rPr>
          <w:sz w:val="20"/>
          <w:szCs w:val="20"/>
          <w:color w:val="auto"/>
        </w:rPr>
      </w:pPr>
      <w:r>
        <w:rPr>
          <w:rFonts w:ascii="Courier New" w:cs="Courier New" w:eastAsia="Courier New" w:hAnsi="Courier New"/>
          <w:sz w:val="18"/>
          <w:szCs w:val="18"/>
          <w:color w:val="auto"/>
        </w:rPr>
        <w:t>Cost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license $</w:t>
      </w:r>
    </w:p>
    <w:p>
      <w:pPr>
        <w:jc w:val="center"/>
        <w:ind w:right="8739"/>
        <w:spacing w:after="0"/>
        <w:rPr>
          <w:sz w:val="20"/>
          <w:szCs w:val="20"/>
          <w:color w:val="auto"/>
        </w:rPr>
      </w:pPr>
      <w:r>
        <w:rPr>
          <w:rFonts w:ascii="Courier New" w:cs="Courier New" w:eastAsia="Courier New" w:hAnsi="Courier New"/>
          <w:sz w:val="18"/>
          <w:szCs w:val="18"/>
          <w:color w:val="auto"/>
        </w:rPr>
        <w:t>1,062 $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 -- $</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739"/>
        <w:spacing w:after="0"/>
        <w:rPr>
          <w:sz w:val="20"/>
          <w:szCs w:val="20"/>
          <w:color w:val="auto"/>
        </w:rPr>
      </w:pPr>
      <w:r>
        <w:rPr>
          <w:rFonts w:ascii="Courier New" w:cs="Courier New" w:eastAsia="Courier New" w:hAnsi="Courier New"/>
          <w:sz w:val="18"/>
          <w:szCs w:val="18"/>
          <w:color w:val="auto"/>
        </w:rPr>
        <w:t>1,062 Cost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service</w:t>
      </w:r>
    </w:p>
    <w:p>
      <w:pPr>
        <w:jc w:val="center"/>
        <w:ind w:right="8739"/>
        <w:spacing w:after="0"/>
        <w:rPr>
          <w:sz w:val="20"/>
          <w:szCs w:val="20"/>
          <w:color w:val="auto"/>
        </w:rPr>
      </w:pPr>
      <w:r>
        <w:rPr>
          <w:rFonts w:ascii="Courier New" w:cs="Courier New" w:eastAsia="Courier New" w:hAnsi="Courier New"/>
          <w:sz w:val="18"/>
          <w:szCs w:val="18"/>
          <w:color w:val="auto"/>
        </w:rPr>
        <w:t>374,051 --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(4,355) --</w:t>
      </w:r>
    </w:p>
    <w:p>
      <w:pPr>
        <w:jc w:val="center"/>
        <w:ind w:right="8739"/>
        <w:spacing w:after="0" w:line="238" w:lineRule="auto"/>
        <w:rPr>
          <w:sz w:val="20"/>
          <w:szCs w:val="20"/>
          <w:color w:val="auto"/>
        </w:rPr>
      </w:pPr>
      <w:r>
        <w:rPr>
          <w:rFonts w:ascii="Courier New" w:cs="Courier New" w:eastAsia="Courier New" w:hAnsi="Courier New"/>
          <w:sz w:val="18"/>
          <w:szCs w:val="18"/>
          <w:color w:val="auto"/>
        </w:rPr>
        <w:t>369,696</w:t>
      </w:r>
    </w:p>
    <w:p>
      <w:pPr>
        <w:jc w:val="center"/>
        <w:ind w:right="8739"/>
        <w:spacing w:after="0"/>
        <w:rPr>
          <w:sz w:val="20"/>
          <w:szCs w:val="20"/>
          <w:color w:val="auto"/>
        </w:rPr>
      </w:pPr>
      <w:r>
        <w:rPr>
          <w:rFonts w:ascii="Courier New" w:cs="Courier New" w:eastAsia="Courier New" w:hAnsi="Courier New"/>
          <w:sz w:val="18"/>
          <w:szCs w:val="18"/>
          <w:color w:val="auto"/>
        </w:rPr>
        <w:t>Research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739"/>
        <w:spacing w:after="0"/>
        <w:rPr>
          <w:sz w:val="20"/>
          <w:szCs w:val="20"/>
          <w:color w:val="auto"/>
        </w:rPr>
      </w:pPr>
      <w:r>
        <w:rPr>
          <w:rFonts w:ascii="Courier New" w:cs="Courier New" w:eastAsia="Courier New" w:hAnsi="Courier New"/>
          <w:sz w:val="18"/>
          <w:szCs w:val="18"/>
          <w:color w:val="auto"/>
        </w:rPr>
        <w:t>43,114 --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(1,089) --</w:t>
      </w:r>
    </w:p>
    <w:p>
      <w:pPr>
        <w:jc w:val="center"/>
        <w:ind w:right="8739"/>
        <w:spacing w:after="0"/>
        <w:rPr>
          <w:sz w:val="20"/>
          <w:szCs w:val="20"/>
          <w:color w:val="auto"/>
        </w:rPr>
      </w:pPr>
      <w:r>
        <w:rPr>
          <w:rFonts w:ascii="Courier New" w:cs="Courier New" w:eastAsia="Courier New" w:hAnsi="Courier New"/>
          <w:sz w:val="18"/>
          <w:szCs w:val="18"/>
          <w:color w:val="auto"/>
        </w:rPr>
        <w:t>42,025</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78,550 --</w:t>
      </w:r>
    </w:p>
    <w:p>
      <w:pPr>
        <w:jc w:val="center"/>
        <w:ind w:right="8739"/>
        <w:spacing w:after="0" w:line="238" w:lineRule="auto"/>
        <w:rPr>
          <w:sz w:val="20"/>
          <w:szCs w:val="20"/>
          <w:color w:val="auto"/>
        </w:rPr>
      </w:pPr>
      <w:r>
        <w:rPr>
          <w:rFonts w:ascii="Courier New" w:cs="Courier New" w:eastAsia="Courier New" w:hAnsi="Courier New"/>
          <w:sz w:val="18"/>
          <w:szCs w:val="18"/>
          <w:color w:val="auto"/>
        </w:rPr>
        <w:t>(5,616) --</w:t>
      </w:r>
    </w:p>
    <w:p>
      <w:pPr>
        <w:jc w:val="center"/>
        <w:ind w:right="8739"/>
        <w:spacing w:after="0"/>
        <w:rPr>
          <w:sz w:val="20"/>
          <w:szCs w:val="20"/>
          <w:color w:val="auto"/>
        </w:rPr>
      </w:pPr>
      <w:r>
        <w:rPr>
          <w:rFonts w:ascii="Courier New" w:cs="Courier New" w:eastAsia="Courier New" w:hAnsi="Courier New"/>
          <w:sz w:val="18"/>
          <w:szCs w:val="18"/>
          <w:color w:val="auto"/>
        </w:rPr>
        <w:t>72,934</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purchased</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 7,572</w:t>
      </w:r>
    </w:p>
    <w:p>
      <w:pPr>
        <w:jc w:val="center"/>
        <w:ind w:right="8739"/>
        <w:spacing w:after="0"/>
        <w:rPr>
          <w:sz w:val="20"/>
          <w:szCs w:val="20"/>
          <w:color w:val="auto"/>
        </w:rPr>
      </w:pPr>
      <w:r>
        <w:rPr>
          <w:rFonts w:ascii="Courier New" w:cs="Courier New" w:eastAsia="Courier New" w:hAnsi="Courier New"/>
          <w:sz w:val="18"/>
          <w:szCs w:val="18"/>
          <w:color w:val="auto"/>
        </w:rPr>
        <w:t>(7,572) -- --</w:t>
      </w:r>
    </w:p>
    <w:p>
      <w:pPr>
        <w:ind w:left="380" w:hanging="321"/>
        <w:spacing w:after="0" w:line="237" w:lineRule="auto"/>
        <w:tabs>
          <w:tab w:leader="none" w:pos="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504,349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(7,572)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(11,060)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485,717 -----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both"/>
        <w:ind w:left="120" w:right="87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82,679 7,572 11,060</w:t>
      </w:r>
    </w:p>
    <w:p>
      <w:pPr>
        <w:ind w:left="380" w:hanging="321"/>
        <w:spacing w:after="0" w:line="238" w:lineRule="auto"/>
        <w:tabs>
          <w:tab w:leader="none" w:pos="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101,311 --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15,759</w:t>
      </w:r>
    </w:p>
    <w:p>
      <w:pPr>
        <w:ind w:left="60" w:right="8799" w:firstLine="105"/>
        <w:spacing w:after="0" w:line="268" w:lineRule="auto"/>
        <w:tabs>
          <w:tab w:leader="none" w:pos="4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-- 3,991 19,750 ------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75,334 $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7,572 $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11,060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$(3,991)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89,975 ------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spacing w:after="0" w:line="237" w:lineRule="auto"/>
        <w:rPr>
          <w:sz w:val="20"/>
          <w:szCs w:val="20"/>
          <w:color w:val="auto"/>
        </w:rPr>
      </w:pPr>
      <w:r>
        <w:rPr>
          <w:rFonts w:ascii="Courier New" w:cs="Courier New" w:eastAsia="Courier New" w:hAnsi="Courier New"/>
          <w:sz w:val="18"/>
          <w:szCs w:val="18"/>
          <w:color w:val="auto"/>
        </w:rPr>
        <w:t>DECEMBER</w:t>
      </w:r>
    </w:p>
    <w:p>
      <w:pPr>
        <w:ind w:left="220"/>
        <w:spacing w:after="0" w:line="238" w:lineRule="auto"/>
        <w:rPr>
          <w:sz w:val="20"/>
          <w:szCs w:val="20"/>
          <w:color w:val="auto"/>
        </w:rPr>
      </w:pPr>
      <w:r>
        <w:rPr>
          <w:rFonts w:ascii="Courier New" w:cs="Courier New" w:eastAsia="Courier New" w:hAnsi="Courier New"/>
          <w:sz w:val="18"/>
          <w:szCs w:val="18"/>
          <w:color w:val="auto"/>
        </w:rPr>
        <w:t>SEPTEMBER</w:t>
      </w:r>
    </w:p>
    <w:tbl>
      <w:tblPr>
        <w:tblLayout w:type="fixed"/>
        <w:tblInd w:w="60" w:type="dxa"/>
        <w:tblCellMar>
          <w:top w:w="0" w:type="dxa"/>
          <w:left w:w="0" w:type="dxa"/>
          <w:bottom w:w="0" w:type="dxa"/>
          <w:right w:w="0" w:type="dxa"/>
        </w:tblCellMar>
      </w:tblPr>
      <w:tr>
        <w:trPr>
          <w:trHeight w:val="203"/>
        </w:trPr>
        <w:tc>
          <w:tcPr>
            <w:tcW w:w="420" w:type="dxa"/>
            <w:vAlign w:val="bottom"/>
          </w:tcPr>
          <w:p>
            <w:pPr>
              <w:spacing w:after="0"/>
              <w:rPr>
                <w:sz w:val="20"/>
                <w:szCs w:val="20"/>
                <w:color w:val="auto"/>
              </w:rPr>
            </w:pPr>
            <w:r>
              <w:rPr>
                <w:rFonts w:ascii="Courier New" w:cs="Courier New" w:eastAsia="Courier New" w:hAnsi="Courier New"/>
                <w:sz w:val="18"/>
                <w:szCs w:val="18"/>
                <w:color w:val="auto"/>
              </w:rPr>
              <w:t>30,</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2006</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80" w:hanging="322"/>
        <w:spacing w:after="0" w:line="238" w:lineRule="auto"/>
        <w:tabs>
          <w:tab w:leader="none" w:pos="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529"/>
        <w:spacing w:after="0" w:line="238" w:lineRule="auto"/>
        <w:tabs>
          <w:tab w:leader="none" w:pos="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assets Cash,</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cash</w:t>
      </w:r>
    </w:p>
    <w:p>
      <w:pPr>
        <w:jc w:val="center"/>
        <w:ind w:right="8839"/>
        <w:spacing w:after="0" w:line="238" w:lineRule="auto"/>
        <w:rPr>
          <w:sz w:val="20"/>
          <w:szCs w:val="20"/>
          <w:color w:val="auto"/>
        </w:rPr>
      </w:pPr>
      <w:r>
        <w:rPr>
          <w:rFonts w:ascii="Courier New" w:cs="Courier New" w:eastAsia="Courier New" w:hAnsi="Courier New"/>
          <w:sz w:val="18"/>
          <w:szCs w:val="18"/>
          <w:color w:val="auto"/>
        </w:rPr>
        <w:t>equivalents</w:t>
      </w:r>
    </w:p>
    <w:p>
      <w:pPr>
        <w:jc w:val="center"/>
        <w:ind w:right="8839"/>
        <w:spacing w:after="0"/>
        <w:rPr>
          <w:sz w:val="20"/>
          <w:szCs w:val="20"/>
          <w:color w:val="auto"/>
        </w:rPr>
      </w:pPr>
      <w:r>
        <w:rPr>
          <w:rFonts w:ascii="Courier New" w:cs="Courier New" w:eastAsia="Courier New" w:hAnsi="Courier New"/>
          <w:sz w:val="18"/>
          <w:szCs w:val="18"/>
          <w:color w:val="auto"/>
        </w:rPr>
        <w:t>and short-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bearing</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$1,018,530 $</w:t>
      </w:r>
    </w:p>
    <w:p>
      <w:pPr>
        <w:jc w:val="center"/>
        <w:ind w:right="8839"/>
        <w:spacing w:after="0" w:line="238" w:lineRule="auto"/>
        <w:rPr>
          <w:sz w:val="20"/>
          <w:szCs w:val="20"/>
          <w:color w:val="auto"/>
        </w:rPr>
      </w:pPr>
      <w:r>
        <w:rPr>
          <w:rFonts w:ascii="Courier New" w:cs="Courier New" w:eastAsia="Courier New" w:hAnsi="Courier New"/>
          <w:sz w:val="18"/>
          <w:szCs w:val="18"/>
          <w:color w:val="auto"/>
        </w:rPr>
        <w:t>979,381</w:t>
      </w:r>
    </w:p>
    <w:p>
      <w:pPr>
        <w:jc w:val="center"/>
        <w:ind w:right="8839"/>
        <w:spacing w:after="0"/>
        <w:rPr>
          <w:sz w:val="20"/>
          <w:szCs w:val="20"/>
          <w:color w:val="auto"/>
        </w:rPr>
      </w:pPr>
      <w:r>
        <w:rPr>
          <w:rFonts w:ascii="Courier New" w:cs="Courier New" w:eastAsia="Courier New" w:hAnsi="Courier New"/>
          <w:sz w:val="18"/>
          <w:szCs w:val="18"/>
          <w:color w:val="auto"/>
        </w:rPr>
        <w:t>Accounts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including</w:t>
      </w:r>
    </w:p>
    <w:p>
      <w:pPr>
        <w:jc w:val="center"/>
        <w:ind w:right="8839"/>
        <w:spacing w:after="0"/>
        <w:rPr>
          <w:sz w:val="20"/>
          <w:szCs w:val="20"/>
          <w:color w:val="auto"/>
        </w:rPr>
      </w:pPr>
      <w:r>
        <w:rPr>
          <w:rFonts w:ascii="Courier New" w:cs="Courier New" w:eastAsia="Courier New" w:hAnsi="Courier New"/>
          <w:sz w:val="18"/>
          <w:szCs w:val="18"/>
          <w:color w:val="auto"/>
        </w:rPr>
        <w:t>unbilled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$60,866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$54,117</w:t>
      </w:r>
    </w:p>
    <w:p>
      <w:pPr>
        <w:jc w:val="center"/>
        <w:ind w:right="8839"/>
        <w:spacing w:after="0"/>
        <w:rPr>
          <w:sz w:val="20"/>
          <w:szCs w:val="20"/>
          <w:color w:val="auto"/>
        </w:rPr>
      </w:pPr>
      <w:r>
        <w:rPr>
          <w:rFonts w:ascii="Courier New" w:cs="Courier New" w:eastAsia="Courier New" w:hAnsi="Courier New"/>
          <w:sz w:val="18"/>
          <w:szCs w:val="18"/>
          <w:color w:val="auto"/>
        </w:rPr>
        <w:t>respectively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419,438</w:t>
      </w:r>
    </w:p>
    <w:p>
      <w:pPr>
        <w:jc w:val="center"/>
        <w:ind w:right="8839"/>
        <w:spacing w:after="0"/>
        <w:rPr>
          <w:sz w:val="20"/>
          <w:szCs w:val="20"/>
          <w:color w:val="auto"/>
        </w:rPr>
      </w:pPr>
      <w:r>
        <w:rPr>
          <w:rFonts w:ascii="Courier New" w:cs="Courier New" w:eastAsia="Courier New" w:hAnsi="Courier New"/>
          <w:sz w:val="18"/>
          <w:szCs w:val="18"/>
          <w:color w:val="auto"/>
        </w:rPr>
        <w:t>425,805</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rPr>
          <w:sz w:val="20"/>
          <w:szCs w:val="20"/>
          <w:color w:val="auto"/>
        </w:rPr>
      </w:pPr>
      <w:r>
        <w:rPr>
          <w:rFonts w:ascii="Courier New" w:cs="Courier New" w:eastAsia="Courier New" w:hAnsi="Courier New"/>
          <w:sz w:val="18"/>
          <w:szCs w:val="18"/>
          <w:color w:val="auto"/>
        </w:rPr>
        <w:t>income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taxes</w:t>
      </w:r>
    </w:p>
    <w:p>
      <w:pPr>
        <w:jc w:val="center"/>
        <w:ind w:right="8839"/>
        <w:spacing w:after="0"/>
        <w:rPr>
          <w:sz w:val="20"/>
          <w:szCs w:val="20"/>
          <w:color w:val="auto"/>
        </w:rPr>
      </w:pPr>
      <w:r>
        <w:rPr>
          <w:rFonts w:ascii="Courier New" w:cs="Courier New" w:eastAsia="Courier New" w:hAnsi="Courier New"/>
          <w:sz w:val="18"/>
          <w:szCs w:val="18"/>
          <w:color w:val="auto"/>
        </w:rPr>
        <w:t>receivable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135,534</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136,044</w:t>
      </w:r>
    </w:p>
    <w:p>
      <w:pPr>
        <w:jc w:val="center"/>
        <w:ind w:right="8839"/>
        <w:spacing w:after="0"/>
        <w:rPr>
          <w:sz w:val="20"/>
          <w:szCs w:val="20"/>
          <w:color w:val="auto"/>
        </w:rPr>
      </w:pPr>
      <w:r>
        <w:rPr>
          <w:rFonts w:ascii="Courier New" w:cs="Courier New" w:eastAsia="Courier New" w:hAnsi="Courier New"/>
          <w:sz w:val="18"/>
          <w:szCs w:val="18"/>
          <w:color w:val="auto"/>
        </w:rPr>
        <w:t>Prepaid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expenses and</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90,724</w:t>
      </w:r>
    </w:p>
    <w:p>
      <w:pPr>
        <w:jc w:val="center"/>
        <w:ind w:right="8839"/>
        <w:spacing w:after="0" w:line="238" w:lineRule="auto"/>
        <w:rPr>
          <w:sz w:val="20"/>
          <w:szCs w:val="20"/>
          <w:color w:val="auto"/>
        </w:rPr>
      </w:pPr>
      <w:r>
        <w:rPr>
          <w:rFonts w:ascii="Courier New" w:cs="Courier New" w:eastAsia="Courier New" w:hAnsi="Courier New"/>
          <w:sz w:val="18"/>
          <w:szCs w:val="18"/>
          <w:color w:val="auto"/>
        </w:rPr>
        <w:t>97,476 -----</w:t>
      </w:r>
    </w:p>
    <w:p>
      <w:pPr>
        <w:ind w:left="700" w:hanging="642"/>
        <w:spacing w:after="0"/>
        <w:tabs>
          <w:tab w:leader="none" w:pos="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1,664,226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1,638,706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vehicles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leasehold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net 227,644</w:t>
      </w:r>
    </w:p>
    <w:p>
      <w:pPr>
        <w:jc w:val="center"/>
        <w:ind w:right="8839"/>
        <w:spacing w:after="0" w:line="238" w:lineRule="auto"/>
        <w:rPr>
          <w:sz w:val="20"/>
          <w:szCs w:val="20"/>
          <w:color w:val="auto"/>
        </w:rPr>
      </w:pPr>
      <w:r>
        <w:rPr>
          <w:rFonts w:ascii="Courier New" w:cs="Courier New" w:eastAsia="Courier New" w:hAnsi="Courier New"/>
          <w:sz w:val="18"/>
          <w:szCs w:val="18"/>
          <w:color w:val="auto"/>
        </w:rPr>
        <w:t>220,290</w:t>
      </w:r>
    </w:p>
    <w:p>
      <w:pPr>
        <w:jc w:val="center"/>
        <w:ind w:right="8839"/>
        <w:spacing w:after="0"/>
        <w:rPr>
          <w:sz w:val="20"/>
          <w:szCs w:val="20"/>
          <w:color w:val="auto"/>
        </w:rPr>
      </w:pPr>
      <w:r>
        <w:rPr>
          <w:rFonts w:ascii="Courier New" w:cs="Courier New" w:eastAsia="Courier New" w:hAnsi="Courier New"/>
          <w:sz w:val="18"/>
          <w:szCs w:val="18"/>
          <w:color w:val="auto"/>
        </w:rPr>
        <w:t>Goodwill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839"/>
        <w:spacing w:after="0"/>
        <w:rPr>
          <w:sz w:val="20"/>
          <w:szCs w:val="20"/>
          <w:color w:val="auto"/>
        </w:rPr>
      </w:pPr>
      <w:r>
        <w:rPr>
          <w:rFonts w:ascii="Courier New" w:cs="Courier New" w:eastAsia="Courier New" w:hAnsi="Courier New"/>
          <w:sz w:val="18"/>
          <w:szCs w:val="18"/>
          <w:color w:val="auto"/>
        </w:rPr>
        <w:t>assets,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1,805,963</w:t>
      </w:r>
    </w:p>
    <w:p>
      <w:pPr>
        <w:jc w:val="center"/>
        <w:ind w:right="8839"/>
        <w:spacing w:after="0"/>
        <w:rPr>
          <w:sz w:val="20"/>
          <w:szCs w:val="20"/>
          <w:color w:val="auto"/>
        </w:rPr>
      </w:pPr>
      <w:r>
        <w:rPr>
          <w:rFonts w:ascii="Courier New" w:cs="Courier New" w:eastAsia="Courier New" w:hAnsi="Courier New"/>
          <w:sz w:val="18"/>
          <w:szCs w:val="18"/>
          <w:color w:val="auto"/>
        </w:rPr>
        <w:t>1,809,322</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noncurrent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312,860</w:t>
      </w:r>
    </w:p>
    <w:p>
      <w:pPr>
        <w:jc w:val="center"/>
        <w:ind w:right="8839"/>
        <w:spacing w:after="0"/>
        <w:rPr>
          <w:sz w:val="20"/>
          <w:szCs w:val="20"/>
          <w:color w:val="auto"/>
        </w:rPr>
      </w:pPr>
      <w:r>
        <w:rPr>
          <w:rFonts w:ascii="Courier New" w:cs="Courier New" w:eastAsia="Courier New" w:hAnsi="Courier New"/>
          <w:sz w:val="18"/>
          <w:szCs w:val="18"/>
          <w:color w:val="auto"/>
        </w:rPr>
        <w:t>294,510 ----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40" w:hanging="629"/>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160"/>
        <w:spacing w:after="0"/>
        <w:rPr>
          <w:sz w:val="20"/>
          <w:szCs w:val="20"/>
          <w:color w:val="auto"/>
        </w:rPr>
      </w:pPr>
      <w:r>
        <w:rPr>
          <w:rFonts w:ascii="Courier New" w:cs="Courier New" w:eastAsia="Courier New" w:hAnsi="Courier New"/>
          <w:sz w:val="18"/>
          <w:szCs w:val="18"/>
          <w:color w:val="auto"/>
        </w:rPr>
        <w:t>$4,010,693</w:t>
      </w:r>
    </w:p>
    <w:p>
      <w:pPr>
        <w:ind w:left="160"/>
        <w:spacing w:after="0" w:line="237" w:lineRule="auto"/>
        <w:rPr>
          <w:sz w:val="20"/>
          <w:szCs w:val="20"/>
          <w:color w:val="auto"/>
        </w:rPr>
      </w:pPr>
      <w:r>
        <w:rPr>
          <w:rFonts w:ascii="Courier New" w:cs="Courier New" w:eastAsia="Courier New" w:hAnsi="Courier New"/>
          <w:sz w:val="18"/>
          <w:szCs w:val="18"/>
          <w:color w:val="auto"/>
        </w:rPr>
        <w:t>$3,962,828</w:t>
      </w:r>
    </w:p>
    <w:p>
      <w:pPr>
        <w:sectPr>
          <w:pgSz w:w="11900" w:h="16838" w:orient="portrait"/>
          <w:cols w:equalWidth="0" w:num="1">
            <w:col w:w="10219"/>
          </w:cols>
          <w:pgMar w:left="240" w:top="1122" w:right="1440" w:bottom="0" w:gutter="0" w:footer="0" w:header="0"/>
        </w:sectPr>
      </w:pPr>
    </w:p>
    <w:bookmarkStart w:id="17" w:name="page18"/>
    <w:bookmarkEnd w:id="17"/>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payable and</w:t>
      </w:r>
    </w:p>
    <w:p>
      <w:pPr>
        <w:jc w:val="center"/>
        <w:ind w:right="8839"/>
        <w:spacing w:after="0"/>
        <w:rPr>
          <w:sz w:val="20"/>
          <w:szCs w:val="20"/>
          <w:color w:val="auto"/>
        </w:rPr>
      </w:pPr>
      <w:r>
        <w:rPr>
          <w:rFonts w:ascii="Courier New" w:cs="Courier New" w:eastAsia="Courier New" w:hAnsi="Courier New"/>
          <w:sz w:val="18"/>
          <w:szCs w:val="18"/>
          <w:color w:val="auto"/>
        </w:rPr>
        <w:t>accruals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567,004 $</w:t>
      </w:r>
    </w:p>
    <w:p>
      <w:pPr>
        <w:jc w:val="center"/>
        <w:ind w:right="8839"/>
        <w:spacing w:after="0"/>
        <w:rPr>
          <w:sz w:val="20"/>
          <w:szCs w:val="20"/>
          <w:color w:val="auto"/>
        </w:rPr>
      </w:pPr>
      <w:r>
        <w:rPr>
          <w:rFonts w:ascii="Courier New" w:cs="Courier New" w:eastAsia="Courier New" w:hAnsi="Courier New"/>
          <w:sz w:val="18"/>
          <w:szCs w:val="18"/>
          <w:color w:val="auto"/>
        </w:rPr>
        <w:t>597,107</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Short-term</w:t>
      </w:r>
    </w:p>
    <w:p>
      <w:pPr>
        <w:jc w:val="center"/>
        <w:ind w:right="8839"/>
        <w:spacing w:after="0"/>
        <w:rPr>
          <w:sz w:val="20"/>
          <w:szCs w:val="20"/>
          <w:color w:val="auto"/>
        </w:rPr>
      </w:pPr>
      <w:r>
        <w:rPr>
          <w:rFonts w:ascii="Courier New" w:cs="Courier New" w:eastAsia="Courier New" w:hAnsi="Courier New"/>
          <w:sz w:val="18"/>
          <w:szCs w:val="18"/>
          <w:color w:val="auto"/>
        </w:rPr>
        <w:t>portion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839"/>
        <w:spacing w:after="0"/>
        <w:rPr>
          <w:sz w:val="20"/>
          <w:szCs w:val="20"/>
          <w:color w:val="auto"/>
        </w:rPr>
      </w:pPr>
      <w:r>
        <w:rPr>
          <w:rFonts w:ascii="Courier New" w:cs="Courier New" w:eastAsia="Courier New" w:hAnsi="Courier New"/>
          <w:sz w:val="18"/>
          <w:szCs w:val="18"/>
          <w:color w:val="auto"/>
        </w:rPr>
        <w:t>obligations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839"/>
        <w:spacing w:after="0"/>
        <w:rPr>
          <w:sz w:val="20"/>
          <w:szCs w:val="20"/>
          <w:color w:val="auto"/>
        </w:rPr>
      </w:pPr>
      <w:r>
        <w:rPr>
          <w:rFonts w:ascii="Courier New" w:cs="Courier New" w:eastAsia="Courier New" w:hAnsi="Courier New"/>
          <w:sz w:val="18"/>
          <w:szCs w:val="18"/>
          <w:color w:val="auto"/>
        </w:rPr>
        <w:t>financing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1,985 1,963</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8839"/>
        <w:spacing w:after="0"/>
        <w:rPr>
          <w:sz w:val="20"/>
          <w:szCs w:val="20"/>
          <w:color w:val="auto"/>
        </w:rPr>
      </w:pPr>
      <w:r>
        <w:rPr>
          <w:rFonts w:ascii="Courier New" w:cs="Courier New" w:eastAsia="Courier New" w:hAnsi="Courier New"/>
          <w:sz w:val="18"/>
          <w:szCs w:val="18"/>
          <w:color w:val="auto"/>
        </w:rPr>
        <w:t>211,212</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253,376</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839"/>
        <w:spacing w:after="0"/>
        <w:rPr>
          <w:sz w:val="20"/>
          <w:szCs w:val="20"/>
          <w:color w:val="auto"/>
        </w:rPr>
      </w:pPr>
      <w:r>
        <w:rPr>
          <w:rFonts w:ascii="Courier New" w:cs="Courier New" w:eastAsia="Courier New" w:hAnsi="Courier New"/>
          <w:sz w:val="18"/>
          <w:szCs w:val="18"/>
          <w:color w:val="auto"/>
        </w:rPr>
        <w:t>and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payable</w:t>
      </w:r>
    </w:p>
    <w:p>
      <w:pPr>
        <w:jc w:val="center"/>
        <w:ind w:right="8839"/>
        <w:spacing w:after="0"/>
        <w:rPr>
          <w:sz w:val="20"/>
          <w:szCs w:val="20"/>
          <w:color w:val="auto"/>
        </w:rPr>
      </w:pPr>
      <w:r>
        <w:rPr>
          <w:rFonts w:ascii="Courier New" w:cs="Courier New" w:eastAsia="Courier New" w:hAnsi="Courier New"/>
          <w:sz w:val="18"/>
          <w:szCs w:val="18"/>
          <w:color w:val="auto"/>
        </w:rPr>
        <w:t>173,557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179,241 ----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740" w:hanging="629"/>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953,758</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1,031,687</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450,000</w:t>
      </w:r>
    </w:p>
    <w:p>
      <w:pPr>
        <w:jc w:val="center"/>
        <w:ind w:right="8839"/>
        <w:spacing w:after="0"/>
        <w:rPr>
          <w:sz w:val="20"/>
          <w:szCs w:val="20"/>
          <w:color w:val="auto"/>
        </w:rPr>
      </w:pPr>
      <w:r>
        <w:rPr>
          <w:rFonts w:ascii="Courier New" w:cs="Courier New" w:eastAsia="Courier New" w:hAnsi="Courier New"/>
          <w:sz w:val="18"/>
          <w:szCs w:val="18"/>
          <w:color w:val="auto"/>
        </w:rPr>
        <w:t>450,000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Noncurrent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 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326,254</w:t>
      </w:r>
    </w:p>
    <w:p>
      <w:pPr>
        <w:jc w:val="center"/>
        <w:ind w:right="8839"/>
        <w:spacing w:after="0"/>
        <w:rPr>
          <w:sz w:val="20"/>
          <w:szCs w:val="20"/>
          <w:color w:val="auto"/>
        </w:rPr>
      </w:pPr>
      <w:r>
        <w:rPr>
          <w:rFonts w:ascii="Courier New" w:cs="Courier New" w:eastAsia="Courier New" w:hAnsi="Courier New"/>
          <w:sz w:val="18"/>
          <w:szCs w:val="18"/>
          <w:color w:val="auto"/>
        </w:rPr>
        <w:t>326,976</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2,280,681</w:t>
      </w:r>
    </w:p>
    <w:p>
      <w:pPr>
        <w:jc w:val="center"/>
        <w:ind w:right="8839"/>
        <w:spacing w:after="0"/>
        <w:rPr>
          <w:sz w:val="20"/>
          <w:szCs w:val="20"/>
          <w:color w:val="auto"/>
        </w:rPr>
      </w:pPr>
      <w:r>
        <w:rPr>
          <w:rFonts w:ascii="Courier New" w:cs="Courier New" w:eastAsia="Courier New" w:hAnsi="Courier New"/>
          <w:sz w:val="18"/>
          <w:szCs w:val="18"/>
          <w:color w:val="auto"/>
        </w:rPr>
        <w:t>2,154,165 --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ind w:left="160"/>
        <w:spacing w:after="0" w:line="238" w:lineRule="auto"/>
        <w:rPr>
          <w:sz w:val="20"/>
          <w:szCs w:val="20"/>
          <w:color w:val="auto"/>
        </w:rPr>
      </w:pPr>
      <w:r>
        <w:rPr>
          <w:rFonts w:ascii="Courier New" w:cs="Courier New" w:eastAsia="Courier New" w:hAnsi="Courier New"/>
          <w:sz w:val="18"/>
          <w:szCs w:val="18"/>
          <w:color w:val="auto"/>
        </w:rPr>
        <w:t>$4,010,693</w:t>
      </w:r>
    </w:p>
    <w:p>
      <w:pPr>
        <w:ind w:left="160"/>
        <w:spacing w:after="0"/>
        <w:rPr>
          <w:sz w:val="20"/>
          <w:szCs w:val="20"/>
          <w:color w:val="auto"/>
        </w:rPr>
      </w:pPr>
      <w:r>
        <w:rPr>
          <w:rFonts w:ascii="Courier New" w:cs="Courier New" w:eastAsia="Courier New" w:hAnsi="Courier New"/>
          <w:sz w:val="18"/>
          <w:szCs w:val="18"/>
          <w:color w:val="auto"/>
        </w:rPr>
        <w:t>$3,962,828</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lvl>
    <w:lvl w:ilvl="1">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2019-12-12T01:04:54Z</dcterms:created>
  <dcterms:modified xsi:type="dcterms:W3CDTF">2019-12-12T01:04:54Z</dcterms:modified>
</cp:coreProperties>
</file>