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12, 2014, Amdocs Limited (the “Company”) entered into an Amended and Restated Credit Agreement among the Company, European Software Marketing Limited, a wholly-owned subsidiary of the Company (“ESML”), the lenders from time to time party thereto, JPMorgan Chase Bank, N.A., as administrative agent (the “Administrative Agent”), J.P. Morgan Europe Limited, as London agent, and JPMorgan Chase Bank, N.A., Toronto branch, as Canadian agent (the “Credit Agreement”), amending and restating that certain Credit Agreement dated as of December 20, 2011, by and among the Company, ESML, the Administrative Agent, J.P. Morgan Europe Limited, as London agent, JPMorgan Chase Bank, N.A., Toronto Branch, as Canadian agent, and the lenders party thereto. The Credit Agreement provides for an unsecured $500 million five-year revolving credit facility with a syndicate of banks. The facility is available for general corporate purposes, including acquisitions and repurchases of the Company’s ordinary shares that the Company may consider from time to time, and has a maturity date in December 2019.</w:t>
      </w:r>
    </w:p>
    <w:p>
      <w:pPr>
        <w:spacing w:after="0" w:line="17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Credit Agreement is filed as Exhibit 99.1 to this Form 6-K, and the Company refers you to such exhibit for the complete terms of the Credit Agreement.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2014</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780" w:type="dxa"/>
            <w:vAlign w:val="bottom"/>
            <w:gridSpan w:val="3"/>
          </w:tcPr>
          <w:p>
            <w:pPr>
              <w:ind w:left="4480"/>
              <w:spacing w:after="0"/>
              <w:rPr>
                <w:sz w:val="20"/>
                <w:szCs w:val="20"/>
                <w:color w:val="auto"/>
              </w:rPr>
            </w:pPr>
            <w:r>
              <w:rPr>
                <w:rFonts w:ascii="Arial" w:cs="Arial" w:eastAsia="Arial" w:hAnsi="Arial"/>
                <w:sz w:val="18"/>
                <w:szCs w:val="18"/>
                <w:color w:val="auto"/>
              </w:rPr>
              <w:t>EXHIBIT INDEX</w:t>
            </w:r>
          </w:p>
        </w:tc>
      </w:tr>
      <w:tr>
        <w:trPr>
          <w:trHeight w:val="373"/>
        </w:trPr>
        <w:tc>
          <w:tcPr>
            <w:tcW w:w="58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5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67"/>
        </w:trPr>
        <w:tc>
          <w:tcPr>
            <w:tcW w:w="580" w:type="dxa"/>
            <w:vAlign w:val="bottom"/>
          </w:tcPr>
          <w:p>
            <w:pPr>
              <w:ind w:left="180"/>
              <w:spacing w:after="0"/>
              <w:rPr>
                <w:sz w:val="20"/>
                <w:szCs w:val="20"/>
                <w:color w:val="auto"/>
              </w:rPr>
            </w:pPr>
            <w:r>
              <w:rPr>
                <w:rFonts w:ascii="Arial" w:cs="Arial" w:eastAsia="Arial" w:hAnsi="Arial"/>
                <w:sz w:val="14"/>
                <w:szCs w:val="14"/>
                <w:color w:val="auto"/>
              </w:rPr>
              <w:t>NO.</w:t>
            </w:r>
          </w:p>
        </w:tc>
        <w:tc>
          <w:tcPr>
            <w:tcW w:w="528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03"/>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10780" w:type="dxa"/>
            <w:vAlign w:val="bottom"/>
            <w:gridSpan w:val="3"/>
          </w:tcPr>
          <w:p>
            <w:pPr>
              <w:ind w:left="680"/>
              <w:spacing w:after="0"/>
              <w:rPr>
                <w:sz w:val="20"/>
                <w:szCs w:val="20"/>
                <w:color w:val="auto"/>
              </w:rPr>
            </w:pPr>
            <w:r>
              <w:rPr>
                <w:rFonts w:ascii="Arial" w:cs="Arial" w:eastAsia="Arial" w:hAnsi="Arial"/>
                <w:sz w:val="18"/>
                <w:szCs w:val="18"/>
                <w:color w:val="auto"/>
                <w:w w:val="90"/>
              </w:rPr>
              <w:t>Amended and Restated Credit Agreement, dated as of December 12, 2014, among Amdocs Limited, European Software Marketing Limited,</w:t>
            </w:r>
          </w:p>
        </w:tc>
      </w:tr>
      <w:tr>
        <w:trPr>
          <w:trHeight w:val="216"/>
        </w:trPr>
        <w:tc>
          <w:tcPr>
            <w:tcW w:w="580" w:type="dxa"/>
            <w:vAlign w:val="bottom"/>
          </w:tcPr>
          <w:p>
            <w:pPr>
              <w:spacing w:after="0"/>
              <w:rPr>
                <w:sz w:val="18"/>
                <w:szCs w:val="18"/>
                <w:color w:val="auto"/>
              </w:rPr>
            </w:pPr>
          </w:p>
        </w:tc>
        <w:tc>
          <w:tcPr>
            <w:tcW w:w="10780" w:type="dxa"/>
            <w:vAlign w:val="bottom"/>
            <w:gridSpan w:val="3"/>
          </w:tcPr>
          <w:p>
            <w:pPr>
              <w:ind w:left="680"/>
              <w:spacing w:after="0"/>
              <w:rPr>
                <w:sz w:val="20"/>
                <w:szCs w:val="20"/>
                <w:color w:val="auto"/>
              </w:rPr>
            </w:pPr>
            <w:r>
              <w:rPr>
                <w:rFonts w:ascii="Arial" w:cs="Arial" w:eastAsia="Arial" w:hAnsi="Arial"/>
                <w:sz w:val="18"/>
                <w:szCs w:val="18"/>
                <w:color w:val="auto"/>
                <w:w w:val="91"/>
              </w:rPr>
              <w:t>the lenders from time to time party thereto, JPMorgan Chase Bank, N.A., as administrative agent, J.P. Morgan Europe Limited, as London</w:t>
            </w:r>
          </w:p>
        </w:tc>
      </w:tr>
      <w:tr>
        <w:trPr>
          <w:trHeight w:val="230"/>
        </w:trPr>
        <w:tc>
          <w:tcPr>
            <w:tcW w:w="580" w:type="dxa"/>
            <w:vAlign w:val="bottom"/>
          </w:tcPr>
          <w:p>
            <w:pPr>
              <w:spacing w:after="0"/>
              <w:rPr>
                <w:sz w:val="20"/>
                <w:szCs w:val="20"/>
                <w:color w:val="auto"/>
              </w:rPr>
            </w:pPr>
          </w:p>
        </w:tc>
        <w:tc>
          <w:tcPr>
            <w:tcW w:w="10780" w:type="dxa"/>
            <w:vAlign w:val="bottom"/>
            <w:gridSpan w:val="3"/>
          </w:tcPr>
          <w:p>
            <w:pPr>
              <w:ind w:left="680"/>
              <w:spacing w:after="0"/>
              <w:rPr>
                <w:sz w:val="20"/>
                <w:szCs w:val="20"/>
                <w:color w:val="auto"/>
              </w:rPr>
            </w:pPr>
            <w:r>
              <w:rPr>
                <w:rFonts w:ascii="Arial" w:cs="Arial" w:eastAsia="Arial" w:hAnsi="Arial"/>
                <w:sz w:val="18"/>
                <w:szCs w:val="18"/>
                <w:color w:val="auto"/>
              </w:rPr>
              <w:t>agent, and JPMorgan Chase Bank, N.A., Toronto branch, as Canadian agent</w:t>
            </w:r>
          </w:p>
        </w:tc>
      </w:tr>
    </w:tbl>
    <w:p>
      <w:pPr>
        <w:ind w:left="680"/>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102870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December 12,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Borrowing Subsidiaries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P. MORGAN EUROPE LIMITED,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London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JPMORGAN CHASE BANK, N.A., TORONTO BRANCH,</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Canadian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 BANK, N.A. and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9660" w:type="dxa"/>
            <w:vAlign w:val="bottom"/>
          </w:tcPr>
          <w:p>
            <w:pPr>
              <w:ind w:left="34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97"/>
              </w:rPr>
              <w:t>Definitions</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1.01.</w:t>
            </w:r>
          </w:p>
        </w:tc>
        <w:tc>
          <w:tcPr>
            <w:tcW w:w="966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9660" w:type="dxa"/>
            <w:vAlign w:val="bottom"/>
          </w:tcPr>
          <w:p>
            <w:pPr>
              <w:ind w:left="200"/>
              <w:spacing w:after="0"/>
              <w:rPr>
                <w:sz w:val="20"/>
                <w:szCs w:val="20"/>
                <w:color w:val="auto"/>
              </w:rPr>
            </w:pPr>
            <w:r>
              <w:rPr>
                <w:rFonts w:ascii="Arial" w:cs="Arial" w:eastAsia="Arial" w:hAnsi="Arial"/>
                <w:sz w:val="18"/>
                <w:szCs w:val="18"/>
                <w:color w:val="auto"/>
              </w:rPr>
              <w:t>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1.03.</w:t>
            </w:r>
          </w:p>
        </w:tc>
        <w:tc>
          <w:tcPr>
            <w:tcW w:w="9660" w:type="dxa"/>
            <w:vAlign w:val="bottom"/>
          </w:tcPr>
          <w:p>
            <w:pPr>
              <w:ind w:left="20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1.04.</w:t>
            </w:r>
          </w:p>
        </w:tc>
        <w:tc>
          <w:tcPr>
            <w:tcW w:w="9660" w:type="dxa"/>
            <w:vAlign w:val="bottom"/>
          </w:tcPr>
          <w:p>
            <w:pPr>
              <w:ind w:left="200"/>
              <w:spacing w:after="0"/>
              <w:rPr>
                <w:sz w:val="20"/>
                <w:szCs w:val="20"/>
                <w:color w:val="auto"/>
              </w:rPr>
            </w:pPr>
            <w:r>
              <w:rPr>
                <w:rFonts w:ascii="Arial" w:cs="Arial" w:eastAsia="Arial" w:hAnsi="Arial"/>
                <w:sz w:val="18"/>
                <w:szCs w:val="18"/>
                <w:color w:val="auto"/>
              </w:rPr>
              <w:t>Accounting Terms; GAAP; Pro Forma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1.05.</w:t>
            </w:r>
          </w:p>
        </w:tc>
        <w:tc>
          <w:tcPr>
            <w:tcW w:w="9660" w:type="dxa"/>
            <w:vAlign w:val="bottom"/>
          </w:tcPr>
          <w:p>
            <w:pPr>
              <w:ind w:left="20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w w:val="90"/>
              </w:rPr>
              <w:t>The Credits</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2.01.</w:t>
            </w:r>
          </w:p>
        </w:tc>
        <w:tc>
          <w:tcPr>
            <w:tcW w:w="9660" w:type="dxa"/>
            <w:vAlign w:val="bottom"/>
          </w:tcPr>
          <w:p>
            <w:pPr>
              <w:ind w:left="200"/>
              <w:spacing w:after="0"/>
              <w:rPr>
                <w:sz w:val="20"/>
                <w:szCs w:val="20"/>
                <w:color w:val="auto"/>
              </w:rPr>
            </w:pPr>
            <w:r>
              <w:rPr>
                <w:rFonts w:ascii="Arial" w:cs="Arial" w:eastAsia="Arial" w:hAnsi="Arial"/>
                <w:sz w:val="18"/>
                <w:szCs w:val="18"/>
                <w:color w:val="auto"/>
              </w:rPr>
              <w:t>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2.02.</w:t>
            </w:r>
          </w:p>
        </w:tc>
        <w:tc>
          <w:tcPr>
            <w:tcW w:w="9660" w:type="dxa"/>
            <w:vAlign w:val="bottom"/>
          </w:tcPr>
          <w:p>
            <w:pPr>
              <w:ind w:left="200"/>
              <w:spacing w:after="0"/>
              <w:rPr>
                <w:sz w:val="20"/>
                <w:szCs w:val="20"/>
                <w:color w:val="auto"/>
              </w:rPr>
            </w:pPr>
            <w:r>
              <w:rPr>
                <w:rFonts w:ascii="Arial" w:cs="Arial" w:eastAsia="Arial" w:hAnsi="Arial"/>
                <w:sz w:val="18"/>
                <w:szCs w:val="18"/>
                <w:color w:val="auto"/>
              </w:rPr>
              <w:t>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2.03.</w:t>
            </w:r>
          </w:p>
        </w:tc>
        <w:tc>
          <w:tcPr>
            <w:tcW w:w="9660" w:type="dxa"/>
            <w:vAlign w:val="bottom"/>
          </w:tcPr>
          <w:p>
            <w:pPr>
              <w:ind w:left="200"/>
              <w:spacing w:after="0"/>
              <w:rPr>
                <w:sz w:val="20"/>
                <w:szCs w:val="20"/>
                <w:color w:val="auto"/>
              </w:rPr>
            </w:pPr>
            <w:r>
              <w:rPr>
                <w:rFonts w:ascii="Arial" w:cs="Arial" w:eastAsia="Arial" w:hAnsi="Arial"/>
                <w:sz w:val="18"/>
                <w:szCs w:val="18"/>
                <w:color w:val="auto"/>
              </w:rPr>
              <w:t>Requests for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2.04.</w:t>
            </w:r>
          </w:p>
        </w:tc>
        <w:tc>
          <w:tcPr>
            <w:tcW w:w="9660" w:type="dxa"/>
            <w:vAlign w:val="bottom"/>
          </w:tcPr>
          <w:p>
            <w:pPr>
              <w:ind w:left="200"/>
              <w:spacing w:after="0"/>
              <w:rPr>
                <w:sz w:val="20"/>
                <w:szCs w:val="20"/>
                <w:color w:val="auto"/>
              </w:rPr>
            </w:pPr>
            <w:r>
              <w:rPr>
                <w:rFonts w:ascii="Arial" w:cs="Arial" w:eastAsia="Arial" w:hAnsi="Arial"/>
                <w:sz w:val="18"/>
                <w:szCs w:val="18"/>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2.05.</w:t>
            </w:r>
          </w:p>
        </w:tc>
        <w:tc>
          <w:tcPr>
            <w:tcW w:w="9660" w:type="dxa"/>
            <w:vAlign w:val="bottom"/>
          </w:tcPr>
          <w:p>
            <w:pPr>
              <w:ind w:left="200"/>
              <w:spacing w:after="0"/>
              <w:rPr>
                <w:sz w:val="20"/>
                <w:szCs w:val="20"/>
                <w:color w:val="auto"/>
              </w:rPr>
            </w:pPr>
            <w:r>
              <w:rPr>
                <w:rFonts w:ascii="Arial" w:cs="Arial" w:eastAsia="Arial" w:hAnsi="Arial"/>
                <w:sz w:val="18"/>
                <w:szCs w:val="18"/>
                <w:color w:val="auto"/>
              </w:rPr>
              <w:t>Canadian Bankers’ Acceptances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2.06.</w:t>
            </w:r>
          </w:p>
        </w:tc>
        <w:tc>
          <w:tcPr>
            <w:tcW w:w="9660" w:type="dxa"/>
            <w:vAlign w:val="bottom"/>
          </w:tcPr>
          <w:p>
            <w:pPr>
              <w:ind w:left="200"/>
              <w:spacing w:after="0"/>
              <w:rPr>
                <w:sz w:val="20"/>
                <w:szCs w:val="20"/>
                <w:color w:val="auto"/>
              </w:rPr>
            </w:pPr>
            <w:r>
              <w:rPr>
                <w:rFonts w:ascii="Arial" w:cs="Arial" w:eastAsia="Arial" w:hAnsi="Arial"/>
                <w:sz w:val="18"/>
                <w:szCs w:val="18"/>
                <w:color w:val="auto"/>
              </w:rPr>
              <w:t>Funding of Borrowings and BA Drawings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2.07.</w:t>
            </w:r>
          </w:p>
        </w:tc>
        <w:tc>
          <w:tcPr>
            <w:tcW w:w="9660" w:type="dxa"/>
            <w:vAlign w:val="bottom"/>
          </w:tcPr>
          <w:p>
            <w:pPr>
              <w:ind w:left="200"/>
              <w:spacing w:after="0"/>
              <w:rPr>
                <w:sz w:val="20"/>
                <w:szCs w:val="20"/>
                <w:color w:val="auto"/>
              </w:rPr>
            </w:pPr>
            <w:r>
              <w:rPr>
                <w:rFonts w:ascii="Arial" w:cs="Arial" w:eastAsia="Arial" w:hAnsi="Arial"/>
                <w:sz w:val="18"/>
                <w:szCs w:val="18"/>
                <w:color w:val="auto"/>
              </w:rPr>
              <w:t>Interest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2.08.</w:t>
            </w:r>
          </w:p>
        </w:tc>
        <w:tc>
          <w:tcPr>
            <w:tcW w:w="9660" w:type="dxa"/>
            <w:vAlign w:val="bottom"/>
          </w:tcPr>
          <w:p>
            <w:pPr>
              <w:ind w:left="200"/>
              <w:spacing w:after="0"/>
              <w:rPr>
                <w:sz w:val="20"/>
                <w:szCs w:val="20"/>
                <w:color w:val="auto"/>
              </w:rPr>
            </w:pPr>
            <w:r>
              <w:rPr>
                <w:rFonts w:ascii="Arial" w:cs="Arial" w:eastAsia="Arial" w:hAnsi="Arial"/>
                <w:sz w:val="18"/>
                <w:szCs w:val="18"/>
                <w:color w:val="auto"/>
              </w:rPr>
              <w:t>Termination, Reduction, Extension and Increase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2.09.</w:t>
            </w:r>
          </w:p>
        </w:tc>
        <w:tc>
          <w:tcPr>
            <w:tcW w:w="9660" w:type="dxa"/>
            <w:vAlign w:val="bottom"/>
          </w:tcPr>
          <w:p>
            <w:pPr>
              <w:ind w:left="200"/>
              <w:spacing w:after="0"/>
              <w:rPr>
                <w:sz w:val="20"/>
                <w:szCs w:val="20"/>
                <w:color w:val="auto"/>
              </w:rPr>
            </w:pPr>
            <w:r>
              <w:rPr>
                <w:rFonts w:ascii="Arial" w:cs="Arial" w:eastAsia="Arial" w:hAnsi="Arial"/>
                <w:sz w:val="18"/>
                <w:szCs w:val="18"/>
                <w:color w:val="auto"/>
              </w:rPr>
              <w:t>Repayment of Loans and BAs;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2.10.</w:t>
            </w:r>
          </w:p>
        </w:tc>
        <w:tc>
          <w:tcPr>
            <w:tcW w:w="9660" w:type="dxa"/>
            <w:vAlign w:val="bottom"/>
          </w:tcPr>
          <w:p>
            <w:pPr>
              <w:ind w:left="200"/>
              <w:spacing w:after="0"/>
              <w:rPr>
                <w:sz w:val="20"/>
                <w:szCs w:val="20"/>
                <w:color w:val="auto"/>
              </w:rPr>
            </w:pPr>
            <w:r>
              <w:rPr>
                <w:rFonts w:ascii="Arial" w:cs="Arial" w:eastAsia="Arial" w:hAnsi="Arial"/>
                <w:sz w:val="18"/>
                <w:szCs w:val="18"/>
                <w:color w:val="auto"/>
              </w:rPr>
              <w:t>Prepayment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2.11.</w:t>
            </w:r>
          </w:p>
        </w:tc>
        <w:tc>
          <w:tcPr>
            <w:tcW w:w="9660" w:type="dxa"/>
            <w:vAlign w:val="bottom"/>
          </w:tcPr>
          <w:p>
            <w:pPr>
              <w:ind w:left="20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2.12.</w:t>
            </w:r>
          </w:p>
        </w:tc>
        <w:tc>
          <w:tcPr>
            <w:tcW w:w="96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2.13.</w:t>
            </w:r>
          </w:p>
        </w:tc>
        <w:tc>
          <w:tcPr>
            <w:tcW w:w="9660" w:type="dxa"/>
            <w:vAlign w:val="bottom"/>
          </w:tcPr>
          <w:p>
            <w:pPr>
              <w:ind w:left="200"/>
              <w:spacing w:after="0"/>
              <w:rPr>
                <w:sz w:val="20"/>
                <w:szCs w:val="20"/>
                <w:color w:val="auto"/>
              </w:rPr>
            </w:pPr>
            <w:r>
              <w:rPr>
                <w:rFonts w:ascii="Arial" w:cs="Arial" w:eastAsia="Arial" w:hAnsi="Arial"/>
                <w:sz w:val="18"/>
                <w:szCs w:val="18"/>
                <w:color w:val="auto"/>
              </w:rPr>
              <w:t>Alternate Rate of Interest;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2.14.</w:t>
            </w:r>
          </w:p>
        </w:tc>
        <w:tc>
          <w:tcPr>
            <w:tcW w:w="9660" w:type="dxa"/>
            <w:vAlign w:val="bottom"/>
          </w:tcPr>
          <w:p>
            <w:pPr>
              <w:ind w:left="20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2.15.</w:t>
            </w:r>
          </w:p>
        </w:tc>
        <w:tc>
          <w:tcPr>
            <w:tcW w:w="9660" w:type="dxa"/>
            <w:vAlign w:val="bottom"/>
          </w:tcPr>
          <w:p>
            <w:pPr>
              <w:ind w:left="200"/>
              <w:spacing w:after="0"/>
              <w:rPr>
                <w:sz w:val="20"/>
                <w:szCs w:val="20"/>
                <w:color w:val="auto"/>
              </w:rPr>
            </w:pPr>
            <w:r>
              <w:rPr>
                <w:rFonts w:ascii="Arial" w:cs="Arial" w:eastAsia="Arial" w:hAnsi="Arial"/>
                <w:sz w:val="18"/>
                <w:szCs w:val="18"/>
                <w:color w:val="auto"/>
              </w:rPr>
              <w:t>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2.16.</w:t>
            </w:r>
          </w:p>
        </w:tc>
        <w:tc>
          <w:tcPr>
            <w:tcW w:w="9660" w:type="dxa"/>
            <w:vAlign w:val="bottom"/>
          </w:tcPr>
          <w:p>
            <w:pPr>
              <w:ind w:left="20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2.17.</w:t>
            </w:r>
          </w:p>
        </w:tc>
        <w:tc>
          <w:tcPr>
            <w:tcW w:w="9660" w:type="dxa"/>
            <w:vAlign w:val="bottom"/>
          </w:tcPr>
          <w:p>
            <w:pPr>
              <w:ind w:left="200"/>
              <w:spacing w:after="0"/>
              <w:rPr>
                <w:sz w:val="20"/>
                <w:szCs w:val="20"/>
                <w:color w:val="auto"/>
              </w:rPr>
            </w:pPr>
            <w:r>
              <w:rPr>
                <w:rFonts w:ascii="Arial" w:cs="Arial" w:eastAsia="Arial" w:hAnsi="Arial"/>
                <w:sz w:val="18"/>
                <w:szCs w:val="18"/>
                <w:color w:val="auto"/>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2.18.</w:t>
            </w:r>
          </w:p>
        </w:tc>
        <w:tc>
          <w:tcPr>
            <w:tcW w:w="9660" w:type="dxa"/>
            <w:vAlign w:val="bottom"/>
          </w:tcPr>
          <w:p>
            <w:pPr>
              <w:ind w:left="200"/>
              <w:spacing w:after="0"/>
              <w:rPr>
                <w:sz w:val="20"/>
                <w:szCs w:val="20"/>
                <w:color w:val="auto"/>
              </w:rPr>
            </w:pPr>
            <w:r>
              <w:rPr>
                <w:rFonts w:ascii="Arial" w:cs="Arial" w:eastAsia="Arial" w:hAnsi="Arial"/>
                <w:sz w:val="18"/>
                <w:szCs w:val="18"/>
                <w:color w:val="auto"/>
              </w:rPr>
              <w:t>Mitigation by Lenders; Replacement of Lenders; Mitigation by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2.19.</w:t>
            </w:r>
          </w:p>
        </w:tc>
        <w:tc>
          <w:tcPr>
            <w:tcW w:w="9660" w:type="dxa"/>
            <w:vAlign w:val="bottom"/>
          </w:tcPr>
          <w:p>
            <w:pPr>
              <w:ind w:left="20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2.20.</w:t>
            </w:r>
          </w:p>
        </w:tc>
        <w:tc>
          <w:tcPr>
            <w:tcW w:w="9660" w:type="dxa"/>
            <w:vAlign w:val="bottom"/>
          </w:tcPr>
          <w:p>
            <w:pPr>
              <w:ind w:left="200"/>
              <w:spacing w:after="0"/>
              <w:rPr>
                <w:sz w:val="20"/>
                <w:szCs w:val="20"/>
                <w:color w:val="auto"/>
              </w:rPr>
            </w:pPr>
            <w:r>
              <w:rPr>
                <w:rFonts w:ascii="Arial" w:cs="Arial" w:eastAsia="Arial" w:hAnsi="Arial"/>
                <w:sz w:val="18"/>
                <w:szCs w:val="18"/>
                <w:color w:val="auto"/>
              </w:rPr>
              <w:t>Foreign Subsidiary Costs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2.21.</w:t>
            </w:r>
          </w:p>
        </w:tc>
        <w:tc>
          <w:tcPr>
            <w:tcW w:w="9660" w:type="dxa"/>
            <w:vAlign w:val="bottom"/>
          </w:tcPr>
          <w:p>
            <w:pPr>
              <w:ind w:left="200"/>
              <w:spacing w:after="0"/>
              <w:rPr>
                <w:sz w:val="20"/>
                <w:szCs w:val="20"/>
                <w:color w:val="auto"/>
              </w:rPr>
            </w:pPr>
            <w:r>
              <w:rPr>
                <w:rFonts w:ascii="Arial" w:cs="Arial" w:eastAsia="Arial" w:hAnsi="Arial"/>
                <w:sz w:val="18"/>
                <w:szCs w:val="18"/>
                <w:color w:val="auto"/>
              </w:rPr>
              <w:t>Designation of Borrowing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w w:val="88"/>
              </w:rPr>
              <w:t>Representations and Warranties</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3.01.</w:t>
            </w:r>
          </w:p>
        </w:tc>
        <w:tc>
          <w:tcPr>
            <w:tcW w:w="9660" w:type="dxa"/>
            <w:vAlign w:val="bottom"/>
          </w:tcPr>
          <w:p>
            <w:pPr>
              <w:ind w:left="200"/>
              <w:spacing w:after="0"/>
              <w:rPr>
                <w:sz w:val="20"/>
                <w:szCs w:val="20"/>
                <w:color w:val="auto"/>
              </w:rPr>
            </w:pPr>
            <w:r>
              <w:rPr>
                <w:rFonts w:ascii="Arial" w:cs="Arial" w:eastAsia="Arial" w:hAnsi="Arial"/>
                <w:sz w:val="18"/>
                <w:szCs w:val="18"/>
                <w:color w:val="auto"/>
              </w:rPr>
              <w:t>Organization;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3.02.</w:t>
            </w:r>
          </w:p>
        </w:tc>
        <w:tc>
          <w:tcPr>
            <w:tcW w:w="9660" w:type="dxa"/>
            <w:vAlign w:val="bottom"/>
          </w:tcPr>
          <w:p>
            <w:pPr>
              <w:ind w:left="200"/>
              <w:spacing w:after="0"/>
              <w:rPr>
                <w:sz w:val="20"/>
                <w:szCs w:val="20"/>
                <w:color w:val="auto"/>
              </w:rPr>
            </w:pPr>
            <w:r>
              <w:rPr>
                <w:rFonts w:ascii="Arial" w:cs="Arial" w:eastAsia="Arial" w:hAnsi="Arial"/>
                <w:sz w:val="18"/>
                <w:szCs w:val="18"/>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3.03.</w:t>
            </w:r>
          </w:p>
        </w:tc>
        <w:tc>
          <w:tcPr>
            <w:tcW w:w="9660" w:type="dxa"/>
            <w:vAlign w:val="bottom"/>
          </w:tcPr>
          <w:p>
            <w:pPr>
              <w:ind w:left="200"/>
              <w:spacing w:after="0"/>
              <w:rPr>
                <w:sz w:val="20"/>
                <w:szCs w:val="20"/>
                <w:color w:val="auto"/>
              </w:rPr>
            </w:pPr>
            <w:r>
              <w:rPr>
                <w:rFonts w:ascii="Arial" w:cs="Arial" w:eastAsia="Arial" w:hAnsi="Arial"/>
                <w:sz w:val="18"/>
                <w:szCs w:val="18"/>
                <w:color w:val="auto"/>
              </w:rPr>
              <w:t>Governmental Approvals; No 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3.04.</w:t>
            </w:r>
          </w:p>
        </w:tc>
        <w:tc>
          <w:tcPr>
            <w:tcW w:w="9660" w:type="dxa"/>
            <w:vAlign w:val="bottom"/>
          </w:tcPr>
          <w:p>
            <w:pPr>
              <w:ind w:left="200"/>
              <w:spacing w:after="0"/>
              <w:rPr>
                <w:sz w:val="20"/>
                <w:szCs w:val="20"/>
                <w:color w:val="auto"/>
              </w:rPr>
            </w:pPr>
            <w:r>
              <w:rPr>
                <w:rFonts w:ascii="Arial" w:cs="Arial" w:eastAsia="Arial" w:hAnsi="Arial"/>
                <w:sz w:val="18"/>
                <w:szCs w:val="18"/>
                <w:color w:val="auto"/>
              </w:rPr>
              <w:t>Financial Condition;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3.05.</w:t>
            </w:r>
          </w:p>
        </w:tc>
        <w:tc>
          <w:tcPr>
            <w:tcW w:w="966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3.06.   Litigation and Environmental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3.07.   Compliance with Laws and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3.08.   Investment Company Status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3.09.</w:t>
            </w:r>
          </w:p>
        </w:tc>
        <w:tc>
          <w:tcPr>
            <w:tcW w:w="7500" w:type="dxa"/>
            <w:vAlign w:val="bottom"/>
          </w:tcPr>
          <w:p>
            <w:pPr>
              <w:ind w:left="14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3.10.   Employee Benefit Plans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3.11.</w:t>
            </w:r>
          </w:p>
        </w:tc>
        <w:tc>
          <w:tcPr>
            <w:tcW w:w="750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3.12.</w:t>
            </w:r>
          </w:p>
        </w:tc>
        <w:tc>
          <w:tcPr>
            <w:tcW w:w="750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SECTION 3.13.   Anti-Corruption Laws and Sanctions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110"/>
              <w:spacing w:after="0"/>
              <w:rPr>
                <w:sz w:val="20"/>
                <w:szCs w:val="20"/>
                <w:color w:val="auto"/>
              </w:rPr>
            </w:pPr>
            <w:r>
              <w:rPr>
                <w:rFonts w:ascii="Arial" w:cs="Arial" w:eastAsia="Arial" w:hAnsi="Arial"/>
                <w:sz w:val="18"/>
                <w:szCs w:val="18"/>
                <w:color w:val="auto"/>
                <w:w w:val="99"/>
              </w:rPr>
              <w:t>ARTICLE IV</w:t>
            </w:r>
          </w:p>
        </w:tc>
        <w:tc>
          <w:tcPr>
            <w:tcW w:w="25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110"/>
              <w:spacing w:after="0"/>
              <w:rPr>
                <w:sz w:val="20"/>
                <w:szCs w:val="20"/>
                <w:color w:val="auto"/>
              </w:rPr>
            </w:pPr>
            <w:r>
              <w:rPr>
                <w:rFonts w:ascii="Arial" w:cs="Arial" w:eastAsia="Arial" w:hAnsi="Arial"/>
                <w:sz w:val="18"/>
                <w:szCs w:val="18"/>
                <w:color w:val="auto"/>
                <w:w w:val="91"/>
              </w:rPr>
              <w:t>Conditions</w:t>
            </w:r>
          </w:p>
        </w:tc>
        <w:tc>
          <w:tcPr>
            <w:tcW w:w="25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4.01.</w:t>
            </w:r>
          </w:p>
        </w:tc>
        <w:tc>
          <w:tcPr>
            <w:tcW w:w="7500" w:type="dxa"/>
            <w:vAlign w:val="bottom"/>
          </w:tcPr>
          <w:p>
            <w:pPr>
              <w:ind w:left="140"/>
              <w:spacing w:after="0"/>
              <w:rPr>
                <w:sz w:val="20"/>
                <w:szCs w:val="20"/>
                <w:color w:val="auto"/>
              </w:rPr>
            </w:pPr>
            <w:r>
              <w:rPr>
                <w:rFonts w:ascii="Arial" w:cs="Arial" w:eastAsia="Arial" w:hAnsi="Arial"/>
                <w:sz w:val="18"/>
                <w:szCs w:val="18"/>
                <w:color w:val="auto"/>
              </w:rPr>
              <w:t>Effective Date</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4.02.</w:t>
            </w:r>
          </w:p>
        </w:tc>
        <w:tc>
          <w:tcPr>
            <w:tcW w:w="7500" w:type="dxa"/>
            <w:vAlign w:val="bottom"/>
          </w:tcPr>
          <w:p>
            <w:pPr>
              <w:ind w:left="140"/>
              <w:spacing w:after="0"/>
              <w:rPr>
                <w:sz w:val="20"/>
                <w:szCs w:val="20"/>
                <w:color w:val="auto"/>
              </w:rPr>
            </w:pPr>
            <w:r>
              <w:rPr>
                <w:rFonts w:ascii="Arial" w:cs="Arial" w:eastAsia="Arial" w:hAnsi="Arial"/>
                <w:sz w:val="18"/>
                <w:szCs w:val="18"/>
                <w:color w:val="auto"/>
              </w:rPr>
              <w:t>Each Credit Event</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SECTION 4.03.   Initial Credit Event for each Additional Borrowing Subsidiary</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090"/>
              <w:spacing w:after="0"/>
              <w:rPr>
                <w:sz w:val="20"/>
                <w:szCs w:val="20"/>
                <w:color w:val="auto"/>
              </w:rPr>
            </w:pPr>
            <w:r>
              <w:rPr>
                <w:rFonts w:ascii="Arial" w:cs="Arial" w:eastAsia="Arial" w:hAnsi="Arial"/>
                <w:sz w:val="18"/>
                <w:szCs w:val="18"/>
                <w:color w:val="auto"/>
                <w:w w:val="98"/>
              </w:rPr>
              <w:t>ARTICLE V</w:t>
            </w:r>
          </w:p>
        </w:tc>
        <w:tc>
          <w:tcPr>
            <w:tcW w:w="25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110"/>
              <w:spacing w:after="0"/>
              <w:rPr>
                <w:sz w:val="20"/>
                <w:szCs w:val="20"/>
                <w:color w:val="auto"/>
              </w:rPr>
            </w:pPr>
            <w:r>
              <w:rPr>
                <w:rFonts w:ascii="Arial" w:cs="Arial" w:eastAsia="Arial" w:hAnsi="Arial"/>
                <w:sz w:val="18"/>
                <w:szCs w:val="18"/>
                <w:color w:val="auto"/>
                <w:w w:val="94"/>
              </w:rPr>
              <w:t>Affirmative Covenants</w:t>
            </w:r>
          </w:p>
        </w:tc>
        <w:tc>
          <w:tcPr>
            <w:tcW w:w="2500" w:type="dxa"/>
            <w:vAlign w:val="bottom"/>
          </w:tcPr>
          <w:p>
            <w:pPr>
              <w:spacing w:after="0"/>
              <w:rPr>
                <w:sz w:val="24"/>
                <w:szCs w:val="24"/>
                <w:color w:val="auto"/>
              </w:rPr>
            </w:pP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5.02.   Notices of Material Events</w:t>
            </w:r>
          </w:p>
        </w:tc>
        <w:tc>
          <w:tcPr>
            <w:tcW w:w="2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5.03.   Existence; Conduct of Business</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5.04.   Payment of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5.05.   Maintenance of Properties; 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5.06.   Books and Records; Inspection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5.07.   Compliance with Laws</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5.08.</w:t>
            </w:r>
          </w:p>
        </w:tc>
        <w:tc>
          <w:tcPr>
            <w:tcW w:w="750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2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110"/>
              <w:spacing w:after="0"/>
              <w:rPr>
                <w:sz w:val="20"/>
                <w:szCs w:val="20"/>
                <w:color w:val="auto"/>
              </w:rPr>
            </w:pPr>
            <w:r>
              <w:rPr>
                <w:rFonts w:ascii="Arial" w:cs="Arial" w:eastAsia="Arial" w:hAnsi="Arial"/>
                <w:sz w:val="18"/>
                <w:szCs w:val="18"/>
                <w:color w:val="auto"/>
                <w:w w:val="99"/>
              </w:rPr>
              <w:t>ARTICLE VI</w:t>
            </w:r>
          </w:p>
        </w:tc>
        <w:tc>
          <w:tcPr>
            <w:tcW w:w="25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500" w:type="dxa"/>
            <w:vAlign w:val="bottom"/>
          </w:tcPr>
          <w:p>
            <w:pPr>
              <w:jc w:val="center"/>
              <w:ind w:left="1110"/>
              <w:spacing w:after="0"/>
              <w:rPr>
                <w:sz w:val="20"/>
                <w:szCs w:val="20"/>
                <w:color w:val="auto"/>
              </w:rPr>
            </w:pPr>
            <w:r>
              <w:rPr>
                <w:rFonts w:ascii="Arial" w:cs="Arial" w:eastAsia="Arial" w:hAnsi="Arial"/>
                <w:sz w:val="18"/>
                <w:szCs w:val="18"/>
                <w:color w:val="auto"/>
                <w:w w:val="90"/>
              </w:rPr>
              <w:t>Negative Covenants</w:t>
            </w:r>
          </w:p>
        </w:tc>
        <w:tc>
          <w:tcPr>
            <w:tcW w:w="25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6.01.</w:t>
            </w:r>
          </w:p>
        </w:tc>
        <w:tc>
          <w:tcPr>
            <w:tcW w:w="7500" w:type="dxa"/>
            <w:vAlign w:val="bottom"/>
          </w:tcPr>
          <w:p>
            <w:pPr>
              <w:ind w:left="140"/>
              <w:spacing w:after="0"/>
              <w:rPr>
                <w:sz w:val="20"/>
                <w:szCs w:val="20"/>
                <w:color w:val="auto"/>
              </w:rPr>
            </w:pPr>
            <w:r>
              <w:rPr>
                <w:rFonts w:ascii="Arial" w:cs="Arial" w:eastAsia="Arial" w:hAnsi="Arial"/>
                <w:sz w:val="18"/>
                <w:szCs w:val="18"/>
                <w:color w:val="auto"/>
              </w:rPr>
              <w:t>Subsidiary 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140"/>
              <w:spacing w:after="0"/>
              <w:rPr>
                <w:sz w:val="20"/>
                <w:szCs w:val="20"/>
                <w:color w:val="auto"/>
              </w:rPr>
            </w:pPr>
            <w:r>
              <w:rPr>
                <w:rFonts w:ascii="Arial" w:cs="Arial" w:eastAsia="Arial" w:hAnsi="Arial"/>
                <w:sz w:val="18"/>
                <w:szCs w:val="18"/>
                <w:color w:val="auto"/>
              </w:rPr>
              <w:t>Liens</w:t>
            </w:r>
          </w:p>
        </w:tc>
        <w:tc>
          <w:tcPr>
            <w:tcW w:w="2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6.03.   Sale and Lease Back Transactions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6.05.</w:t>
            </w:r>
          </w:p>
        </w:tc>
        <w:tc>
          <w:tcPr>
            <w:tcW w:w="7500" w:type="dxa"/>
            <w:vAlign w:val="bottom"/>
          </w:tcPr>
          <w:p>
            <w:pPr>
              <w:ind w:left="140"/>
              <w:spacing w:after="0"/>
              <w:rPr>
                <w:sz w:val="20"/>
                <w:szCs w:val="20"/>
                <w:color w:val="auto"/>
              </w:rPr>
            </w:pPr>
            <w:r>
              <w:rPr>
                <w:rFonts w:ascii="Arial" w:cs="Arial" w:eastAsia="Arial" w:hAnsi="Arial"/>
                <w:sz w:val="18"/>
                <w:szCs w:val="18"/>
                <w:color w:val="auto"/>
              </w:rPr>
              <w:t>Restrictive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6.06.   Interest Coverage Ratio</w:t>
            </w: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SECTION 6.07.   Consolidated Total Debt to Consolidated EBITDA Ratio</w:t>
            </w: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7600" w:type="dxa"/>
            <w:vAlign w:val="bottom"/>
          </w:tcPr>
          <w:p>
            <w:pPr>
              <w:jc w:val="center"/>
              <w:ind w:left="810"/>
              <w:spacing w:after="0"/>
              <w:rPr>
                <w:sz w:val="20"/>
                <w:szCs w:val="20"/>
                <w:color w:val="auto"/>
              </w:rPr>
            </w:pPr>
            <w:r>
              <w:rPr>
                <w:rFonts w:ascii="Arial" w:cs="Arial" w:eastAsia="Arial" w:hAnsi="Arial"/>
                <w:sz w:val="18"/>
                <w:szCs w:val="18"/>
                <w:color w:val="auto"/>
              </w:rPr>
              <w:t>ARTICLE VIII</w:t>
            </w:r>
          </w:p>
        </w:tc>
        <w:tc>
          <w:tcPr>
            <w:tcW w:w="2300" w:type="dxa"/>
            <w:vAlign w:val="bottom"/>
          </w:tcPr>
          <w:p>
            <w:pPr>
              <w:spacing w:after="0"/>
              <w:rPr>
                <w:sz w:val="20"/>
                <w:szCs w:val="20"/>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790"/>
              <w:spacing w:after="0"/>
              <w:rPr>
                <w:sz w:val="20"/>
                <w:szCs w:val="20"/>
                <w:color w:val="auto"/>
              </w:rPr>
            </w:pPr>
            <w:r>
              <w:rPr>
                <w:rFonts w:ascii="Arial" w:cs="Arial" w:eastAsia="Arial" w:hAnsi="Arial"/>
                <w:sz w:val="18"/>
                <w:szCs w:val="18"/>
                <w:color w:val="auto"/>
                <w:w w:val="91"/>
              </w:rPr>
              <w:t>The Agents</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810"/>
              <w:spacing w:after="0"/>
              <w:rPr>
                <w:sz w:val="20"/>
                <w:szCs w:val="20"/>
                <w:color w:val="auto"/>
              </w:rPr>
            </w:pPr>
            <w:r>
              <w:rPr>
                <w:rFonts w:ascii="Arial" w:cs="Arial" w:eastAsia="Arial" w:hAnsi="Arial"/>
                <w:sz w:val="18"/>
                <w:szCs w:val="18"/>
                <w:color w:val="auto"/>
                <w:w w:val="99"/>
              </w:rPr>
              <w:t>ARTICLE IX</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790"/>
              <w:spacing w:after="0"/>
              <w:rPr>
                <w:sz w:val="20"/>
                <w:szCs w:val="20"/>
                <w:color w:val="auto"/>
              </w:rPr>
            </w:pPr>
            <w:r>
              <w:rPr>
                <w:rFonts w:ascii="Arial" w:cs="Arial" w:eastAsia="Arial" w:hAnsi="Arial"/>
                <w:sz w:val="18"/>
                <w:szCs w:val="18"/>
                <w:color w:val="auto"/>
                <w:w w:val="94"/>
              </w:rPr>
              <w:t>Collection Allocation Mechanism</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790"/>
              <w:spacing w:after="0"/>
              <w:rPr>
                <w:sz w:val="20"/>
                <w:szCs w:val="20"/>
                <w:color w:val="auto"/>
              </w:rPr>
            </w:pPr>
            <w:r>
              <w:rPr>
                <w:rFonts w:ascii="Arial" w:cs="Arial" w:eastAsia="Arial" w:hAnsi="Arial"/>
                <w:sz w:val="18"/>
                <w:szCs w:val="18"/>
                <w:color w:val="auto"/>
                <w:w w:val="98"/>
              </w:rPr>
              <w:t>ARTICLE X</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810"/>
              <w:spacing w:after="0"/>
              <w:rPr>
                <w:sz w:val="20"/>
                <w:szCs w:val="20"/>
                <w:color w:val="auto"/>
              </w:rPr>
            </w:pPr>
            <w:r>
              <w:rPr>
                <w:rFonts w:ascii="Arial" w:cs="Arial" w:eastAsia="Arial" w:hAnsi="Arial"/>
                <w:sz w:val="18"/>
                <w:szCs w:val="18"/>
                <w:color w:val="auto"/>
                <w:w w:val="86"/>
              </w:rPr>
              <w:t>Guarantee</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810"/>
              <w:spacing w:after="0"/>
              <w:rPr>
                <w:sz w:val="20"/>
                <w:szCs w:val="20"/>
                <w:color w:val="auto"/>
              </w:rPr>
            </w:pPr>
            <w:r>
              <w:rPr>
                <w:rFonts w:ascii="Arial" w:cs="Arial" w:eastAsia="Arial" w:hAnsi="Arial"/>
                <w:sz w:val="18"/>
                <w:szCs w:val="18"/>
                <w:color w:val="auto"/>
                <w:w w:val="99"/>
              </w:rPr>
              <w:t>ARTICLE XI</w:t>
            </w:r>
          </w:p>
        </w:tc>
        <w:tc>
          <w:tcPr>
            <w:tcW w:w="230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7600" w:type="dxa"/>
            <w:vAlign w:val="bottom"/>
          </w:tcPr>
          <w:p>
            <w:pPr>
              <w:jc w:val="center"/>
              <w:ind w:left="790"/>
              <w:spacing w:after="0"/>
              <w:rPr>
                <w:sz w:val="20"/>
                <w:szCs w:val="20"/>
                <w:color w:val="auto"/>
              </w:rPr>
            </w:pPr>
            <w:r>
              <w:rPr>
                <w:rFonts w:ascii="Arial" w:cs="Arial" w:eastAsia="Arial" w:hAnsi="Arial"/>
                <w:sz w:val="18"/>
                <w:szCs w:val="18"/>
                <w:color w:val="auto"/>
                <w:w w:val="91"/>
              </w:rPr>
              <w:t>Miscellaneous</w:t>
            </w:r>
          </w:p>
        </w:tc>
        <w:tc>
          <w:tcPr>
            <w:tcW w:w="230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11.01.</w:t>
            </w:r>
          </w:p>
        </w:tc>
        <w:tc>
          <w:tcPr>
            <w:tcW w:w="7600" w:type="dxa"/>
            <w:vAlign w:val="bottom"/>
          </w:tcPr>
          <w:p>
            <w:pPr>
              <w:ind w:left="16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11.02.</w:t>
            </w:r>
          </w:p>
        </w:tc>
        <w:tc>
          <w:tcPr>
            <w:tcW w:w="7600" w:type="dxa"/>
            <w:vAlign w:val="bottom"/>
          </w:tcPr>
          <w:p>
            <w:pPr>
              <w:ind w:left="160"/>
              <w:spacing w:after="0"/>
              <w:rPr>
                <w:sz w:val="20"/>
                <w:szCs w:val="20"/>
                <w:color w:val="auto"/>
              </w:rPr>
            </w:pPr>
            <w:r>
              <w:rPr>
                <w:rFonts w:ascii="Arial" w:cs="Arial" w:eastAsia="Arial" w:hAnsi="Arial"/>
                <w:sz w:val="18"/>
                <w:szCs w:val="18"/>
                <w:color w:val="auto"/>
              </w:rPr>
              <w:t>Waivers; Amendments</w:t>
            </w:r>
          </w:p>
        </w:tc>
        <w:tc>
          <w:tcPr>
            <w:tcW w:w="2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11.03.    Expenses; Indemnity; Damage 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11.04.    Successors and Assigns</w:t>
            </w:r>
          </w:p>
        </w:tc>
        <w:tc>
          <w:tcPr>
            <w:tcW w:w="2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11.05.</w:t>
            </w:r>
          </w:p>
        </w:tc>
        <w:tc>
          <w:tcPr>
            <w:tcW w:w="760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11.06.    Counterparts; Integration; Effectiveness</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11.07.</w:t>
            </w:r>
          </w:p>
        </w:tc>
        <w:tc>
          <w:tcPr>
            <w:tcW w:w="76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11.08.</w:t>
            </w:r>
          </w:p>
        </w:tc>
        <w:tc>
          <w:tcPr>
            <w:tcW w:w="760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11.09.    Governing Law; Jurisdiction; Consent to Service of Process</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11.10.    WAIVER OF JURY TRIAL</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11.11.</w:t>
            </w:r>
          </w:p>
        </w:tc>
        <w:tc>
          <w:tcPr>
            <w:tcW w:w="760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11.12.</w:t>
            </w:r>
          </w:p>
        </w:tc>
        <w:tc>
          <w:tcPr>
            <w:tcW w:w="76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11.13.    Interest Rate Limitation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11.14.</w:t>
            </w:r>
          </w:p>
        </w:tc>
        <w:tc>
          <w:tcPr>
            <w:tcW w:w="760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11.15.</w:t>
            </w:r>
          </w:p>
        </w:tc>
        <w:tc>
          <w:tcPr>
            <w:tcW w:w="7600" w:type="dxa"/>
            <w:vAlign w:val="bottom"/>
          </w:tcPr>
          <w:p>
            <w:pPr>
              <w:ind w:left="160"/>
              <w:spacing w:after="0"/>
              <w:rPr>
                <w:sz w:val="20"/>
                <w:szCs w:val="20"/>
                <w:color w:val="auto"/>
              </w:rPr>
            </w:pPr>
            <w:r>
              <w:rPr>
                <w:rFonts w:ascii="Arial" w:cs="Arial" w:eastAsia="Arial" w:hAnsi="Arial"/>
                <w:sz w:val="18"/>
                <w:szCs w:val="18"/>
                <w:color w:val="auto"/>
              </w:rPr>
              <w:t>Non-Public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11.16.</w:t>
            </w:r>
          </w:p>
        </w:tc>
        <w:tc>
          <w:tcPr>
            <w:tcW w:w="7600" w:type="dxa"/>
            <w:vAlign w:val="bottom"/>
          </w:tcPr>
          <w:p>
            <w:pPr>
              <w:ind w:left="160"/>
              <w:spacing w:after="0"/>
              <w:rPr>
                <w:sz w:val="20"/>
                <w:szCs w:val="20"/>
                <w:color w:val="auto"/>
              </w:rPr>
            </w:pPr>
            <w:r>
              <w:rPr>
                <w:rFonts w:ascii="Arial" w:cs="Arial" w:eastAsia="Arial" w:hAnsi="Arial"/>
                <w:sz w:val="18"/>
                <w:szCs w:val="18"/>
                <w:color w:val="auto"/>
              </w:rPr>
              <w:t>No Fiduciary Duty</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11.17.</w:t>
            </w:r>
          </w:p>
        </w:tc>
        <w:tc>
          <w:tcPr>
            <w:tcW w:w="7600" w:type="dxa"/>
            <w:vAlign w:val="bottom"/>
          </w:tcPr>
          <w:p>
            <w:pPr>
              <w:ind w:left="160"/>
              <w:spacing w:after="0"/>
              <w:rPr>
                <w:sz w:val="20"/>
                <w:szCs w:val="20"/>
                <w:color w:val="auto"/>
              </w:rPr>
            </w:pPr>
            <w:r>
              <w:rPr>
                <w:rFonts w:ascii="Arial" w:cs="Arial" w:eastAsia="Arial" w:hAnsi="Arial"/>
                <w:sz w:val="18"/>
                <w:szCs w:val="18"/>
                <w:color w:val="auto"/>
              </w:rPr>
              <w:t>Senior Indebtedness</w:t>
            </w:r>
          </w:p>
        </w:tc>
        <w:tc>
          <w:tcPr>
            <w:tcW w:w="2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SECTION 11.18.    Conversion of Currencies</w:t>
            </w:r>
          </w:p>
        </w:tc>
        <w:tc>
          <w:tcPr>
            <w:tcW w:w="2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11.19.</w:t>
            </w:r>
          </w:p>
        </w:tc>
        <w:tc>
          <w:tcPr>
            <w:tcW w:w="7600" w:type="dxa"/>
            <w:vAlign w:val="bottom"/>
          </w:tcPr>
          <w:p>
            <w:pPr>
              <w:ind w:left="160"/>
              <w:spacing w:after="0"/>
              <w:rPr>
                <w:sz w:val="20"/>
                <w:szCs w:val="20"/>
                <w:color w:val="auto"/>
              </w:rPr>
            </w:pPr>
            <w:r>
              <w:rPr>
                <w:rFonts w:ascii="Arial" w:cs="Arial" w:eastAsia="Arial" w:hAnsi="Arial"/>
                <w:sz w:val="18"/>
                <w:szCs w:val="18"/>
                <w:color w:val="auto"/>
              </w:rPr>
              <w:t>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8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34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5"/>
        </w:trPr>
        <w:tc>
          <w:tcPr>
            <w:tcW w:w="160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3440" w:type="dxa"/>
            <w:vAlign w:val="bottom"/>
          </w:tcPr>
          <w:p>
            <w:pPr>
              <w:ind w:left="360"/>
              <w:spacing w:after="0"/>
              <w:rPr>
                <w:sz w:val="20"/>
                <w:szCs w:val="20"/>
                <w:color w:val="auto"/>
              </w:rPr>
            </w:pPr>
            <w:r>
              <w:rPr>
                <w:rFonts w:ascii="Arial" w:cs="Arial" w:eastAsia="Arial" w:hAnsi="Arial"/>
                <w:sz w:val="18"/>
                <w:szCs w:val="18"/>
                <w:color w:val="auto"/>
              </w:rPr>
              <w:t>Applicable Funding Account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3440" w:type="dxa"/>
            <w:vAlign w:val="bottom"/>
          </w:tcPr>
          <w:p>
            <w:pPr>
              <w:ind w:left="3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440" w:type="dxa"/>
            <w:vAlign w:val="bottom"/>
          </w:tcPr>
          <w:p>
            <w:pPr>
              <w:ind w:left="360"/>
              <w:spacing w:after="0"/>
              <w:rPr>
                <w:sz w:val="20"/>
                <w:szCs w:val="20"/>
                <w:color w:val="auto"/>
              </w:rPr>
            </w:pPr>
            <w:r>
              <w:rPr>
                <w:rFonts w:ascii="Arial" w:cs="Arial" w:eastAsia="Arial" w:hAnsi="Arial"/>
                <w:sz w:val="18"/>
                <w:szCs w:val="18"/>
                <w:color w:val="auto"/>
              </w:rPr>
              <w:t>Commitments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2.04</w:t>
            </w:r>
          </w:p>
        </w:tc>
        <w:tc>
          <w:tcPr>
            <w:tcW w:w="3440" w:type="dxa"/>
            <w:vAlign w:val="bottom"/>
          </w:tcPr>
          <w:p>
            <w:pPr>
              <w:ind w:left="360"/>
              <w:spacing w:after="0"/>
              <w:rPr>
                <w:sz w:val="20"/>
                <w:szCs w:val="20"/>
                <w:color w:val="auto"/>
              </w:rPr>
            </w:pPr>
            <w:r>
              <w:rPr>
                <w:rFonts w:ascii="Arial" w:cs="Arial" w:eastAsia="Arial" w:hAnsi="Arial"/>
                <w:sz w:val="18"/>
                <w:szCs w:val="18"/>
                <w:color w:val="auto"/>
              </w:rPr>
              <w:t>LC Commitments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3440" w:type="dxa"/>
            <w:vAlign w:val="bottom"/>
          </w:tcPr>
          <w:p>
            <w:pPr>
              <w:ind w:left="360"/>
              <w:spacing w:after="0"/>
              <w:rPr>
                <w:sz w:val="20"/>
                <w:szCs w:val="20"/>
                <w:color w:val="auto"/>
              </w:rPr>
            </w:pPr>
            <w:r>
              <w:rPr>
                <w:rFonts w:ascii="Arial" w:cs="Arial" w:eastAsia="Arial" w:hAnsi="Arial"/>
                <w:sz w:val="18"/>
                <w:szCs w:val="18"/>
                <w:color w:val="auto"/>
              </w:rPr>
              <w:t>Subsidiaries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3440" w:type="dxa"/>
            <w:vAlign w:val="bottom"/>
          </w:tcPr>
          <w:p>
            <w:pPr>
              <w:ind w:left="360"/>
              <w:spacing w:after="0"/>
              <w:rPr>
                <w:sz w:val="20"/>
                <w:szCs w:val="20"/>
                <w:color w:val="auto"/>
              </w:rPr>
            </w:pPr>
            <w:r>
              <w:rPr>
                <w:rFonts w:ascii="Arial" w:cs="Arial" w:eastAsia="Arial" w:hAnsi="Arial"/>
                <w:sz w:val="18"/>
                <w:szCs w:val="18"/>
                <w:color w:val="auto"/>
              </w:rPr>
              <w:t>Indebtedness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6.02(d)</w:t>
            </w:r>
          </w:p>
        </w:tc>
        <w:tc>
          <w:tcPr>
            <w:tcW w:w="3440" w:type="dxa"/>
            <w:vAlign w:val="bottom"/>
          </w:tcPr>
          <w:p>
            <w:pPr>
              <w:ind w:left="360"/>
              <w:spacing w:after="0"/>
              <w:rPr>
                <w:sz w:val="20"/>
                <w:szCs w:val="20"/>
                <w:color w:val="auto"/>
              </w:rPr>
            </w:pPr>
            <w:r>
              <w:rPr>
                <w:rFonts w:ascii="Arial" w:cs="Arial" w:eastAsia="Arial" w:hAnsi="Arial"/>
                <w:sz w:val="18"/>
                <w:szCs w:val="18"/>
                <w:color w:val="auto"/>
              </w:rPr>
              <w:t>Certain Liens</w:t>
            </w:r>
          </w:p>
        </w:tc>
      </w:t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3440" w:type="dxa"/>
            <w:vAlign w:val="bottom"/>
          </w:tcPr>
          <w:p>
            <w:pPr>
              <w:ind w:left="360"/>
              <w:spacing w:after="0"/>
              <w:rPr>
                <w:sz w:val="20"/>
                <w:szCs w:val="20"/>
                <w:color w:val="auto"/>
              </w:rPr>
            </w:pPr>
            <w:r>
              <w:rPr>
                <w:rFonts w:ascii="Arial" w:cs="Arial" w:eastAsia="Arial" w:hAnsi="Arial"/>
                <w:sz w:val="18"/>
                <w:szCs w:val="18"/>
                <w:color w:val="auto"/>
              </w:rPr>
              <w:t>Restrictive Agreements</w:t>
            </w:r>
          </w:p>
        </w:tc>
      </w:tr>
      <w:tr>
        <w:trPr>
          <w:trHeight w:val="500"/>
        </w:trPr>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34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5"/>
        </w:trPr>
        <w:tc>
          <w:tcPr>
            <w:tcW w:w="16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3440" w:type="dxa"/>
            <w:vAlign w:val="bottom"/>
          </w:tcPr>
          <w:p>
            <w:pPr>
              <w:ind w:left="3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3440" w:type="dxa"/>
            <w:vAlign w:val="bottom"/>
          </w:tcPr>
          <w:p>
            <w:pPr>
              <w:ind w:left="360"/>
              <w:spacing w:after="0"/>
              <w:rPr>
                <w:sz w:val="20"/>
                <w:szCs w:val="20"/>
                <w:color w:val="auto"/>
              </w:rPr>
            </w:pPr>
            <w:r>
              <w:rPr>
                <w:rFonts w:ascii="Arial" w:cs="Arial" w:eastAsia="Arial" w:hAnsi="Arial"/>
                <w:sz w:val="18"/>
                <w:szCs w:val="18"/>
                <w:color w:val="auto"/>
              </w:rPr>
              <w:t>Form of Borrower Joinder Agreement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3440" w:type="dxa"/>
            <w:vAlign w:val="bottom"/>
          </w:tcPr>
          <w:p>
            <w:pPr>
              <w:ind w:left="360"/>
              <w:spacing w:after="0"/>
              <w:rPr>
                <w:sz w:val="20"/>
                <w:szCs w:val="20"/>
                <w:color w:val="auto"/>
              </w:rPr>
            </w:pPr>
            <w:r>
              <w:rPr>
                <w:rFonts w:ascii="Arial" w:cs="Arial" w:eastAsia="Arial" w:hAnsi="Arial"/>
                <w:sz w:val="18"/>
                <w:szCs w:val="18"/>
                <w:color w:val="auto"/>
                <w:w w:val="91"/>
              </w:rPr>
              <w:t>Form of Borrower Termination Agreement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440" w:type="dxa"/>
            <w:vAlign w:val="bottom"/>
          </w:tcPr>
          <w:p>
            <w:pPr>
              <w:ind w:left="360"/>
              <w:spacing w:after="0"/>
              <w:rPr>
                <w:sz w:val="20"/>
                <w:szCs w:val="20"/>
                <w:color w:val="auto"/>
              </w:rPr>
            </w:pPr>
            <w:r>
              <w:rPr>
                <w:rFonts w:ascii="Arial" w:cs="Arial" w:eastAsia="Arial" w:hAnsi="Arial"/>
                <w:sz w:val="18"/>
                <w:szCs w:val="18"/>
                <w:color w:val="auto"/>
              </w:rPr>
              <w:t>Form of Borrowing Request</w:t>
            </w:r>
          </w:p>
        </w:tc>
      </w:t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3440" w:type="dxa"/>
            <w:vAlign w:val="bottom"/>
          </w:tcPr>
          <w:p>
            <w:pPr>
              <w:ind w:left="360"/>
              <w:spacing w:after="0"/>
              <w:rPr>
                <w:sz w:val="20"/>
                <w:szCs w:val="20"/>
                <w:color w:val="auto"/>
              </w:rPr>
            </w:pPr>
            <w:r>
              <w:rPr>
                <w:rFonts w:ascii="Arial" w:cs="Arial" w:eastAsia="Arial" w:hAnsi="Arial"/>
                <w:sz w:val="18"/>
                <w:szCs w:val="18"/>
                <w:color w:val="auto"/>
              </w:rPr>
              <w:t>Maturity Date Extension Request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57" w:right="1440" w:bottom="1440" w:gutter="0" w:footer="0" w:header="0"/>
        </w:sectPr>
      </w:pPr>
    </w:p>
    <w:bookmarkStart w:id="9" w:name="page10"/>
    <w:bookmarkEnd w:id="9"/>
    <w:p>
      <w:pPr>
        <w:ind w:left="1940" w:right="100" w:firstLine="379"/>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AMENDED AND RESTATED CREDIT AGREEMENT dated as of December 12, 2014 (this </w:t>
      </w:r>
      <w:r>
        <w:rPr>
          <w:rFonts w:ascii="Arial" w:cs="Arial" w:eastAsia="Arial" w:hAnsi="Arial"/>
          <w:sz w:val="17"/>
          <w:szCs w:val="17"/>
          <w:i w:val="1"/>
          <w:iCs w:val="1"/>
          <w:color w:val="auto"/>
        </w:rPr>
        <w:t>“Agreement”)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hereto; the LENDERS from time to time party hereto; JPMORGAN CHASE BANK, N.A., as Administrative Agent; J.P. MORGAN EUROPE LIMITED, as London Agent; and JPMORGAN CHASE BANK, N.A., TORONTO BRANCH, as Canadian Agent.</w:t>
      </w:r>
    </w:p>
    <w:p>
      <w:pPr>
        <w:spacing w:after="0" w:line="17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WHEREAS, the Company, the several banks and other financial institutions party thereto, JPMorgan Chase Bank, N.A., as administrative agent, J.P. Morgan Europe Limited, as London Agent and JPMorgan Chase Bank, N.A., Toronto Branch, as Canadian agent are parties to a Credit Agreement dated as of December 20, 2011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on the Effective Date, the Existing Credit Agreement is being amended and restated in the form of this Agreement.</w:t>
      </w:r>
    </w:p>
    <w:p>
      <w:pPr>
        <w:spacing w:after="0" w:line="225"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WHEREAS, the Lenders have indicated their willingness to lend and the Issuing Banks have indicated their willingness to issue Letters of Credit, in each case, on the terms and subject to the conditions set forth herein.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NOW THEREFORE, in consideration for the mutual covenants and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As used in this Agreement, the following terms have the meanings specified below:</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Accession Agreement</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LIBO Rate</w:t>
      </w:r>
      <w:r>
        <w:rPr>
          <w:rFonts w:ascii="Arial" w:cs="Arial" w:eastAsia="Arial" w:hAnsi="Arial"/>
          <w:sz w:val="18"/>
          <w:szCs w:val="18"/>
          <w:color w:val="auto"/>
        </w:rPr>
        <w:t>” means an interest rate per annum equal to the product of (i) the LIBO Rate for US Dollars for such Interest Period multiplied by (ii) the Statutory Reserve Rate.</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means JPMorgan Chase Bank, N.A., in its capacity as administrative agent for the Lenders hereunder, or any successor appointed in accordance with Article VIII.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ectPr>
          <w:pgSz w:w="11900" w:h="16838" w:orient="portrait"/>
          <w:cols w:equalWidth="0" w:num="1">
            <w:col w:w="11380"/>
          </w:cols>
          <w:pgMar w:left="240" w:top="274" w:right="279" w:bottom="1440" w:gutter="0" w:footer="0" w:header="0"/>
        </w:sectPr>
      </w:pPr>
    </w:p>
    <w:bookmarkStart w:id="10" w:name="page11"/>
    <w:bookmarkEnd w:id="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Agents</w:t>
      </w:r>
      <w:r>
        <w:rPr>
          <w:rFonts w:ascii="Arial" w:cs="Arial" w:eastAsia="Arial" w:hAnsi="Arial"/>
          <w:sz w:val="18"/>
          <w:szCs w:val="18"/>
          <w:color w:val="auto"/>
        </w:rPr>
        <w:t>” means the Administrative Agent, the London Agent and the Canadian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means, for any day, a rate per annum equal to the greatest of (a) the *Prime Rate (in the case of a Loan or Borrowing made to a *US Borrowing Subsidiary) or the *US Base Rate (in the case of a Loan or Borrowing made to a *Canadian Borrowing Subsidiary) in effect on such day,</w:t>
      </w:r>
    </w:p>
    <w:p>
      <w:pPr>
        <w:ind w:right="60" w:firstLine="8"/>
        <w:spacing w:after="0" w:line="248"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Federal Funds Effective Rate (but in no event less than zero) in effect on such day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per annum and (c) the Adjusted LIBO Rate on such day for a deposit in US Dollars with a maturity of one month plus 1% per annum. For purposes of clause (c) above, the Adjusted LIBO Rate on any day shall be based on the rate per annum appearing on the applicable Reuters screen page (currently page LIBOR01) displaying interest rates for US Dollar deposits in the London interbank market (or, in the event such rate does not appear on a page of the Reuters screen, on the appropriate page of such other information service that publishes such rate as shall be selected by the Administrative Agent from time to time in its reasonable discretion) at approximately 11:00 a.m., London time, on such day for deposits in dollars with a maturity of one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rate shall be less than zero, such rate shall be deemed to be zero. Any change in the Alternate Base Rate due to a change in the Prime Rate, the US Base Rate, the Federal Funds Effective Rate or the Adjusted LIBO Rate shall be effective from and including the effective date of such change in the Prime Rate, the US Base Rate, the Federal Funds Effective Rate or the Adjusted LIBO Rate, as the case may be.</w:t>
      </w:r>
    </w:p>
    <w:p>
      <w:pPr>
        <w:spacing w:after="0" w:line="19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Agent</w:t>
      </w:r>
      <w:r>
        <w:rPr>
          <w:rFonts w:ascii="Arial" w:cs="Arial" w:eastAsia="Arial" w:hAnsi="Arial"/>
          <w:sz w:val="18"/>
          <w:szCs w:val="18"/>
          <w:color w:val="auto"/>
        </w:rPr>
        <w:t>” means (a) with respect to a Loan or Borrowing (other than by a Canadian Borrowing Subsidiary) denominated in US Dollars or any Letter of Credit, and with respect to any payment hereunder that does not relate to a particular Loan, Borrowing, BA or Letter of Credit, the Administrative Agent, (b) with respect to a Loan or Borrowing by a Canadian Borrowing Subsidiary denominated in US Dollars, a Loan or Borrowing denominated in Canadian Dollars or a BA, the Canadian Agent and (c) with respect to a Loan or Borrowing denominated in a currency other than US Dollars or Canadian Dollars, the London Agent.</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Funding Account</w:t>
      </w:r>
      <w:r>
        <w:rPr>
          <w:rFonts w:ascii="Arial" w:cs="Arial" w:eastAsia="Arial" w:hAnsi="Arial"/>
          <w:sz w:val="18"/>
          <w:szCs w:val="18"/>
          <w:color w:val="auto"/>
        </w:rPr>
        <w:t xml:space="preserve">” means, as to each Borrower, the applicable account with the Applicable Agent (or one of its Affiliates) specified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 or set forth in such Borrower’s Borrower Joinder Agreement entered pursuant to Section 2.21 (or if no such account is specified for such Borrower on such Schedule or such Joinder Agreement, in a written notice signed by a Financial Officer and delivered to and approved by such Applicable Agent prior to the initial extension of credit to such Borrower hereunder), or, following the initial designation of an Applicable Funding Account for such Borrower, any other account with the Applicable Agent (or one of its Affiliates) that shall be specified in a written notice signed by a Financial Officer and delivered to and approved by such Applicable Agent.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p>
      <w:pPr>
        <w:jc w:val="both"/>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Applicable Rate</w:t>
      </w:r>
      <w:r>
        <w:rPr>
          <w:rFonts w:ascii="Arial" w:cs="Arial" w:eastAsia="Arial" w:hAnsi="Arial"/>
          <w:sz w:val="18"/>
          <w:szCs w:val="18"/>
          <w:color w:val="auto"/>
        </w:rPr>
        <w:t>” means, for any day, the applicable rate per annum set forth below under the caption “Facility Fee Rate”, “LIBOR/EURIBOR Spread and BA Stamping Fee” or “ABR/Canadian Prime Rate Spread”, as the case may be, based upon the Ratings established by S&amp;P and Moody’s for the Index Debt as of the most recent determination date: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Ratings</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Facility Fee</w:t>
            </w: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LIBOR/EURIBOR</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ABR/Canadian</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184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Spread and BA</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Prime Rate</w:t>
            </w:r>
          </w:p>
        </w:tc>
        <w:tc>
          <w:tcPr>
            <w:tcW w:w="0" w:type="dxa"/>
            <w:vAlign w:val="bottom"/>
          </w:tcPr>
          <w:p>
            <w:pPr>
              <w:spacing w:after="0"/>
              <w:rPr>
                <w:sz w:val="1"/>
                <w:szCs w:val="1"/>
                <w:color w:val="auto"/>
              </w:rPr>
            </w:pPr>
          </w:p>
        </w:tc>
      </w:tr>
      <w:tr>
        <w:trPr>
          <w:trHeight w:val="163"/>
        </w:trPr>
        <w:tc>
          <w:tcPr>
            <w:tcW w:w="580" w:type="dxa"/>
            <w:vAlign w:val="bottom"/>
            <w:tcBorders>
              <w:bottom w:val="single" w:sz="8" w:color="auto"/>
            </w:tcBorders>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9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7"/>
              </w:rPr>
              <w:t>(S&amp;P/Moody’s)</w:t>
            </w:r>
          </w:p>
        </w:tc>
        <w:tc>
          <w:tcPr>
            <w:tcW w:w="1480" w:type="dxa"/>
            <w:vAlign w:val="bottom"/>
            <w:gridSpan w:val="2"/>
          </w:tcPr>
          <w:p>
            <w:pPr>
              <w:jc w:val="right"/>
              <w:ind w:right="980"/>
              <w:spacing w:after="0" w:line="158" w:lineRule="exact"/>
              <w:rPr>
                <w:sz w:val="20"/>
                <w:szCs w:val="20"/>
                <w:color w:val="auto"/>
              </w:rPr>
            </w:pPr>
            <w:r>
              <w:rPr>
                <w:rFonts w:ascii="Arial" w:cs="Arial" w:eastAsia="Arial" w:hAnsi="Arial"/>
                <w:sz w:val="14"/>
                <w:szCs w:val="14"/>
                <w:b w:val="1"/>
                <w:bCs w:val="1"/>
                <w:color w:val="auto"/>
              </w:rPr>
              <w:t>Rate</w:t>
            </w:r>
          </w:p>
        </w:tc>
        <w:tc>
          <w:tcPr>
            <w:tcW w:w="196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Stamping Fee</w:t>
            </w:r>
          </w:p>
        </w:tc>
        <w:tc>
          <w:tcPr>
            <w:tcW w:w="11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Spread</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Category 1</w:t>
            </w:r>
          </w:p>
        </w:tc>
        <w:tc>
          <w:tcPr>
            <w:tcW w:w="160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higher</w:t>
            </w:r>
          </w:p>
        </w:tc>
        <w:tc>
          <w:tcPr>
            <w:tcW w:w="560" w:type="dxa"/>
            <w:vAlign w:val="bottom"/>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.100%</w:t>
            </w:r>
          </w:p>
        </w:tc>
        <w:tc>
          <w:tcPr>
            <w:tcW w:w="19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.900%</w:t>
            </w: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Category 2</w:t>
            </w:r>
          </w:p>
        </w:tc>
        <w:tc>
          <w:tcPr>
            <w:tcW w:w="3500" w:type="dxa"/>
            <w:vAlign w:val="bottom"/>
            <w:gridSpan w:val="3"/>
          </w:tcPr>
          <w:p>
            <w:pPr>
              <w:ind w:left="1600"/>
              <w:spacing w:after="0"/>
              <w:rPr>
                <w:sz w:val="20"/>
                <w:szCs w:val="20"/>
                <w:color w:val="auto"/>
              </w:rPr>
            </w:pPr>
            <w:r>
              <w:rPr>
                <w:rFonts w:ascii="Arial" w:cs="Arial" w:eastAsia="Arial" w:hAnsi="Arial"/>
                <w:sz w:val="18"/>
                <w:szCs w:val="18"/>
                <w:color w:val="auto"/>
              </w:rPr>
              <w:t>BBB+/Baa1</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.125%</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3</w:t>
            </w:r>
          </w:p>
        </w:tc>
        <w:tc>
          <w:tcPr>
            <w:tcW w:w="35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BBB/Baa2</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Category 4</w:t>
            </w:r>
          </w:p>
        </w:tc>
        <w:tc>
          <w:tcPr>
            <w:tcW w:w="3500" w:type="dxa"/>
            <w:vAlign w:val="bottom"/>
            <w:gridSpan w:val="3"/>
          </w:tcPr>
          <w:p>
            <w:pPr>
              <w:ind w:left="1600"/>
              <w:spacing w:after="0"/>
              <w:rPr>
                <w:sz w:val="20"/>
                <w:szCs w:val="20"/>
                <w:color w:val="auto"/>
              </w:rPr>
            </w:pPr>
            <w:r>
              <w:rPr>
                <w:rFonts w:ascii="Arial" w:cs="Arial" w:eastAsia="Arial" w:hAnsi="Arial"/>
                <w:sz w:val="18"/>
                <w:szCs w:val="18"/>
                <w:color w:val="auto"/>
              </w:rPr>
              <w:t>BBB-/Baa3</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.200%</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1.300%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5</w:t>
            </w:r>
          </w:p>
        </w:tc>
        <w:tc>
          <w:tcPr>
            <w:tcW w:w="35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BB+/Ba1 or lower</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For purposes of the foregoing, (i) if Moody’s or S&amp;P shall not have in effect a Rating for the Index Debt (other than by reason of the circumstances referred to in the last sentence of this definition), then such rating agency shall be deemed to have established a Rating in Category 5; (ii) if the Ratings established or deemed to have been established by Moody’s and S&amp;P for the Index Debt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and (iii) if the Rating established or deemed to have been established by Moody’s or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Ratings of the other rating agency (or, if the circumstances referred to in this sentence shall affect both rating agencies, the Ratings most recently in effect prior to such changes or cessations).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has the meaning assigned to such term in Section 11.04.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Arrangers</w:t>
      </w:r>
      <w:r>
        <w:rPr>
          <w:rFonts w:ascii="Arial" w:cs="Arial" w:eastAsia="Arial" w:hAnsi="Arial"/>
          <w:sz w:val="18"/>
          <w:szCs w:val="18"/>
          <w:color w:val="auto"/>
        </w:rPr>
        <w:t>” means J.P. Morgan Securities LLC, Citigroup Global Markets Inc. and HSBC Bank plc.</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11.04),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 w:name="page13"/>
    <w:bookmarkEnd w:id="1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Agent</w:t>
      </w:r>
      <w:r>
        <w:rPr>
          <w:rFonts w:ascii="Arial" w:cs="Arial" w:eastAsia="Arial" w:hAnsi="Arial"/>
          <w:sz w:val="18"/>
          <w:szCs w:val="18"/>
          <w:color w:val="auto"/>
        </w:rPr>
        <w:t>” has the meaning set forth in Section 11.09(d).</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w:t>
      </w:r>
      <w:r>
        <w:rPr>
          <w:rFonts w:ascii="Arial" w:cs="Arial" w:eastAsia="Arial" w:hAnsi="Arial"/>
          <w:sz w:val="16"/>
          <w:szCs w:val="16"/>
          <w:color w:val="auto"/>
        </w:rPr>
        <w:t>” means a bill of exchange, including a depository bill issued in accordance with the Depository Bills and Notes Act (Canada), denominated in Canadian Dollars, drawn by a Canadian Borrowing Subsidiary and accepted by a Lender in accordance with the terms of this Agreement.</w:t>
      </w:r>
    </w:p>
    <w:p>
      <w:pPr>
        <w:spacing w:after="0" w:line="124"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Drawing</w:t>
      </w:r>
      <w:r>
        <w:rPr>
          <w:rFonts w:ascii="Arial" w:cs="Arial" w:eastAsia="Arial" w:hAnsi="Arial"/>
          <w:sz w:val="18"/>
          <w:szCs w:val="18"/>
          <w:color w:val="auto"/>
        </w:rPr>
        <w:t>” means BAs accepted and purchased (and any BA Equivalent Loans made in lieu of such acceptance and purchase) on the same date and as to which a single Contract Period is in effect.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has the meaning assigned to such term in Section 2.05(k).</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Event</w:t>
      </w:r>
      <w:r>
        <w:rPr>
          <w:rFonts w:ascii="Arial" w:cs="Arial" w:eastAsia="Arial" w:hAnsi="Arial"/>
          <w:sz w:val="16"/>
          <w:szCs w:val="16"/>
          <w:color w:val="auto"/>
        </w:rPr>
        <w:t>”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acquiescenced in, any such proceeding or appointment; provided that a Bankruptcy Event shall not result solely by virtue of any ownership interest, or the acquisition of any ownership interest, in such Person by a Governmental Authority; provided, however,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67"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Basket Amount</w:t>
      </w:r>
      <w:r>
        <w:rPr>
          <w:rFonts w:ascii="Arial" w:cs="Arial" w:eastAsia="Arial" w:hAnsi="Arial"/>
          <w:sz w:val="18"/>
          <w:szCs w:val="18"/>
          <w:color w:val="auto"/>
        </w:rPr>
        <w:t>” means, at any time, the greater of (a) US$250,000,000 and (b) 10% of Consolidated Tangible Assets at the end of the most recent fiscal quarter of the Company for which financial statements have been delivered under Section 5.01 (or, prior to the delivery of any such financial statements, at September 30, 2014).</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any Tranche A Borrower, Tranche B Borrower or Tranche C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Joinder Agreement</w:t>
      </w:r>
      <w:r>
        <w:rPr>
          <w:rFonts w:ascii="Arial" w:cs="Arial" w:eastAsia="Arial" w:hAnsi="Arial"/>
          <w:sz w:val="18"/>
          <w:szCs w:val="18"/>
          <w:color w:val="auto"/>
        </w:rPr>
        <w:t xml:space="preserve">” means a Borrower Joinder Agreement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3" w:name="page14"/>
    <w:bookmarkEnd w:id="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Borrower Termination Agreement</w:t>
      </w:r>
      <w:r>
        <w:rPr>
          <w:rFonts w:ascii="Arial" w:cs="Arial" w:eastAsia="Arial" w:hAnsi="Arial"/>
          <w:sz w:val="18"/>
          <w:szCs w:val="18"/>
          <w:color w:val="auto"/>
        </w:rPr>
        <w:t xml:space="preserve">” means a Borrower Termination Agreement,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means Loans of the same Class and Type made, converted or continued on the same date and, in the case of LIBOR Loans, as to which a single Interest Period is in effect.</w:t>
      </w:r>
    </w:p>
    <w:p>
      <w:pPr>
        <w:spacing w:after="0" w:line="170"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Minimum</w:t>
      </w:r>
      <w:r>
        <w:rPr>
          <w:rFonts w:ascii="Arial" w:cs="Arial" w:eastAsia="Arial" w:hAnsi="Arial"/>
          <w:sz w:val="18"/>
          <w:szCs w:val="18"/>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means a request by a Borrower for a Revolving Borrowing in accordance with Section 2.03.</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Subsidiary</w:t>
      </w:r>
      <w:r>
        <w:rPr>
          <w:rFonts w:ascii="Arial" w:cs="Arial" w:eastAsia="Arial" w:hAnsi="Arial"/>
          <w:sz w:val="18"/>
          <w:szCs w:val="18"/>
          <w:color w:val="auto"/>
        </w:rPr>
        <w:t>” means (a) European Software Marketing Limited, a Guernsey limited company, and (b) any other Subsidiary that has become a Borrowing Subsidiary as provided in Section 2.21; provided that any Subsidiary referred to in the preceding clauses (a) and (b) may cease to be a Borrowing Subsidiary as provided in Section 2.21.</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means any day that is not a Saturday, Sunday or other day on which commercial banks in New York City or London are authorized or required by law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that (a) when used in connection with a LIBOR Loan in any currency,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dealings in deposits in such currency in the London interbank market, (b) when used in connection with a EURIBOR Loan,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TARGET is not open for the settlement of payments in Euros, (c) when used in connection with a Canadian Prime Rate Loan or a BA,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business in Toronto and (d) when used in connection with a Loan to any Borrower organized in a jurisdiction other than the United States of America, the United Kingdom or Canada,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commercial banks in the jurisdiction of organization of such Borrower are authorized or required by law to remain closed.</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w:t>
      </w:r>
      <w:r>
        <w:rPr>
          <w:rFonts w:ascii="Arial" w:cs="Arial" w:eastAsia="Arial" w:hAnsi="Arial"/>
          <w:sz w:val="17"/>
          <w:szCs w:val="17"/>
          <w:color w:val="auto"/>
        </w:rPr>
        <w:t>” means the mechanism for the allocation and exchange of interests in the Tranches and the collections thereunder established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IX.</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Exchange</w:t>
      </w:r>
      <w:r>
        <w:rPr>
          <w:rFonts w:ascii="Arial" w:cs="Arial" w:eastAsia="Arial" w:hAnsi="Arial"/>
          <w:sz w:val="18"/>
          <w:szCs w:val="18"/>
          <w:color w:val="auto"/>
        </w:rPr>
        <w:t>” means the exchange of the Lenders’ interests provided for in Article IX.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Date</w:t>
      </w:r>
      <w:r>
        <w:rPr>
          <w:rFonts w:ascii="Arial" w:cs="Arial" w:eastAsia="Arial" w:hAnsi="Arial"/>
          <w:sz w:val="16"/>
          <w:szCs w:val="16"/>
          <w:color w:val="auto"/>
        </w:rPr>
        <w:t>” means the date on which any event referred to in clause (h) or (i) of Article VII shall occur with respect to the Company.</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Percentage</w:t>
      </w:r>
      <w:r>
        <w:rPr>
          <w:rFonts w:ascii="Arial" w:cs="Arial" w:eastAsia="Arial" w:hAnsi="Arial"/>
          <w:sz w:val="18"/>
          <w:szCs w:val="18"/>
          <w:color w:val="auto"/>
        </w:rPr>
        <w:t>”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owed to all the Lenders (whether or not at the time due and payable) immediately prior to the CAM Exchange. For purposes of determining the CAM Percentages, the amount payable in respect of any BA shall be deemed to be the face amount thereof, reduced by the unaccreted portion of the discount at which such BA shall have been purchased (taking into account the applicable Discount Rates and acceptance fees), as determined by the Administrative Agent in accordance with accepted financial practice.</w:t>
      </w:r>
    </w:p>
    <w:p>
      <w:pPr>
        <w:spacing w:after="0" w:line="18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Agent</w:t>
      </w:r>
      <w:r>
        <w:rPr>
          <w:rFonts w:ascii="Arial" w:cs="Arial" w:eastAsia="Arial" w:hAnsi="Arial"/>
          <w:sz w:val="18"/>
          <w:szCs w:val="18"/>
          <w:color w:val="auto"/>
        </w:rPr>
        <w:t>” means JPMorgan Chase Bank, N.A., Toronto Branch, in its capacity as Canadian agent for the Lenders hereunder, or any successor appointed in accordance with Article VIII.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Borrowing Subsidiary</w:t>
      </w:r>
      <w:r>
        <w:rPr>
          <w:rFonts w:ascii="Arial" w:cs="Arial" w:eastAsia="Arial" w:hAnsi="Arial"/>
          <w:sz w:val="18"/>
          <w:szCs w:val="18"/>
          <w:color w:val="auto"/>
        </w:rPr>
        <w:t>” means any Borrowing Subsidiary that is a Canadian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or “</w:t>
      </w:r>
      <w:r>
        <w:rPr>
          <w:rFonts w:ascii="Arial" w:cs="Arial" w:eastAsia="Arial" w:hAnsi="Arial"/>
          <w:sz w:val="18"/>
          <w:szCs w:val="18"/>
          <w:i w:val="1"/>
          <w:iCs w:val="1"/>
          <w:color w:val="auto"/>
        </w:rPr>
        <w:t>Cdn.$</w:t>
      </w:r>
      <w:r>
        <w:rPr>
          <w:rFonts w:ascii="Arial" w:cs="Arial" w:eastAsia="Arial" w:hAnsi="Arial"/>
          <w:sz w:val="18"/>
          <w:szCs w:val="18"/>
          <w:color w:val="auto"/>
        </w:rPr>
        <w:t>” means the lawful money of Canada.</w:t>
      </w:r>
    </w:p>
    <w:p>
      <w:pPr>
        <w:spacing w:after="0" w:line="225"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means, for any day, the rate of interest per annum (rounded upwards, if necessary, to the next 1/100 of 1%) equal to the greater of (a) the interest rate per annum publicly announced from time to time by the Canadian Agent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CDOR Rate (but in no event less than zero) on such day (or, if such rate is not so reported on the Reuters Screen CDOR Page, the average of the rate quotes for bankers’ acceptances denominated in Canadian Dollars with a one month term received by the Canadian Agent at approximately 10:00 a.m., Toronto time, on such day (or, if such day is not a Business Day, on the next preceding Business Day) from the Schedule I Reference Lenders) and (ii) 0.50% per annum.</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Subsidiary</w:t>
      </w:r>
      <w:r>
        <w:rPr>
          <w:rFonts w:ascii="Arial" w:cs="Arial" w:eastAsia="Arial" w:hAnsi="Arial"/>
          <w:sz w:val="16"/>
          <w:szCs w:val="16"/>
          <w:color w:val="auto"/>
        </w:rPr>
        <w:t>” means any Subsidiary that is incorporated or otherwise organized under the laws of Canada or any political subdivision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CDOR Rate</w:t>
      </w:r>
      <w:r>
        <w:rPr>
          <w:rFonts w:ascii="Arial" w:cs="Arial" w:eastAsia="Arial" w:hAnsi="Arial"/>
          <w:sz w:val="18"/>
          <w:szCs w:val="18"/>
          <w:color w:val="auto"/>
        </w:rPr>
        <w:t>” means, on any date, an interest rate per annum equal to the stated average discount rate applicable to bankers’ acceptances denominated in Canadian Dollars with a term of one month (for purposes of the definition of “</w:t>
      </w:r>
      <w:r>
        <w:rPr>
          <w:rFonts w:ascii="Arial" w:cs="Arial" w:eastAsia="Arial" w:hAnsi="Arial"/>
          <w:sz w:val="18"/>
          <w:szCs w:val="18"/>
          <w:i w:val="1"/>
          <w:iCs w:val="1"/>
          <w:color w:val="auto"/>
        </w:rPr>
        <w:t>Canadian Prime Rate</w:t>
      </w:r>
      <w:r>
        <w:rPr>
          <w:rFonts w:ascii="Arial" w:cs="Arial" w:eastAsia="Arial" w:hAnsi="Arial"/>
          <w:sz w:val="18"/>
          <w:szCs w:val="18"/>
          <w:color w:val="auto"/>
        </w:rPr>
        <w:t>”) or with a term equal to the Contract Period of the relevant BAs (for purposes of the definition of “</w:t>
      </w:r>
      <w:r>
        <w:rPr>
          <w:rFonts w:ascii="Arial" w:cs="Arial" w:eastAsia="Arial" w:hAnsi="Arial"/>
          <w:sz w:val="18"/>
          <w:szCs w:val="18"/>
          <w:i w:val="1"/>
          <w:iCs w:val="1"/>
          <w:color w:val="auto"/>
        </w:rPr>
        <w:t>Discount Rate</w:t>
      </w:r>
      <w:r>
        <w:rPr>
          <w:rFonts w:ascii="Arial" w:cs="Arial" w:eastAsia="Arial" w:hAnsi="Arial"/>
          <w:sz w:val="18"/>
          <w:szCs w:val="18"/>
          <w:color w:val="auto"/>
        </w:rPr>
        <w:t>”) appearing on the Reuters Screen CDOR Page (or on any successor or substitute page of such Screen, or any successor to or substitute for such Screen, providing rate quotations comparable to those currently provided on such page of such Screen, as determined by the Canadian Agent from time to time) at approximately 10:00 a.m., Toronto time, on such date (or, if such date is not a Business Day, on the next preceding Business Day).</w:t>
      </w:r>
    </w:p>
    <w:p>
      <w:pPr>
        <w:spacing w:after="0" w:line="193"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 thereunder as in effect on the date hereof), of shares representing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35% of the aggregate ordinary voting power represented by the issued and outstanding capital stock of the Company; (b) occupation of a majority of the seats (other than vacant seats) on the board of directors of the Company by Persons who were neither (i) nominated by the board of directors of the Company nor (ii) appointed by directors so nominated; (c) the acquisition of direct or indirect Control of the Company by any Person or group; or (d) the acquisition of any Equity Interests (other than directors’ or other qualifying shares) of any Borrowing Subsidiary by any Person other than the Company or a Subsidiary.</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or CRD IV, shall in each case be deemed to be a “Change in Law”, whether enacted, adopted, promulgated or issued before or after the date of this Agreement.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has the meaning set forth in Section 2.17(c).</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 any Loan or Borrowing, refers to whether such Loan, or the Loans comprising such Borrowing, are Tranche A Revolving Loans, Tranche B Revolving Loans or Tranche C Revolving Loans, and (b) any Commitment, refers to whether such Commitment is a Tranche A Commitment, a Tranche B Commitment or a Tranche C Commitment.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means the Tranche A Commitments, the Tranche B Commitments and the Tranche C Commitments. The aggregate amount of the Commitments as of the Closing Date is US$500,000,000.</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any Credit Party pursuant to any Credit Document or the transactions contemplated therein that is distributed to the Agents, any Lender or any Issuing Bank by means of electronic communications pursuant to Section 11.01, including through the Platform.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assigned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Assets</w:t>
      </w:r>
      <w:r>
        <w:rPr>
          <w:rFonts w:ascii="Arial" w:cs="Arial" w:eastAsia="Arial" w:hAnsi="Arial"/>
          <w:sz w:val="16"/>
          <w:szCs w:val="16"/>
          <w:color w:val="auto"/>
        </w:rPr>
        <w:t>” means, at any time, the aggregate amount of assets (less applicable accumulated depreciation, depletion and amortization and other reserves and other properly deductible items) of the Company and its Subsidiaries, all as set forth in the most recent consolidated balance sheet of the Company and its Subsidiaries, determined in accordance with GAAP, included in the periodic reports of the Company filed with the SEC.</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74" w:right="359" w:bottom="1440" w:gutter="0" w:footer="0" w:header="0"/>
        </w:sectPr>
      </w:pPr>
    </w:p>
    <w:bookmarkStart w:id="16" w:name="page17"/>
    <w:bookmarkEnd w:id="16"/>
    <w:p>
      <w:pPr>
        <w:ind w:right="3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Consolidated EBITDA</w:t>
      </w:r>
      <w:r>
        <w:rPr>
          <w:rFonts w:ascii="Arial" w:cs="Arial" w:eastAsia="Arial" w:hAnsi="Arial"/>
          <w:sz w:val="16"/>
          <w:szCs w:val="16"/>
          <w:color w:val="auto"/>
        </w:rPr>
        <w:t xml:space="preserve">” means, for any period of four consecutive fiscal quarters,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without duplication and to the extent deducted in determining such Consolidated Net Income, the sum of (i) consolidated interest expense for such period,</w:t>
      </w:r>
    </w:p>
    <w:p>
      <w:pPr>
        <w:ind w:right="20" w:firstLine="8"/>
        <w:spacing w:after="0" w:line="281"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consolidated income tax (including, without duplication, any withholding or similar amount) expense for such period, (iii) any foreign exchange losses and short-term investment losses for such period, (iv) all amounts attributable to depreciation and amortization for such period, (v) noncash equity-based compensation expense for such period, (vi) fees and expenses incurred in connection with this Agreement, (vii) fees and expenses in an aggregate amount in any four consecutive quarters not in excess of US$5,000,000 incurred in connection with the issuance of any Indebtedness or equity or in connection with any acquisition, disposition or investment permitted under this Agreement, (viii) other extraordinary, unusual or nonreocurring cash charges in an aggregate amount in any four consecutive quarters not in excess of US$2,000,000 and (ix) any nonreocurring noncash charges for such period (including, without limitation, any such charges resulting from fair value adjustments of contingent consideration),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to the extent included in determining such Consolidated Net Income, any nonrecurring noncash gains for such period (including, without limitation, any such charges resulting from fair value adjustments of contingent consideration), (ii) any foreign exchange gains and short-term investment gains for such period and</w:t>
      </w:r>
    </w:p>
    <w:p>
      <w:pPr>
        <w:spacing w:after="0" w:line="6" w:lineRule="exact"/>
        <w:rPr>
          <w:rFonts w:ascii="Arial" w:cs="Arial" w:eastAsia="Arial" w:hAnsi="Arial"/>
          <w:sz w:val="16"/>
          <w:szCs w:val="16"/>
          <w:color w:val="auto"/>
        </w:rPr>
      </w:pPr>
    </w:p>
    <w:p>
      <w:pPr>
        <w:ind w:firstLine="8"/>
        <w:spacing w:after="0" w:line="287" w:lineRule="auto"/>
        <w:tabs>
          <w:tab w:leader="none" w:pos="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any cash payments made during such period in respect of items reflected as noncash equity-based compensation expense or nonrecurring noncash charges during any earlier period, all determined on a consolidated basis in accordance with GAAP. If the Company or any Subsidiary shall have made a Material Acquisition or a Material Disposition, Consolidated EBITDA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provided that the aggregate amount of any such additions in respect of any Material Acquisition shall not exceed 10% of Consolidated EBITDA for such four preceding quarters (before giving effect to such pro forma calculation).</w:t>
      </w:r>
    </w:p>
    <w:p>
      <w:pPr>
        <w:spacing w:after="0" w:line="16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four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17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fiscal period, the net income of the Company and the Consolidated Subsidiaries for such period, determined on a consolidated basis in accordance with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 w:name="page18"/>
    <w:bookmarkEnd w:id="17"/>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all as set forth in the most recent consolidated balance sheet of the Company, determined on a consolidated basis in accordance with GAAP.</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Subsidiary</w:t>
      </w:r>
      <w:r>
        <w:rPr>
          <w:rFonts w:ascii="Arial" w:cs="Arial" w:eastAsia="Arial" w:hAnsi="Arial"/>
          <w:sz w:val="16"/>
          <w:szCs w:val="16"/>
          <w:color w:val="auto"/>
        </w:rPr>
        <w:t>” means any Subsidiary that should be consolidated with the Company for financial reporting purposes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GAAP.</w:t>
      </w:r>
    </w:p>
    <w:p>
      <w:pPr>
        <w:spacing w:after="0" w:line="21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Indebtedness</w:t>
      </w:r>
      <w:r>
        <w:rPr>
          <w:rFonts w:ascii="Arial" w:cs="Arial" w:eastAsia="Arial" w:hAnsi="Arial"/>
          <w:sz w:val="18"/>
          <w:szCs w:val="18"/>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 Period</w:t>
      </w:r>
      <w:r>
        <w:rPr>
          <w:rFonts w:ascii="Arial" w:cs="Arial" w:eastAsia="Arial" w:hAnsi="Arial"/>
          <w:sz w:val="17"/>
          <w:szCs w:val="17"/>
          <w:color w:val="auto"/>
        </w:rPr>
        <w:t>” means, with respect to any BA, the period commencing on the date such BA is issued, accepted and purchased and ending on the date that is one, two, three and six months thereafter, as the applicable Canadian Borrowing Subsidiary may elect; provided that if such Contract Period would end on a day other than a Business Day, such Contract Period shall be extended to the next succeeding Business Day.</w:t>
      </w:r>
    </w:p>
    <w:p>
      <w:pPr>
        <w:spacing w:after="0" w:line="166"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i w:val="1"/>
          <w:iCs w:val="1"/>
          <w:color w:val="auto"/>
        </w:rPr>
        <w:t>Controlling</w:t>
      </w:r>
      <w:r>
        <w:rPr>
          <w:rFonts w:ascii="Arial" w:cs="Arial" w:eastAsia="Arial" w:hAnsi="Arial"/>
          <w:sz w:val="16"/>
          <w:szCs w:val="16"/>
          <w:color w:val="auto"/>
        </w:rPr>
        <w:t>” and “</w:t>
      </w:r>
      <w:r>
        <w:rPr>
          <w:rFonts w:ascii="Arial" w:cs="Arial" w:eastAsia="Arial" w:hAnsi="Arial"/>
          <w:sz w:val="16"/>
          <w:szCs w:val="16"/>
          <w:i w:val="1"/>
          <w:iCs w:val="1"/>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CRD IV</w:t>
      </w:r>
      <w:r>
        <w:rPr>
          <w:rFonts w:ascii="Arial" w:cs="Arial" w:eastAsia="Arial" w:hAnsi="Arial"/>
          <w:sz w:val="18"/>
          <w:szCs w:val="18"/>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each Borrower Joinder Agreement, each Borrower Termination Agreement and any promissory note issued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Parties</w:t>
      </w:r>
      <w:r>
        <w:rPr>
          <w:rFonts w:ascii="Arial" w:cs="Arial" w:eastAsia="Arial" w:hAnsi="Arial"/>
          <w:sz w:val="18"/>
          <w:szCs w:val="18"/>
          <w:color w:val="auto"/>
        </w:rPr>
        <w:t>” means the Company, in its capacity as a Borrower and a Guarantor hereunder, and the Borrowing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means any Lender that (a) has failed, within two Business Days of the date required to be funded or paid, (i) to fund any portion of its Loans, (ii) to fund any portion of its participations in Letters of Credit or (iii) to pay to any Agent, any Issuing Bank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any Agent, any Issuing Bank or any Lender in writing, or has made a public statement to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ind w:firstLine="8"/>
        <w:spacing w:after="0" w:line="273"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has failed, within three Business Days after request by an Agent or Issuing Bank made in good faith to provide a certification in writing from an authorized officer of such Lender that it will comply with its obligations to fund prospective Loans and participations in then outstanding Letters of Credit, provided that such Lender shall cease to be a Defaulting Lender pursuant to this clause (c) upon such Agent’s or Issuing Bank’s receipt of such certification in form and substance satisfactory to it and the Administrative Agent, or (d) has become the subject of a Bankruptcy Event.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Obligations</w:t>
      </w:r>
      <w:r>
        <w:rPr>
          <w:rFonts w:ascii="Arial" w:cs="Arial" w:eastAsia="Arial" w:hAnsi="Arial"/>
          <w:sz w:val="17"/>
          <w:szCs w:val="17"/>
          <w:color w:val="auto"/>
        </w:rPr>
        <w:t>” shall mean all obligations of the Borrowers with respect to (a) principal of and interest on the Revolving Loans,</w:t>
      </w:r>
    </w:p>
    <w:p>
      <w:pPr>
        <w:spacing w:after="0" w:line="35" w:lineRule="exact"/>
        <w:rPr>
          <w:sz w:val="20"/>
          <w:szCs w:val="20"/>
          <w:color w:val="auto"/>
        </w:rPr>
      </w:pPr>
    </w:p>
    <w:p>
      <w:pPr>
        <w:ind w:right="3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payable in respect of BAs, (c) unreimbursed L/C Disbursements and interest thereon and (d) all facility fees and Letter of Credit participation fees.</w:t>
      </w:r>
    </w:p>
    <w:p>
      <w:pPr>
        <w:spacing w:after="0" w:line="184"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Discount Proceeds</w:t>
      </w:r>
      <w:r>
        <w:rPr>
          <w:rFonts w:ascii="Arial" w:cs="Arial" w:eastAsia="Arial" w:hAnsi="Arial"/>
          <w:sz w:val="17"/>
          <w:szCs w:val="17"/>
          <w:color w:val="auto"/>
        </w:rPr>
        <w:t>” means, with respect to any BA, an amount (rounded upward, if necessary, to the nearest Cdn.$.01) calculated by multiplying (a) the face amount of such BA by (b) the quotient obtained by dividing (i) one by (ii) the sum of (A) one and (B) the product of (x) the Discount Rate (expressed as a decimal) applicable to such BA and (y) a fraction of which the numerator is the Contract Period applicable to such BA and the denominator is 365, with such quotient being rounded upward or downward to the fifth decimal place and .000005 being rounded upward.</w:t>
      </w:r>
    </w:p>
    <w:p>
      <w:pPr>
        <w:spacing w:after="0" w:line="17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xml:space="preserve">” means, with respect to a BA being accepted and purchased on any day, (a) for a Lender which is a Schedule I Lender, (i) the CDOR Rate (but in no event less than zero) applicable to such BA or (ii) if the discount rate for a particular Contract Period is not quoted on the Reuters Screen CDOR Page, the arithmetic average (as determined by the Canadian Agent and expressed as a per annum rate) of the percentage discount rates (expressed as a decimal and rounded upward, if necessary, to the nearest 1/100 of 1%) quoted to the Canadian Agent by the 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and (b) for a lender which is a Non-Schedule I Lender, the lesser of (i) the CDOR Rate (but in no event less than zero) applicable to such BA referred to in clause (a) above as if such Non-Schedule I Lender were a Schedule I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0.10% per annum and (ii) the arithmetic average (as determined by the Canadian Agent and expressed as a per annum rate) of the percentage discount rates (expressed as a decimal and rounded upward, if necessary, to the nearest 1/100 of 1%) quoted to the Canadian Agent by the Non-Schedule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It is understood and agreed that the Agents will not disclose to any party hereto other than the Company (which agrees not to disclose to any other party hereto) (a) the rates quoted by the individual Non-Schedule I Reference Lenders or (b) if one or more of the Non-Schedule I Reference Lenders shall not have quoted a rate, the fact that the LIBO Rate is being determined on the basis of the rate quoted by fewer than all the Non-Schedule I Reference Lenders.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w:t>
      </w:r>
      <w:r>
        <w:rPr>
          <w:rFonts w:ascii="Arial" w:cs="Arial" w:eastAsia="Arial" w:hAnsi="Arial"/>
          <w:sz w:val="18"/>
          <w:szCs w:val="18"/>
          <w:color w:val="auto"/>
        </w:rPr>
        <w:t>” means Royal Bank of Canada.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date on which the conditions specified in Section 4.01 are satisfied (or waived in accordance with Section 11.02).</w:t>
      </w:r>
    </w:p>
    <w:p>
      <w:pPr>
        <w:spacing w:after="0" w:line="24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Assignee</w:t>
      </w:r>
      <w:r>
        <w:rPr>
          <w:rFonts w:ascii="Arial" w:cs="Arial" w:eastAsia="Arial" w:hAnsi="Arial"/>
          <w:sz w:val="18"/>
          <w:szCs w:val="18"/>
          <w:color w:val="auto"/>
        </w:rPr>
        <w:t>” means (a) any Lender, (b) any Affiliate of any Lender, (c) any Approved Fund and (d) any other Person, other than, in each case, (i) the Borrower (or any of its Subsidiaries or other Affiliates), (ii) a natural Person or (iii) a Defaulting Lender, an Affiliate of a Defaulting Lender or a Person that would be a Defaulting Lender upon effectiveness of the applicable assignment.</w:t>
      </w:r>
    </w:p>
    <w:p>
      <w:pPr>
        <w:spacing w:after="0" w:line="181" w:lineRule="exact"/>
        <w:rPr>
          <w:sz w:val="20"/>
          <w:szCs w:val="20"/>
          <w:color w:val="auto"/>
        </w:rPr>
      </w:pPr>
    </w:p>
    <w:p>
      <w:pPr>
        <w:ind w:right="5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ind w:right="16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7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than an event for which the 30-day notice period is waived); (b) a failure by any Plan to satisfy the minimum funding standards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412 of the Code or Section 302 of ERISA) applicable to such Plan, in each instance whether or not waived; (c) the filing pursuant to Section 412(c)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Code or Section 302(c) of ERISA of an application for a waiver of the minimum funding standard with respect to any Plan; (d) a determination that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is or is expected to be, in “at risk” status (as defined in Section 430(i)(4) of the Code or Section 303(i)(4) of ERISA; (e) the incurrence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ERISA Affiliate of any liability under Title IV of ERISA with respect to the termination of any Plan; (f) the receipt by the Company or any ERISA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 from the PBGC or a plan administrator of any notice relating to an intention to terminate any Plan or Plans or to appoint a trustee to administer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Plan; (g) the incurrence by the Company or any ERISA Affiliate of any liability with respect to the withdrawal or partial withdrawal from any Plan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Multiemployer Plan; or (h) the receipt by the Company or any ERISA Affiliate of any notice, or the receipt by any Multiemployer Plan from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 w:name="page21"/>
    <w:bookmarkEnd w:id="20"/>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73"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EURIBO Rate</w:t>
      </w:r>
      <w:r>
        <w:rPr>
          <w:rFonts w:ascii="Arial" w:cs="Arial" w:eastAsia="Arial" w:hAnsi="Arial"/>
          <w:sz w:val="16"/>
          <w:szCs w:val="16"/>
          <w:color w:val="auto"/>
        </w:rPr>
        <w:t>” means, with respect to any EURIBOR Borrowing for any Interest Period, (a) the applicable Screen Rate or (b) if no Screen Rate is available for such Interest Period, the arithmetic mean (rounded up to four decimal places) of the rates quoted by the Reference Banks to leading banks in the Banking Federation of the European Union for the offering of deposits in Euros and for a period comparable to such Interest Period, in each case as of the Specified Time on the Quotation Day (but, with respect to (a) and (b), in no event less than zero). It is understood and agreed that the Agents will not disclose to any party hereto other than the Company (which agrees not to disclose to any other party hereto) (a) the rates quoted by the individual Reference Banks or</w:t>
      </w:r>
    </w:p>
    <w:p>
      <w:pPr>
        <w:spacing w:after="0" w:line="2" w:lineRule="exact"/>
        <w:rPr>
          <w:sz w:val="20"/>
          <w:szCs w:val="20"/>
          <w:color w:val="auto"/>
        </w:rPr>
      </w:pPr>
    </w:p>
    <w:p>
      <w:pPr>
        <w:ind w:right="18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one or more of the Reference Banks shall not have quoted a rate, the fact that the EURIBO Rate is being determined on the basis of the rate quoted by fewer than all the Reference Banks.</w:t>
      </w:r>
    </w:p>
    <w:p>
      <w:pPr>
        <w:spacing w:after="0" w:line="184"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EURIBO Rate.</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adopted by participating member states of the European Communities in accordance with legislation of the European Community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Rate</w:t>
      </w:r>
      <w:r>
        <w:rPr>
          <w:rFonts w:ascii="Arial" w:cs="Arial" w:eastAsia="Arial" w:hAnsi="Arial"/>
          <w:sz w:val="17"/>
          <w:szCs w:val="17"/>
          <w:color w:val="auto"/>
        </w:rPr>
        <w:t xml:space="preserve">”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Applicable Agent and the Company, or, in the absence of such an agreement, such Exchange Rate shall instead be the arithmetic average of the spot rates of exchange of the Applicable Agent in the market where its foreign currency exchange operations in respect of such currency are then being conducted, at or about such time as the Applicable Agent shall elect after determining that such rates shall be the basis for determining the Exchange Rate, on such date for the purchase of US Dollars for delivery two Business Days later;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any such determination, for any reason, no such spot rate is being quoted, the Applicable Agent may use any reasonable method it deems appropriate to determine such rate, and such determination shall be conclusive absent manifest error.</w:t>
      </w:r>
    </w:p>
    <w:p>
      <w:pPr>
        <w:spacing w:after="0" w:line="182"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Taxes”</w:t>
      </w:r>
      <w:r>
        <w:rPr>
          <w:rFonts w:ascii="Arial" w:cs="Arial" w:eastAsia="Arial" w:hAnsi="Arial"/>
          <w:sz w:val="17"/>
          <w:szCs w:val="17"/>
          <w:color w:val="auto"/>
        </w:rPr>
        <w:t xml:space="preserve">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 w:name="page22"/>
    <w:bookmarkEnd w:id="2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 payable by a Tranche B Borrower organized, resident for tax purposes or having substantial business operations in Guernsey, the United States of America, the United Kingdom, Ireland, Denmark or Cyprus or any political subdivision of any thereof by any taxation authority of such Borrower’s jurisdiction of organization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(d) with respect to any Tranche C Lender (other than a Lender that becomes or acquires any interests of a Tranche C Lender through an assignment under Section 2.18(b) or by operation of the CAM or through a purchase of participations under Section 2.17(c)), any withholding tax that is imposed on amounts payable by a Tranche C Borrower organized, resident for tax purposes or having substantial business operations in the United States of America or any political subdivision of any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(e) any U.S. federal withholding Taxes imposed under FATCA. For purposes of this definition, any reference to “jurisdiction” shall include all political subdivisions of such jurisdiction.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2" w:name="page23"/>
    <w:bookmarkEnd w:id="22"/>
    <w:p>
      <w:pPr>
        <w:ind w:right="2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Existing Letter of Credit</w:t>
      </w:r>
      <w:r>
        <w:rPr>
          <w:rFonts w:ascii="Arial" w:cs="Arial" w:eastAsia="Arial" w:hAnsi="Arial"/>
          <w:sz w:val="18"/>
          <w:szCs w:val="18"/>
          <w:color w:val="auto"/>
        </w:rPr>
        <w:t xml:space="preserve">” means each letter of credit previously issued for the account of any Borrower under the Existing Credit Agreement that (a) is outstanding on the Effective Date and (b) is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Maturity Date</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jc w:val="both"/>
        <w:ind w:right="2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Officer</w:t>
      </w:r>
      <w:r>
        <w:rPr>
          <w:rFonts w:ascii="Arial" w:cs="Arial" w:eastAsia="Arial" w:hAnsi="Arial"/>
          <w:sz w:val="16"/>
          <w:szCs w:val="16"/>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the Company or such Borrowing Subsidiary.</w:t>
      </w:r>
    </w:p>
    <w:p>
      <w:pPr>
        <w:spacing w:after="0" w:line="14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Benefit Event</w:t>
      </w:r>
      <w:r>
        <w:rPr>
          <w:rFonts w:ascii="Arial" w:cs="Arial" w:eastAsia="Arial" w:hAnsi="Arial"/>
          <w:sz w:val="17"/>
          <w:szCs w:val="17"/>
          <w:color w:val="auto"/>
        </w:rPr>
        <w:t>” shall mean,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 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83"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Pension Plan</w:t>
      </w:r>
      <w:r>
        <w:rPr>
          <w:rFonts w:ascii="Arial" w:cs="Arial" w:eastAsia="Arial" w:hAnsi="Arial"/>
          <w:sz w:val="17"/>
          <w:szCs w:val="17"/>
          <w:color w:val="auto"/>
        </w:rPr>
        <w:t>” shall mean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 w:name="page24"/>
    <w:bookmarkEnd w:id="23"/>
    <w:p>
      <w:pPr>
        <w:ind w:right="2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of or by any Person (the “</w:t>
      </w:r>
      <w:r>
        <w:rPr>
          <w:rFonts w:ascii="Arial" w:cs="Arial" w:eastAsia="Arial" w:hAnsi="Arial"/>
          <w:sz w:val="18"/>
          <w:szCs w:val="18"/>
          <w:i w:val="1"/>
          <w:iCs w:val="1"/>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Borrowing Subsidiary</w:t>
      </w:r>
      <w:r>
        <w:rPr>
          <w:rFonts w:ascii="Arial" w:cs="Arial" w:eastAsia="Arial" w:hAnsi="Arial"/>
          <w:sz w:val="18"/>
          <w:szCs w:val="18"/>
          <w:color w:val="auto"/>
        </w:rPr>
        <w:t>” means any Borrowing Subsidiary that is a Guernsey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Guernsey Subsidiary</w:t>
      </w:r>
      <w:r>
        <w:rPr>
          <w:rFonts w:ascii="Arial" w:cs="Arial" w:eastAsia="Arial" w:hAnsi="Arial"/>
          <w:sz w:val="16"/>
          <w:szCs w:val="16"/>
          <w:color w:val="auto"/>
        </w:rPr>
        <w:t>” means any Subsidiary that is incorporated or otherwise organized under the laws of Guernsey or any political subdivision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Guidelines</w:t>
      </w:r>
      <w:r>
        <w:rPr>
          <w:rFonts w:ascii="Arial" w:cs="Arial" w:eastAsia="Arial" w:hAnsi="Arial"/>
          <w:sz w:val="16"/>
          <w:szCs w:val="16"/>
          <w:color w:val="auto"/>
        </w:rPr>
        <w:t>” shall mean, together, (a) Guideline S-02.113 in relation to interbank loans of September 22, 1986 (</w:t>
      </w:r>
      <w:r>
        <w:rPr>
          <w:rFonts w:ascii="Arial" w:cs="Arial" w:eastAsia="Arial" w:hAnsi="Arial"/>
          <w:sz w:val="16"/>
          <w:szCs w:val="16"/>
          <w:i w:val="1"/>
          <w:iCs w:val="1"/>
          <w:color w:val="auto"/>
        </w:rPr>
        <w:t>Circulaire relative à l’impôt</w:t>
      </w:r>
      <w:r>
        <w:rPr>
          <w:rFonts w:ascii="Arial" w:cs="Arial" w:eastAsia="Arial" w:hAnsi="Arial"/>
          <w:sz w:val="16"/>
          <w:szCs w:val="16"/>
          <w:color w:val="auto"/>
        </w:rPr>
        <w:t xml:space="preserve"> </w:t>
      </w:r>
      <w:r>
        <w:rPr>
          <w:rFonts w:ascii="Arial" w:cs="Arial" w:eastAsia="Arial" w:hAnsi="Arial"/>
          <w:sz w:val="16"/>
          <w:szCs w:val="16"/>
          <w:i w:val="1"/>
          <w:iCs w:val="1"/>
          <w:color w:val="auto"/>
        </w:rPr>
        <w:t>anticipé sur les intérêts des avoirs en banque dont les créanciers sont des banques – avoirs interbancaires –, du 22 septembre 1986</w:t>
      </w:r>
      <w:r>
        <w:rPr>
          <w:rFonts w:ascii="Arial" w:cs="Arial" w:eastAsia="Arial" w:hAnsi="Arial"/>
          <w:sz w:val="16"/>
          <w:szCs w:val="16"/>
          <w:color w:val="auto"/>
        </w:rPr>
        <w:t>), (b) Guideline S-</w:t>
      </w:r>
    </w:p>
    <w:p>
      <w:pPr>
        <w:ind w:right="80"/>
        <w:spacing w:after="0" w:line="268" w:lineRule="auto"/>
        <w:rPr>
          <w:sz w:val="20"/>
          <w:szCs w:val="20"/>
          <w:color w:val="auto"/>
        </w:rPr>
      </w:pPr>
      <w:r>
        <w:rPr>
          <w:rFonts w:ascii="Arial" w:cs="Arial" w:eastAsia="Arial" w:hAnsi="Arial"/>
          <w:sz w:val="17"/>
          <w:szCs w:val="17"/>
          <w:color w:val="auto"/>
        </w:rPr>
        <w:t>02.112.1 in relation to bonds of April 1999 (</w:t>
      </w:r>
      <w:r>
        <w:rPr>
          <w:rFonts w:ascii="Arial" w:cs="Arial" w:eastAsia="Arial" w:hAnsi="Arial"/>
          <w:sz w:val="17"/>
          <w:szCs w:val="17"/>
          <w:i w:val="1"/>
          <w:iCs w:val="1"/>
          <w:color w:val="auto"/>
        </w:rPr>
        <w:t>Circulaire sur les obligations, d’avril 1999</w:t>
      </w:r>
      <w:r>
        <w:rPr>
          <w:rFonts w:ascii="Arial" w:cs="Arial" w:eastAsia="Arial" w:hAnsi="Arial"/>
          <w:sz w:val="17"/>
          <w:szCs w:val="17"/>
          <w:color w:val="auto"/>
        </w:rPr>
        <w:t>), (c) Guideline S-02.120.1 in relation to money market instruments and book claims of April 1999 (</w:t>
      </w:r>
      <w:r>
        <w:rPr>
          <w:rFonts w:ascii="Arial" w:cs="Arial" w:eastAsia="Arial" w:hAnsi="Arial"/>
          <w:sz w:val="17"/>
          <w:szCs w:val="17"/>
          <w:i w:val="1"/>
          <w:iCs w:val="1"/>
          <w:color w:val="auto"/>
        </w:rPr>
        <w:t>Circulaire sur les papiers monétaires et créances comptables de débiteurs suisses, d’avril 1999</w:t>
      </w:r>
      <w:r>
        <w:rPr>
          <w:rFonts w:ascii="Arial" w:cs="Arial" w:eastAsia="Arial" w:hAnsi="Arial"/>
          <w:sz w:val="17"/>
          <w:szCs w:val="17"/>
          <w:color w:val="auto"/>
        </w:rPr>
        <w:t>), (d) Guideline S-02.118 in relation to syndicated credit facilities of January 2000 (</w:t>
      </w:r>
      <w:r>
        <w:rPr>
          <w:rFonts w:ascii="Arial" w:cs="Arial" w:eastAsia="Arial" w:hAnsi="Arial"/>
          <w:sz w:val="17"/>
          <w:szCs w:val="17"/>
          <w:i w:val="1"/>
          <w:iCs w:val="1"/>
          <w:color w:val="auto"/>
        </w:rPr>
        <w:t>Circulaire sur le traitement fiscal des prêts consortiaux, reconnaissances de dette, effets de change et</w:t>
      </w:r>
      <w:r>
        <w:rPr>
          <w:rFonts w:ascii="Arial" w:cs="Arial" w:eastAsia="Arial" w:hAnsi="Arial"/>
          <w:sz w:val="17"/>
          <w:szCs w:val="17"/>
          <w:color w:val="auto"/>
        </w:rPr>
        <w:t xml:space="preserve"> </w:t>
      </w:r>
      <w:r>
        <w:rPr>
          <w:rFonts w:ascii="Arial" w:cs="Arial" w:eastAsia="Arial" w:hAnsi="Arial"/>
          <w:sz w:val="17"/>
          <w:szCs w:val="17"/>
          <w:i w:val="1"/>
          <w:iCs w:val="1"/>
          <w:color w:val="auto"/>
        </w:rPr>
        <w:t>sous-participations, de janvier 2000</w:t>
      </w:r>
      <w:r>
        <w:rPr>
          <w:rFonts w:ascii="Arial" w:cs="Arial" w:eastAsia="Arial" w:hAnsi="Arial"/>
          <w:sz w:val="17"/>
          <w:szCs w:val="17"/>
          <w:color w:val="auto"/>
        </w:rPr>
        <w:t>), (e) circular letter No. 34 of 26 July 2011 (1-034-V-2011) in relation to deposits (</w:t>
      </w:r>
      <w:r>
        <w:rPr>
          <w:rFonts w:ascii="Arial" w:cs="Arial" w:eastAsia="Arial" w:hAnsi="Arial"/>
          <w:sz w:val="17"/>
          <w:szCs w:val="17"/>
          <w:i w:val="1"/>
          <w:iCs w:val="1"/>
          <w:color w:val="auto"/>
        </w:rPr>
        <w:t>Circulaire no 34 du 26 juillet 2011 sur les avoirs de clients</w:t>
      </w:r>
      <w:r>
        <w:rPr>
          <w:rFonts w:ascii="Arial" w:cs="Arial" w:eastAsia="Arial" w:hAnsi="Arial"/>
          <w:sz w:val="17"/>
          <w:szCs w:val="17"/>
          <w:color w:val="auto"/>
        </w:rPr>
        <w:t>) and (f) circular letter No. 15 of 7 February 2007 (</w:t>
      </w:r>
      <w:r>
        <w:rPr>
          <w:rFonts w:ascii="Arial" w:cs="Arial" w:eastAsia="Arial" w:hAnsi="Arial"/>
          <w:sz w:val="17"/>
          <w:szCs w:val="17"/>
          <w:i w:val="1"/>
          <w:iCs w:val="1"/>
          <w:color w:val="auto"/>
        </w:rPr>
        <w:t>1-015-DVS-2007</w:t>
      </w:r>
      <w:r>
        <w:rPr>
          <w:rFonts w:ascii="Arial" w:cs="Arial" w:eastAsia="Arial" w:hAnsi="Arial"/>
          <w:sz w:val="17"/>
          <w:szCs w:val="17"/>
          <w:color w:val="auto"/>
        </w:rPr>
        <w:t>) in relation to bonds and derivative financial instruments as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matter of taxation of Swiss federal income tax, Swiss Withholding Tax and Swiss Stamp Taxes (</w:t>
      </w:r>
      <w:r>
        <w:rPr>
          <w:rFonts w:ascii="Arial" w:cs="Arial" w:eastAsia="Arial" w:hAnsi="Arial"/>
          <w:sz w:val="17"/>
          <w:szCs w:val="17"/>
          <w:i w:val="1"/>
          <w:iCs w:val="1"/>
          <w:color w:val="auto"/>
        </w:rPr>
        <w:t>Circulaire no 15 du 7 février 2007 sur les obligations et</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financiers dérivés en tant qu’objets de l’impôt fédéral direct, de l’impôt anticipé et des droits de timbre</w:t>
      </w:r>
      <w:r>
        <w:rPr>
          <w:rFonts w:ascii="Arial" w:cs="Arial" w:eastAsia="Arial" w:hAnsi="Arial"/>
          <w:sz w:val="17"/>
          <w:szCs w:val="17"/>
          <w:color w:val="auto"/>
        </w:rPr>
        <w:t>), in each case as issued,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substituted from time to time by the Swiss Federal Tax Administration.</w:t>
      </w:r>
    </w:p>
    <w:p>
      <w:pPr>
        <w:spacing w:after="0" w:line="18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Agreement</w:t>
      </w:r>
      <w:r>
        <w:rPr>
          <w:rFonts w:ascii="Arial" w:cs="Arial" w:eastAsia="Arial" w:hAnsi="Arial"/>
          <w:sz w:val="17"/>
          <w:szCs w:val="17"/>
          <w:color w:val="auto"/>
        </w:rPr>
        <w:t>”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4" w:name="page25"/>
    <w:bookmarkEnd w:id="2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HMRC</w:t>
      </w:r>
      <w:r>
        <w:rPr>
          <w:rFonts w:ascii="Arial" w:cs="Arial" w:eastAsia="Arial" w:hAnsi="Arial"/>
          <w:sz w:val="18"/>
          <w:szCs w:val="18"/>
          <w:color w:val="auto"/>
        </w:rPr>
        <w:t>” means HM Revenue &amp; Customs.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Subsidiaries</w:t>
      </w:r>
      <w:r>
        <w:rPr>
          <w:rFonts w:ascii="Arial" w:cs="Arial" w:eastAsia="Arial" w:hAnsi="Arial"/>
          <w:sz w:val="16"/>
          <w:szCs w:val="16"/>
          <w:color w:val="auto"/>
        </w:rPr>
        <w:t>” means Subsidiaries that individually account for less than 5%, and in the aggregate account for less than 10%, of both</w:t>
      </w:r>
    </w:p>
    <w:p>
      <w:pPr>
        <w:spacing w:after="0" w:line="46" w:lineRule="exact"/>
        <w:rPr>
          <w:sz w:val="20"/>
          <w:szCs w:val="20"/>
          <w:color w:val="auto"/>
        </w:rPr>
      </w:pPr>
    </w:p>
    <w:p>
      <w:pPr>
        <w:ind w:firstLine="8"/>
        <w:spacing w:after="0" w:line="254"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Assets (excluding intercompany receivables and payables) and (b) the consolidated revenues (excluding intercompany revenues) of the Company and the Subsidiaries as of the end of and for the most recent period of four consecutive fiscal quarters of the Company. For purposes of this definition, the assets and revenues of any Subsidiary shall include the assets and revenues of its own subsidiaries, and shall be determined for such Subsidiary on a consolidated basis.</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Increasing Lender</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(j) all Securitization Transactions of such Person and (k) all obligations of such Person under Hedging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Credit Party under any Credit Document.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has the meaning set forth in Section 11.03(b).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Index Debt</w:t>
      </w:r>
      <w:r>
        <w:rPr>
          <w:rFonts w:ascii="Arial" w:cs="Arial" w:eastAsia="Arial" w:hAnsi="Arial"/>
          <w:sz w:val="18"/>
          <w:szCs w:val="18"/>
          <w:color w:val="auto"/>
        </w:rPr>
        <w:t>” means the Company’s senior, unsecured, non-credit-enhanced long-term Indebtedness for borrowed money.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assigned to such term in Section 11.12.</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 Memorandum</w:t>
      </w:r>
      <w:r>
        <w:rPr>
          <w:rFonts w:ascii="Arial" w:cs="Arial" w:eastAsia="Arial" w:hAnsi="Arial"/>
          <w:sz w:val="18"/>
          <w:szCs w:val="18"/>
          <w:color w:val="auto"/>
        </w:rPr>
        <w:t>” means the Confidential Information Memorandum dated November 2014 relating to the Company and the Transactions.</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Election Request</w:t>
      </w:r>
      <w:r>
        <w:rPr>
          <w:rFonts w:ascii="Arial" w:cs="Arial" w:eastAsia="Arial" w:hAnsi="Arial"/>
          <w:sz w:val="18"/>
          <w:szCs w:val="18"/>
          <w:color w:val="auto"/>
        </w:rPr>
        <w:t>” means a request by a Borrower to convert or continue a Revolving Borrowing or BA Drawing in accordance with Section 2.07.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5" w:name="page26"/>
    <w:bookmarkEnd w:id="25"/>
    <w:p>
      <w:pPr>
        <w:ind w:right="18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Interest Payment Date</w:t>
      </w:r>
      <w:r>
        <w:rPr>
          <w:rFonts w:ascii="Arial" w:cs="Arial" w:eastAsia="Arial" w:hAnsi="Arial"/>
          <w:sz w:val="17"/>
          <w:szCs w:val="17"/>
          <w:color w:val="auto"/>
        </w:rPr>
        <w:t>” means (a) with respect to any ABR Loan or Canadian Prime Rate Loan, the last day of each March, June, September and December and (b) with respect to any LIBOR Loan or EURIBOR Loan, the last day of the Interest Period applicable to the Borrowing of which such Loan is a part and, in the case of a LIBOR Loan or a EURIBOR Loan with an Interest Period of more than three months’ duration, each day prior to the last day of such Interest Period that occurs at intervals of three months’ duration after the first day of such Interest Period.</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means, with respect to any LIBOR Borrowing or EURIBOR Borrowing, the period commencing on the date of such Borrowing and ending on the numerically corresponding day in the calendar month that is one, two, three or six months thereafter (or, if available from each Lender, nine or 12 months thereafter), as the applicable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6"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Interpolated Screen Rate</w:t>
      </w:r>
      <w:r>
        <w:rPr>
          <w:rFonts w:ascii="Arial" w:cs="Arial" w:eastAsia="Arial" w:hAnsi="Arial"/>
          <w:sz w:val="17"/>
          <w:szCs w:val="17"/>
          <w:color w:val="auto"/>
        </w:rPr>
        <w:t>” means, with respect to any LIBO Rate Loan denominated in any currency or any EURIBO Rate Loan, in each case for any Interest Period, a rate per annum which results from interpolating on a linear basis between (a) the applicable Screen Rate for the longest maturity for which a Screen Rate is available that is shorter than such Interest Period and (b) the applicable Screen Rate for the shortest maturity for which a Screen Rate is available that is longer than such Interest Period, in each case as of the Specified Time on the Quotation Day.</w:t>
      </w:r>
    </w:p>
    <w:p>
      <w:pPr>
        <w:spacing w:after="0" w:line="17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of such Issuing Bank, in which case the term “</w:t>
      </w:r>
      <w:r>
        <w:rPr>
          <w:rFonts w:ascii="Arial" w:cs="Arial" w:eastAsia="Arial" w:hAnsi="Arial"/>
          <w:sz w:val="17"/>
          <w:szCs w:val="17"/>
          <w:i w:val="1"/>
          <w:iCs w:val="1"/>
          <w:color w:val="auto"/>
        </w:rPr>
        <w:t>Issuing Bank</w:t>
      </w:r>
      <w:r>
        <w:rPr>
          <w:rFonts w:ascii="Arial" w:cs="Arial" w:eastAsia="Arial" w:hAnsi="Arial"/>
          <w:sz w:val="17"/>
          <w:szCs w:val="17"/>
          <w:color w:val="auto"/>
        </w:rPr>
        <w:t>” shall include any such Affiliate with respect to Letters of Credit issued by such Affiliate.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Agreement</w:t>
      </w:r>
      <w:r>
        <w:rPr>
          <w:rFonts w:ascii="Arial" w:cs="Arial" w:eastAsia="Arial" w:hAnsi="Arial"/>
          <w:sz w:val="18"/>
          <w:szCs w:val="18"/>
          <w:color w:val="auto"/>
        </w:rPr>
        <w:t>” shall have the meaning assigned to such term in Section 2.04(j).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Commitment</w:t>
      </w:r>
      <w:r>
        <w:rPr>
          <w:rFonts w:ascii="Arial" w:cs="Arial" w:eastAsia="Arial" w:hAnsi="Arial"/>
          <w:sz w:val="16"/>
          <w:szCs w:val="16"/>
          <w:color w:val="auto"/>
        </w:rPr>
        <w:t>” shall mean, as to each Issuing Bank, the commitment of such Issuing Bank to issue Letters of Credit pursuant to Section 2.04.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amount of each Issuing Bank’s LC Commitment is set forth on </w:t>
      </w:r>
      <w:r>
        <w:rPr>
          <w:rFonts w:ascii="Arial" w:cs="Arial" w:eastAsia="Arial" w:hAnsi="Arial"/>
          <w:sz w:val="18"/>
          <w:szCs w:val="18"/>
          <w:u w:val="single" w:color="auto"/>
          <w:color w:val="auto"/>
        </w:rPr>
        <w:t>Schedule 2.04</w:t>
      </w:r>
      <w:r>
        <w:rPr>
          <w:rFonts w:ascii="Arial" w:cs="Arial" w:eastAsia="Arial" w:hAnsi="Arial"/>
          <w:sz w:val="18"/>
          <w:szCs w:val="18"/>
          <w:color w:val="auto"/>
        </w:rPr>
        <w:t xml:space="preserve"> or in such Issuing Bank’s Issuing Bank 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Exposure</w:t>
      </w:r>
      <w:r>
        <w:rPr>
          <w:rFonts w:ascii="Arial" w:cs="Arial" w:eastAsia="Arial" w:hAnsi="Arial"/>
          <w:sz w:val="18"/>
          <w:szCs w:val="18"/>
          <w:color w:val="auto"/>
        </w:rPr>
        <w:t xml:space="preserve">” means, at any time, (a) the sum of the US Dollar Equivalents of the undrawn amounts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225"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any other Person that shall have become a Lender pursuant to an Assignment and Assumption or Section 2.08(d), other than any such Person that ceases to be a party hereto pursuant to an Assignment and Assumption.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a Tranche A Lending Office, a Tranche B Lending Office or a Tranche C Lending Office.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pursuant to Section 2.04 and any Existing Letter of Credit.</w:t>
      </w:r>
    </w:p>
    <w:p>
      <w:pPr>
        <w:spacing w:after="0" w:line="225"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LIBO Rate</w:t>
      </w:r>
      <w:r>
        <w:rPr>
          <w:rFonts w:ascii="Arial" w:cs="Arial" w:eastAsia="Arial" w:hAnsi="Arial"/>
          <w:sz w:val="17"/>
          <w:szCs w:val="17"/>
          <w:color w:val="auto"/>
        </w:rPr>
        <w:t>” means, with respect to any LIBOR Borrowing denominated in any currency for any Interest Period, (a) the applicable Screen Rate or (b) if no Screen Rate is available for such currency or for such Interest Period, the arithmetic mean (rounded up to four decimal places) of the rates quoted by the Reference Banks to leading banks in the London interbank market for the offering of deposits in such currency and for a period comparable to such Interest Period, in each case as of the Specified Time on the Quotation Day (but, with respect to (a) and (b), in no event less than zero). It is understood and agreed that the Agents will not disclose to any party hereto other than the Company (which agrees not to disclose to any other party hereto) (a) the rates quoted by the individual Reference Banks or (b) if one or more of the Reference Banks shall not have quoted a rate, the fact that the LIBO Rate is being determined on the basis of the rates quoted by fewer than all the Reference Banks.</w:t>
      </w:r>
    </w:p>
    <w:p>
      <w:pPr>
        <w:spacing w:after="0" w:line="17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 or the LIBO Rate.</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of a Subsidiary or equity interests therein under a purchase or similar agreement will not be deemed to constitute a Lien under this clause (c)).</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Time</w:t>
      </w:r>
      <w:r>
        <w:rPr>
          <w:rFonts w:ascii="Arial" w:cs="Arial" w:eastAsia="Arial" w:hAnsi="Arial"/>
          <w:sz w:val="18"/>
          <w:szCs w:val="18"/>
          <w:color w:val="auto"/>
        </w:rPr>
        <w:t>” means (a) with respect to a Loan or Borrowing denominated in US Dollars (other than by a Canadian Borrowing Subsidiary) or any Letter of Credit, New York City time, (b) with respect to a Loan or Borrowing denominated in Sterling or Euros, London time and (c) with respect to a Loan or Borrowing denominated in Canadian Dollars, a BA or a Loan or Borrowing denominated in US Dollars to or by a Canadian Borrowing Subsidiary, Toronto time.</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Agent</w:t>
      </w:r>
      <w:r>
        <w:rPr>
          <w:rFonts w:ascii="Arial" w:cs="Arial" w:eastAsia="Arial" w:hAnsi="Arial"/>
          <w:sz w:val="18"/>
          <w:szCs w:val="18"/>
          <w:color w:val="auto"/>
        </w:rPr>
        <w:t>” means J.P.Morgan Europe Limited, in its capacity as London agent for the Lenders hereunder, or any successor appointed in accordance with Article VIII.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7" w:name="page28"/>
    <w:bookmarkEnd w:id="27"/>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Material Acquisition</w:t>
      </w:r>
      <w:r>
        <w:rPr>
          <w:rFonts w:ascii="Arial" w:cs="Arial" w:eastAsia="Arial" w:hAnsi="Arial"/>
          <w:sz w:val="18"/>
          <w:szCs w:val="18"/>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of any acquired Person outstanding after such transaction takes effect minus (b) the cash of such acquired Person after such transaction takes effect is equal to US$500,000,000 or more or its equivalent in one or more other currencies.</w:t>
      </w:r>
    </w:p>
    <w:p>
      <w:pPr>
        <w:spacing w:after="0" w:line="18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any Agent or Lender hereunder.</w:t>
      </w:r>
    </w:p>
    <w:p>
      <w:pPr>
        <w:spacing w:after="0" w:line="18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Disposition</w:t>
      </w:r>
      <w:r>
        <w:rPr>
          <w:rFonts w:ascii="Arial" w:cs="Arial" w:eastAsia="Arial" w:hAnsi="Arial"/>
          <w:sz w:val="16"/>
          <w:szCs w:val="16"/>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US$500,000,000 or more or its equivalent in one or more other currencies.</w:t>
      </w:r>
    </w:p>
    <w:p>
      <w:pPr>
        <w:spacing w:after="0" w:line="158"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Loans) of any one or more of the Company and its Subsidiaries in an aggregate principal amount exceeding US$75,000,000.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any Subsidiary that is not an Immaterial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December 12, 2019, or any later date to which the Maturity date shall have been extended pursuant to Section 2.08(e).</w:t>
      </w:r>
    </w:p>
    <w:p>
      <w:pPr>
        <w:spacing w:after="0" w:line="24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 Extension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or such other form as shall be approved by the Agent, for the extension of the Maturity Date pursuant to Section 2.08(e).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at any time, any Lender that is not a Defaulting Lender at such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Non-Qualifying Bank</w:t>
      </w:r>
      <w:r>
        <w:rPr>
          <w:rFonts w:ascii="Arial" w:cs="Arial" w:eastAsia="Arial" w:hAnsi="Arial"/>
          <w:sz w:val="18"/>
          <w:szCs w:val="18"/>
          <w:color w:val="auto"/>
        </w:rPr>
        <w:t>” shall mean any person other than a Qualifying Bank.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Lender</w:t>
      </w:r>
      <w:r>
        <w:rPr>
          <w:rFonts w:ascii="Arial" w:cs="Arial" w:eastAsia="Arial" w:hAnsi="Arial"/>
          <w:sz w:val="18"/>
          <w:szCs w:val="18"/>
          <w:color w:val="auto"/>
        </w:rPr>
        <w:t>” means any Lender not named on Schedule I to the Bank Act (Canada).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Reference Lenders</w:t>
      </w:r>
      <w:r>
        <w:rPr>
          <w:rFonts w:ascii="Arial" w:cs="Arial" w:eastAsia="Arial" w:hAnsi="Arial"/>
          <w:sz w:val="18"/>
          <w:szCs w:val="18"/>
          <w:color w:val="auto"/>
        </w:rPr>
        <w:t>” means JPMorgan Chase Bank, N.A., Toronto Branch, and Citi Bank, N.A..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8" w:name="page29"/>
    <w:bookmarkEnd w:id="28"/>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means (a) the principal of and interest (including interest accruing during the pendency of any bankruptcy, insolvency, receivership,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other similar proceeding, regardless of whether allowed or allowable in such proceeding) on the Loans, (b) all reimbursement obligations of any Borrower in respect of BAs accepted hereunder, when and as due, whether at maturity, by acceleration, upon one or more dates set for prepayment or otherwise, (c) each payment required to be made by any Borrower under this Agreement in respect of any Letter of Credit, when and as due, including payments in respect of reimbursement of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other similar proceeding, regardless of whether allowed or allowable in such proceeding), of the Credit Parties under this Agreement and the other Credit Documents.</w:t>
      </w:r>
    </w:p>
    <w:p>
      <w:pPr>
        <w:spacing w:after="0" w:line="166"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under any Credit Document or from the execution, delivery or enforcement of, or otherwise with respect to, any Credit Document.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set forth in Section 11.04(f).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has the meaning set forth in Section 11.04(k).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PBGC</w:t>
      </w:r>
      <w:r>
        <w:rPr>
          <w:rFonts w:ascii="Arial" w:cs="Arial" w:eastAsia="Arial" w:hAnsi="Arial"/>
          <w:sz w:val="17"/>
          <w:szCs w:val="17"/>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w:t>
      </w:r>
    </w:p>
    <w:p>
      <w:pPr>
        <w:spacing w:after="0" w:line="225" w:lineRule="exact"/>
        <w:rPr>
          <w:rFonts w:ascii="Arial" w:cs="Arial" w:eastAsia="Arial" w:hAnsi="Arial"/>
          <w:sz w:val="18"/>
          <w:szCs w:val="18"/>
          <w:color w:val="auto"/>
        </w:rPr>
      </w:pPr>
    </w:p>
    <w:p>
      <w:pPr>
        <w:ind w:right="260" w:firstLine="921"/>
        <w:spacing w:after="0" w:line="308" w:lineRule="auto"/>
        <w:tabs>
          <w:tab w:leader="none" w:pos="1168" w:val="left"/>
        </w:tabs>
        <w:numPr>
          <w:ilvl w:val="0"/>
          <w:numId w:val="8"/>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46" w:lineRule="exact"/>
        <w:rPr>
          <w:rFonts w:ascii="Arial" w:cs="Arial" w:eastAsia="Arial" w:hAnsi="Arial"/>
          <w:sz w:val="17"/>
          <w:szCs w:val="17"/>
          <w:color w:val="auto"/>
        </w:rPr>
      </w:pPr>
    </w:p>
    <w:p>
      <w:pPr>
        <w:ind w:firstLine="921"/>
        <w:spacing w:after="0" w:line="277"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8"/>
          <w:szCs w:val="18"/>
          <w:color w:val="auto"/>
        </w:rPr>
      </w:pPr>
    </w:p>
    <w:p>
      <w:pPr>
        <w:ind w:right="300" w:firstLine="921"/>
        <w:spacing w:after="0" w:line="277"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25" w:lineRule="exact"/>
        <w:rPr>
          <w:rFonts w:ascii="Arial" w:cs="Arial" w:eastAsia="Arial" w:hAnsi="Arial"/>
          <w:sz w:val="18"/>
          <w:szCs w:val="18"/>
          <w:color w:val="auto"/>
        </w:rPr>
      </w:pPr>
    </w:p>
    <w:p>
      <w:pPr>
        <w:ind w:right="120" w:firstLine="921"/>
        <w:spacing w:after="0" w:line="342" w:lineRule="auto"/>
        <w:tabs>
          <w:tab w:leader="none" w:pos="1138" w:val="left"/>
        </w:tabs>
        <w:numPr>
          <w:ilvl w:val="0"/>
          <w:numId w:val="8"/>
        </w:numPr>
        <w:rPr>
          <w:rFonts w:ascii="Arial" w:cs="Arial" w:eastAsia="Arial" w:hAnsi="Arial"/>
          <w:sz w:val="16"/>
          <w:szCs w:val="16"/>
          <w:color w:val="auto"/>
        </w:rPr>
      </w:pPr>
      <w:r>
        <w:rPr>
          <w:rFonts w:ascii="Arial" w:cs="Arial" w:eastAsia="Arial" w:hAnsi="Arial"/>
          <w:sz w:val="16"/>
          <w:szCs w:val="16"/>
          <w:color w:val="auto"/>
        </w:rPr>
        <w:t>easements, zoning restrictions, rights-of-way and similar encumbrances on real property that do not secure any monetary obligations and do not materially detract from the value of the affected property or interfere with the ordinary conduct of business of the Company or any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“Permitted Liens” shall not include any Lien securing Indebtedness.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9" w:name="page30"/>
    <w:bookmarkEnd w:id="29"/>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set forth in Section 11.01(d).</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Qualifying Bank</w:t>
      </w:r>
      <w:r>
        <w:rPr>
          <w:rFonts w:ascii="Arial" w:cs="Arial" w:eastAsia="Arial" w:hAnsi="Arial"/>
          <w:sz w:val="17"/>
          <w:szCs w:val="17"/>
          <w:color w:val="auto"/>
        </w:rPr>
        <w:t>” shall mean any legal entity which is recognized as a bank by the banking laws in force in its country of incorporation, or if extending credit under this Agreement through a branch, in the country of that branch, and which exercises as its main purpose a true banking activity, having bank personnel, premises, communication devices of its own and the authority of decision-making and has a genuine banking activity.</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Day</w:t>
      </w:r>
      <w:r>
        <w:rPr>
          <w:rFonts w:ascii="Arial" w:cs="Arial" w:eastAsia="Arial" w:hAnsi="Arial"/>
          <w:sz w:val="18"/>
          <w:szCs w:val="18"/>
          <w:color w:val="auto"/>
        </w:rPr>
        <w:t>” means (a) with respect to any currency (other than Sterling) for any Interest Period, two Business Days prior to the first day of such Interest Period and (b) with respect to Sterling for any Interest Period, the first day of such Interest Period, in each case unless market practice differs in the Relevant Interbank Market for any currency, in which case the Quotation Day for such currency shall be determined by the Applicable Agent in accordance with market practice in the Relevant Interbank Market (and if quotations would normally be given by leading banks in the Relevant Interbank Market on more than one day, the Quotation Day shall be the last of those days).</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w:t>
      </w:r>
      <w:r>
        <w:rPr>
          <w:rFonts w:ascii="Arial" w:cs="Arial" w:eastAsia="Arial" w:hAnsi="Arial"/>
          <w:sz w:val="18"/>
          <w:szCs w:val="18"/>
          <w:color w:val="auto"/>
        </w:rPr>
        <w:t>” means the public ratings of the Company’s senior, unsecured, non-credit enhanced long-term debt (including under this Agreement, whether or not Loans are outstanding at such time) by Moody’s and S&amp;P, a division of The McGraw-Hill Companies, Inc.</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means with respect to the LIBO Rate or the EURIBO Rate, the principal London offices of J.P. Morgan Chase Bank, N.A., Citibank, N.A., or such other banks as may be appointed by the Administrative Agent in consultation with the Company.</w:t>
      </w:r>
    </w:p>
    <w:p>
      <w:pPr>
        <w:spacing w:after="0" w:line="17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i w:val="1"/>
          <w:iCs w:val="1"/>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set forth in Section 11.04.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30" w:name="page31"/>
    <w:bookmarkEnd w:id="30"/>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Interbank Market</w:t>
      </w:r>
      <w:r>
        <w:rPr>
          <w:rFonts w:ascii="Arial" w:cs="Arial" w:eastAsia="Arial" w:hAnsi="Arial"/>
          <w:sz w:val="18"/>
          <w:szCs w:val="18"/>
          <w:color w:val="auto"/>
        </w:rPr>
        <w:t>” means (a) with respect to any currency (other than Euros), the London interbank market and (b) with respect to Euros, the European interbank market.</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Exposure</w:t>
      </w:r>
      <w:r>
        <w:rPr>
          <w:rFonts w:ascii="Arial" w:cs="Arial" w:eastAsia="Arial" w:hAnsi="Arial"/>
          <w:sz w:val="18"/>
          <w:szCs w:val="18"/>
          <w:color w:val="auto"/>
        </w:rPr>
        <w:t>” means a Tranche A Revolving Credit Exposure, a Tranche B Revolving Credit Exposure or a Tranche C Revolving Credit Exposure.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w:t>
      </w:r>
      <w:r>
        <w:rPr>
          <w:rFonts w:ascii="Arial" w:cs="Arial" w:eastAsia="Arial" w:hAnsi="Arial"/>
          <w:sz w:val="18"/>
          <w:szCs w:val="18"/>
          <w:color w:val="auto"/>
        </w:rPr>
        <w:t>” means any Tranche A Revolving Loan, Tranche B Revolving Loan or Tranche C Revolving Loan, as applicable.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Sale-Leaseback Transaction</w:t>
      </w:r>
      <w:r>
        <w:rPr>
          <w:rFonts w:ascii="Arial" w:cs="Arial" w:eastAsia="Arial" w:hAnsi="Arial"/>
          <w:sz w:val="17"/>
          <w:szCs w:val="17"/>
          <w:color w:val="auto"/>
        </w:rPr>
        <w:t>”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provided that any such arrangement entered into within 180 days after the acquisition or construction of the subject property shall not be deemed to be a “</w:t>
      </w:r>
      <w:r>
        <w:rPr>
          <w:rFonts w:ascii="Arial" w:cs="Arial" w:eastAsia="Arial" w:hAnsi="Arial"/>
          <w:sz w:val="17"/>
          <w:szCs w:val="17"/>
          <w:i w:val="1"/>
          <w:iCs w:val="1"/>
          <w:color w:val="auto"/>
        </w:rPr>
        <w:t>Sale-Leaseback Transaction</w:t>
      </w:r>
      <w:r>
        <w:rPr>
          <w:rFonts w:ascii="Arial" w:cs="Arial" w:eastAsia="Arial" w:hAnsi="Arial"/>
          <w:sz w:val="17"/>
          <w:szCs w:val="17"/>
          <w:color w:val="auto"/>
        </w:rPr>
        <w:t>”.</w:t>
      </w:r>
    </w:p>
    <w:p>
      <w:pPr>
        <w:spacing w:after="0" w:line="17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Sanctions</w:t>
      </w:r>
      <w:r>
        <w:rPr>
          <w:rFonts w:ascii="Arial" w:cs="Arial" w:eastAsia="Arial" w:hAnsi="Arial"/>
          <w:sz w:val="16"/>
          <w:szCs w:val="16"/>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European Union or by the United Kingdom government including those administered by Her Majesty’s Treasury.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or territory which is itself the subject or target of any comprehensive territorial Sanctions (at the date of this Agreement, Cuba, Iran, North Korea, Sudan and Syria).</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50% or more owned or controlled by any such Person or Persons.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Lender</w:t>
      </w:r>
      <w:r>
        <w:rPr>
          <w:rFonts w:ascii="Arial" w:cs="Arial" w:eastAsia="Arial" w:hAnsi="Arial"/>
          <w:sz w:val="18"/>
          <w:szCs w:val="18"/>
          <w:color w:val="auto"/>
        </w:rPr>
        <w:t>” means any Lender named on Schedule I to the Bank Act (Canada).</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Reference Lenders</w:t>
      </w:r>
      <w:r>
        <w:rPr>
          <w:rFonts w:ascii="Arial" w:cs="Arial" w:eastAsia="Arial" w:hAnsi="Arial"/>
          <w:sz w:val="18"/>
          <w:szCs w:val="18"/>
          <w:color w:val="auto"/>
        </w:rPr>
        <w:t>” means Royal Bank of Canada and any other Schedule I Lender agreed upon by the Company and the Canadian Agent from time to time.</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Screen Rate</w:t>
      </w:r>
      <w:r>
        <w:rPr>
          <w:rFonts w:ascii="Arial" w:cs="Arial" w:eastAsia="Arial" w:hAnsi="Arial"/>
          <w:sz w:val="18"/>
          <w:szCs w:val="18"/>
          <w:color w:val="auto"/>
        </w:rPr>
        <w:t>” means (a) in respect of the LIBO Rate for any Interest Period, a rate per annum equal to the London interbank offered rate as administered by the ICE Benchmark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31" w:name="page32"/>
    <w:bookmarkEnd w:id="3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(or any other Person that takes over the administration of such rate) for deposits in the applicable currency with a term equivalent to such Interest Period as displayed on the Reuters screen page that displays such rate (currently Reuters Screen Page LIBOR01 or LIBOR02) (or, in the event such rate does not appear on a page of the Reuters screen, on the appropriate page of such other information service that publishes such rate as shall be selected by the Administrative Agent from time to time in its reasonable discretion); and (b) in respect of the EURIBO Rate for any Interest Period, the rate per annum determined by the Banking Federation of the European Union for such Interest Period as set forth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If, as to any currency, no Screen Rate shall be available for a particular Interest Period but Screen Rates shall be available for maturities both longer and shorter than such Interest Period, than the Screen Rate for such Interest Period shall be the Interpolated Screen Rate. Notwithstanding the foregoing, if the Screen Rate, determined as provided above, would be less than zero, the Screen Rate shall for all purposes of this Agreement be zero.</w:t>
      </w:r>
    </w:p>
    <w:p>
      <w:pPr>
        <w:spacing w:after="0" w:line="169"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 or any Governmental Authority succeeding to the functions of such Commission.</w:t>
      </w:r>
    </w:p>
    <w:p>
      <w:pPr>
        <w:spacing w:after="0" w:line="17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Securitization Transaction</w:t>
      </w:r>
      <w:r>
        <w:rPr>
          <w:rFonts w:ascii="Arial" w:cs="Arial" w:eastAsia="Arial" w:hAnsi="Arial"/>
          <w:sz w:val="16"/>
          <w:szCs w:val="16"/>
          <w:color w:val="auto"/>
        </w:rPr>
        <w:t>”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6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Time</w:t>
      </w:r>
      <w:r>
        <w:rPr>
          <w:rFonts w:ascii="Arial" w:cs="Arial" w:eastAsia="Arial" w:hAnsi="Arial"/>
          <w:sz w:val="18"/>
          <w:szCs w:val="18"/>
          <w:color w:val="auto"/>
        </w:rPr>
        <w:t>” means (a) with respect to the LIBO Rate, 11:00 a.m., London time and (b) with respect to the EURIBO Rate, 11:00 a.m., Frankfurt time.</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of any Person means any Indebtedness of such Person that by its express terms is subordinated in right of payment to any other Indebtedness of such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2" w:name="page33"/>
    <w:bookmarkEnd w:id="32"/>
    <w:p>
      <w:pPr>
        <w:jc w:val="both"/>
        <w:ind w:right="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i w:val="1"/>
          <w:i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ind w:firstLine="8"/>
        <w:spacing w:after="0" w:line="254"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Borrowing Subsidiary</w:t>
      </w:r>
      <w:r>
        <w:rPr>
          <w:rFonts w:ascii="Arial" w:cs="Arial" w:eastAsia="Arial" w:hAnsi="Arial"/>
          <w:sz w:val="18"/>
          <w:szCs w:val="18"/>
          <w:color w:val="auto"/>
        </w:rPr>
        <w:t>” means any Borrowing Subsidiary that is a Swiss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Federal Tax Administration</w:t>
      </w:r>
      <w:r>
        <w:rPr>
          <w:rFonts w:ascii="Arial" w:cs="Arial" w:eastAsia="Arial" w:hAnsi="Arial"/>
          <w:sz w:val="17"/>
          <w:szCs w:val="17"/>
          <w:color w:val="auto"/>
        </w:rPr>
        <w:t>” shall mean the Swiss federal tax authorities referred to in Article 34 of the Swiss Withholding Tax Act.</w:t>
      </w:r>
    </w:p>
    <w:p>
      <w:pPr>
        <w:spacing w:after="0" w:line="237"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Subsidiary</w:t>
      </w:r>
      <w:r>
        <w:rPr>
          <w:rFonts w:ascii="Arial" w:cs="Arial" w:eastAsia="Arial" w:hAnsi="Arial"/>
          <w:sz w:val="18"/>
          <w:szCs w:val="18"/>
          <w:color w:val="auto"/>
        </w:rPr>
        <w:t>” means any Subsidiary that is incorporated or otherwise organized under the laws of, or resident for tax purposes in, Switzerland or any political subdivision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Tax Deduction</w:t>
      </w:r>
      <w:r>
        <w:rPr>
          <w:rFonts w:ascii="Arial" w:cs="Arial" w:eastAsia="Arial" w:hAnsi="Arial"/>
          <w:sz w:val="18"/>
          <w:szCs w:val="18"/>
          <w:color w:val="auto"/>
        </w:rPr>
        <w:t>” shall mean a deduction or withholding for or on account of Swiss Tax from a payment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Taxes</w:t>
      </w:r>
      <w:r>
        <w:rPr>
          <w:rFonts w:ascii="Arial" w:cs="Arial" w:eastAsia="Arial" w:hAnsi="Arial"/>
          <w:sz w:val="17"/>
          <w:szCs w:val="17"/>
          <w:color w:val="auto"/>
        </w:rPr>
        <w:t>” shall mean any Tax imposed by the Swiss Confederation or any political subdivision thereof, including the Swiss Withholding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211"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Ten Non-Bank Rule</w:t>
      </w:r>
      <w:r>
        <w:rPr>
          <w:rFonts w:ascii="Arial" w:cs="Arial" w:eastAsia="Arial" w:hAnsi="Arial"/>
          <w:sz w:val="17"/>
          <w:szCs w:val="17"/>
          <w:color w:val="auto"/>
        </w:rPr>
        <w:t>” shall mean the rule that the aggregate number of Lenders in respect of Loans to each Swiss Borrowing Subsidiary pursuant to this Agreement which are not Qualifying Banks must not at any time exceed ten, all in accordance with the Guidelines.</w:t>
      </w:r>
    </w:p>
    <w:p>
      <w:pPr>
        <w:spacing w:after="0" w:line="14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Twenty Non-Bank Rule</w:t>
      </w:r>
      <w:r>
        <w:rPr>
          <w:rFonts w:ascii="Arial" w:cs="Arial" w:eastAsia="Arial" w:hAnsi="Arial"/>
          <w:sz w:val="16"/>
          <w:szCs w:val="16"/>
          <w:color w:val="auto"/>
        </w:rPr>
        <w:t>” shall mean the rule that the aggregate number of (a) creditors other than Qualifying Banks of each Swiss Borrowing Subsidiary under all outstanding debts relevant for the classification as debenture (</w:t>
      </w:r>
      <w:r>
        <w:rPr>
          <w:rFonts w:ascii="Arial" w:cs="Arial" w:eastAsia="Arial" w:hAnsi="Arial"/>
          <w:sz w:val="16"/>
          <w:szCs w:val="16"/>
          <w:i w:val="1"/>
          <w:iCs w:val="1"/>
          <w:color w:val="auto"/>
        </w:rPr>
        <w:t>Kassenobligation</w:t>
      </w:r>
      <w:r>
        <w:rPr>
          <w:rFonts w:ascii="Arial" w:cs="Arial" w:eastAsia="Arial" w:hAnsi="Arial"/>
          <w:sz w:val="16"/>
          <w:szCs w:val="16"/>
          <w:color w:val="auto"/>
        </w:rPr>
        <w:t>) (including any intra-group loans (if and to the extent intra-group loans are not exempt in accordance with the ordinance of the Swiss Federal Council of 18 June 2010 amending the Swiss Federal Ordinance on withholding tax and the Swiss Federal Ordinance on stamp duties with effect as of 1 August 2010)), facilities or private placements (including Loans pursuant to this Agreement)) and (b) where the number of debt instruments is relevant, the number of such debt instruments, being understood that for purposes hereof the maximum number of ten Non-Qualifying Banks permitted under this Agreement shall be taken into account (whether or not ten Non-Qualifying Banks do so participate at any given time), must not at any time exceed twenty, all in accordance within the meaning of the Guidelines.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w:t>
      </w:r>
      <w:r>
        <w:rPr>
          <w:rFonts w:ascii="Arial" w:cs="Arial" w:eastAsia="Arial" w:hAnsi="Arial"/>
          <w:sz w:val="18"/>
          <w:szCs w:val="18"/>
          <w:color w:val="auto"/>
        </w:rPr>
        <w:t>” shall mean the Swiss withholding tax as per the Swiss Withholding Tax Act.</w:t>
      </w:r>
    </w:p>
    <w:p>
      <w:pPr>
        <w:spacing w:after="0" w:line="225" w:lineRule="exact"/>
        <w:rPr>
          <w:sz w:val="20"/>
          <w:szCs w:val="20"/>
          <w:color w:val="auto"/>
        </w:rPr>
      </w:pPr>
    </w:p>
    <w:p>
      <w:pPr>
        <w:jc w:val="center"/>
        <w:ind w:left="340" w:right="8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 Act</w:t>
      </w:r>
      <w:r>
        <w:rPr>
          <w:rFonts w:ascii="Arial" w:cs="Arial" w:eastAsia="Arial" w:hAnsi="Arial"/>
          <w:sz w:val="18"/>
          <w:szCs w:val="18"/>
          <w:color w:val="auto"/>
        </w:rPr>
        <w:t>” shall mean the Swiss federal act on withholding tax, of October 13, 1965, as modified from time to time. 24</w:t>
      </w:r>
    </w:p>
    <w:p>
      <w:pPr>
        <w:sectPr>
          <w:pgSz w:w="11900" w:h="16838" w:orient="portrait"/>
          <w:cols w:equalWidth="0" w:num="1">
            <w:col w:w="11400"/>
          </w:cols>
          <w:pgMar w:left="240" w:top="274" w:right="259" w:bottom="1440" w:gutter="0" w:footer="0" w:header="0"/>
        </w:sectPr>
      </w:pPr>
    </w:p>
    <w:bookmarkStart w:id="33" w:name="page34"/>
    <w:bookmarkEnd w:id="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Swiss Withholding Tax Rules</w:t>
      </w:r>
      <w:r>
        <w:rPr>
          <w:rFonts w:ascii="Arial" w:cs="Arial" w:eastAsia="Arial" w:hAnsi="Arial"/>
          <w:sz w:val="18"/>
          <w:szCs w:val="18"/>
          <w:color w:val="auto"/>
        </w:rPr>
        <w:t>” shall mean, together, the Swiss Ten Non-Bank Rule and the Swiss Twenty Non-Bank Rule.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w:t>
      </w:r>
      <w:r>
        <w:rPr>
          <w:rFonts w:ascii="Arial" w:cs="Arial" w:eastAsia="Arial" w:hAnsi="Arial"/>
          <w:sz w:val="18"/>
          <w:szCs w:val="18"/>
          <w:color w:val="auto"/>
        </w:rPr>
        <w:t>” means the Trans-European Automated Real-time Gross Settlement Express Transfer payment system.</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w:t>
      </w:r>
      <w:r>
        <w:rPr>
          <w:rFonts w:ascii="Arial" w:cs="Arial" w:eastAsia="Arial" w:hAnsi="Arial"/>
          <w:sz w:val="16"/>
          <w:szCs w:val="16"/>
          <w:color w:val="auto"/>
        </w:rPr>
        <w:t>” means a category of Commitments and extensions of credit thereunder. For purposes hereof, each of the following shall comprise a separate Tranche: (a) the Tranche A Commitments, the Tranche A Revolving Loans and the Letters of Credit (“</w:t>
      </w:r>
      <w:r>
        <w:rPr>
          <w:rFonts w:ascii="Arial" w:cs="Arial" w:eastAsia="Arial" w:hAnsi="Arial"/>
          <w:sz w:val="16"/>
          <w:szCs w:val="16"/>
          <w:i w:val="1"/>
          <w:iCs w:val="1"/>
          <w:color w:val="auto"/>
        </w:rPr>
        <w:t>Tranche A</w:t>
      </w:r>
      <w:r>
        <w:rPr>
          <w:rFonts w:ascii="Arial" w:cs="Arial" w:eastAsia="Arial" w:hAnsi="Arial"/>
          <w:sz w:val="16"/>
          <w:szCs w:val="16"/>
          <w:color w:val="auto"/>
        </w:rPr>
        <w:t>”), (b) the Tranche B Commitments, the Tranche B Revolving Loans and the BAs (“</w:t>
      </w:r>
      <w:r>
        <w:rPr>
          <w:rFonts w:ascii="Arial" w:cs="Arial" w:eastAsia="Arial" w:hAnsi="Arial"/>
          <w:sz w:val="16"/>
          <w:szCs w:val="16"/>
          <w:i w:val="1"/>
          <w:iCs w:val="1"/>
          <w:color w:val="auto"/>
        </w:rPr>
        <w:t>Tranche B</w:t>
      </w:r>
      <w:r>
        <w:rPr>
          <w:rFonts w:ascii="Arial" w:cs="Arial" w:eastAsia="Arial" w:hAnsi="Arial"/>
          <w:sz w:val="16"/>
          <w:szCs w:val="16"/>
          <w:color w:val="auto"/>
        </w:rPr>
        <w:t>”) and (c) the Tranche C Commitments and the Tranche C Revolving Loans (“</w:t>
      </w:r>
      <w:r>
        <w:rPr>
          <w:rFonts w:ascii="Arial" w:cs="Arial" w:eastAsia="Arial" w:hAnsi="Arial"/>
          <w:sz w:val="16"/>
          <w:szCs w:val="16"/>
          <w:i w:val="1"/>
          <w:iCs w:val="1"/>
          <w:color w:val="auto"/>
        </w:rPr>
        <w:t>Tranche C</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Borrower</w:t>
      </w:r>
      <w:r>
        <w:rPr>
          <w:rFonts w:ascii="Arial" w:cs="Arial" w:eastAsia="Arial" w:hAnsi="Arial"/>
          <w:sz w:val="18"/>
          <w:szCs w:val="18"/>
          <w:color w:val="auto"/>
        </w:rPr>
        <w:t>” means the Company and any Borrowing Subsidiary that is a Tranche A Subsidiary.</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Commitment</w:t>
      </w:r>
      <w:r>
        <w:rPr>
          <w:rFonts w:ascii="Arial" w:cs="Arial" w:eastAsia="Arial" w:hAnsi="Arial"/>
          <w:sz w:val="16"/>
          <w:szCs w:val="16"/>
          <w:color w:val="auto"/>
        </w:rPr>
        <w:t>” means, with respect to each Tranche A Lender, the commitment of such Tranche A Lender to make Tranche A Revolving Loans pursuant to Section 2.01(a) and to acquire participations in Letters of Credit hereunder, expressed as an amount representing the maximum aggregate amount of such Tranche A Lender’s Tranche A Revolving Credit Exposure hereunder, as such commitment may be reduced or increased from time to time pursuant to Section 2.08 or assignments by or to such Tranche A Lender pursuant to Section 11.04. The initial amount of each Tranche A Lender’s Tranche A Commitment is set forth on Schedule 2.01, or in the Assignment and Assumption pursuant to which such Tranche A Lender shall have assumed its Tranche A Commitment, as the case may be. The aggregate amount of Tranche A Commitments on the Closing Date is US$200,000,000.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Lender</w:t>
      </w:r>
      <w:r>
        <w:rPr>
          <w:rFonts w:ascii="Arial" w:cs="Arial" w:eastAsia="Arial" w:hAnsi="Arial"/>
          <w:sz w:val="18"/>
          <w:szCs w:val="18"/>
          <w:color w:val="auto"/>
        </w:rPr>
        <w:t>” means a Lender with a Tranche A Commitment or a Tranche A Revolving Credit Exposure.</w:t>
      </w:r>
    </w:p>
    <w:p>
      <w:pPr>
        <w:spacing w:after="0" w:line="225"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A Lending Office</w:t>
      </w:r>
      <w:r>
        <w:rPr>
          <w:rFonts w:ascii="Arial" w:cs="Arial" w:eastAsia="Arial" w:hAnsi="Arial"/>
          <w:sz w:val="17"/>
          <w:szCs w:val="17"/>
          <w:color w:val="auto"/>
        </w:rPr>
        <w:t>” means, with respect to any Tranche A Lender, the office(s) of such Lender (or any Affiliate of such Lender) specified as its “Tranche A Lending Office(s)” on Schedule 2.01 or, as to any Person that becomes a Tranche A Lender after the Closing Date, in the Assignment and Assumption executed by such Person,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7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Percentage</w:t>
      </w:r>
      <w:r>
        <w:rPr>
          <w:rFonts w:ascii="Arial" w:cs="Arial" w:eastAsia="Arial" w:hAnsi="Arial"/>
          <w:sz w:val="16"/>
          <w:szCs w:val="16"/>
          <w:color w:val="auto"/>
        </w:rPr>
        <w:t xml:space="preserve">” means, with respect to any Tranche A Lender at any time, the percentage of the aggregate Tranche A Commitments represented by such Tranche A Lender’s Tranche A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A Commitments have expired or been terminated, the Tranche A Percentages shall be determined on the basis of the Tranche A Commitments most recently in effect, giving effect to any assignments.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4" w:name="page35"/>
    <w:bookmarkEnd w:id="34"/>
    <w:p>
      <w:pPr>
        <w:ind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Tranche A Revolving Credit Exposure</w:t>
      </w:r>
      <w:r>
        <w:rPr>
          <w:rFonts w:ascii="Arial" w:cs="Arial" w:eastAsia="Arial" w:hAnsi="Arial"/>
          <w:sz w:val="17"/>
          <w:szCs w:val="17"/>
          <w:color w:val="auto"/>
        </w:rPr>
        <w:t>” means, with respect to any Tranche A Lender at any time, the aggregate amount of (a) the sum of the US Dollar Equivalents of such Tranche A Lender’s outstanding Tranche A Revolving Loans and (b) such Tranche A Lender’s LC Exposure.</w:t>
      </w:r>
    </w:p>
    <w:p>
      <w:pPr>
        <w:spacing w:after="0" w:line="14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Revolving Loans</w:t>
      </w:r>
      <w:r>
        <w:rPr>
          <w:rFonts w:ascii="Arial" w:cs="Arial" w:eastAsia="Arial" w:hAnsi="Arial"/>
          <w:sz w:val="18"/>
          <w:szCs w:val="18"/>
          <w:color w:val="auto"/>
        </w:rPr>
        <w:t>” means Loans made by the Tranche A Lenders pursuant to Section 2.01(a). Each Tranche A Revolving Loan denominated in US Dollars shall be a LIBOR Loan or, solely in the case of a Tranche A Revolving Loan denominated in US Dollars and made to a US Borrowing Subsidiary, an ABR Loan. Each Tranche A Revolving Loan denominated in Sterling shall be a LIBOR Loan. Each Tranche A Revolving Loan denominated in Euros shall be a EURIBOR Loan.</w:t>
      </w:r>
    </w:p>
    <w:p>
      <w:pPr>
        <w:spacing w:after="0" w:line="18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Borrower</w:t>
      </w:r>
      <w:r>
        <w:rPr>
          <w:rFonts w:ascii="Arial" w:cs="Arial" w:eastAsia="Arial" w:hAnsi="Arial"/>
          <w:sz w:val="18"/>
          <w:szCs w:val="18"/>
          <w:color w:val="auto"/>
        </w:rPr>
        <w:t>” means the Company and any Borrowing Subsidiary that is a Tranche B Subsidiary.</w:t>
      </w:r>
    </w:p>
    <w:p>
      <w:pPr>
        <w:spacing w:after="0" w:line="225"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Commitment</w:t>
      </w:r>
      <w:r>
        <w:rPr>
          <w:rFonts w:ascii="Arial" w:cs="Arial" w:eastAsia="Arial" w:hAnsi="Arial"/>
          <w:sz w:val="16"/>
          <w:szCs w:val="16"/>
          <w:color w:val="auto"/>
        </w:rPr>
        <w:t>” means, with respect to each Tranche B Lender, the commitment of such Tranche B Lender to make Tranche B Revolving Loans pursuant to Section 2.01(a), to accept and purchase BAs pursuant to Section 2.05 hereunder, expressed as an amount representing the maximum aggregate amount of such Tranche B Lender’s Tranche B Revolving Credit Exposure hereunder, as such commitment may be reduced or increased from time to time pursuant to Section 2.08 or assignments by or to such Tranche B Lender pursuant to Section 11.04. The initial amount of each Tranche B Lender’s Tranche B Commitment is set forth on Schedule 2.01 or in the Assignment and Assumption pursuant to which such Tranche B Lender shall have assumed its Tranche B Commitment, as the case may be. The aggregate amount of Tranche B Commitments on the Closing Date is US$300,000,000.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Lender</w:t>
      </w:r>
      <w:r>
        <w:rPr>
          <w:rFonts w:ascii="Arial" w:cs="Arial" w:eastAsia="Arial" w:hAnsi="Arial"/>
          <w:sz w:val="18"/>
          <w:szCs w:val="18"/>
          <w:color w:val="auto"/>
        </w:rPr>
        <w:t>” means a Lender with a Tranche B Commitment or a Tranche B Revolving Credit Exposure.</w:t>
      </w:r>
    </w:p>
    <w:p>
      <w:pPr>
        <w:spacing w:after="0" w:line="225"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Lending Office</w:t>
      </w:r>
      <w:r>
        <w:rPr>
          <w:rFonts w:ascii="Arial" w:cs="Arial" w:eastAsia="Arial" w:hAnsi="Arial"/>
          <w:sz w:val="17"/>
          <w:szCs w:val="17"/>
          <w:color w:val="auto"/>
        </w:rPr>
        <w:t>” means, with respect to any Tranche B Lender, the office(s) of such Lender (or any Affiliate of such Lender) specified as its “Tranche B Lending Office(s)” on Schedule 2.01 or, as to any Person that becomes a Tranche B Lender after the Closing Date, in the Assignment and Assumption executed by such Person,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73"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Percentage</w:t>
      </w:r>
      <w:r>
        <w:rPr>
          <w:rFonts w:ascii="Arial" w:cs="Arial" w:eastAsia="Arial" w:hAnsi="Arial"/>
          <w:sz w:val="16"/>
          <w:szCs w:val="16"/>
          <w:color w:val="auto"/>
        </w:rPr>
        <w:t xml:space="preserve">” means, with respect to any Tranche B Lender at any time, the percentage of the aggregate Tranche B Commitments represented by such Tranche B Lender’s Tranche B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Credit Exposure</w:t>
      </w:r>
      <w:r>
        <w:rPr>
          <w:rFonts w:ascii="Arial" w:cs="Arial" w:eastAsia="Arial" w:hAnsi="Arial"/>
          <w:sz w:val="18"/>
          <w:szCs w:val="18"/>
          <w:color w:val="auto"/>
        </w:rPr>
        <w:t>” means, with respect to any Tranche B Lender at any time, the aggregate amount of (a) the sum of the US Dollar Equivalents of such Tranche B</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outstanding Tranche B Revolving Loans and (b) the sum of the US Dollar Equivalents at such time of the face amounts of the BAs accepted by such Tranche B Lender and outstanding at such time.</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Loans</w:t>
      </w:r>
      <w:r>
        <w:rPr>
          <w:rFonts w:ascii="Arial" w:cs="Arial" w:eastAsia="Arial" w:hAnsi="Arial"/>
          <w:sz w:val="18"/>
          <w:szCs w:val="18"/>
          <w:color w:val="auto"/>
        </w:rPr>
        <w:t>” means Loans made by the Tranche B Lenders pursuant to Section 2.01(b). Each Tranche B Revolving Loan denominated in US Dollars shall be a LIBOR Loan or, solely in the case of a Tranche B Revolving Loan denominated in US Dollars and made to a US Borrowing Subsidiary or a Canadian Borrowing Subsidiary, an ABR Loan. Each Tranche B Revolving Loan denominated in Sterling shall be a LIBOR Loan. Each Tranche B Revolving Loan denominated in Euros shall be a EURIBOR Loan. Each Tranche B Revolving Loan denominated in Canadian Dollars shall be a Canadian Prime Rate Loan.</w:t>
      </w:r>
    </w:p>
    <w:p>
      <w:pPr>
        <w:spacing w:after="0" w:line="188"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Subsidiary</w:t>
      </w:r>
      <w:r>
        <w:rPr>
          <w:rFonts w:ascii="Arial" w:cs="Arial" w:eastAsia="Arial" w:hAnsi="Arial"/>
          <w:sz w:val="17"/>
          <w:szCs w:val="17"/>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Borrower</w:t>
      </w:r>
      <w:r>
        <w:rPr>
          <w:rFonts w:ascii="Arial" w:cs="Arial" w:eastAsia="Arial" w:hAnsi="Arial"/>
          <w:sz w:val="18"/>
          <w:szCs w:val="18"/>
          <w:color w:val="auto"/>
        </w:rPr>
        <w:t>” means any Borrowing Subsidiary that is a Tranche C Subsidiary.</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C Commitment</w:t>
      </w:r>
      <w:r>
        <w:rPr>
          <w:rFonts w:ascii="Arial" w:cs="Arial" w:eastAsia="Arial" w:hAnsi="Arial"/>
          <w:sz w:val="17"/>
          <w:szCs w:val="17"/>
          <w:color w:val="auto"/>
        </w:rPr>
        <w:t>” means, with respect to each Tranche C Lender, the commitment of such Tranche C Lender to make Tranche C Revolving Loans pursuant to Section 2.01(c), expressed as an amount representing the maximum aggregate amount of such Tranche C Lender’s Tranche C Revolving Credit Exposure hereunder, as such commitment may be reduced or increased from time to time pursuant to Section 2.08 or assignments by or to such Tranche C Lender pursuant to Section 11.04. The initial amount of each Tranche C Lender’s Tranche C Commitment is set forth on Schedule 2.01, or in the Assignment and Assumption pursuant to which such Tranche C Lender shall have assumed its Tranche C Commitment, as the case may be. The aggregate amount of Tranche C Commitments on the Closing Date is US$0.</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Lender</w:t>
      </w:r>
      <w:r>
        <w:rPr>
          <w:rFonts w:ascii="Arial" w:cs="Arial" w:eastAsia="Arial" w:hAnsi="Arial"/>
          <w:sz w:val="18"/>
          <w:szCs w:val="18"/>
          <w:color w:val="auto"/>
        </w:rPr>
        <w:t>” means a Lender with a Tranche C Commitment or a Tranche C Revolving Credit Exposure.</w:t>
      </w:r>
    </w:p>
    <w:p>
      <w:pPr>
        <w:spacing w:after="0" w:line="225"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C Lending Office</w:t>
      </w:r>
      <w:r>
        <w:rPr>
          <w:rFonts w:ascii="Arial" w:cs="Arial" w:eastAsia="Arial" w:hAnsi="Arial"/>
          <w:sz w:val="17"/>
          <w:szCs w:val="17"/>
          <w:color w:val="auto"/>
        </w:rPr>
        <w:t>” means, with respect to any Tranche C Lender, the office(s) of such Lender (or any Affiliate of such Lender) specified as its “Tranche C Lending Office(s)” on Schedule 2.01 or, as to any Person that becomes a Tranche C Lender after the Closing Date, in the Assignment and Assumption executed by such Person, or such other office(s) of such Lender (or an Affiliate of such Lender) as such Lender may hereafter designate from time to time as its “Tranche C Lending Office(s)” by notice to the Company and the Administrative Agent.</w:t>
      </w:r>
    </w:p>
    <w:p>
      <w:pPr>
        <w:spacing w:after="0" w:line="17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Percentage</w:t>
      </w:r>
      <w:r>
        <w:rPr>
          <w:rFonts w:ascii="Arial" w:cs="Arial" w:eastAsia="Arial" w:hAnsi="Arial"/>
          <w:sz w:val="16"/>
          <w:szCs w:val="16"/>
          <w:color w:val="auto"/>
        </w:rPr>
        <w:t xml:space="preserve">” means, with respect to any Tranche C Lender at any time, the percentage of the aggregate Tranche C Commitments represented by such Tranche C Lender’s Tranche C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Credit Exposure</w:t>
      </w:r>
      <w:r>
        <w:rPr>
          <w:rFonts w:ascii="Arial" w:cs="Arial" w:eastAsia="Arial" w:hAnsi="Arial"/>
          <w:sz w:val="18"/>
          <w:szCs w:val="18"/>
          <w:color w:val="auto"/>
        </w:rPr>
        <w:t>” means, with respect to any Tranche C Lender at any time, the aggregate amount of the sum of the US Dollar Equivalents of such Tranche C Lender’s outstanding Tranche C Revolving Loans.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6" w:name="page37"/>
    <w:bookmarkEnd w:id="36"/>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Tranche C Revolving Loans</w:t>
      </w:r>
      <w:r>
        <w:rPr>
          <w:rFonts w:ascii="Arial" w:cs="Arial" w:eastAsia="Arial" w:hAnsi="Arial"/>
          <w:sz w:val="18"/>
          <w:szCs w:val="18"/>
          <w:color w:val="auto"/>
        </w:rPr>
        <w:t>” means Loans made by the Tranche C Lenders pursuant to Section 2.01(a). Each Tranche C Revolving Loan shall be a LIBOR Loan or an ABR Loan.</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Subsidiary</w:t>
      </w:r>
      <w:r>
        <w:rPr>
          <w:rFonts w:ascii="Arial" w:cs="Arial" w:eastAsia="Arial" w:hAnsi="Arial"/>
          <w:sz w:val="18"/>
          <w:szCs w:val="18"/>
          <w:color w:val="auto"/>
        </w:rPr>
        <w:t>” means any Subsidiary that is incorporated or otherwise organized under the laws of the United States of America or any political subdivision thereof.</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execution, delivery and performance by each Credit Party of the Credit Documents to which it is to be a party, the making of the Loans, the acceptance and purchase of the BAs, the use of the proceeds thereof, the issuance of the Letters of Credit, the creation of the Guarantee provided for in Article X and the other transactions contemplated hereby.</w:t>
      </w:r>
    </w:p>
    <w:p>
      <w:pPr>
        <w:spacing w:after="0" w:line="181"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Type</w:t>
      </w:r>
      <w:r>
        <w:rPr>
          <w:rFonts w:ascii="Arial" w:cs="Arial" w:eastAsia="Arial" w:hAnsi="Arial"/>
          <w:sz w:val="16"/>
          <w:szCs w:val="16"/>
          <w:color w:val="auto"/>
        </w:rPr>
        <w:t>”, when used in reference to any Loan or Borrowing, refers to whether the rate of interest on such Loan, or on the Loans comprising such Borrowing, is determined by reference to the Adjusted LIBO Rate, LIBO Rate, the EURIBO Rate, the Alternate Base Rate or the Canadian Prime Rate.</w:t>
      </w:r>
    </w:p>
    <w:p>
      <w:pPr>
        <w:spacing w:after="0" w:line="124"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Borrowing Subsidiary</w:t>
      </w:r>
      <w:r>
        <w:rPr>
          <w:rFonts w:ascii="Arial" w:cs="Arial" w:eastAsia="Arial" w:hAnsi="Arial"/>
          <w:sz w:val="18"/>
          <w:szCs w:val="18"/>
          <w:color w:val="auto"/>
        </w:rPr>
        <w:t>” means (i) any Borrowing Subsidiary that is incorporated or otherwise organized under the laws of the United Kingdom or (ii) any other Borrowing Subsidiary obligated to make payments hereunder or under any other Credit Document that are potentially subject to withholding taxes imposed by the laws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DTTP Scheme</w:t>
      </w:r>
      <w:r>
        <w:rPr>
          <w:rFonts w:ascii="Arial" w:cs="Arial" w:eastAsia="Arial" w:hAnsi="Arial"/>
          <w:sz w:val="18"/>
          <w:szCs w:val="18"/>
          <w:color w:val="auto"/>
        </w:rPr>
        <w:t>” means the Double Taxation Treaty Passport Scheme administered by HMRC.</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Base Rate</w:t>
      </w:r>
      <w:r>
        <w:rPr>
          <w:rFonts w:ascii="Arial" w:cs="Arial" w:eastAsia="Arial" w:hAnsi="Arial"/>
          <w:sz w:val="17"/>
          <w:szCs w:val="17"/>
          <w:color w:val="auto"/>
        </w:rPr>
        <w:t>” means the reference rate of interest (however designated) announced from time to time by JPMorgan Chase Bank, N.A., Toronto Branch, as its reference rate for determining interest chargeable by it on commercial loans made in Canada and denominated in US Dollars. Each change in the US Base Rate shall be effective from and including the date such change is publicly announced as being effective.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Borrowing Subsidiary</w:t>
      </w:r>
      <w:r>
        <w:rPr>
          <w:rFonts w:ascii="Arial" w:cs="Arial" w:eastAsia="Arial" w:hAnsi="Arial"/>
          <w:sz w:val="18"/>
          <w:szCs w:val="18"/>
          <w:color w:val="auto"/>
        </w:rPr>
        <w:t>” means any Borrowing Subsidiary that is a US Subsidiary.</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means, on any date of determination, (a) with respect to any amount in US Dollars, such amount and (b) with respect to any amount in any currency other than US Dollars, the equivalent in US Dollars of such amount, determined by the Administrative Agent pursuant to Section 1.05 using the Exchange Rate with respect to such currency at the time in effect under the provisions of such Section.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Subsidiary</w:t>
      </w:r>
      <w:r>
        <w:rPr>
          <w:rFonts w:ascii="Arial" w:cs="Arial" w:eastAsia="Arial" w:hAnsi="Arial"/>
          <w:sz w:val="17"/>
          <w:szCs w:val="17"/>
          <w:color w:val="auto"/>
        </w:rPr>
        <w:t>” means any Subsidiary that is organized under the laws of the United States of America, any State thereof or the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7" w:name="page38"/>
    <w:bookmarkEnd w:id="37"/>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xml:space="preserve">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Revolving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Revolving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Revolving Borrowing”).</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7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 Pro Forma Computations.</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w:t>
      </w:r>
    </w:p>
    <w:p>
      <w:pPr>
        <w:spacing w:after="0" w:line="166"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Currency Translation.</w:t>
      </w:r>
      <w:r>
        <w:rPr>
          <w:rFonts w:ascii="Arial" w:cs="Arial" w:eastAsia="Arial" w:hAnsi="Arial"/>
          <w:sz w:val="16"/>
          <w:szCs w:val="16"/>
          <w:color w:val="auto"/>
        </w:rPr>
        <w:t xml:space="preserve"> The Administrative Agent shall determine the US Dollar Equivalent of any Borrowing denominated in a currency other than US Dollars, other than a Canadian Prime Rate Borrowing, as of the date of the commencement of the initial Interest Period therefor and as of the date of the commencement of each subsequent Interest Period therefor, in each case using the Exchange Rate for such currency in relation to US Dollars in effect on the date that is three Business Days prior to the date on which the applicable Interest Period shall commence, and each such amount shall, except as provided in the last two sentences of this Section, be the US Dollar Equivalent of such Borrowing until the next required calculation thereof pursuant to this sentence. The Administrative Agent shall determine the US Dollar Equivalent of any Letter of Credit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8" w:name="page39"/>
    <w:bookmarkEnd w:id="3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denominated in a currency other than US Dollars as of the date such Letter of Credit is issued, amended to increase its face amount, extended or renewed and as of the last Business Day of each subsequent calendar month, in each case using the Exchange Rate for such currency in relation to US Dollars in effect on the date that is three Business Days prior to the date on which such Letter of Credit is issued, amended to increase its face amount, extended or renewed or the last Business Day of such subsequent calendar quarter, as the case may be, and each such amount shall, except as provided in the last two sentences of this Section, be the US Dollar Equivalent of such Letter of Credit until the next required calculation thereof pursuant to this sentence. The Administrative Agent shall determine the US Dollar Equivalent of any Canadian Prime Rate Borrowing or BA as of the date on which such Borrowing is made or such BA is accepted and purchased and as of the last Business Day of each subsequent calendar quarter, in each case using the Exchange Rate for such currency in relation to US Dollars in effect on the last Business Day preceding the date of such Borrowing or acceptance and purchase and as of the last Business Day of such subsequent calendar quarter, as the case may be, and each such amount shall, except as provided in the last two sentences of this Section, be the US Dollar Equivalent of such Borrowing or BA until the next required calculation thereof pursuant to this sentence. The Administrative Agent shall notify the Company and the Lenders of each calculation of the US Dollar Equivalent of each Borrowing, BA or Letter of Credit. Notwithstanding the foregoing, for purposes of any determination of the CAM Percentages,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6.06 and 6.07, amounts in currencies other than US Dollars shall be translated into US Dollars at the currency exchange rates used in preparing the Company’s annual and quarterly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Tranche A Commitments.</w:t>
      </w:r>
      <w:r>
        <w:rPr>
          <w:rFonts w:ascii="Arial" w:cs="Arial" w:eastAsia="Arial" w:hAnsi="Arial"/>
          <w:sz w:val="18"/>
          <w:szCs w:val="18"/>
          <w:color w:val="auto"/>
        </w:rPr>
        <w:t xml:space="preserve"> Subject to the terms and conditions set forth herein, each Tranche A Lender agrees to make Tranche A Revolving Loans denominated in US Dollars, Sterling and Euro to the Tranche A Borrowers from time to time during the Availability Period in an aggregate principal amount at any time outstanding that will not result in (A) the aggregate Tranche A Revolving Credit Exposures exceeding the aggregate Tranche A Commitments or (B) the Tranche A Revolving Credit Exposure of any Lender exceeding its Tranche A Commitment. Within the foregoing limits and subject to the terms and conditions set forth herein, the Tranche A Borrowers may borrow, prepay and reborrow Tranche A Revolving Loans.</w:t>
      </w:r>
    </w:p>
    <w:p>
      <w:pPr>
        <w:spacing w:after="0" w:line="193" w:lineRule="exact"/>
        <w:rPr>
          <w:sz w:val="20"/>
          <w:szCs w:val="20"/>
          <w:color w:val="auto"/>
        </w:rPr>
      </w:pPr>
    </w:p>
    <w:p>
      <w:pPr>
        <w:ind w:right="80" w:firstLine="921"/>
        <w:spacing w:after="0" w:line="254"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Tranche B Commitments.</w:t>
      </w:r>
      <w:r>
        <w:rPr>
          <w:rFonts w:ascii="Arial" w:cs="Arial" w:eastAsia="Arial" w:hAnsi="Arial"/>
          <w:sz w:val="18"/>
          <w:szCs w:val="18"/>
          <w:color w:val="auto"/>
        </w:rPr>
        <w:t xml:space="preserve"> Subject to the terms and conditions set forth herein, each Tranche B Lender agrees (i) to make Tranche B Revolving Loans denominated in US Dollars, Sterling and Euro to the Tranche B Borrowers other than the Canadian Borrowing Subsidiaries, (ii) to make Tranche B Revolving Loans denominated in US Dollars and Canadian Dollars to the Canadian Borrowing Subsidiaries and (iii) to accept and purchase drafts drawn by Canadian Borrowing Subsidiaries in Canadian Dollars as BAs, in each case from time to time during the Availability Period in an aggregate principal or face amount at any time outstanding that will not result in (A) the aggregate Tranche B Revolving Credit Exposures exceeding the aggregate Tranche B Commitments or (B) the Tranche B Revolving Credit Exposure of any Lender exceeding its Tranche B Commitment. Within the foregoing limits and subject to the terms and conditions set forth herein, the Tranche B Borrowers may borrow, prepay and reborrow Tranche B Revolving Loans and issue and sell drafts drawn as BAs.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9" w:name="page40"/>
    <w:bookmarkEnd w:id="39"/>
    <w:p>
      <w:pPr>
        <w:ind w:right="140" w:firstLine="921"/>
        <w:spacing w:after="0" w:line="276" w:lineRule="auto"/>
        <w:tabs>
          <w:tab w:leader="none" w:pos="115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Tranche C Commitments.</w:t>
      </w:r>
      <w:r>
        <w:rPr>
          <w:rFonts w:ascii="Arial" w:cs="Arial" w:eastAsia="Arial" w:hAnsi="Arial"/>
          <w:sz w:val="17"/>
          <w:szCs w:val="17"/>
          <w:color w:val="auto"/>
        </w:rPr>
        <w:t xml:space="preserve"> Subject to the terms and conditions set forth herein, each Tranche C Lender agrees to make Tranche C Revolving Loans denominated in US Dollars to the Tranche C Borrowers from time to time during the Availability Period in an aggregate principal amount at any time outstanding that will not result in (i) the aggregate 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Revolving Loans.</w:t>
      </w:r>
    </w:p>
    <w:p>
      <w:pPr>
        <w:spacing w:after="0" w:line="173"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Loans and Borrowings.</w:t>
      </w:r>
      <w:r>
        <w:rPr>
          <w:rFonts w:ascii="Arial" w:cs="Arial" w:eastAsia="Arial" w:hAnsi="Arial"/>
          <w:sz w:val="17"/>
          <w:szCs w:val="17"/>
          <w:color w:val="auto"/>
        </w:rPr>
        <w:t xml:space="preserve"> (a) Each Tranche A Revolving Loan shall be made as part of a Tranche A Revolving Borrowing consisting of Tranche A Revolving Loans of the same Type and currency made by the Tranche A Lenders ratably in accordance with their respective Tranche A Commitments. Each Tranche B Revolving Loan shall be made as part of a Tranche B Revolving Borrowing consisting of Tranche B Revolving Loans of the same Type and currency made by the Tranche B Lenders ratably in accordance with their respective Tranche B Commitments. Each Tranche C Revolving Loan shall be made as part of a Tranche C Revolving Borrowing consisting of Tranche C Revolving Loans of the same Type made by the Tranche C Lenders ratably in accordance with their respective Tranche C Commitments.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w:t>
      </w:r>
    </w:p>
    <w:p>
      <w:pPr>
        <w:spacing w:after="0" w:line="179" w:lineRule="exact"/>
        <w:rPr>
          <w:sz w:val="20"/>
          <w:szCs w:val="20"/>
          <w:color w:val="auto"/>
        </w:rPr>
      </w:pPr>
    </w:p>
    <w:p>
      <w:pPr>
        <w:ind w:left="1180" w:hanging="259"/>
        <w:spacing w:after="0"/>
        <w:tabs>
          <w:tab w:leader="none" w:pos="11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Subject to Section 2.13, (i) each Revolving Borrowing denominated in US Dollars shall be comprised entirely of (A) LIBOR Loans or</w:t>
      </w:r>
    </w:p>
    <w:p>
      <w:pPr>
        <w:spacing w:after="0" w:line="34" w:lineRule="exact"/>
        <w:rPr>
          <w:rFonts w:ascii="Arial" w:cs="Arial" w:eastAsia="Arial" w:hAnsi="Arial"/>
          <w:sz w:val="17"/>
          <w:szCs w:val="17"/>
          <w:color w:val="auto"/>
        </w:rPr>
      </w:pPr>
    </w:p>
    <w:p>
      <w:pPr>
        <w:ind w:firstLine="8"/>
        <w:spacing w:after="0" w:line="270"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solely in the case of any such Borrowing by a US Borrowing Subsidiary or a Canadian Borrowing Subsidiary, ABR Loans, (ii) each Revolving Borrowing denominated in Sterling shall be comprised entirely of LIBOR Loans, (iii) each Revolving Borrowing denominated in Euros shall be comprised entirely of EURIBOR Loans and (iv) each Revolving Borrowing denominated in Canadian Dollars shall be comprised entirely of Canadian Prime Rate Loans. Each Lender at its option may make any Loan or accept and purchase any BA by causing any domestic or foreign branch or Affiliate of such Lender to make such Loan or accept and purchase such BA;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the applicable Borrower to repay such Loan in accordance with the terms of this Agreement or the obligations of any Lender under Section 2.18.</w:t>
      </w:r>
    </w:p>
    <w:p>
      <w:pPr>
        <w:spacing w:after="0" w:line="178" w:lineRule="exact"/>
        <w:rPr>
          <w:rFonts w:ascii="Arial" w:cs="Arial" w:eastAsia="Arial" w:hAnsi="Arial"/>
          <w:sz w:val="17"/>
          <w:szCs w:val="17"/>
          <w:color w:val="auto"/>
        </w:rPr>
      </w:pPr>
    </w:p>
    <w:p>
      <w:pPr>
        <w:ind w:right="40" w:firstLine="921"/>
        <w:spacing w:after="0" w:line="270" w:lineRule="auto"/>
        <w:tabs>
          <w:tab w:leader="none" w:pos="1158"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LIBOR Revolving Borrowing or EURIBOR Revolving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US$1,000,000 and not less than US$3,000,000;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an ABR Revolving Borrowing under any Tranche may be in an aggregate amount that is equal to the entire unused balance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Commitments under such Tranche and (ii) a Tranche A Borrowing that is required to finance the reimbursement of an LC Disbursement as contemplated by Section 2.04(e) may be in an aggregate amount equal to the amount of such LC Disbursement. At the time that each Canadian Prime Rate Revolving Borrowing is made, such Borrowing shall be in an aggregate amount that is an integral multiple of Cdn.$1,000,000 and not less than Cdn.$3,000,000.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not at any time be more than a total of 10 LIBOR Revolving Borrowings and EURIBOR Revolving Borrowings outstanding.</w:t>
      </w:r>
    </w:p>
    <w:p>
      <w:pPr>
        <w:spacing w:after="0" w:line="181" w:lineRule="exact"/>
        <w:rPr>
          <w:rFonts w:ascii="Arial" w:cs="Arial" w:eastAsia="Arial" w:hAnsi="Arial"/>
          <w:sz w:val="17"/>
          <w:szCs w:val="17"/>
          <w:color w:val="auto"/>
        </w:rPr>
      </w:pPr>
    </w:p>
    <w:p>
      <w:pPr>
        <w:ind w:right="500" w:firstLine="921"/>
        <w:spacing w:after="0" w:line="277" w:lineRule="auto"/>
        <w:tabs>
          <w:tab w:leader="none" w:pos="11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0" w:name="page41"/>
    <w:bookmarkEnd w:id="40"/>
    <w:p>
      <w:pPr>
        <w:ind w:right="4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xml:space="preserve"> To request a Borrowing, the applicable Borrower shall notify the Applicable Agent by telephone confirmed promptly by hand delivery or telecopy to such Applicable Agent of a written Borrowing Request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any other form approved by the Administrative Agent and signed by a Financial Officer of the Company (a) in the case of a LIBOR Borrowing denominated in US Dollars, not later than 11:00 a.m., Local Time, three Business Days before the date of the proposed Borrowing, (b) in the case of a LIBOR Borrowing denominated in Sterling or a EURIBOR Borrowing, not later than 11:00 a.m., Local Time, three Business Days before the date of the proposed Borrowing, (c) (i) in the case of an ABR Borrowing under Tranche A, not later than 12:00 noon, Local Time, on the day of such proposed Borrowing and (ii) in the case of an ABR Borrowing under Tranche B or under Tranche C, not later than 12:00 noon, Local Time, on the day of such proposed Borrowing and (d) in the case of a Canadian Prime Rate Borrowing, not later than 1:30 pm, Local Time, one Business Day before the date of the proposed Borrowing. Each such telephonic and written Borrowing Request shall specify the following information in compliance with Section 2.02:</w:t>
      </w:r>
    </w:p>
    <w:p>
      <w:pPr>
        <w:spacing w:after="0" w:line="182" w:lineRule="exact"/>
        <w:rPr>
          <w:sz w:val="20"/>
          <w:szCs w:val="20"/>
          <w:color w:val="auto"/>
        </w:rPr>
      </w:pPr>
    </w:p>
    <w:p>
      <w:pPr>
        <w:ind w:left="1700" w:hanging="208"/>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Borrower requesting such Borrowing;</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Tranche under which such Borrowing is to be made;</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and the principal amount of such Borrowing;</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225" w:lineRule="exact"/>
        <w:rPr>
          <w:rFonts w:ascii="Arial" w:cs="Arial" w:eastAsia="Arial" w:hAnsi="Arial"/>
          <w:sz w:val="18"/>
          <w:szCs w:val="18"/>
          <w:color w:val="auto"/>
        </w:rPr>
      </w:pPr>
    </w:p>
    <w:p>
      <w:pPr>
        <w:ind w:right="280" w:firstLine="1492"/>
        <w:spacing w:after="0" w:line="277"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LIBOR Borrowing or a EURIBOR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Funding Account.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Borrowing Request that shall fail to specify any of the information required by the preceding provisions of this paragraph may be rejected by the Applicable Agent if such failure is not corrected promptly after the Applicable Agent shall give written or telephonic notice thereof to the applicable Borrower and, if so rejected, will be of no force or effect. Promptly following receipt of a Borrowing Request in accordance with this Section, the Applicable Agent shall advise each Lender that will make a Loan as part of the requested Borrowing of the details thereof and of the amount of such Lender’s Loan to be made as part of the requested Borrowing.</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any Borrower may request any Issuing Bank to issue Letters of Credit (or to amend, renew or extend outstanding Letters of Credit) denominated in US Dollars, Sterling or Euro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On the Effective Date, the Lenders shall hold participations in any Existing Letter of Credit on such date in proportion to the Lenders’ respective Tranche A Percentage determined after giving effect to the amendment and restatement hereof (including the Commitment Schedule) on the Effective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1" w:name="page42"/>
    <w:bookmarkEnd w:id="41"/>
    <w:p>
      <w:pPr>
        <w:ind w:firstLine="921"/>
        <w:spacing w:after="0" w:line="283" w:lineRule="auto"/>
        <w:tabs>
          <w:tab w:leader="none" w:pos="116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a Borrower shall deliver (or transmit by electronic communication, if arrangements for doing so have been approved by the applicable Issuing Bank) to an Issuing Bank and the Administrative Agent, reasonably in advance of the requested date of issuance (which shall be a day at least three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US$50,000,000,</w:t>
      </w:r>
    </w:p>
    <w:p>
      <w:pPr>
        <w:spacing w:after="0" w:line="4" w:lineRule="exact"/>
        <w:rPr>
          <w:rFonts w:ascii="Arial" w:cs="Arial" w:eastAsia="Arial" w:hAnsi="Arial"/>
          <w:sz w:val="16"/>
          <w:szCs w:val="16"/>
          <w:color w:val="auto"/>
        </w:rPr>
      </w:pPr>
    </w:p>
    <w:p>
      <w:pPr>
        <w:ind w:right="20" w:firstLine="8"/>
        <w:spacing w:after="0" w:line="287" w:lineRule="auto"/>
        <w:tabs>
          <w:tab w:leader="none" w:pos="2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the LC Exposure attributable to Letters of Credit issued by the applicable Issuing Bank will not exceed the LC Commitment of such Issuing Bank, (iii) the aggregate Tranche A Revolving Credit Exposures will not exceed the aggregate Tranche A Commitments and (iv) the Tranche A Revolving Credit Exposure of each Lender will not exceed the Tranche A Commitment of such Lender and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If the Required Lenders notify the Issuing Banks that a Default exists and instruct the Issuing Banks to suspend the issuance, amendment, renewal or extension of Letters of Credit, no Issuing Bank shall issue, amend, renew or extend any Letter of Credit without the consent of the Required Lenders until such notice is withdrawn by the Required Lenders (each Lender that shall have delivered such a notice hereby agreeing promptly to withdraw it at such time as it determines that no Default exists).</w:t>
      </w:r>
    </w:p>
    <w:p>
      <w:pPr>
        <w:spacing w:after="0" w:line="170" w:lineRule="exact"/>
        <w:rPr>
          <w:rFonts w:ascii="Arial" w:cs="Arial" w:eastAsia="Arial" w:hAnsi="Arial"/>
          <w:sz w:val="16"/>
          <w:szCs w:val="16"/>
          <w:color w:val="auto"/>
        </w:rPr>
      </w:pPr>
    </w:p>
    <w:p>
      <w:pPr>
        <w:ind w:right="20" w:firstLine="921"/>
        <w:spacing w:after="0" w:line="255" w:lineRule="auto"/>
        <w:tabs>
          <w:tab w:leader="none" w:pos="1157"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A Letter of Credit may provide for automatic renewals for additional periods of up to one year subject to a right on the part of the applicable Issuing Bank to prevent any such renewal from occurring by giving notice to the beneficiary during a specified period in advance of any such renewal, and the failure of such Issuing Bank to give such notice by the end of such period shall for all purposes hereof be deemed an extension of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Letter of Credit, as extended from time to time, expire after the date that is five Business Days prior to the Maturity Date.</w:t>
      </w:r>
    </w:p>
    <w:p>
      <w:pPr>
        <w:spacing w:after="0" w:line="189" w:lineRule="exact"/>
        <w:rPr>
          <w:rFonts w:ascii="Arial" w:cs="Arial" w:eastAsia="Arial" w:hAnsi="Arial"/>
          <w:sz w:val="18"/>
          <w:szCs w:val="18"/>
          <w:color w:val="auto"/>
        </w:rPr>
      </w:pPr>
    </w:p>
    <w:p>
      <w:pPr>
        <w:ind w:right="60" w:firstLine="921"/>
        <w:spacing w:after="0" w:line="279" w:lineRule="auto"/>
        <w:tabs>
          <w:tab w:leader="none" w:pos="1168"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applicable Issuing Bank or the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2" w:name="page43"/>
    <w:bookmarkEnd w:id="4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required to be refunded to the applicable Borrower for any reason. Each Tranche A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Tranche A Commitments, and that each such payment shall be made without any offset, abatement, withholding or reduction whatsoever. Each Lender further acknowledges and agrees that, in issuing, amending, renewing or extending any Letter of Credit, the Issuing Bank shall be entitled to rely, and shall not incur any liability for relying, upon the representations and warranties of the Company deemed made pursuant to Section 2.04(b) or 4.02.</w:t>
      </w:r>
    </w:p>
    <w:p>
      <w:pPr>
        <w:spacing w:after="0" w:line="182" w:lineRule="exact"/>
        <w:rPr>
          <w:sz w:val="20"/>
          <w:szCs w:val="20"/>
          <w:color w:val="auto"/>
        </w:rPr>
      </w:pPr>
    </w:p>
    <w:p>
      <w:pPr>
        <w:ind w:firstLine="921"/>
        <w:spacing w:after="0" w:line="267" w:lineRule="auto"/>
        <w:tabs>
          <w:tab w:leader="none" w:pos="115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the Borrower receives notice of such LC Disbursement;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 LC Disbursement in US Dollars the Borrower may, subject to the conditions to borrowing set forth herein, request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Section 2.03 that such payment be financed with an ABR Borrowing in an equivalent amount and, to the extent so financed, the Borrower’s obligation to make such payment shall be discharged and replaced by the resulting ABR Borrowing. If such Borrower fails to make such payment when due, the Administrative Agent shall notify each Tranche A Lender of the applicable LC Disbursement, the amount and currency of the payment then due from such Borrower in respect thereof and such Lender’s Tranche A Percentage thereof. Promptly following receipt of such notice, each Tranche A Lender shall pay to the Administrative Agent its Tranche A Percentage of the payment then due from the Borrower, in the same manner as provided in Section 2.06 with respect to Loans made by such Tranche A Lender (and Section 2.06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xml:space="preserve">, to the payment obligations of the Tranche A Lenders), and the Administrative Agent shall promptly pay to such Issuing Bank the amounts so received by it from the Tranche A Lenders. Promptly following receipt by the Administrative Agent of any payment from the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Arial" w:cs="Arial" w:eastAsia="Arial" w:hAnsi="Arial"/>
          <w:sz w:val="17"/>
          <w:szCs w:val="17"/>
          <w:i w:val="1"/>
          <w:iCs w:val="1"/>
          <w:color w:val="auto"/>
        </w:rPr>
        <w:t>provided</w:t>
      </w:r>
      <w:r>
        <w:rPr>
          <w:rFonts w:ascii="Arial" w:cs="Arial" w:eastAsia="Arial" w:hAnsi="Arial"/>
          <w:sz w:val="17"/>
          <w:szCs w:val="17"/>
          <w:color w:val="auto"/>
        </w:rPr>
        <w:t>, that no Borrower shall be required to make duplicate payments with respect to any LC Disbursement.</w:t>
      </w:r>
    </w:p>
    <w:p>
      <w:pPr>
        <w:spacing w:after="0" w:line="192" w:lineRule="exact"/>
        <w:rPr>
          <w:rFonts w:ascii="Arial" w:cs="Arial" w:eastAsia="Arial" w:hAnsi="Arial"/>
          <w:sz w:val="17"/>
          <w:szCs w:val="17"/>
          <w:color w:val="auto"/>
        </w:rPr>
      </w:pPr>
    </w:p>
    <w:p>
      <w:pPr>
        <w:ind w:right="80" w:firstLine="921"/>
        <w:spacing w:after="0" w:line="273" w:lineRule="auto"/>
        <w:tabs>
          <w:tab w:leader="none" w:pos="113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or (iv) any other event or circumstance whatsoever,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3" w:name="page44"/>
    <w:bookmarkEnd w:id="43"/>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nothing in this Section shall be construed to excuse an Issuing Bank from liability to the applicable Borrower to the extent of any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damages (as opposed to consequential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wilful misconduct on the part of an Issuing Bank (as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1" w:lineRule="exact"/>
        <w:rPr>
          <w:sz w:val="20"/>
          <w:szCs w:val="20"/>
          <w:color w:val="auto"/>
        </w:rPr>
      </w:pPr>
    </w:p>
    <w:p>
      <w:pPr>
        <w:ind w:right="140" w:firstLine="921"/>
        <w:spacing w:after="0" w:line="257"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applicable Borrower by telephone (confirmed by fax) of such demand for payment and whether such Issuing Bank has made or will make an LC Disbursement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Issuing Bank and the Lenders with respect to any such LC Disbursement.</w:t>
      </w:r>
    </w:p>
    <w:p>
      <w:pPr>
        <w:spacing w:after="0" w:line="188" w:lineRule="exact"/>
        <w:rPr>
          <w:rFonts w:ascii="Arial" w:cs="Arial" w:eastAsia="Arial" w:hAnsi="Arial"/>
          <w:sz w:val="18"/>
          <w:szCs w:val="18"/>
          <w:color w:val="auto"/>
        </w:rPr>
      </w:pPr>
    </w:p>
    <w:p>
      <w:pPr>
        <w:ind w:firstLine="921"/>
        <w:spacing w:after="0" w:line="270" w:lineRule="auto"/>
        <w:tabs>
          <w:tab w:leader="none" w:pos="116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Revolving Loans denominated in US Dollars and made to the Company and (ii) in the case of an LC Disbursement denominated in any other currency, a rate per annum determined by the applicable Issuing Bank (which determination will be conclusive absent manifest error) to represent its cost of funds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 Spread and BA Stamping Fee” in the definition of such term);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Borrower fails to reimburse such LC Disbursement when due pursuant to paragraph (e) of this Section, then Section 2.12(e)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w:t>
      </w:r>
    </w:p>
    <w:p>
      <w:pPr>
        <w:spacing w:after="0" w:line="177" w:lineRule="exact"/>
        <w:rPr>
          <w:rFonts w:ascii="Arial" w:cs="Arial" w:eastAsia="Arial" w:hAnsi="Arial"/>
          <w:sz w:val="17"/>
          <w:szCs w:val="17"/>
          <w:color w:val="auto"/>
        </w:rPr>
      </w:pPr>
    </w:p>
    <w:p>
      <w:pPr>
        <w:ind w:right="60" w:firstLine="921"/>
        <w:spacing w:after="0" w:line="277" w:lineRule="auto"/>
        <w:tabs>
          <w:tab w:leader="none" w:pos="112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any Event of Default shall occur and be continuing, on the Business Day that the Company receives notice from the Administrative Agent or the Required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4" w:name="page45"/>
    <w:bookmarkEnd w:id="4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(or, if the maturity of the Loans has been accelerated, Tranche A Lenders with LC Exposures representing more than 50% of the aggregate amount of LC Exposure) demanding the deposit of cash collateral pursuant to this paragraph, each applicable Borrower shall deposit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in respect of each outstanding Letter of Credit issued for such Borrower’s account, in an account with the Applicable Agent, in the name of the Applicable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the Company or any Borrower described in clause (h) or (i) of Article VII. Each such deposit shall be held by the Applicable Agent as collateral for the payment and performance of the obligations of the Borrowers under this Agreement. The Applicable Agent shall have exclusive dominion and control, including the exclusive right of withdrawal, over such account. Other than any interest earned on the investment of such deposits, which investments shall be made at the option and sole discretion of the Applicable Agent (which will use commercially reasonable efforts to obtain a return at market rates on any such investments) and at the Borrowers’ risk and expense, such deposits shall not bear interest. Interest or profits, if any, on such investments shall accumulate in such account. Monies in such account shall be applied by the Applicable Agent to reimburse the applicable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be applied to satisfy other Obligations of the Borrowers (but subject to the consent of (i) Tranche A Lenders with LC Exposures representing more than 50% of the aggregate amount of LC Exposure and (ii) in the case of any such application at a time when any Lender is a Defaulting Lender (but only if, after giving effect thereto, the remaining cash collateral shall be less than the aggregate LC Exposure of all the Defaulting Lenders), each Issuing Bank). If the Borrowers are required to provide cash collateral hereunder as a result of the occurrence of an Event of Default, such cash collateral (to the extent not applied as aforesaid) shall be returned to the Borrowers within three Business Days after all Events of Default have been cured or waived.</w:t>
      </w:r>
    </w:p>
    <w:p>
      <w:pPr>
        <w:spacing w:after="0" w:line="170" w:lineRule="exact"/>
        <w:rPr>
          <w:sz w:val="20"/>
          <w:szCs w:val="20"/>
          <w:color w:val="auto"/>
        </w:rPr>
      </w:pPr>
    </w:p>
    <w:p>
      <w:pPr>
        <w:ind w:right="20" w:firstLine="921"/>
        <w:spacing w:after="0" w:line="270" w:lineRule="auto"/>
        <w:tabs>
          <w:tab w:leader="none" w:pos="112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Designation of Additional Issuing Banks.</w:t>
      </w:r>
      <w:r>
        <w:rPr>
          <w:rFonts w:ascii="Arial" w:cs="Arial" w:eastAsia="Arial" w:hAnsi="Arial"/>
          <w:sz w:val="17"/>
          <w:szCs w:val="17"/>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7"/>
          <w:szCs w:val="17"/>
          <w:i w:val="1"/>
          <w:iCs w:val="1"/>
          <w:color w:val="auto"/>
        </w:rPr>
        <w:t>Issuing Bank Agreement</w:t>
      </w:r>
      <w:r>
        <w:rPr>
          <w:rFonts w:ascii="Arial" w:cs="Arial" w:eastAsia="Arial" w:hAnsi="Arial"/>
          <w:sz w:val="17"/>
          <w:szCs w:val="17"/>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181" w:lineRule="exact"/>
        <w:rPr>
          <w:rFonts w:ascii="Arial" w:cs="Arial" w:eastAsia="Arial" w:hAnsi="Arial"/>
          <w:sz w:val="17"/>
          <w:szCs w:val="17"/>
          <w:color w:val="auto"/>
        </w:rPr>
      </w:pPr>
    </w:p>
    <w:p>
      <w:pPr>
        <w:ind w:firstLine="921"/>
        <w:spacing w:after="0" w:line="279"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Replacement of an Issuing Bank.</w:t>
      </w:r>
      <w:r>
        <w:rPr>
          <w:rFonts w:ascii="Arial" w:cs="Arial" w:eastAsia="Arial" w:hAnsi="Arial"/>
          <w:sz w:val="17"/>
          <w:szCs w:val="17"/>
          <w:color w:val="auto"/>
        </w:rPr>
        <w:t xml:space="preserve"> An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5" w:name="page46"/>
    <w:bookmarkEnd w:id="45"/>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 Issuing Bank shall have all the rights and obligations of an Issuing Bank under this Agreement with respect to Letters of Credit to be issued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8" w:lineRule="exact"/>
        <w:rPr>
          <w:sz w:val="20"/>
          <w:szCs w:val="20"/>
          <w:color w:val="auto"/>
        </w:rPr>
      </w:pPr>
    </w:p>
    <w:p>
      <w:pPr>
        <w:ind w:firstLine="921"/>
        <w:spacing w:after="0" w:line="269" w:lineRule="auto"/>
        <w:tabs>
          <w:tab w:leader="none" w:pos="112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Issuing Bank Reports.</w:t>
      </w:r>
      <w:r>
        <w:rPr>
          <w:rFonts w:ascii="Arial" w:cs="Arial" w:eastAsia="Arial" w:hAnsi="Arial"/>
          <w:sz w:val="17"/>
          <w:szCs w:val="17"/>
          <w:color w:val="auto"/>
        </w:rPr>
        <w:t xml:space="preserve"> Unless otherwise agreed by the Administrative Agent, each Issuing Bank shall report in writing to the Administrative Agent (which shall promptly provide notice to the Tranche A Lenders of the contents thereof) (i) on or prior to each Business Day on which such Issuing Bank issues, amends, renews or extends any Letter of Credit, the date of such issuance, amendment, renewal or extension, and the currencies and face amounts of the Letters of Credit issued, amended, renewed or extended by it and the currencies and face amounts of the Letters of Credit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applicable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183"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Canadian Bankers’ Acceptances.</w:t>
      </w:r>
      <w:r>
        <w:rPr>
          <w:rFonts w:ascii="Arial" w:cs="Arial" w:eastAsia="Arial" w:hAnsi="Arial"/>
          <w:sz w:val="17"/>
          <w:szCs w:val="17"/>
          <w:color w:val="auto"/>
        </w:rPr>
        <w:t xml:space="preserve"> (a) Each acceptance and purchase of BAs of a single Contract Period pursuant to Section 2.01(b) and this Section shall be made ratably by the Tranche B Lenders in accordance with the amounts of their Tranche B Commitments. The failure of any Lender to accept any BA required to be accepted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are several and no Lender shall be responsible for any other Lender’s failure to accept BAs as required. Each Lender at its option may accept and purchase any BA by causing any Canadian lending office or Affiliate of such Lender to accept and purchase such BA.</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 BAs of a single Contract Period accepted and purchased on any date shall be in an aggregate amount that is an integral multiple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Cdn.$1,000,000 and not less than Cdn.$3,000,000. If any Lender’s ratable share of the BAs of any Contract Period to be accepted on any date would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integral multiple of Cdn.$100,000, the face amount of the BAs accepted by such Lender may be increased or reduced to the nearest integral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Cdn.$100,000 by the Canadian Agent in its sole discretion. BAs of more than one Contract Period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not at any time be more than a total of ten BA Drawings outstanding at any time.</w:t>
      </w:r>
    </w:p>
    <w:p>
      <w:pPr>
        <w:spacing w:after="0" w:line="211" w:lineRule="exact"/>
        <w:rPr>
          <w:sz w:val="20"/>
          <w:szCs w:val="20"/>
          <w:color w:val="auto"/>
        </w:rPr>
      </w:pPr>
    </w:p>
    <w:p>
      <w:pPr>
        <w:ind w:right="240" w:firstLine="921"/>
        <w:spacing w:after="0" w:line="302" w:lineRule="auto"/>
        <w:tabs>
          <w:tab w:leader="none" w:pos="11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request an acceptance and purchase of BAs, a Canadian Borrowing Subsidiary shall notify the Canadian Agent of such request by telephone or by fax not later than 11:00 a.m., Local Time, two Business Days before the date of such acceptance and purchase. Each such request shall be irrevocable and, if telephonic, shall be confirmed promptly by hand delivery or fax to the Canadian Agent of a written request in a form approved by the Canadian Agent and signed by such Canadian Borrowing Subsidiary. Each such telephonic and written request shall specify the following information:</w:t>
      </w:r>
    </w:p>
    <w:p>
      <w:pPr>
        <w:spacing w:after="0" w:line="154" w:lineRule="exact"/>
        <w:rPr>
          <w:rFonts w:ascii="Arial" w:cs="Arial" w:eastAsia="Arial" w:hAnsi="Arial"/>
          <w:sz w:val="16"/>
          <w:szCs w:val="16"/>
          <w:color w:val="auto"/>
        </w:rPr>
      </w:pPr>
    </w:p>
    <w:p>
      <w:pPr>
        <w:ind w:left="1700" w:hanging="208"/>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aggregate face amount of the BAs to be accepted and purchased;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4" w:right="339" w:bottom="1440" w:gutter="0" w:footer="0" w:header="0"/>
        </w:sectPr>
      </w:pPr>
    </w:p>
    <w:bookmarkStart w:id="46" w:name="page47"/>
    <w:bookmarkEnd w:id="46"/>
    <w:p>
      <w:pPr>
        <w:ind w:left="1760" w:hanging="268"/>
        <w:spacing w:after="0"/>
        <w:tabs>
          <w:tab w:leader="none" w:pos="1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such acceptance and purchase, which shall be a Business Day;</w:t>
      </w:r>
    </w:p>
    <w:p>
      <w:pPr>
        <w:spacing w:after="0" w:line="225" w:lineRule="exact"/>
        <w:rPr>
          <w:rFonts w:ascii="Arial" w:cs="Arial" w:eastAsia="Arial" w:hAnsi="Arial"/>
          <w:sz w:val="18"/>
          <w:szCs w:val="18"/>
          <w:color w:val="auto"/>
        </w:rPr>
      </w:pPr>
    </w:p>
    <w:p>
      <w:pPr>
        <w:ind w:right="300" w:firstLine="1492"/>
        <w:spacing w:after="0" w:line="277" w:lineRule="auto"/>
        <w:tabs>
          <w:tab w:leader="none" w:pos="17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Contract Period to be applicable thereto, which shall be a period contemplated by the definition of the term “Contract Period” (and which shall in no event end after the Maturity Date);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location and number of the Canadian Borrowing Subsidiary’s account to which the proceeds of such BAs are to be disbursed.</w:t>
      </w:r>
    </w:p>
    <w:p>
      <w:pPr>
        <w:spacing w:after="0" w:line="2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Any request for an acceptance and purchase of BAs that shall fail to specify any of the information required by the preceding provisions of this paragraph may be rejected by the Canadian Agent if such failure is not corrected promptly after the Canadian Agent shall give written or telephonic notice thereof to the applicable Borrower and, if so rejected, will be of no force or effect. Promptly following receipt of a request in accordance with this paragraph, the Canadian Agent shall advise each Tranche B Lender of the details thereof and of the amount of BAs to be accepted and purchased by such Lender.</w:t>
      </w:r>
    </w:p>
    <w:p>
      <w:pPr>
        <w:spacing w:after="0" w:line="154" w:lineRule="exact"/>
        <w:rPr>
          <w:sz w:val="20"/>
          <w:szCs w:val="20"/>
          <w:color w:val="auto"/>
        </w:rPr>
      </w:pPr>
    </w:p>
    <w:p>
      <w:pPr>
        <w:ind w:firstLine="921"/>
        <w:spacing w:after="0" w:line="285" w:lineRule="auto"/>
        <w:tabs>
          <w:tab w:leader="none" w:pos="11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Each Canadian Borrowing Subsidiary hereby appoints each Tranche B Lender as its attorney to sign and endorse on its behalf, manually or by facsimile or mechanical signature, as and when deemed necessary by such Lender, blank forms of BAs, each Tranche B Lender hereby agreeing that it will not sign or endorse BAs in excess of those required in connection with BA Drawings that have been requested by the Canadian Borrowing Subsidiaries hereunder. It shall be the responsibility of each Tranche B Lender to maintain an adequate supply of blank forms of BAs for acceptance under this Agreement. Each Canadian Borrowing Subsidiary recognizes and agrees that all BAs signed and/or endorsed on its behalf by any Tranche B Lender in accordance with such Canadian Borrowing Subsidiary’s written request shall bind such Canadian Borrowing Subsidiary as fully and effectually as if manually signed and duly issued by authorized officers of such Canadian Borrowing Subsidiary. Each Tranche B Lender is hereby authorized to issue such BAs endorsed in blank in such face amounts as may be determined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face amount thereof is equal to the aggregate face amount of BAs required to be accepted by such Lender in accordance with such Canadian Borrowing Subsidiary’s written request. No Tranche B Lender shall be liable for any damage, loss or claim arising by reason of any loss or improper use of any such instrument unless such loss or improper use results from the gross negligence or willful misconduct of such Lender. Each Tranche B Lender shall maintain a record with respect to BAs (i) received by it from the Canadian Agent in blank hereunder, (ii) voided by it for any reason, (iii) accepted and purchased by it hereunder and (iv) canceled at their respective maturities. Each Tranche B Lender further agrees to retain such records in the manner and for the periods provided in applicable provincial or federal statutes and regulations of Canada and to provide such records to each Canadian Borrowing Subsidiary upon its request and at its expense. Upon request by any Canadian Borrowing Subsidiary, a Lender shall cancel all forms of BA that have been pre-signed or pre-endorsed on behalf of such Canadian Borrowing Subsidiary and that are held by such Lender and are not required to be issued pursuant to this Agreement.</w:t>
      </w:r>
    </w:p>
    <w:p>
      <w:pPr>
        <w:spacing w:after="0" w:line="177" w:lineRule="exact"/>
        <w:rPr>
          <w:rFonts w:ascii="Arial" w:cs="Arial" w:eastAsia="Arial" w:hAnsi="Arial"/>
          <w:sz w:val="16"/>
          <w:szCs w:val="16"/>
          <w:color w:val="auto"/>
        </w:rPr>
      </w:pPr>
    </w:p>
    <w:p>
      <w:pPr>
        <w:ind w:right="160" w:firstLine="921"/>
        <w:spacing w:after="0" w:line="302" w:lineRule="auto"/>
        <w:tabs>
          <w:tab w:leader="none" w:pos="11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Drafts of each Canadian Borrowing Subsidiary to be accepted as BAs hereunder shall be signed as set forth in paragraph (d) above. Notwithstanding that any Person whose signature appears on any BA may no longer be an authorized signatory for any of the Lenders or such Canadian Borrowing Subsidiary at the date of issuance of such BA, such signature shall nevertheless be valid and sufficient for all purposes as if such authority had remained in force at the time of such issuance and any such BA so signed and properly completed shall be binding on such Canadian Borrowing Subsidiary.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7" w:name="page48"/>
    <w:bookmarkEnd w:id="47"/>
    <w:p>
      <w:pPr>
        <w:ind w:right="60" w:firstLine="921"/>
        <w:spacing w:after="0" w:line="255" w:lineRule="auto"/>
        <w:tabs>
          <w:tab w:leader="none" w:pos="1138"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acceptance of a BA by a Lender, such Lender shall purchase such BA from the applicable Canadian Borrowing Subsidiary at the Discount Rate for such Lender applicable to such BA accepted by it and provide to the Canadian Agent the Discount Proceeds for the account of such Canadian Borrowing Subsidiary as provided in Section 2.06. The acceptance fee payable by the applicable Canadian Borrowing Subsidiary to a Lender under Section 2.11 in respect of each BA accepted by such Lender shall be set off against the Discount Proceeds payable by such Lender under this paragraph. Notwithstanding the foregoing, in the case of any BA Drawing resulting from the conversion or continuation of a BA Drawing or Revolving Borrowing pursuant to Section 2.07, the net amount that would otherwise be payable to such Borrower by each Lender pursuant to this paragraph will be applied as provided in Section 2.07(f).</w:t>
      </w:r>
    </w:p>
    <w:p>
      <w:pPr>
        <w:spacing w:after="0" w:line="189" w:lineRule="exact"/>
        <w:rPr>
          <w:rFonts w:ascii="Arial" w:cs="Arial" w:eastAsia="Arial" w:hAnsi="Arial"/>
          <w:sz w:val="18"/>
          <w:szCs w:val="18"/>
          <w:color w:val="auto"/>
        </w:rPr>
      </w:pPr>
    </w:p>
    <w:p>
      <w:pPr>
        <w:ind w:right="36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Tranche B Lender may at any time and from time to time hold, sell, rediscount or otherwise dispose of any or all BA’s accepted and purchased by it (it being understood that no such sale, rediscount or disposition shall constitute an assignment or participation of any Commitment hereunder).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BA accepted and purchased hereunder shall mature at the end of the Contract Period applicable thereto.</w:t>
      </w:r>
    </w:p>
    <w:p>
      <w:pPr>
        <w:spacing w:after="0" w:line="225" w:lineRule="exact"/>
        <w:rPr>
          <w:rFonts w:ascii="Arial" w:cs="Arial" w:eastAsia="Arial" w:hAnsi="Arial"/>
          <w:sz w:val="18"/>
          <w:szCs w:val="18"/>
          <w:color w:val="auto"/>
        </w:rPr>
      </w:pPr>
    </w:p>
    <w:p>
      <w:pPr>
        <w:ind w:firstLine="921"/>
        <w:spacing w:after="0" w:line="271" w:lineRule="auto"/>
        <w:tabs>
          <w:tab w:leader="none" w:pos="11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applicable law, each Canadian Borrowing Subsidiary waives presentment for payment and any other defense to payment of any amounts due to a Tranche B Lender in respect of a BA accepted and purchased by it pursuant to this Agreement that might exist solely by reason of such BA being held, at the maturity thereof, by such Lender in its own right, and each Canadian Borrowing Subsidiary agrees not to claim any days of grace if such Lender as holder sues such Canadian Borrowing Subsidiary on the BA for payment of the amounts payable by such Canadian Borrowing Subsidiary thereunder. On the last day of the Contract Period of a BA, or such earlier date as may be required pursuant to the provisions of this Agreement, the applicable Canadian Borrowing Subsidiary shall pay the Lender that has accepted and purchased such BA the full face amount of such BA, and after such payment such Canadian Borrowing Subsidiary shall have no further liability in respect of such BA and such Lender shall be entitled to all benefits of, and be responsible for all payments due to third parties under, such BA.</w:t>
      </w:r>
    </w:p>
    <w:p>
      <w:pPr>
        <w:spacing w:after="0" w:line="178" w:lineRule="exact"/>
        <w:rPr>
          <w:rFonts w:ascii="Arial" w:cs="Arial" w:eastAsia="Arial" w:hAnsi="Arial"/>
          <w:sz w:val="17"/>
          <w:szCs w:val="17"/>
          <w:color w:val="auto"/>
        </w:rPr>
      </w:pPr>
    </w:p>
    <w:p>
      <w:pPr>
        <w:ind w:right="480" w:firstLine="921"/>
        <w:spacing w:after="0" w:line="264"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option of each Canadian Borrowing Subsidiary and any Lender, BAs under this Agreement to be accepted by that Lender may be issued in the form of depository bills for deposit with The Canadian Depository for Securities Limited pursuant to the Depository Bills and Notes Act (Canada). All depository bills so issued shall be governed by the provisions of this Section.</w:t>
      </w:r>
    </w:p>
    <w:p>
      <w:pPr>
        <w:spacing w:after="0" w:line="181" w:lineRule="exact"/>
        <w:rPr>
          <w:rFonts w:ascii="Arial" w:cs="Arial" w:eastAsia="Arial" w:hAnsi="Arial"/>
          <w:sz w:val="18"/>
          <w:szCs w:val="18"/>
          <w:color w:val="auto"/>
        </w:rPr>
      </w:pPr>
    </w:p>
    <w:p>
      <w:pPr>
        <w:ind w:right="180" w:firstLine="921"/>
        <w:spacing w:after="0" w:line="271" w:lineRule="auto"/>
        <w:tabs>
          <w:tab w:leader="none" w:pos="116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 Tranche B Lender is not a chartered bank under the Bank Act (Canada) or if a Tranche B Lender notifies the Canadian Agent in writing that it is otherwise unable to accept BAs, such Lender will, instead of accepting and purchasing any BAs, make a Loan (a “</w:t>
      </w:r>
      <w:r>
        <w:rPr>
          <w:rFonts w:ascii="Arial" w:cs="Arial" w:eastAsia="Arial" w:hAnsi="Arial"/>
          <w:sz w:val="17"/>
          <w:szCs w:val="17"/>
          <w:i w:val="1"/>
          <w:iCs w:val="1"/>
          <w:color w:val="auto"/>
        </w:rPr>
        <w:t>BA Equivalent Loan</w:t>
      </w:r>
      <w:r>
        <w:rPr>
          <w:rFonts w:ascii="Arial" w:cs="Arial" w:eastAsia="Arial" w:hAnsi="Arial"/>
          <w:sz w:val="17"/>
          <w:szCs w:val="17"/>
          <w:color w:val="auto"/>
        </w:rPr>
        <w:t>”) to the applicable Canadian Borrowing Subsidiary in the amount and for the same term as each draft which such Lender would otherwise have been required to accept and purchase hereunder. Each such Lender will provide to the Canadian Agent the Discount Proceeds of such BA Equivalent Loan for the account of the applicable Canadian Borrowing Subsidiary in the same manner as such Lender would have provided the Discount Proceeds in respect of the draft which such Lender would otherwise have been required to accept and purchase hereunder. Each such BA Equivalent Loan will bear interest at the same rate that would result if such Lender had accepted (and been paid an acceptance fee) and purchased (on a discounted basis) a BA for the relevant Contract Period (it being the intention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8" w:name="page49"/>
    <w:bookmarkEnd w:id="4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parties that each such BA Equivalent Loan shall have the same economic consequences for the Lenders and the applicable Canadian Borrowing Subsidiary as the BA that such BA Equivalent Loan replaces). All such interest shall be paid in advance on the date such BA Equivalent Loan is made, and will be deducted from the principal amount of such BA Equivalent Loan in the same manner in which the Discount Proceeds of a BA would be deducted from the face amount of the BA. Subject to the repayment requirements of this Agreement, on the last day of the relevant Contract Period for such BA Equivalent Loan, the applicable Canadian Borrowing Subsidiary shall be entitled to convert each such BA Equivalent Loan into another type of Loan, or to roll over each such BA Equivalent Loan into another BA Equivalent Loan, all in accordance with the applicable provisions of this Agreement.</w:t>
      </w:r>
    </w:p>
    <w:p>
      <w:pPr>
        <w:spacing w:after="0" w:line="178" w:lineRule="exact"/>
        <w:rPr>
          <w:sz w:val="20"/>
          <w:szCs w:val="20"/>
          <w:color w:val="auto"/>
        </w:rPr>
      </w:pPr>
    </w:p>
    <w:p>
      <w:pPr>
        <w:ind w:left="1140" w:hanging="219"/>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any provision hereof, the Borrowers may not prepay any BA Drawing other than on the last day of its Contract Period.</w:t>
      </w:r>
    </w:p>
    <w:p>
      <w:pPr>
        <w:spacing w:after="0" w:line="236" w:lineRule="exact"/>
        <w:rPr>
          <w:rFonts w:ascii="Arial" w:cs="Arial" w:eastAsia="Arial" w:hAnsi="Arial"/>
          <w:sz w:val="17"/>
          <w:szCs w:val="17"/>
          <w:color w:val="auto"/>
        </w:rPr>
      </w:pPr>
    </w:p>
    <w:p>
      <w:pPr>
        <w:ind w:left="1220" w:hanging="299"/>
        <w:spacing w:after="0"/>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For greater certainty, all provisions of this Agreement that are applicable to BAs shall also be applicable,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BA Equivalent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 and BA Drawings.</w:t>
      </w:r>
      <w:r>
        <w:rPr>
          <w:rFonts w:ascii="Arial" w:cs="Arial" w:eastAsia="Arial" w:hAnsi="Arial"/>
          <w:sz w:val="18"/>
          <w:szCs w:val="18"/>
          <w:color w:val="auto"/>
        </w:rPr>
        <w:t xml:space="preserve"> (a) Each Lender shall make each Loan to be made by it hereunder and disburse the Discount Proceeds (net of applicable acceptance fees) of each BA to be accepted and purchased by it hereunder on the proposed date thereof by wire transfer of immediately available funds in the applicable currency by 2:00 p.m., Local Time, to the account of the Applicable Agent most recently designated by such Applicable Agent for such purpose by notice to the Lenders. The Applicable Agent will make such Loan proceeds or Discount Proceeds available to the applicable Borrower by promptly crediting the amounts so received, in like funds, to the Applicable Funding Account of such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ABR Revolving Loans made to finance the reimbursement of an LC Disbursement as provided in Section 2.04(e) shall be remitted by the Administrative Agent to the applicable Issuing Bank.</w:t>
      </w:r>
    </w:p>
    <w:p>
      <w:pPr>
        <w:spacing w:after="0" w:line="189" w:lineRule="exact"/>
        <w:rPr>
          <w:sz w:val="20"/>
          <w:szCs w:val="20"/>
          <w:color w:val="auto"/>
        </w:rPr>
      </w:pPr>
    </w:p>
    <w:p>
      <w:pPr>
        <w:ind w:right="80" w:firstLine="921"/>
        <w:spacing w:after="0" w:line="270" w:lineRule="auto"/>
        <w:tabs>
          <w:tab w:leader="none" w:pos="11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the Applicable Agent shall have received notice from a Lender prior to the proposed date of any Borrowing or acceptance and purchase of BAs that such Lender will not make available to the Applicable Agent such Lender’s share of such Borrowing or the applicable Discount Proceeds (net of applicable acceptance fees), the Applicable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or the applicable Discount Proceeds (net of applicable acceptance fees) available to the Applicable Agent, then the applicable Lender and such Borrower severally agree to pay to the Applicable Agent forthwith on demand such corresponding amount with interest thereon, for each day from and including the date such amount is made available to such Borrower to but excluding the date of payment to the Applicable Agent, at (i) in the case of such Lender, the rate reasonably determined by the Applicable Agent to be the cost to it of funding such amount or (ii) in the case of such Borrower, the interest rate applicable to the subject Loan or the applicable Discount Rate and pro-rated acceptance fee, as the case may be.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 xml:space="preserve"> (a) Each Revolving Borrowing initially shall be of the Type specified in the applicable Borrowing Request and, in the case of a LIBOR Borrowing or a EURIBOR Borrowing, shall have an initial Interest Period as specified in such Borrowing Request. Each BA Drawing shall have a Contract Period as specified in the applicable request therefor. Thereafter, the applicable Borrower may elect to convert such Borrowing or BA Drawing to a Borrowing of a different Type (to the extent such Type is available for the applicable currency under Section 2.02(b)) or, in the case of a Borrowing in Canadian Dollars, a BA Drawing, or to continue such Borrowing or BA Drawing and, in the case of a LIBOR Borrowing or a EURIBOR Borrowing,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9" w:name="page50"/>
    <w:bookmarkEnd w:id="49"/>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elect Interest Periods therefor, all as provided in this Section and on terms consistent with the other provisions of this Agreement, it being understood that no BA Drawing may be converted or continued other than at the end of the Contract Period applicable thereto. A Borrower may elect different options with respect to different portions of an affected Borrowing or BA Drawing, in which case each such portion shall be allocated ratably among the Lenders holding the Loans comprising such Borrowing or accepting the BAs comprising such BA Drawing, as the case may be, and the Loans or BAs resulting from an election made with respect to any such portion shall be considered a separate Borrowing or BA Drawing.</w:t>
      </w:r>
    </w:p>
    <w:p>
      <w:pPr>
        <w:spacing w:after="0" w:line="173" w:lineRule="exact"/>
        <w:rPr>
          <w:sz w:val="20"/>
          <w:szCs w:val="20"/>
          <w:color w:val="auto"/>
        </w:rPr>
      </w:pPr>
    </w:p>
    <w:p>
      <w:pPr>
        <w:ind w:firstLine="921"/>
        <w:spacing w:after="0" w:line="269"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make an election pursuant to this Section, a Borrower shall notify the Applicable Agent of such election by telephone (i) in the case of an election that would result in a Borrowing, by the time and date that a Borrowing Request would be required under Section 2.03 if such Borrower were requesting a Revolving Borrowing of the Type resulting from such election to be made on the effective date of such election, and (ii) in the case of an election that would result in a BA Drawing or the continuation of a BA Drawing, by the time and date that a request would be required under Section 2.05 if such Borrower were requesting an acceptance and purchase of BAs to be made on the effective date of such election. Each such Interest Election Request shall be irrevocable and shall be confirmed promptly by delivery to the Applicable Agent (with a copy to the Administrative Agent if such Applicable Agent shall be the Canadian Agent) of a written Interest Election Request in a form approved by the Administrative Agent and signed by a Financial Officer on behalf of the applicable Borrower. Notwithstanding any other provision of this Section, a Borrower shall not be permitted to (i) change the currency of any Borrowing or BA Drawing, (ii) elect an Interest Period for LIBOR Loans or EURIBOR Loans that does not comply with Section 2.02(d) or any Contract Period for a BA Drawing that does not comply with Section 2.05 or (iii) convert any Borrowing or BA Drawing to a Borrowing or BA Drawing not available to such Borrower under the Class of Commitments pursuant to which such Borrowing or BA Drawing was made.</w:t>
      </w:r>
    </w:p>
    <w:p>
      <w:pPr>
        <w:spacing w:after="0" w:line="182" w:lineRule="exact"/>
        <w:rPr>
          <w:rFonts w:ascii="Arial" w:cs="Arial" w:eastAsia="Arial" w:hAnsi="Arial"/>
          <w:sz w:val="17"/>
          <w:szCs w:val="17"/>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 Section 2.02:</w:t>
      </w:r>
    </w:p>
    <w:p>
      <w:pPr>
        <w:spacing w:after="0" w:line="225" w:lineRule="exact"/>
        <w:rPr>
          <w:rFonts w:ascii="Arial" w:cs="Arial" w:eastAsia="Arial" w:hAnsi="Arial"/>
          <w:sz w:val="18"/>
          <w:szCs w:val="18"/>
          <w:color w:val="auto"/>
        </w:rPr>
      </w:pPr>
    </w:p>
    <w:p>
      <w:pPr>
        <w:ind w:right="100" w:firstLine="1492"/>
        <w:spacing w:after="0" w:line="264" w:lineRule="auto"/>
        <w:tabs>
          <w:tab w:leader="none" w:pos="16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Borrowing or BA Drawing to which such Interest Election Request applies and, if different options are being elected with respect to different portions thereof, the portions thereof to be allocated to each resulting Borrowing or BA Drawing (in which case the information to be specified pursuant to clauses (iii) and (iv) below shall be specified for each resulting Borrowing or BA Drawing);</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the Type of the resulting Borrowing; and</w:t>
      </w:r>
    </w:p>
    <w:p>
      <w:pPr>
        <w:spacing w:after="0" w:line="225" w:lineRule="exact"/>
        <w:rPr>
          <w:rFonts w:ascii="Arial" w:cs="Arial" w:eastAsia="Arial" w:hAnsi="Arial"/>
          <w:sz w:val="18"/>
          <w:szCs w:val="18"/>
          <w:color w:val="auto"/>
        </w:rPr>
      </w:pPr>
    </w:p>
    <w:p>
      <w:pPr>
        <w:ind w:right="60" w:firstLine="1492"/>
        <w:spacing w:after="0" w:line="259" w:lineRule="auto"/>
        <w:tabs>
          <w:tab w:leader="none" w:pos="17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if the resulting Borrowing is to be a LIBOR Borrowing or a EURIBOR Borrowing, the Interest Period to be applicable thereto after giving effect to such election, which shall be a period contemplated by the definition of the term “Interest Period”, and in the case of an election resulting in a BA Drawing, the Contract Period to be applicable thereto, which shall be a period contemplated by the definition of the term “Contract Period”.</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If any such Interest Election Request requests a LIBOR or EURIBOR Borrowing or a BA Drawing but does not specify an Interest Period or Contract Period, then the Borrower shall be deemed to have selected, as applicable, an Interest Period of one month’s duration or a Contract Period of one month’s duration.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0" w:name="page51"/>
    <w:bookmarkEnd w:id="50"/>
    <w:p>
      <w:pPr>
        <w:ind w:right="120" w:firstLine="921"/>
        <w:spacing w:after="0" w:line="277"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following receipt of an Interest Election Request, the Applicable Agent shall advise each affected Lender of the details thereof and of such Lender’s portion of each resulting Borrowing or BA Drawing.</w:t>
      </w:r>
    </w:p>
    <w:p>
      <w:pPr>
        <w:spacing w:after="0" w:line="170" w:lineRule="exact"/>
        <w:rPr>
          <w:rFonts w:ascii="Arial" w:cs="Arial" w:eastAsia="Arial" w:hAnsi="Arial"/>
          <w:sz w:val="18"/>
          <w:szCs w:val="18"/>
          <w:color w:val="auto"/>
        </w:rPr>
      </w:pPr>
    </w:p>
    <w:p>
      <w:pPr>
        <w:ind w:right="80" w:firstLine="921"/>
        <w:spacing w:after="0" w:line="270" w:lineRule="auto"/>
        <w:tabs>
          <w:tab w:leader="none" w:pos="11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applicable Borrower fails to deliver a timely Interest Election Request with respect to an ABR Borrowing, a LIBOR Borrowing denominated in US Dollars and made to a US Borrowing Subsidiary or a Canadian Borrowing Subsidiary or a BA Drawing prior to the end of the Interest Period or Contract Period applicable thereto, then, unless such Borrowing or BA Drawing is repaid as provided herein at the end of such Interest Period or Contract Period, (i) in the case of a LIBOR Borrowing denominated in US Dollars and made to a US Borrowing Subsidiary or a Canadian Borrowing Subsidiary, such Borrowing shall be converted to an ABR Borrowing and (ii) in the case of a BA Drawing, such BA Drawing shall be converted to a Canadian Prime Rate Borrowing, at the end of such Interest Period or Contract Period. If the applicable Borrower fails to deliver an Interest Election Request with respect to any LIBOR Borrowing or EURIBOR Borrowing not referred to in the immediately preceding sentence by the third Business Day preceding the end of the Interest Period applicable thereto, and does not, by such third Business Day, notify the Applicable Agent pursuant to Section 2.10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177" w:lineRule="exact"/>
        <w:rPr>
          <w:rFonts w:ascii="Arial" w:cs="Arial" w:eastAsia="Arial" w:hAnsi="Arial"/>
          <w:sz w:val="17"/>
          <w:szCs w:val="17"/>
          <w:color w:val="auto"/>
        </w:rPr>
      </w:pPr>
    </w:p>
    <w:p>
      <w:pPr>
        <w:ind w:right="20" w:firstLine="921"/>
        <w:spacing w:after="0" w:line="255" w:lineRule="auto"/>
        <w:tabs>
          <w:tab w:leader="none" w:pos="11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conversion of any Borrowing (or portion thereof), or the continuation of any BA Drawing (or portion thereof), to or as a BA Drawing, the net amount that would otherwise be payable to a Borrower by each Lender pursuant to Section 2.05(f) in respect of such new BA Drawing shall be applied against the principal of such Borrowing (in the case of a conversion) or the reimbursement obligation owed to such Lender under Section 2.05(i) in respect of the BAs accepted by such Lender as part of such maturing BA Drawing (in the case of a continuation), and such Borrower shall pay to such Lender an amount equal to the difference between the principal amount of such Loan or the aggregate face amount of such maturing BAs, as the case may be, and such net amount.</w:t>
      </w:r>
    </w:p>
    <w:p>
      <w:pPr>
        <w:spacing w:after="0" w:line="193" w:lineRule="exact"/>
        <w:rPr>
          <w:rFonts w:ascii="Arial" w:cs="Arial" w:eastAsia="Arial" w:hAnsi="Arial"/>
          <w:sz w:val="18"/>
          <w:szCs w:val="18"/>
          <w:color w:val="auto"/>
        </w:rPr>
      </w:pPr>
    </w:p>
    <w:p>
      <w:pPr>
        <w:ind w:firstLine="921"/>
        <w:spacing w:after="0" w:line="253"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US Dollars and made to a US Borrowing Subsidiary or a Canadian Borrowing Subsidiary may be converted to or continued as a LIBOR Borrowing, and no Borrowing or BA Drawing denominated in Canadian Dollars may be converted to or continued as a BA Drawing, and (ii) (A) each LIBOR Borrowing denominated in US Dollars and made to a US Borrowing Subsidiary or a Canadian Borrowing Subsidiary shall, unless repaid, be converted to an ABR Borrowing at the end of the Interest Period applicable thereto, (B) each BA Drawing shall, unless repaid, be converted to a Canadian Prime Rate Borrowing at the end of the Contract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19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Extension and Increase of Commitments.</w:t>
      </w:r>
      <w:r>
        <w:rPr>
          <w:rFonts w:ascii="Arial" w:cs="Arial" w:eastAsia="Arial" w:hAnsi="Arial"/>
          <w:sz w:val="18"/>
          <w:szCs w:val="18"/>
          <w:color w:val="auto"/>
        </w:rPr>
        <w:t xml:space="preserve"> (a) Unless previously terminated, the Commitments shall terminate on the Maturity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1" w:name="page52"/>
    <w:bookmarkEnd w:id="51"/>
    <w:p>
      <w:pPr>
        <w:ind w:right="160" w:firstLine="921"/>
        <w:spacing w:after="0" w:line="276" w:lineRule="auto"/>
        <w:tabs>
          <w:tab w:leader="none" w:pos="1168"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at any time terminate, or from time to time reduce, the Commitments of any Tranche;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reduction of the Commitments of any Tranche shall be in an amount that is an integral multiple of the Borrowing Multiple and not less than the Borrowing Minimum, in each case for Borrowings denominated in US Dollars and (ii) the Company shall not terminate or reduce the Commitments of any Tranche if, after giving effect to such termination or reduction and to any concurrent payment or prepayment of Loans, BAs or LC Disbursements, the aggregate amount of Revolving Credit Exposures under such Tranche would exceed the aggregate amount of Commitments of such Tranche.</w:t>
      </w:r>
    </w:p>
    <w:p>
      <w:pPr>
        <w:spacing w:after="0" w:line="172" w:lineRule="exact"/>
        <w:rPr>
          <w:rFonts w:ascii="Arial" w:cs="Arial" w:eastAsia="Arial" w:hAnsi="Arial"/>
          <w:sz w:val="17"/>
          <w:szCs w:val="17"/>
          <w:color w:val="auto"/>
        </w:rPr>
      </w:pPr>
    </w:p>
    <w:p>
      <w:pPr>
        <w:ind w:firstLine="921"/>
        <w:spacing w:after="0" w:line="290" w:lineRule="auto"/>
        <w:tabs>
          <w:tab w:leader="none" w:pos="11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other Agents and the applicable Lenders of the contents thereof. Each notice delivered by the Company pursuant to this Section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termination of the Commitments under any Tranche may state that such notice is conditioned upon the effectiveness of other credit facilities, in which case such notice may be revoked or extended by the Company (by notice to the Administrative Agent on or prior to the specified effective date) if such condition is not satisfied or the effectiveness of such other credit facilities is delayed.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166" w:lineRule="exact"/>
        <w:rPr>
          <w:rFonts w:ascii="Arial" w:cs="Arial" w:eastAsia="Arial" w:hAnsi="Arial"/>
          <w:sz w:val="16"/>
          <w:szCs w:val="16"/>
          <w:color w:val="auto"/>
        </w:rPr>
      </w:pPr>
    </w:p>
    <w:p>
      <w:pPr>
        <w:ind w:firstLine="921"/>
        <w:spacing w:after="0" w:line="285" w:lineRule="auto"/>
        <w:tabs>
          <w:tab w:leader="none" w:pos="11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may at any time and from time to time, by written notice to the Administrative Agent (which shall promptly deliver a copy to each of the other Agents and each of the Lenders), request that the Tranche A Commitments, Tranche B Commitments and/or Tranche C Commitments be increased. Such notice shall set forth the amount of the requested increase in the Tranche A Commitments, Tranche B Commitments and/or Tranche C Commitments and the date on which such increase is requested to become effective (which shall be not less than 30 days or more than 100 days after the date of such notice), and shall offer each Lender the opportunity to increase its Commitment by its Tranche A Percentage, Tranche B Percentage or Tranche C Percentage, as the case may be, of the proposed increased amount. Each Lender shall, by notice to the Company and the Administrative Agent given not more than 15 days after the date of the Company’s notice, either agree to increase its Commitment by all or a portion of the offered amount or decline to increase its Commitment (and any Lender that does not deliver such a notice within such period of 15 days shall be deemed to have declined to increase its Commitment). If a Lender agrees to increase its Commitment by only a portion of the offered amount, such portion shall be least $5,000,000 less than the offered amount. In the event that, on the 15th day after the Company shall have delivered a notice pursuant to the first sentence of this paragraph, the applicable Lenders shall have agreed pursuant to the preceding sentence to increase their Commitments by an aggregate amount less than the increase in the total Commitments requested by the Company, the Company may arrange for one or more Lenders or other Eligible Assignees (any such financial institution referred to in this Section being called an “</w:t>
      </w:r>
      <w:r>
        <w:rPr>
          <w:rFonts w:ascii="Arial" w:cs="Arial" w:eastAsia="Arial" w:hAnsi="Arial"/>
          <w:sz w:val="16"/>
          <w:szCs w:val="16"/>
          <w:i w:val="1"/>
          <w:iCs w:val="1"/>
          <w:color w:val="auto"/>
        </w:rPr>
        <w:t>Increasing Lender</w:t>
      </w:r>
      <w:r>
        <w:rPr>
          <w:rFonts w:ascii="Arial" w:cs="Arial" w:eastAsia="Arial" w:hAnsi="Arial"/>
          <w:sz w:val="16"/>
          <w:szCs w:val="16"/>
          <w:color w:val="auto"/>
        </w:rPr>
        <w:t xml:space="preserve">”) to extend Commitments or increase their existing Commitments in an aggregate amount equal to the unsubscribed amount; </w:t>
      </w:r>
      <w:r>
        <w:rPr>
          <w:rFonts w:ascii="Arial" w:cs="Arial" w:eastAsia="Arial" w:hAnsi="Arial"/>
          <w:sz w:val="16"/>
          <w:szCs w:val="16"/>
          <w:i w:val="1"/>
          <w:iCs w:val="1"/>
          <w:color w:val="auto"/>
        </w:rPr>
        <w:t>provided</w:t>
      </w:r>
      <w:r>
        <w:rPr>
          <w:rFonts w:ascii="Arial" w:cs="Arial" w:eastAsia="Arial" w:hAnsi="Arial"/>
          <w:sz w:val="16"/>
          <w:szCs w:val="16"/>
          <w:color w:val="auto"/>
        </w:rPr>
        <w:t>, that (i) the new Commitments and increases in existing Commitments pursuant to this paragraph shall not be 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each Issuing Bank (which approval shall not be unreasonably withheld) and (iii) each Increasing Lender, if not already a Lender hereunder, shall become a party to this Agreement by completing and delivering to the Administrative Agent a duly executed accession agreement in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2" w:name="page53"/>
    <w:bookmarkEnd w:id="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satisfactory to the Administrative Agent and the Borrower (an “</w:t>
      </w:r>
      <w:r>
        <w:rPr>
          <w:rFonts w:ascii="Arial" w:cs="Arial" w:eastAsia="Arial" w:hAnsi="Arial"/>
          <w:sz w:val="16"/>
          <w:szCs w:val="16"/>
          <w:i w:val="1"/>
          <w:iCs w:val="1"/>
          <w:color w:val="auto"/>
        </w:rPr>
        <w:t>Accession Agreement</w:t>
      </w:r>
      <w:r>
        <w:rPr>
          <w:rFonts w:ascii="Arial" w:cs="Arial" w:eastAsia="Arial" w:hAnsi="Arial"/>
          <w:sz w:val="16"/>
          <w:szCs w:val="16"/>
          <w:color w:val="auto"/>
        </w:rPr>
        <w:t xml:space="preserve">”). New Commitments and increases in Commitments shall become effective on the date specified in the applicable notice delivered pursuant to this paragraph (but not prior to the third Business Day after the delivery of such notice to the Administrative Agent).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 (ii)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of a Lender pursuant to this paragraph shall not require the consent of any other Lender and (iii) no increase in the Commitments (or in the Commitment of any Lender) pursuant to this paragraph shall become effective unless (A) the Administrative Agent shall have received documents consistent with those delivered under Section 4.01(b) and (c), giving effect to such increase and (B) on the effective date of such increase,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 Following any extension of new Commitments of any Tranche or increases in existing Commitments of any Tranche pursuant to this paragraph, any Revolving Loans outstanding under such Tranche prior to the effectiveness of such increase or extension may continue outstanding until the ends of the respective Interests Periods applicable thereto, and shall then be either repaid or refinanced with new Revolving Loans under such Tranche made pursuant to Section 2.01. On the effective date of any increase in the Tranche B Commitments pursuant to this paragraph, the applicable Borrowers and Lenders shall take such actions (including making and receiving payments), if any, as the Administrative Agent shall specify in order that the extensions of credit represented by any outstanding BAs may be held by the Tranche B Lenders ratably in proportion to their Tranche B Commitments; </w:t>
      </w:r>
      <w:r>
        <w:rPr>
          <w:rFonts w:ascii="Arial" w:cs="Arial" w:eastAsia="Arial" w:hAnsi="Arial"/>
          <w:sz w:val="16"/>
          <w:szCs w:val="16"/>
          <w:i w:val="1"/>
          <w:iCs w:val="1"/>
          <w:color w:val="auto"/>
        </w:rPr>
        <w:t>provided</w:t>
      </w:r>
      <w:r>
        <w:rPr>
          <w:rFonts w:ascii="Arial" w:cs="Arial" w:eastAsia="Arial" w:hAnsi="Arial"/>
          <w:sz w:val="16"/>
          <w:szCs w:val="16"/>
          <w:color w:val="auto"/>
        </w:rPr>
        <w:t>, that if the Administrative Agent does not specify any such actions, such outstanding BAs will continue outstanding for the duration of the applicable Contract Periods and the applicable Borrowers’ reimbursement obligations under Section 2.05(i) will continue to be owed to the Lenders that accepted and purchased such BAs.</w:t>
      </w:r>
    </w:p>
    <w:p>
      <w:pPr>
        <w:spacing w:after="0" w:line="168" w:lineRule="exact"/>
        <w:rPr>
          <w:sz w:val="20"/>
          <w:szCs w:val="20"/>
          <w:color w:val="auto"/>
        </w:rPr>
      </w:pPr>
    </w:p>
    <w:p>
      <w:pPr>
        <w:ind w:right="20" w:firstLine="921"/>
        <w:spacing w:after="0" w:line="287" w:lineRule="auto"/>
        <w:tabs>
          <w:tab w:leader="none" w:pos="11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may, by delivery of a Maturity Date Extension Request to the Administrative Agent (which shall promptly deliver a copy to each of the other Agents and the Lenders) not less than 30 days and not more than 60 days prior to the third, the fourth or the fifth anniversary of the Closing Date, request that the Lenders extend the Maturity Date for an additional period of one year; provided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whether or not it agrees to the requested extension (each Lender agreeing to a requested extension being called a “</w:t>
      </w:r>
      <w:r>
        <w:rPr>
          <w:rFonts w:ascii="Arial" w:cs="Arial" w:eastAsia="Arial" w:hAnsi="Arial"/>
          <w:sz w:val="16"/>
          <w:szCs w:val="16"/>
          <w:i w:val="1"/>
          <w:iCs w:val="1"/>
          <w:color w:val="auto"/>
        </w:rPr>
        <w:t>Consenting Lender</w:t>
      </w:r>
      <w:r>
        <w:rPr>
          <w:rFonts w:ascii="Arial" w:cs="Arial" w:eastAsia="Arial" w:hAnsi="Arial"/>
          <w:sz w:val="16"/>
          <w:szCs w:val="16"/>
          <w:color w:val="auto"/>
        </w:rPr>
        <w:t>”, and each Lender declining to agree to a requested extension being called a “</w:t>
      </w:r>
      <w:r>
        <w:rPr>
          <w:rFonts w:ascii="Arial" w:cs="Arial" w:eastAsia="Arial" w:hAnsi="Arial"/>
          <w:sz w:val="16"/>
          <w:szCs w:val="16"/>
          <w:i w:val="1"/>
          <w:iCs w:val="1"/>
          <w:color w:val="auto"/>
        </w:rPr>
        <w:t>Declining Lender</w:t>
      </w:r>
      <w:r>
        <w:rPr>
          <w:rFonts w:ascii="Arial" w:cs="Arial" w:eastAsia="Arial" w:hAnsi="Arial"/>
          <w:sz w:val="16"/>
          <w:szCs w:val="16"/>
          <w:color w:val="auto"/>
        </w:rPr>
        <w:t>”). Any Lender that has not so advised the Company and the Administrative Agent by such day shall be deemed to have declined to agree to 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Arial" w:cs="Arial" w:eastAsia="Arial" w:hAnsi="Arial"/>
          <w:sz w:val="16"/>
          <w:szCs w:val="16"/>
          <w:i w:val="1"/>
          <w:iCs w:val="1"/>
          <w:color w:val="auto"/>
        </w:rPr>
        <w:t>Existing</w:t>
      </w:r>
      <w:r>
        <w:rPr>
          <w:rFonts w:ascii="Arial" w:cs="Arial" w:eastAsia="Arial" w:hAnsi="Arial"/>
          <w:sz w:val="16"/>
          <w:szCs w:val="16"/>
          <w:color w:val="auto"/>
        </w:rPr>
        <w:t xml:space="preserve"> </w:t>
      </w:r>
      <w:r>
        <w:rPr>
          <w:rFonts w:ascii="Arial" w:cs="Arial" w:eastAsia="Arial" w:hAnsi="Arial"/>
          <w:sz w:val="16"/>
          <w:szCs w:val="16"/>
          <w:i w:val="1"/>
          <w:iCs w:val="1"/>
          <w:color w:val="auto"/>
        </w:rPr>
        <w:t>Maturity Date</w:t>
      </w:r>
      <w:r>
        <w:rPr>
          <w:rFonts w:ascii="Arial" w:cs="Arial" w:eastAsia="Arial" w:hAnsi="Arial"/>
          <w:sz w:val="16"/>
          <w:szCs w:val="16"/>
          <w:color w:val="auto"/>
        </w:rPr>
        <w:t>”). The principal amount of any outstanding Loans made by Declining Lenders, together with any accrued interest thereon and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3" w:name="page54"/>
    <w:bookmarkEnd w:id="5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2.10 as shall be required in order that, after giving effect to the termination of the Commitments of, and all payments to,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2.14, 2.15, 2.16 and 11.03. Notwithstanding the foregoing provisions of this paragraph,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described in Section 4.01(b) and (c), giving effect to such extension and (ii) on the effective date of such extension,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w:t>
      </w:r>
    </w:p>
    <w:p>
      <w:pPr>
        <w:spacing w:after="0" w:line="172"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and BAs; Evidence of Debt.</w:t>
      </w:r>
      <w:r>
        <w:rPr>
          <w:rFonts w:ascii="Arial" w:cs="Arial" w:eastAsia="Arial" w:hAnsi="Arial"/>
          <w:sz w:val="18"/>
          <w:szCs w:val="18"/>
          <w:color w:val="auto"/>
        </w:rPr>
        <w:t xml:space="preserve"> (a) Each Borrower hereby unconditionally promises to pay to the Applicable Agent for the account of each Lender the then unpaid principal amount of each Revolving Loan of such Borrower on the Maturity Date and the face amount of each BA, if any, accepted by such Lender as provided in Section 2.05. Each Borrower will pay the principal amount of each Loan or BA made to or drawn by such Borrower and the accrued interest on such Loan in the currency of such Loan or BA.</w:t>
      </w:r>
    </w:p>
    <w:p>
      <w:pPr>
        <w:spacing w:after="0" w:line="187" w:lineRule="exact"/>
        <w:rPr>
          <w:sz w:val="20"/>
          <w:szCs w:val="20"/>
          <w:color w:val="auto"/>
        </w:rPr>
      </w:pPr>
    </w:p>
    <w:p>
      <w:pPr>
        <w:ind w:right="120" w:firstLine="921"/>
        <w:spacing w:after="0" w:line="264"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or BA accepted and purchased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right="80" w:firstLine="921"/>
        <w:spacing w:after="0" w:line="291" w:lineRule="auto"/>
        <w:tabs>
          <w:tab w:leader="none" w:pos="11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and BA accepted and purchased hereunder, the Class and Type of each such Loan and, in the case of any LIBOR or EURIBOR Loan, the Interest Period applicable thereto, (ii) the amount of any principal or interest due and payable or to become due and payable from each Borrower to each Lender hereunder and (iii) the amount of any sum received by any Agent hereunder for the account of the Lenders or any of them and each Lender’s share thereof. The London Agent and the Canadian Agent shall furnish to the Administrative Agent, promptly after the making of any Loan or Borrowing or the acceptance and purchase of any BAs with respect to which it is the Applicable Agent or the receipt of any payment of principal or interest with respect to any such Loan or Borrowing or any such BAs, information with respect thereto that will enable the Administrative Agent to maintain the accounts referred to in the preceding sentence.</w:t>
      </w:r>
    </w:p>
    <w:p>
      <w:pPr>
        <w:spacing w:after="0" w:line="167" w:lineRule="exact"/>
        <w:rPr>
          <w:rFonts w:ascii="Arial" w:cs="Arial" w:eastAsia="Arial" w:hAnsi="Arial"/>
          <w:sz w:val="16"/>
          <w:szCs w:val="16"/>
          <w:color w:val="auto"/>
        </w:rPr>
      </w:pPr>
    </w:p>
    <w:p>
      <w:pPr>
        <w:ind w:firstLine="921"/>
        <w:spacing w:after="0" w:line="312" w:lineRule="auto"/>
        <w:tabs>
          <w:tab w:leader="none" w:pos="11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4" w:name="page55"/>
    <w:bookmarkEnd w:id="54"/>
    <w:p>
      <w:pPr>
        <w:ind w:right="20" w:firstLine="921"/>
        <w:spacing w:after="0" w:line="297" w:lineRule="auto"/>
        <w:tabs>
          <w:tab w:leader="none" w:pos="1158"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Revolving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5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(a) Any Borrower shall have the right at any time and from time to time to prepay any Borrowing of such Borrower in whole or in part, subject to prior notice in accordance with paragraph (d) of this Section.</w:t>
      </w:r>
    </w:p>
    <w:p>
      <w:pPr>
        <w:spacing w:after="0" w:line="170" w:lineRule="exact"/>
        <w:rPr>
          <w:sz w:val="20"/>
          <w:szCs w:val="20"/>
          <w:color w:val="auto"/>
        </w:rPr>
      </w:pPr>
    </w:p>
    <w:p>
      <w:pPr>
        <w:ind w:firstLine="921"/>
        <w:spacing w:after="0" w:line="271" w:lineRule="auto"/>
        <w:tabs>
          <w:tab w:leader="none" w:pos="11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aggregate Revolving Credit Exposures under any Tranche shall exceed the aggregate Commitments under such Tranche, then (i) on the last day of any Interest Period for any LIBOR Borrowing or EURIBOR Borrowing, and the last day of any Contract Period for any BA Drawing, under such Tranche and (ii) on each other date on which any ABR Revolving 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or payment of BAs on such day) and (B) the amount of the applicable Revolving Borrowings or BA Drawings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178" w:lineRule="exact"/>
        <w:rPr>
          <w:rFonts w:ascii="Arial" w:cs="Arial" w:eastAsia="Arial" w:hAnsi="Arial"/>
          <w:sz w:val="17"/>
          <w:szCs w:val="17"/>
          <w:color w:val="auto"/>
        </w:rPr>
      </w:pPr>
    </w:p>
    <w:p>
      <w:pPr>
        <w:ind w:right="160" w:firstLine="921"/>
        <w:spacing w:after="0" w:line="277"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170" w:lineRule="exact"/>
        <w:rPr>
          <w:rFonts w:ascii="Arial" w:cs="Arial" w:eastAsia="Arial" w:hAnsi="Arial"/>
          <w:sz w:val="18"/>
          <w:szCs w:val="18"/>
          <w:color w:val="auto"/>
        </w:rPr>
      </w:pPr>
    </w:p>
    <w:p>
      <w:pPr>
        <w:ind w:right="40" w:firstLine="921"/>
        <w:spacing w:after="0" w:line="287" w:lineRule="auto"/>
        <w:tabs>
          <w:tab w:leader="none" w:pos="11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applicable Borrower shall notify the Applicable Agent by a fax notice signed by a Financial Officer on behalf of the applicable Borrower of any prepayment of a Borrowing hereunder (i) in the case of a LIBOR Borrowing denominated in US Dollars, not later than 11:00 a.m., Local Time, three Business Days before the date of such prepayment (or, in the case of a prepayment under paragraph (b) above, as soon thereafter as practicable), (ii) in the case of a LIBOR Borrowing denominated in Sterling or a EURIBOR Borrowing, not later than 11:00 a.m., Local Time, three Business days before the date of such prepayment (or, in the case of a prepayment under paragraph (b) above, as soon thereafter as practicable), (iii) in the case of an ABR Borrowing, not later than 11:00 a.m., Local Time, on the date of such prepayment and (d) in the case of a Canadian Prime Rate Borrowing, not later than 11:00 a.m., Local Time, on the date of such prepayment. Each such notice shall be irrevocable and shall specify the prepayment date and the principal amount of each Borrowing or portion thereof to be prepaid;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notice of optional prepayment is given in connection with a conditional notice of termination of the Commitments as contemplated by Section 2.08(c), then such notice of prepayment may be revoked or extended if such notice of termination is revoked or extended in accordance with Section 2.08(c). Promptly following receipt of any such notice, the Applicable Agent shall advise the applicable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5" w:name="page56"/>
    <w:bookmarkEnd w:id="55"/>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2.11.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Closing Date to but excluding the date on which such Commitment expires or is terminated;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Accrued facility fees shall be payable in arrears on the last day of each March, June, September and December, commencing on the first such date to occur after the date hereof, and, with respect to the Commitments of any Tranche, on the date on which the Commitments of such Tranche shall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facility fees accruing on the Revolving Credit Exposure under any Tranche after the date on which the Commitments of such Tranche terminate shall be payable on demand. All facility fees shall be computed on the basis of a year of 360 days and shall be payable for the actual number of days elapsed (including the first day but excluding the last day).</w:t>
      </w:r>
    </w:p>
    <w:p>
      <w:pPr>
        <w:spacing w:after="0" w:line="173" w:lineRule="exact"/>
        <w:rPr>
          <w:sz w:val="20"/>
          <w:szCs w:val="20"/>
          <w:color w:val="auto"/>
        </w:rPr>
      </w:pPr>
    </w:p>
    <w:p>
      <w:pPr>
        <w:ind w:firstLine="921"/>
        <w:spacing w:after="0" w:line="286" w:lineRule="auto"/>
        <w:tabs>
          <w:tab w:leader="none" w:pos="11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Company agrees to pay (i) to the Administrative Agent for the account of each Tranche A Lender a participation fee with respect to its participations in Letters of Credit, which shall accrue at the Applicable Rate (as set forth under the caption “LIBOR/EURIBOR Spread and BA Stamping Fee” in the definition of such term) used to determine the interest rate applicable to LIBOR Revolving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or becoming payable in respect of Letters of Credit issued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8" w:lineRule="exact"/>
        <w:rPr>
          <w:rFonts w:ascii="Arial" w:cs="Arial" w:eastAsia="Arial" w:hAnsi="Arial"/>
          <w:sz w:val="16"/>
          <w:szCs w:val="16"/>
          <w:color w:val="auto"/>
        </w:rPr>
      </w:pPr>
    </w:p>
    <w:p>
      <w:pPr>
        <w:ind w:right="80" w:firstLine="921"/>
        <w:spacing w:after="0" w:line="276" w:lineRule="auto"/>
        <w:tabs>
          <w:tab w:leader="none" w:pos="11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Canadian Borrowing Subsidiary agrees to pay to the Canadian Agent, for the account of each Tranche B Lender, on each date on which BAs drawn by such Canadian Borrowing Subsidiary are accepted and purchased hereunder, in Canadian Dollars, an acceptance fee computed by multiplying the aggregate face amount of the BAs accepted by such Lender on such date by the product of (i) the Applicable Rate (as set forth under the caption “LIBOR/EURIBOR Spread and BA Stamping Fee” in the definition of such term) on such date and (ii) a fraction, the numerator of which is the number of days in the Contract Period applicable to such BAs and the denominator of which is 365.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6" w:name="page57"/>
    <w:bookmarkEnd w:id="56"/>
    <w:p>
      <w:pPr>
        <w:ind w:right="540" w:firstLine="921"/>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agrees to pay to the Agents, for their own accounts, fees payable in the amounts and at the times separately agreed upon between the Company and the Agents.</w:t>
      </w:r>
    </w:p>
    <w:p>
      <w:pPr>
        <w:spacing w:after="0" w:line="170" w:lineRule="exact"/>
        <w:rPr>
          <w:rFonts w:ascii="Arial" w:cs="Arial" w:eastAsia="Arial" w:hAnsi="Arial"/>
          <w:sz w:val="18"/>
          <w:szCs w:val="18"/>
          <w:color w:val="auto"/>
        </w:rPr>
      </w:pPr>
    </w:p>
    <w:p>
      <w:pPr>
        <w:ind w:right="80" w:firstLine="921"/>
        <w:spacing w:after="0" w:line="293"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to the Administrative Agent, to the Issuing Banks (in the case of fees payable to them) or to the Canadian Agent (in the case of fees referred to in paragraph (c) of this Section) for distribution (i) in the case of facility fees, to the Lenders, (ii) in the case of the participation fees, to the Tranche A Lenders and (iii) in the case of acceptance fees, to the Tranche B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6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170" w:lineRule="exact"/>
        <w:rPr>
          <w:sz w:val="20"/>
          <w:szCs w:val="20"/>
          <w:color w:val="auto"/>
        </w:rPr>
      </w:pPr>
    </w:p>
    <w:p>
      <w:pPr>
        <w:ind w:right="220" w:firstLine="921"/>
        <w:spacing w:after="0" w:line="286" w:lineRule="auto"/>
        <w:tabs>
          <w:tab w:leader="none" w:pos="116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The Loans comprising each LIBOR Revolving Borrowing shall bear interest at (i) in the case of Loans denominated in US Dollars, the Adjusted LIBO Rate, and (ii) in the case of Loans denominated in Sterling, the LIBO Rate, in each case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 Spread and BA Stamping Fee” in the definition of such term).</w:t>
      </w:r>
    </w:p>
    <w:p>
      <w:pPr>
        <w:spacing w:after="0" w:line="165" w:lineRule="exact"/>
        <w:rPr>
          <w:rFonts w:ascii="Arial" w:cs="Arial" w:eastAsia="Arial" w:hAnsi="Arial"/>
          <w:sz w:val="17"/>
          <w:szCs w:val="17"/>
          <w:color w:val="auto"/>
        </w:rPr>
      </w:pPr>
    </w:p>
    <w:p>
      <w:pPr>
        <w:ind w:firstLine="921"/>
        <w:spacing w:after="0" w:line="264" w:lineRule="auto"/>
        <w:tabs>
          <w:tab w:leader="none" w:pos="11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Revolving Loans comprising each EURIBOR Revolving Borrowing shall bear interest at the EURIBO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“LIBOR/EURIBOR Spread and BA Stamping Fee” in the definition of such term).</w:t>
      </w:r>
    </w:p>
    <w:p>
      <w:pPr>
        <w:spacing w:after="0" w:line="181" w:lineRule="exact"/>
        <w:rPr>
          <w:rFonts w:ascii="Arial" w:cs="Arial" w:eastAsia="Arial" w:hAnsi="Arial"/>
          <w:sz w:val="18"/>
          <w:szCs w:val="18"/>
          <w:color w:val="auto"/>
        </w:rPr>
      </w:pPr>
    </w:p>
    <w:p>
      <w:pPr>
        <w:ind w:right="200" w:firstLine="921"/>
        <w:spacing w:after="0" w:line="277" w:lineRule="auto"/>
        <w:tabs>
          <w:tab w:leader="none" w:pos="11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Loans comprising each Canadian Prime Rate Borrowing shall bear interest at 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170" w:lineRule="exact"/>
        <w:rPr>
          <w:rFonts w:ascii="Arial" w:cs="Arial" w:eastAsia="Arial" w:hAnsi="Arial"/>
          <w:sz w:val="18"/>
          <w:szCs w:val="18"/>
          <w:color w:val="auto"/>
        </w:rPr>
      </w:pPr>
    </w:p>
    <w:p>
      <w:pPr>
        <w:ind w:right="80" w:firstLine="921"/>
        <w:spacing w:after="0" w:line="297" w:lineRule="auto"/>
        <w:tabs>
          <w:tab w:leader="none" w:pos="115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or BA,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BA or any LC Disbursement, 2%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interest rate or discount rate otherwise applicable to such Loan, BA or LC Disbursement as provided in the preceding paragraphs of this Section or (ii) in the case of any other amount, 2% per annum plus the rate applicable to ABR Loans in US Dollars as provided in paragraph (a) of this Section.</w:t>
      </w:r>
    </w:p>
    <w:p>
      <w:pPr>
        <w:spacing w:after="0" w:line="158" w:lineRule="exact"/>
        <w:rPr>
          <w:rFonts w:ascii="Arial" w:cs="Arial" w:eastAsia="Arial" w:hAnsi="Arial"/>
          <w:sz w:val="16"/>
          <w:szCs w:val="16"/>
          <w:color w:val="auto"/>
        </w:rPr>
      </w:pPr>
    </w:p>
    <w:p>
      <w:pPr>
        <w:ind w:right="380" w:firstLine="921"/>
        <w:spacing w:after="0" w:line="291" w:lineRule="auto"/>
        <w:tabs>
          <w:tab w:leader="none" w:pos="11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Accrued interest on each Loan under any Tranche shall be payable in arrears on each Interest Payment Date for such Loan and upon the termination of the Commitments of such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interest accrued pursuant to paragraph (e) of this Section shall be payable on demand,</w:t>
      </w:r>
    </w:p>
    <w:p>
      <w:pPr>
        <w:ind w:right="20" w:firstLine="8"/>
        <w:spacing w:after="0" w:line="255"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of any repayment or prepayment of any Loan (other than a prepayment of an ABR Revolving Loan or a Canadian Prime Rate Revolving Loan prior to the end of the Availability Period), accrued interest on the principal amount repaid or prepaid shall be payable on the date of such repayment or prepayment and (iii) in the event of any conversion of any LIBOR Revolving Loan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EURIBOR Revolving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70" w:lineRule="exact"/>
        <w:rPr>
          <w:sz w:val="20"/>
          <w:szCs w:val="20"/>
          <w:color w:val="auto"/>
        </w:rPr>
      </w:pPr>
    </w:p>
    <w:p>
      <w:pPr>
        <w:ind w:left="1180" w:hanging="259"/>
        <w:spacing w:after="0"/>
        <w:tabs>
          <w:tab w:leader="none" w:pos="11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 interest on Borrowings denominated in Sterling,</w:t>
      </w:r>
    </w:p>
    <w:p>
      <w:pPr>
        <w:spacing w:after="0" w:line="46" w:lineRule="exact"/>
        <w:rPr>
          <w:rFonts w:ascii="Arial" w:cs="Arial" w:eastAsia="Arial" w:hAnsi="Arial"/>
          <w:sz w:val="16"/>
          <w:szCs w:val="16"/>
          <w:color w:val="auto"/>
        </w:rPr>
      </w:pPr>
    </w:p>
    <w:p>
      <w:pPr>
        <w:ind w:right="80" w:firstLine="8"/>
        <w:spacing w:after="0" w:line="271"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interest computed by reference to the Alternate Base Rate at times when the Alternate Base Rate is based on the Prime Rate and (iii) interest on Canadian Prime Rate Borrowings and acceptance fees shall each be computed on the basis of a year of 365 days (or, in the case of ABR Borrowings and Canadian Prime Rate Borrowings, 366 days in a leap year), and in each case shall be payable for the actual number of days elapsed (including the first day but excluding the last day). The applicable Adjusted LIBO Rate, LIBO Rate, EURIBO Rate, Alternate Base Rate or Canadian Prime Rate shall be determined by the Applicable Agent, and such determination shall be conclusive absent manifest error.</w:t>
      </w:r>
    </w:p>
    <w:p>
      <w:pPr>
        <w:spacing w:after="0" w:line="178" w:lineRule="exact"/>
        <w:rPr>
          <w:rFonts w:ascii="Arial" w:cs="Arial" w:eastAsia="Arial" w:hAnsi="Arial"/>
          <w:sz w:val="17"/>
          <w:szCs w:val="17"/>
          <w:color w:val="auto"/>
        </w:rPr>
      </w:pPr>
    </w:p>
    <w:p>
      <w:pPr>
        <w:ind w:right="20" w:firstLine="921"/>
        <w:spacing w:after="0" w:line="285" w:lineRule="auto"/>
        <w:tabs>
          <w:tab w:leader="none" w:pos="1168"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rates of interest provided for in this Agreement, insofar as they apply to Swiss Borrowing Subsidiaries, are subject to adjustment as provided in this paragraph. When entering into this Agreement, the parties have assumed that the interest payable at the rates set out in this Section or in other Sections of this Agreement is not and will not become subject to the Swiss Withholding Tax. Notwithstanding that the parties do not anticipate that any payment of interest will be subject to the Swiss Withholding Tax, they agree that, in the event that (i) the Swiss Withholding Tax should be imposed on interest payments by any Swiss Borrowing Subsidiary and (ii) such Swiss Borrowing Subsidiary is unable, by reason of the Swiss Withholding Tax Act, to comply with Section 2.16, the interest rate on such payments due by such Swiss Borrowing Subsidiary, including limitations therein, shall be increased in such a way that the amount of interest effectively paid to each Lender corresponds to an amount which (after making any deduction of the Non-Refundable Portion (as defined below) of the Swiss Withholding Tax) equals the payment which would have been due had no deduction of Swiss Withholding Tax been required. For the purposes of this Section, “Non-Refundable Portion” shall mean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applicable Swiss Borrowing Subsidiaries and the Lenders shall promptly co-operate in completing any procedural formalities (including submitting forms and documents required by the Swiss or foreign tax authorities) to the extent possible and necessary (i) for the applicable Swiss Borrowing Subsidiary to obtain the tax ruling from the Swiss Federal Tax Administration and (ii) for the Lenders to claim a refund of any Swiss Withholding Tax so deducted. To the extent the Swiss Federal Tax Administration issues the tax ruling only after payments subject to Swiss Withholding Tax were to be made so that the Non-Refundable Portion applied for the purpose of such payments is higher than according to the later ruling confirmation, the Applicable Agent agrees to file the aforementioned documents as required by law or applicable double taxation treaties for the Lenders to (i) claim a refund of Swiss Withholding Tax and (ii) once paid out by the Swiss Federal Tax Administration, pay the refund to the applicable Swiss Borrowing Subsidiary.</w:t>
      </w:r>
    </w:p>
    <w:p>
      <w:pPr>
        <w:spacing w:after="0" w:line="172" w:lineRule="exact"/>
        <w:rPr>
          <w:rFonts w:ascii="Arial" w:cs="Arial" w:eastAsia="Arial" w:hAnsi="Arial"/>
          <w:sz w:val="16"/>
          <w:szCs w:val="16"/>
          <w:color w:val="auto"/>
        </w:rPr>
      </w:pPr>
    </w:p>
    <w:p>
      <w:pPr>
        <w:ind w:right="340" w:firstLine="921"/>
        <w:spacing w:after="0" w:line="308" w:lineRule="auto"/>
        <w:tabs>
          <w:tab w:leader="none" w:pos="1128"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 Swiss Borrowing Subsidiary shall be required to pay any additional amount to a Lender pursuant to Section 2.12(h) as a result of such Lender having breached (i) Section 2.16(h) or (ii) the requirements for or limitations on transfers of interests under Section 11.04.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58" w:name="page59"/>
    <w:bookmarkEnd w:id="5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2.13. </w:t>
      </w:r>
      <w:r>
        <w:rPr>
          <w:rFonts w:ascii="Arial" w:cs="Arial" w:eastAsia="Arial" w:hAnsi="Arial"/>
          <w:sz w:val="17"/>
          <w:szCs w:val="17"/>
          <w:u w:val="single" w:color="auto"/>
          <w:color w:val="auto"/>
        </w:rPr>
        <w:t>Alternate Rate of Interest; Illegality.</w:t>
      </w:r>
      <w:r>
        <w:rPr>
          <w:rFonts w:ascii="Arial" w:cs="Arial" w:eastAsia="Arial" w:hAnsi="Arial"/>
          <w:sz w:val="17"/>
          <w:szCs w:val="17"/>
          <w:color w:val="auto"/>
        </w:rPr>
        <w:t xml:space="preserve"> (a) If prior to the commencement of any Interest Period for a LIBOR Borrowing or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EURIBOR Borrowing:</w:t>
      </w:r>
    </w:p>
    <w:p>
      <w:pPr>
        <w:spacing w:after="0" w:line="211" w:lineRule="exact"/>
        <w:rPr>
          <w:sz w:val="20"/>
          <w:szCs w:val="20"/>
          <w:color w:val="auto"/>
        </w:rPr>
      </w:pPr>
    </w:p>
    <w:p>
      <w:pPr>
        <w:ind w:right="40" w:firstLine="1492"/>
        <w:spacing w:after="0" w:line="308" w:lineRule="auto"/>
        <w:tabs>
          <w:tab w:leader="none" w:pos="169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Applicable Agent determines (which determination shall be conclusive absent manifest error) that adequate and reasonable means do not exist for ascertaining the Adjusted LIBO Rate, LIBO Rate or the EURIBO Rate, as the case may be, for such Interest Period; or</w:t>
      </w:r>
    </w:p>
    <w:p>
      <w:pPr>
        <w:spacing w:after="0" w:line="146" w:lineRule="exact"/>
        <w:rPr>
          <w:rFonts w:ascii="Arial" w:cs="Arial" w:eastAsia="Arial" w:hAnsi="Arial"/>
          <w:sz w:val="17"/>
          <w:szCs w:val="17"/>
          <w:color w:val="auto"/>
        </w:rPr>
      </w:pPr>
    </w:p>
    <w:p>
      <w:pPr>
        <w:ind w:right="60" w:firstLine="1492"/>
        <w:spacing w:after="0" w:line="264" w:lineRule="auto"/>
        <w:tabs>
          <w:tab w:leader="none" w:pos="17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Applicable Agent is advised by a majority in interest of the Lenders that would make Loans as part of such Borrowing that the Adjusted LIBO Rate, LIBO Rate or EURIBO Rate, as the case may be, for such Interest Period will not adequately and fairly reflect the cost to such Lenders of making or maintaining the Loans included in such Borrowing for such Interest Period;</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then the Applicable Agent shall give notice thereof to the applicable Borrower and the applicable Lenders by telephone or fax as promptly as practicable thereafter and, until the Applicable Agent notifies the applicable Borrower and the applicable Lenders that the circumstances giving rise to such notice no longer exist, (i) any Interest Election Request that requests the conversion of any Revolving Borrowing to, or continuation of any Revolving Borrowing as, an affected LIBOR Borrowing or EURIBOR Borrowing, as the case may be, shall be ineffective, (ii) any affected LIBOR Borrowing or EURIBOR Borrowing that is requested to be continued shall (A) if denominated in US Dollars and made by a US Borrowing Subsidiary or a Canadian Borrowing Subsidiary, be continued as an ABR Borrowing, or (B) otherwise, be continued as a Borrowing bearing interest at a rate equal to the sum of (1) a rate per annum determined by the Administrative Agent from time to time to be sufficient to cover the funding cost of each Lender in connection with such Borrowing plus</w:t>
      </w:r>
    </w:p>
    <w:p>
      <w:pPr>
        <w:spacing w:after="0" w:line="3" w:lineRule="exact"/>
        <w:rPr>
          <w:sz w:val="20"/>
          <w:szCs w:val="20"/>
          <w:color w:val="auto"/>
        </w:rPr>
      </w:pPr>
    </w:p>
    <w:p>
      <w:pPr>
        <w:ind w:right="60" w:firstLine="8"/>
        <w:spacing w:after="0" w:line="255"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Applicable Rate (as set forth under the caption “LIBOR/EURIBOR Spread and BA Stamping Fee” in the definition of such term) and (iii) any Borrowing Request for an affected LIBOR Borrowing or a EURIBOR Borrowing shall (A) if denominated in US Dollars and made by a US Borrowing Subsidiary or a Canadian Borrowing Subsidiary, be deemed a request for an ABR Borrowing, or (B) otherwise, be ineffective.</w:t>
      </w:r>
    </w:p>
    <w:p>
      <w:pPr>
        <w:spacing w:after="0" w:line="190" w:lineRule="exact"/>
        <w:rPr>
          <w:rFonts w:ascii="Arial" w:cs="Arial" w:eastAsia="Arial" w:hAnsi="Arial"/>
          <w:sz w:val="18"/>
          <w:szCs w:val="18"/>
          <w:color w:val="auto"/>
        </w:rPr>
      </w:pPr>
    </w:p>
    <w:p>
      <w:pPr>
        <w:ind w:right="40" w:firstLine="921"/>
        <w:spacing w:after="0" w:line="257" w:lineRule="auto"/>
        <w:tabs>
          <w:tab w:leader="none" w:pos="11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it becomes unlawful for any Lender or its applicable Lending Office to perform its obligations hereunder to make Loans in any currency or to any Borrower, then such Lender shall notify the Applicable Agent thereof and the obligation of such Lender to make such Loans shall be suspended until such Lender shall notify the Applicable Agent, and the Applicable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(a) If any Change in Law shall:</w:t>
      </w:r>
    </w:p>
    <w:p>
      <w:pPr>
        <w:spacing w:after="0" w:line="225" w:lineRule="exact"/>
        <w:rPr>
          <w:sz w:val="20"/>
          <w:szCs w:val="20"/>
          <w:color w:val="auto"/>
        </w:rPr>
      </w:pPr>
    </w:p>
    <w:p>
      <w:pPr>
        <w:jc w:val="both"/>
        <w:ind w:right="280" w:firstLine="1492"/>
        <w:spacing w:after="0" w:line="264" w:lineRule="auto"/>
        <w:tabs>
          <w:tab w:leader="none" w:pos="1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in the case of Letters of Credit, participated in by, any Lender (except any such reserve requirement reflected in the Adjusted LIBO Rate) or any Issuing Bank;</w:t>
      </w:r>
    </w:p>
    <w:p>
      <w:pPr>
        <w:spacing w:after="0" w:line="181" w:lineRule="exact"/>
        <w:rPr>
          <w:rFonts w:ascii="Arial" w:cs="Arial" w:eastAsia="Arial" w:hAnsi="Arial"/>
          <w:sz w:val="18"/>
          <w:szCs w:val="18"/>
          <w:color w:val="auto"/>
        </w:rPr>
      </w:pPr>
    </w:p>
    <w:p>
      <w:pPr>
        <w:ind w:firstLine="1492"/>
        <w:spacing w:after="0" w:line="264" w:lineRule="auto"/>
        <w:tabs>
          <w:tab w:leader="none" w:pos="17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on any Lender, any Issuing Bank or the London, European or Canadian interbank market any other condition, cost or expense (other than Taxes) affecting this Agreement or LIBOR Loans or EURIBOR Loans made by or any acceptance and purchase of BAs by such Lender or any Letter of Credit or participations therein; or</w:t>
      </w:r>
    </w:p>
    <w:p>
      <w:pPr>
        <w:spacing w:after="0" w:line="181" w:lineRule="exact"/>
        <w:rPr>
          <w:rFonts w:ascii="Arial" w:cs="Arial" w:eastAsia="Arial" w:hAnsi="Arial"/>
          <w:sz w:val="18"/>
          <w:szCs w:val="18"/>
          <w:color w:val="auto"/>
        </w:rPr>
      </w:pPr>
    </w:p>
    <w:p>
      <w:pPr>
        <w:ind w:right="560" w:firstLine="1492"/>
        <w:spacing w:after="0" w:line="264" w:lineRule="auto"/>
        <w:tabs>
          <w:tab w:leader="none" w:pos="17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any Lender, any Issuing Bank or any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59" w:name="page60"/>
    <w:bookmarkEnd w:id="59"/>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result of any of the foregoing shall be to increase the cost to any Lender or Issuing Bank of making or maintaining any Loan or accepting and purchasing any BAs (or of maintaining its obligation to make any such Loan or to accept and purchase any such BAs) or participating in, issuing or maintaining any Letter of Credit, or to reduce the amount of any sum received or receivable by any Lender, Issuing Bank or Agent hereunder (whether of principal, interest or otherwise), then the applicable Borrower will pay to such Lender, Issuing Bank or Agent, as the case may be, such additional amount or amounts as will compensate such Lender, Issuing Bank or Agent, as the case may be, for such additional costs incurred or reduction suffered.</w:t>
      </w:r>
    </w:p>
    <w:p>
      <w:pPr>
        <w:spacing w:after="0" w:line="158" w:lineRule="exact"/>
        <w:rPr>
          <w:sz w:val="20"/>
          <w:szCs w:val="20"/>
          <w:color w:val="auto"/>
        </w:rPr>
      </w:pPr>
    </w:p>
    <w:p>
      <w:pPr>
        <w:ind w:firstLine="921"/>
        <w:spacing w:after="0" w:line="271" w:lineRule="auto"/>
        <w:tabs>
          <w:tab w:leader="none" w:pos="1168" w:val="left"/>
        </w:tabs>
        <w:numPr>
          <w:ilvl w:val="1"/>
          <w:numId w:val="43"/>
        </w:numPr>
        <w:rPr>
          <w:rFonts w:ascii="Arial" w:cs="Arial" w:eastAsia="Arial" w:hAnsi="Arial"/>
          <w:sz w:val="17"/>
          <w:szCs w:val="17"/>
          <w:color w:val="auto"/>
        </w:rPr>
      </w:pPr>
      <w:r>
        <w:rPr>
          <w:rFonts w:ascii="Arial" w:cs="Arial" w:eastAsia="Arial" w:hAnsi="Arial"/>
          <w:sz w:val="17"/>
          <w:szCs w:val="17"/>
          <w:color w:val="auto"/>
        </w:rPr>
        <w:t>If any Lender or Issuing Bank determines in good faith that any Change in Law regarding capital requirements or liquidity has or would have the effect of reducing the rate of return on such Lender’s or Issuing Bank’s capital or on the capital of such Lender’s or Issuing Bank’s holding company, if any, as a consequence of this Agreement or the Loans made or BAs accepted and purchased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178" w:lineRule="exact"/>
        <w:rPr>
          <w:rFonts w:ascii="Arial" w:cs="Arial" w:eastAsia="Arial" w:hAnsi="Arial"/>
          <w:sz w:val="17"/>
          <w:szCs w:val="17"/>
          <w:color w:val="auto"/>
        </w:rPr>
      </w:pPr>
    </w:p>
    <w:p>
      <w:pPr>
        <w:ind w:right="120" w:firstLine="921"/>
        <w:spacing w:after="0" w:line="291" w:lineRule="auto"/>
        <w:tabs>
          <w:tab w:leader="none" w:pos="11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certificate of a Lender, Issuing Bank or Agent setting forth the amount or amounts necessary to compensate such Lender, Issuing Bank or Agent or its holding company, as the case may be, and the manner in which such amount or amounts have been calculated, as specified in paragraph (a) or</w:t>
      </w:r>
    </w:p>
    <w:p>
      <w:pPr>
        <w:ind w:firstLine="8"/>
        <w:spacing w:after="0" w:line="323"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 this Section, shall be delivered to the Company and shall be conclusive absent manifest error. The Company shall pay or cause the applicable Borrower to pay such Lender, Issuing Bank or Agent, as the case may be, the amount shown as due on any such certificate within 10 days after receipt thereof.</w:t>
      </w:r>
    </w:p>
    <w:p>
      <w:pPr>
        <w:spacing w:after="0" w:line="138" w:lineRule="exact"/>
        <w:rPr>
          <w:rFonts w:ascii="Arial" w:cs="Arial" w:eastAsia="Arial" w:hAnsi="Arial"/>
          <w:sz w:val="16"/>
          <w:szCs w:val="16"/>
          <w:color w:val="auto"/>
        </w:rPr>
      </w:pPr>
    </w:p>
    <w:p>
      <w:pPr>
        <w:ind w:right="100" w:firstLine="921"/>
        <w:spacing w:after="0" w:line="293" w:lineRule="auto"/>
        <w:tabs>
          <w:tab w:leader="none" w:pos="1168"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Issuing Bank or Agent to demand compensation pursuant to this Section shall not constitute a waiver of such Lender’s, Issuing Bank’s or Agent’s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Borrower shall not be required to compensate a Lender, Issuing Bank or Agent pursuant to this Section for any increased costs or reductions incurred more than 180 days prior to the date that such Lender, Issuing Bank or Agent, as the case may be, notifies the Company of the Change in Law giving rise to such increased costs or reductions and of such Lender’s, Issuing Bank’s or Agent’s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firstLine="921"/>
        <w:spacing w:after="0" w:line="286" w:lineRule="auto"/>
        <w:tabs>
          <w:tab w:leader="none" w:pos="1158" w:val="left"/>
        </w:tabs>
        <w:numPr>
          <w:ilvl w:val="1"/>
          <w:numId w:val="44"/>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Section 2.16 or, if not within the scope of Section 2.16, under any one other Section as the payee may elect.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74" w:right="299" w:bottom="1440" w:gutter="0" w:footer="0" w:header="0"/>
        </w:sectPr>
      </w:pPr>
    </w:p>
    <w:bookmarkStart w:id="60" w:name="page61"/>
    <w:bookmarkEnd w:id="60"/>
    <w:p>
      <w:pPr>
        <w:ind w:right="60" w:firstLine="921"/>
        <w:spacing w:after="0" w:line="255" w:lineRule="auto"/>
        <w:tabs>
          <w:tab w:leader="none" w:pos="1138"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each Lender will make claims under this Section in respect (i) the Dodd-Frank Wall Street Reform and Consumer Protection Act or requests, rules, guidelines or directives thereunder or issued in connection therewith or (ii)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or CRD IV, only if such Lender represents that it is the general policy or practice of such Lender to make such claims under comparable credit facilities containing yield protection provisions that permit it to make such claims.</w:t>
      </w:r>
    </w:p>
    <w:p>
      <w:pPr>
        <w:spacing w:after="0" w:line="19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LIBOR Loan or any EURIBOR Loan other than on the last day of an Interest Period applicable thereto (including as a result of an Event of Default), (b) the conversion of any LIBOR Loan or any EURIBOR Loan other than on the last day of the Interest Period applicable thereto, (c) the failure to borrow, convert, continue or prepay any LIBOR Loan or any EURIBOR Loan on the date specified in any notice delivered pursuant hereto (regardless of whether any such notice may be revoked or extended under Section 2.10(d) and is revoked or extended in accordance therewith) or (d) the assignment of any LIBOR Loan or any EURIBOR Loan other than on the last day of the Interest Period applicable thereto as a result of a request by the applicable Borrower pursuant to Section 2.18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LIBO Rate or the EURIBO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or the Discount Proceeds applicable to such BA for such period at the interest rate which such Lender would bid were it to bid, at the commencement of such period, for deposits in the applicable currency of a comparable amount and period from other banks in the London or European interbank market.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38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or on account of any obligation of a Credit Party hereunder or under any other Credit Document shall be made free and clear of and without deduction for any Indemnified Taxes or Other Taxes;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Credit Party shall be required to deduct any Indemnified Taxes or Other Taxes from such payments, then (i) the sum payable shall be increased as necessary so that after making all required deductions (including deductions applicable to additional sums payable under this Section) each Agent, Lender and Issuing Bank (as the case may be) receives an amount equal to the sum it would have received had no such deductions been made, (ii) such Credit Party shall make such deductions and</w:t>
      </w:r>
    </w:p>
    <w:p>
      <w:pPr>
        <w:spacing w:after="0" w:line="2" w:lineRule="exact"/>
        <w:rPr>
          <w:sz w:val="20"/>
          <w:szCs w:val="20"/>
          <w:color w:val="auto"/>
        </w:rPr>
      </w:pPr>
    </w:p>
    <w:p>
      <w:pPr>
        <w:ind w:right="40" w:firstLine="8"/>
        <w:spacing w:after="0" w:line="255"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Credit Party shall pay the full amount deducted to the relevant Governmental Authority in accordance with applicable law (and, for the avoidance of doubt, the net remittance and refund procedures as set out in Section 2.12(h) shall apply). Notwithstanding the foregoing, with respect to Swiss Withholding Tax</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1" w:name="page62"/>
    <w:bookmarkEnd w:id="6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no Swiss Borrowing Subsidiary shall be required to pay any additional amount to any Lender pursuant to this Section 2.16(a) to compensate for a Tax or Other Tax payable because such Lender has breached (A) Section 2.16(h) and/or (B) the requirements for or limitations on transfers of interests under Section 11.04.</w:t>
      </w:r>
    </w:p>
    <w:p>
      <w:pPr>
        <w:spacing w:after="0" w:line="181" w:lineRule="exact"/>
        <w:rPr>
          <w:sz w:val="20"/>
          <w:szCs w:val="20"/>
          <w:color w:val="auto"/>
        </w:rPr>
      </w:pPr>
    </w:p>
    <w:p>
      <w:pPr>
        <w:ind w:left="1180" w:hanging="259"/>
        <w:spacing w:after="0"/>
        <w:tabs>
          <w:tab w:leader="none" w:pos="1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addition, but without duplication, the Credit Parties shall pay any Other Taxes to the relevant Governmental Authority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right="20" w:firstLine="921"/>
        <w:spacing w:after="0" w:line="270" w:lineRule="auto"/>
        <w:tabs>
          <w:tab w:leader="none" w:pos="11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Each Credit Party shall indemnify each Agent, Lender and Issuing Bank, within 10 days after written demand therefor, for the full amount of any Indemnified Taxes or Other Taxes paid by such Agent, Lender or Issuing Bank, as the case may be, on or with respect to any payment by or on account of any obligation of such Credit Party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an Agent, Lender or Issuing Bank, or by the Administrative Agent on behalf of a Lender or Issuing Bank, shall be conclusive absent manifest error. Such Agent, Lender or Issuing Bank shall use commercially reasonable efforts to cooperate with such Credit Party, at such Credit Party’s expense, to contest any Indemnified Taxes or Other Taxes imposed on or with respect to payments made to or by such Agent, Lender or Issuing Bank and indemnified by such Credit Party that such Credit Party reasonably believes were not correctly or legally imposed or asserted by the relevant Governmental Authority.</w:t>
      </w:r>
    </w:p>
    <w:p>
      <w:pPr>
        <w:spacing w:after="0" w:line="178" w:lineRule="exact"/>
        <w:rPr>
          <w:sz w:val="20"/>
          <w:szCs w:val="20"/>
          <w:color w:val="auto"/>
        </w:rPr>
      </w:pPr>
    </w:p>
    <w:p>
      <w:pPr>
        <w:ind w:right="60" w:firstLine="921"/>
        <w:spacing w:after="0" w:line="270" w:lineRule="auto"/>
        <w:tabs>
          <w:tab w:leader="none" w:pos="1178"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Lender shall severally indemnify each Agent, within 10 days after demand therefor, for (A) any Indemnified Taxes or Other Taxes attributable to such Lender (but only to the extent that any Credit Party has not already indemnified such Agent for such Indemnified Taxes and without limiting the obligation of the Credit Parties to do so), (B) any Taxes attributable to such Lender’s failure to comply with the provisions of Section 11.04(k) relating to the maintenance of a Participant Register and (C) any Excluded Taxes attributable to such Lender, in each case, that are payable or paid by such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an Agent shall be conclusive absent manifest error. Each Lender hereby authorizes each Agent to set off and apply any and all amounts at any time owing to such Lender hereunder or under any other Credit Document or otherwise payable by such Agent to the Lender from any other source against any amount due to such Agent under this paragraph (c)(ii). For the avoidance of doubt, nothing in this paragraph (c)(ii) shall increase the obligations of any Borrower under this Section 2.16.</w:t>
      </w:r>
    </w:p>
    <w:p>
      <w:pPr>
        <w:spacing w:after="0" w:line="178" w:lineRule="exact"/>
        <w:rPr>
          <w:sz w:val="20"/>
          <w:szCs w:val="20"/>
          <w:color w:val="auto"/>
        </w:rPr>
      </w:pPr>
    </w:p>
    <w:p>
      <w:pPr>
        <w:ind w:firstLine="921"/>
        <w:spacing w:after="0" w:line="286" w:lineRule="auto"/>
        <w:tabs>
          <w:tab w:leader="none" w:pos="11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5" w:lineRule="exact"/>
        <w:rPr>
          <w:rFonts w:ascii="Arial" w:cs="Arial" w:eastAsia="Arial" w:hAnsi="Arial"/>
          <w:sz w:val="17"/>
          <w:szCs w:val="17"/>
          <w:color w:val="auto"/>
        </w:rPr>
      </w:pPr>
    </w:p>
    <w:p>
      <w:pPr>
        <w:ind w:right="120" w:firstLine="921"/>
        <w:spacing w:after="0" w:line="259"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2" w:name="page63"/>
    <w:bookmarkEnd w:id="62"/>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applicable law, such properly completed and executed documentation prescribed by applicable law or reasonably requested by the Company as will permit such payments to be made without withholding or at a reduced rate; </w:t>
      </w:r>
      <w:r>
        <w:rPr>
          <w:rFonts w:ascii="Arial" w:cs="Arial" w:eastAsia="Arial" w:hAnsi="Arial"/>
          <w:sz w:val="17"/>
          <w:szCs w:val="17"/>
          <w:i w:val="1"/>
          <w:iCs w:val="1"/>
          <w:color w:val="auto"/>
        </w:rPr>
        <w:t>provided</w:t>
      </w:r>
      <w:r>
        <w:rPr>
          <w:rFonts w:ascii="Arial" w:cs="Arial" w:eastAsia="Arial" w:hAnsi="Arial"/>
          <w:sz w:val="17"/>
          <w:szCs w:val="17"/>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Each Lender shall promptly notify the Company at any time it determines that it is no longer in a position to provide any such previously delivered documentation to the Company.</w:t>
      </w:r>
    </w:p>
    <w:p>
      <w:pPr>
        <w:spacing w:after="0" w:line="178" w:lineRule="exact"/>
        <w:rPr>
          <w:sz w:val="20"/>
          <w:szCs w:val="20"/>
          <w:color w:val="auto"/>
        </w:rPr>
      </w:pPr>
    </w:p>
    <w:p>
      <w:pPr>
        <w:ind w:firstLine="1492"/>
        <w:spacing w:after="0" w:line="290" w:lineRule="auto"/>
        <w:tabs>
          <w:tab w:leader="none" w:pos="1748" w:val="left"/>
        </w:tabs>
        <w:numPr>
          <w:ilvl w:val="1"/>
          <w:numId w:val="50"/>
        </w:numPr>
        <w:rPr>
          <w:rFonts w:ascii="Arial" w:cs="Arial" w:eastAsia="Arial" w:hAnsi="Arial"/>
          <w:sz w:val="16"/>
          <w:szCs w:val="16"/>
          <w:color w:val="auto"/>
        </w:rPr>
      </w:pPr>
      <w:r>
        <w:rPr>
          <w:rFonts w:ascii="Arial" w:cs="Arial" w:eastAsia="Arial" w:hAnsi="Arial"/>
          <w:sz w:val="16"/>
          <w:szCs w:val="16"/>
          <w:color w:val="auto"/>
        </w:rPr>
        <w:t>Without limiting the generality of the foregoing paragraph,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Applicable Agent at the time or times prescribed by law and at such time or times reasonably requested by the Borrower or the Applicable Agent such documentation prescribed by applicable law (including as prescribed by Section 1471(b)(3)(C)(i) of the Code) and such additional documentation reasonably requested by the Borrower or the Applicable Agent as may be necessary for the Borrower and the Applicable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166" w:lineRule="exact"/>
        <w:rPr>
          <w:rFonts w:ascii="Arial" w:cs="Arial" w:eastAsia="Arial" w:hAnsi="Arial"/>
          <w:sz w:val="16"/>
          <w:szCs w:val="16"/>
          <w:color w:val="auto"/>
        </w:rPr>
      </w:pPr>
    </w:p>
    <w:p>
      <w:pPr>
        <w:ind w:right="40" w:firstLine="1492"/>
        <w:spacing w:after="0" w:line="264" w:lineRule="auto"/>
        <w:tabs>
          <w:tab w:leader="none" w:pos="17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81" w:lineRule="exact"/>
        <w:rPr>
          <w:rFonts w:ascii="Arial" w:cs="Arial" w:eastAsia="Arial" w:hAnsi="Arial"/>
          <w:sz w:val="18"/>
          <w:szCs w:val="18"/>
          <w:color w:val="auto"/>
        </w:rPr>
      </w:pPr>
    </w:p>
    <w:p>
      <w:pPr>
        <w:ind w:right="40" w:firstLine="921"/>
        <w:spacing w:after="0" w:line="269" w:lineRule="auto"/>
        <w:tabs>
          <w:tab w:leader="none" w:pos="113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good faith judgment (which shall be conclusive absent manifest error),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2.16(f) otherwise applies, the relevant Agent or Lender and the relevant Credit Party will cooperate to pursue any applicable refund, if necessary.</w:t>
      </w:r>
    </w:p>
    <w:p>
      <w:pPr>
        <w:spacing w:after="0" w:line="182"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63" w:name="page64"/>
    <w:bookmarkEnd w:id="63"/>
    <w:p>
      <w:pPr>
        <w:ind w:firstLine="921"/>
        <w:spacing w:after="0" w:line="270" w:lineRule="auto"/>
        <w:tabs>
          <w:tab w:leader="none" w:pos="1168"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that is a Lender as of the Effective Date confirms that, as of the Effective Date such Lender is a Qualifying Bank. Each person that shall become a Lender after the Effective Date confirms that as of the date such person becomes a Lender it is (i) a Qualifying Bank or (ii) one single creditor for the purposes of the Swiss Withholding Tax Rules. If any Lender that is initially a Qualifying Bank ceases to be a Qualifying Bank, any resulting Swiss Withholding Tax imposed on such Lender will be for that Lender’s account. The Company shall ensure that at any time when the Borrowing Subsidiaries include one or more Swiss Subsidiary Borrowers, each Swiss Subsidiary Borrower will comply, insofar as compliance depends on the Company’s acting or refraining from acting, with the Swiss Withholding Tax Rules. For purposes of compliance with the immediately preceding sentence in respect of Swiss Twenty Non-Bank Rule, the Company shall assume for the purposes of determining the total number of creditors which are Non-Qualifying Banks that at all times there are five Lenders that are not Qualifying Banks under this Agreement. Notwithstanding any other provision of this Agreement, the Company shall be responsible for any Swiss Withholding Tax that may be applicable as a result of a breach of its agreements set forth in this Section, but such breach shall not constitute a Default or an Event of Default for purposes of this Agreement.</w:t>
      </w:r>
    </w:p>
    <w:p>
      <w:pPr>
        <w:spacing w:after="0" w:line="177" w:lineRule="exact"/>
        <w:rPr>
          <w:rFonts w:ascii="Arial" w:cs="Arial" w:eastAsia="Arial" w:hAnsi="Arial"/>
          <w:sz w:val="17"/>
          <w:szCs w:val="17"/>
          <w:color w:val="auto"/>
        </w:rPr>
      </w:pPr>
    </w:p>
    <w:p>
      <w:pPr>
        <w:ind w:right="40" w:firstLine="921"/>
        <w:spacing w:after="0" w:line="286" w:lineRule="auto"/>
        <w:tabs>
          <w:tab w:leader="none" w:pos="1128"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166" w:lineRule="exact"/>
        <w:rPr>
          <w:sz w:val="20"/>
          <w:szCs w:val="20"/>
          <w:color w:val="auto"/>
        </w:rPr>
      </w:pPr>
    </w:p>
    <w:p>
      <w:pPr>
        <w:jc w:val="both"/>
        <w:ind w:right="300" w:firstLine="921"/>
        <w:spacing w:after="0" w:line="312" w:lineRule="auto"/>
        <w:tabs>
          <w:tab w:leader="none" w:pos="11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146" w:lineRule="exact"/>
        <w:rPr>
          <w:rFonts w:ascii="Arial" w:cs="Arial" w:eastAsia="Arial" w:hAnsi="Arial"/>
          <w:sz w:val="16"/>
          <w:szCs w:val="16"/>
          <w:color w:val="auto"/>
        </w:rPr>
      </w:pPr>
    </w:p>
    <w:p>
      <w:pPr>
        <w:ind w:right="60" w:firstLine="921"/>
        <w:spacing w:after="0" w:line="255"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generality of Section 2.16(h)(i), when a Lender provides the applicable UK DTTP Scheme reference number to the Administrative Agent and each UK Borrowing Subsidiary in accordance with Section 2.16(h)(ii),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193"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Payments Generally; Pro Rata Treatment; Sharing of Set-offs.</w:t>
      </w:r>
      <w:r>
        <w:rPr>
          <w:rFonts w:ascii="Arial" w:cs="Arial" w:eastAsia="Arial" w:hAnsi="Arial"/>
          <w:sz w:val="17"/>
          <w:szCs w:val="17"/>
          <w:color w:val="auto"/>
        </w:rPr>
        <w:t xml:space="preserve">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 such time on any date may, in the discretion of the Applicable Agent, be deemed to have been received on the next succeeding Business Day for purposes of calculating interest thereon. All such payments shall be made to the Applicable Agent for the account of the applicable Lenders to such account as the Applicable Agent shall from time to time specify in one or more notices delivered to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4" w:name="page65"/>
    <w:bookmarkEnd w:id="6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that payments to be made directly to an Issuing Bank as expressly provided herein shall be made directly to such parties and payments pursuant to Sections 2.14, 2.15, 2.16, 2.20 and 11.03 shall be made directly to the Persons entitled thereto. The Applicable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BA or LC Disbursement shall, except as otherwise expressly provided herein, be made in the currency of such Loan, BA or LC Disbursement; all other payments hereunder and under each other Credit Document shall be made in US Dollars. Any payment required to be made by any Agent hereunder shall be deemed to have been made by the time required if such Agent shall, at or before such time, have taken the necessary steps to make such payment in accordance with the regulations or operating procedures of the clearing or settlement system used by such Agent to make such payment.</w:t>
      </w:r>
    </w:p>
    <w:p>
      <w:pPr>
        <w:spacing w:after="0" w:line="167" w:lineRule="exact"/>
        <w:rPr>
          <w:sz w:val="20"/>
          <w:szCs w:val="20"/>
          <w:color w:val="auto"/>
        </w:rPr>
      </w:pPr>
    </w:p>
    <w:p>
      <w:pPr>
        <w:ind w:right="20" w:firstLine="921"/>
        <w:spacing w:after="0" w:line="255"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the Agents from any Borrower (or from the Company as guarantor of the Obligations of such Borrower pursuant to Article X) and available to pay fully all amounts of principal, unreimbursed LC Disbursements, interest and fees then due from such Borrower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from such Borrower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of the Loans and BAs and unreimbursed LC Disbursements then due from such Borrower hereunder, ratably among the parties entitled thereto in accordance with the amounts of such principal then due to such parties.</w:t>
      </w:r>
    </w:p>
    <w:p>
      <w:pPr>
        <w:spacing w:after="0" w:line="193" w:lineRule="exact"/>
        <w:rPr>
          <w:rFonts w:ascii="Arial" w:cs="Arial" w:eastAsia="Arial" w:hAnsi="Arial"/>
          <w:sz w:val="18"/>
          <w:szCs w:val="18"/>
          <w:color w:val="auto"/>
        </w:rPr>
      </w:pPr>
    </w:p>
    <w:p>
      <w:pPr>
        <w:ind w:firstLine="921"/>
        <w:spacing w:after="0" w:line="287" w:lineRule="auto"/>
        <w:tabs>
          <w:tab w:leader="none" w:pos="11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its Loans, BAs, participations in LC Disbursements or accrued interest on any of the foregoing (collectively “</w:t>
      </w:r>
      <w:r>
        <w:rPr>
          <w:rFonts w:ascii="Arial" w:cs="Arial" w:eastAsia="Arial" w:hAnsi="Arial"/>
          <w:sz w:val="16"/>
          <w:szCs w:val="16"/>
          <w:i w:val="1"/>
          <w:iCs w:val="1"/>
          <w:color w:val="auto"/>
        </w:rPr>
        <w:t>Claims</w:t>
      </w:r>
      <w:r>
        <w:rPr>
          <w:rFonts w:ascii="Arial" w:cs="Arial" w:eastAsia="Arial" w:hAnsi="Arial"/>
          <w:sz w:val="16"/>
          <w:szCs w:val="16"/>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Borrower rights of set-off and counterclaim with respect to such participation as fully as if such Lender were a direct creditor of the Company or such Borrower in the amount of such participation.</w:t>
      </w:r>
    </w:p>
    <w:p>
      <w:pPr>
        <w:spacing w:after="0" w:line="168" w:lineRule="exact"/>
        <w:rPr>
          <w:rFonts w:ascii="Arial" w:cs="Arial" w:eastAsia="Arial" w:hAnsi="Arial"/>
          <w:sz w:val="16"/>
          <w:szCs w:val="16"/>
          <w:color w:val="auto"/>
        </w:rPr>
      </w:pPr>
    </w:p>
    <w:p>
      <w:pPr>
        <w:ind w:right="180" w:firstLine="921"/>
        <w:spacing w:after="0" w:line="286"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Unless an Agent shall have received notice from a Borrower prior to the date on which any payment is due to such Agent for the account of any Lenders or any Issuing Bank hereunder that such Borrower will not make such payment, such Agent may assume that such Borrower has made such payment on such date in accordance herewith and may, in reliance upon such assumption, distribute to the applicable Lenders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5" w:name="page66"/>
    <w:bookmarkEnd w:id="6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Issuing Bank, as the case may be, the amount due. In such event, if such Borrower has not in fact made such payment, then each applicable Lender or Issuing Bank, as the case may be, severally agrees to repay to such Agent forthwith on demand the amount so distributed to such Lender or Issuing Bank with interest thereon, for each day from and including the date such amount is distributed to it to but excluding the date of payment to such Agent, at a rate determined by such Agent in accordance with banking industry rules on interbank compensation.</w:t>
      </w:r>
    </w:p>
    <w:p>
      <w:pPr>
        <w:spacing w:after="0" w:line="187" w:lineRule="exact"/>
        <w:rPr>
          <w:sz w:val="20"/>
          <w:szCs w:val="20"/>
          <w:color w:val="auto"/>
        </w:rPr>
      </w:pPr>
    </w:p>
    <w:p>
      <w:pPr>
        <w:ind w:firstLine="921"/>
        <w:spacing w:after="0" w:line="259" w:lineRule="auto"/>
        <w:tabs>
          <w:tab w:leader="none" w:pos="11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2.04(d) or (e), 2.06(b), 2.17(c) or 11.03(c) then the Administrative Agent may, in its discretion (notwithstanding any contrary provision hereof), and each other Agent, at the direction of the Administrative Agent, shall, apply any amounts thereafter received by it for the account of such Lender to satisfy such Lender’s obligations under such Sections until all such unsatisfied obligations are fully paid.</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Mitigation by Lenders; Replacement of Lenders; Mitigation by Borrowers.</w:t>
      </w:r>
      <w:r>
        <w:rPr>
          <w:rFonts w:ascii="Arial" w:cs="Arial" w:eastAsia="Arial" w:hAnsi="Arial"/>
          <w:sz w:val="16"/>
          <w:szCs w:val="16"/>
          <w:color w:val="auto"/>
        </w:rPr>
        <w:t xml:space="preserve"> (a) Each Lender shall, to the extent practicable, designate each Tranche A Lending Office, Tranche B Lending Office and Tranche C Lending Office, and select any branch or Affiliate through which it makes any Loan or accepts and purchases any BAs as contemplated by Section 2.02(b), with a view to minimizing, and if possible avoiding, any required payment by the Borrowers of additional amounts pursuant to Section 2.14, 2.16 or 2.20; </w:t>
      </w:r>
      <w:r>
        <w:rPr>
          <w:rFonts w:ascii="Arial" w:cs="Arial" w:eastAsia="Arial" w:hAnsi="Arial"/>
          <w:sz w:val="16"/>
          <w:szCs w:val="16"/>
          <w:i w:val="1"/>
          <w:iCs w:val="1"/>
          <w:color w:val="auto"/>
        </w:rPr>
        <w:t>provided</w:t>
      </w:r>
      <w:r>
        <w:rPr>
          <w:rFonts w:ascii="Arial" w:cs="Arial" w:eastAsia="Arial" w:hAnsi="Arial"/>
          <w:sz w:val="16"/>
          <w:szCs w:val="16"/>
          <w:color w:val="auto"/>
        </w:rPr>
        <w:t>, that no Lender shall be required to designate a Tranche A Lending Office, a Tranche B Lending Office or a Tranche C Lending Office or to select a branch or Affiliate for the making of any Loan or the acceptance and purchase of any BAs if, in the judgment of such Lender, such designation or selection would subject such Lender to any unreimbursed cost or expense or entail any other financial, legal or business disadvantage. If any Borrower is required to pay any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2.14, 2.16 or 2.20 as a result of any Change in Law after the Closing Date.</w:t>
      </w:r>
    </w:p>
    <w:p>
      <w:pPr>
        <w:spacing w:after="0" w:line="172" w:lineRule="exact"/>
        <w:rPr>
          <w:sz w:val="20"/>
          <w:szCs w:val="20"/>
          <w:color w:val="auto"/>
        </w:rPr>
      </w:pPr>
    </w:p>
    <w:p>
      <w:pPr>
        <w:ind w:right="60" w:firstLine="921"/>
        <w:spacing w:after="0" w:line="270" w:lineRule="auto"/>
        <w:tabs>
          <w:tab w:leader="none" w:pos="11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Section 2.14 or 2.20, (ii) any Credit Party is required to pay any additional amount to any Lender or any Governmental Authority for the account of any Lender pursuant to Section 2.16, (iii) any Lender has become a Defaulting Lender or (iv) any Lender has failed to consent to a proposed amendment, waiver, discharge or termination that under Section 11.02 requires the consent of all the Lenders (or all the affected Lenders or all the Lenders with Commitments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and obligations under the Credit Documents to an assignee that shall assume such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such Borrower shall have received the prior written consent of the Administrative Agent (and if a Tranche A Commitment is being assigned, each Issuing Bank), which consent, in each case, shall not unreasonably be withheld,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66" w:name="page67"/>
    <w:bookmarkEnd w:id="66"/>
    <w:p>
      <w:pPr>
        <w:ind w:firstLine="8"/>
        <w:spacing w:after="0" w:line="289"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Lender shall have received payment of an amount equal to the outstanding principal of its Loans and BAs and funded participations in LC Disbursements, accrued interest thereon, accrued fees and all other amounts payable to it hereunder, from the assignee (to the extent of such outstanding principal, funded participations and accrued interest and fees) or such Borrower (in the case of all other amounts) and (z) in the case of any such assignment resulting from a claim for compensation under Section 2.14 or 2.20 or payments required to be made pursuant to Section 2.16, such assignment will result in a material reduction in such compensation or payments.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66" w:lineRule="exact"/>
        <w:rPr>
          <w:rFonts w:ascii="Arial" w:cs="Arial" w:eastAsia="Arial" w:hAnsi="Arial"/>
          <w:sz w:val="16"/>
          <w:szCs w:val="16"/>
          <w:color w:val="auto"/>
        </w:rPr>
      </w:pPr>
    </w:p>
    <w:p>
      <w:pPr>
        <w:ind w:right="120" w:firstLine="921"/>
        <w:spacing w:after="0" w:line="257" w:lineRule="auto"/>
        <w:tabs>
          <w:tab w:leader="none" w:pos="11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88"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160" w:hanging="239"/>
        <w:spacing w:after="0"/>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facility fees shall cease to accrue on the unused amount of each Commitment of such Defaulting Lender pursuant to Section 2.11(a);</w:t>
      </w:r>
    </w:p>
    <w:p>
      <w:pPr>
        <w:spacing w:after="0" w:line="236" w:lineRule="exact"/>
        <w:rPr>
          <w:rFonts w:ascii="Arial" w:cs="Arial" w:eastAsia="Arial" w:hAnsi="Arial"/>
          <w:sz w:val="17"/>
          <w:szCs w:val="17"/>
          <w:color w:val="auto"/>
        </w:rPr>
      </w:pPr>
    </w:p>
    <w:p>
      <w:pPr>
        <w:ind w:right="100" w:firstLine="921"/>
        <w:spacing w:after="0" w:line="257" w:lineRule="auto"/>
        <w:tabs>
          <w:tab w:leader="none" w:pos="11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LC Exposure exists at the time such Revolving Lender becomes a Defaulting Lender then:</w:t>
      </w:r>
    </w:p>
    <w:p>
      <w:pPr>
        <w:spacing w:after="0" w:line="225" w:lineRule="exact"/>
        <w:rPr>
          <w:rFonts w:ascii="Arial" w:cs="Arial" w:eastAsia="Arial" w:hAnsi="Arial"/>
          <w:sz w:val="18"/>
          <w:szCs w:val="18"/>
          <w:color w:val="auto"/>
        </w:rPr>
      </w:pPr>
    </w:p>
    <w:p>
      <w:pPr>
        <w:ind w:right="20" w:firstLine="1492"/>
        <w:spacing w:after="0" w:line="257" w:lineRule="auto"/>
        <w:tabs>
          <w:tab w:leader="none" w:pos="16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the sum of all Non-Defaulting Lenders’ Tranche A Revolving Credit Exposures, plus such Defaulting Lender’s LC Exposure does not exceed the sum of all Non-Defaulting Lenders’ Tranche A Commitments;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67" w:name="page68"/>
    <w:bookmarkEnd w:id="67"/>
    <w:p>
      <w:pPr>
        <w:jc w:val="both"/>
        <w:ind w:right="20" w:firstLine="1492"/>
        <w:spacing w:after="0" w:line="259" w:lineRule="auto"/>
        <w:tabs>
          <w:tab w:leader="none" w:pos="1748"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186" w:lineRule="exact"/>
        <w:rPr>
          <w:rFonts w:ascii="Arial" w:cs="Arial" w:eastAsia="Arial" w:hAnsi="Arial"/>
          <w:sz w:val="18"/>
          <w:szCs w:val="18"/>
          <w:color w:val="auto"/>
        </w:rPr>
      </w:pPr>
    </w:p>
    <w:p>
      <w:pPr>
        <w:jc w:val="both"/>
        <w:ind w:right="60" w:firstLine="1492"/>
        <w:spacing w:after="0" w:line="264" w:lineRule="auto"/>
        <w:tabs>
          <w:tab w:leader="none" w:pos="17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181" w:lineRule="exact"/>
        <w:rPr>
          <w:rFonts w:ascii="Arial" w:cs="Arial" w:eastAsia="Arial" w:hAnsi="Arial"/>
          <w:sz w:val="18"/>
          <w:szCs w:val="18"/>
          <w:color w:val="auto"/>
        </w:rPr>
      </w:pPr>
    </w:p>
    <w:p>
      <w:pPr>
        <w:ind w:right="160" w:firstLine="1492"/>
        <w:spacing w:after="0" w:line="277" w:lineRule="auto"/>
        <w:tabs>
          <w:tab w:leader="none" w:pos="17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portion of the LC Exposure of such Defaulting Lender is reallocated pursuant to clause (i) above, then the fees payable to the Lenders pursuant to Section 2.11(b) shall be adjusted to give effect to such reallocation; and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Exposure is neither reallocated nor cash collateralized pursuant to clause (i)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(ii) above, then, without prejudice to any rights or remedies of any Issuing Bank or any other Lender hereunder, all participation fees payable under</w:t>
      </w:r>
    </w:p>
    <w:p>
      <w:pPr>
        <w:spacing w:after="0" w:line="2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w:t>
      </w:r>
    </w:p>
    <w:p>
      <w:pPr>
        <w:spacing w:after="0" w:line="190" w:lineRule="exact"/>
        <w:rPr>
          <w:sz w:val="20"/>
          <w:szCs w:val="20"/>
          <w:color w:val="auto"/>
        </w:rPr>
      </w:pPr>
    </w:p>
    <w:p>
      <w:pPr>
        <w:ind w:right="40" w:firstLine="921"/>
        <w:spacing w:after="0" w:line="257"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 long as such Lender is a Defaulting Lender, no Issuing Bank shall be required to issue, amend, renew or extend any Letter of Credit unless it is satisfied that the related exposure and the Defaulting Lender’s then outstanding LC Exposure will be fully covered by the Commitments of the applicable Non Defaulting Lenders and/or cash collateral provided by the Company in accordance with Section 2.19(c), and participating interests in any such issued, amended, renewed or extended Letter of Credit will be allocated among the applicable Non Defaulting Lenders in a manner consistent with Section 2.19(c)(i) (and such Defaulting Lender shall not participate therein).</w:t>
      </w:r>
    </w:p>
    <w:p>
      <w:pPr>
        <w:spacing w:after="0" w:line="18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event that (x) a Bankruptcy Event with respect to a Lender Parent shall have occurred following the date hereof and for so long as such Bankruptcy Event shall continue or (y) any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Company or the applicable Lender satisfactory to the such Issuing Bank, as the case may be, to defease any risk to it in respect of such Lender hereunder.</w:t>
      </w:r>
    </w:p>
    <w:p>
      <w:pPr>
        <w:spacing w:after="0" w:line="188"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In the event that the Administrative Agent, the Company, each Issuing Bank each agree that a Defaulting Lender has adequately remedied all matters that caused such Lender to be a Defaulting Lender, then the LC Exposure of the applicable Lenders shall be readjusted to reflect the inclusion of such Lender’s Commitments and on such date such Lender shall purchase at par such of the Revolving Loans of the other Lenders as the Administrative Agent shall determine may be necessary in order for such Lender to hold such Loans in accordance with its applicable Tranche A Percentage.</w:t>
      </w:r>
    </w:p>
    <w:p>
      <w:pPr>
        <w:spacing w:after="0" w:line="154"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Foreign Subsidiary Costs.</w:t>
      </w:r>
      <w:r>
        <w:rPr>
          <w:rFonts w:ascii="Arial" w:cs="Arial" w:eastAsia="Arial" w:hAnsi="Arial"/>
          <w:sz w:val="16"/>
          <w:szCs w:val="16"/>
          <w:color w:val="auto"/>
        </w:rPr>
        <w:t xml:space="preserve"> (a) If the cost to any Lender of making or maintaining any Loan to, or accepting and purchasing any BA of, or participating in any Letter of Credit issued for the account of or made to, any Borrower is increased (or the amount of any sum</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8" w:name="page69"/>
    <w:bookmarkEnd w:id="68"/>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73" w:lineRule="exact"/>
        <w:rPr>
          <w:sz w:val="20"/>
          <w:szCs w:val="20"/>
          <w:color w:val="auto"/>
        </w:rPr>
      </w:pPr>
    </w:p>
    <w:p>
      <w:pPr>
        <w:ind w:right="140" w:firstLine="921"/>
        <w:spacing w:after="0" w:line="255"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189"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186" w:lineRule="exact"/>
        <w:rPr>
          <w:rFonts w:ascii="Arial" w:cs="Arial" w:eastAsia="Arial" w:hAnsi="Arial"/>
          <w:sz w:val="18"/>
          <w:szCs w:val="18"/>
          <w:color w:val="auto"/>
        </w:rPr>
      </w:pPr>
    </w:p>
    <w:p>
      <w:pPr>
        <w:ind w:right="60" w:firstLine="921"/>
        <w:spacing w:after="0" w:line="286"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16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Designation of Borrowing Subsidiaries.</w:t>
      </w:r>
      <w:r>
        <w:rPr>
          <w:rFonts w:ascii="Arial" w:cs="Arial" w:eastAsia="Arial" w:hAnsi="Arial"/>
          <w:sz w:val="17"/>
          <w:szCs w:val="17"/>
          <w:color w:val="auto"/>
        </w:rPr>
        <w:t xml:space="preserve"> (a) The Company may at any time and from time to time designate (a) any Tranche A Subsidiary as a Tranche A Borrowing Subsidiary, (b) any Tranche B Subsidiary as a Tranche B Borrowing Subsidiary or (c) any Tranche C Subsidiary as a Tranche C Borrowing Subsidiary, in each case by delivery to the Administrative Agent of a Borrower Joinder Agreement executed by such Subsidiary and by the Company, and upon such delivery such Subsidiary shall for all purposes of this Agreement be a Tranche A Borrowing Subsidiary, a Tranche B Borrowing Subsidiary or a Tranche C Borrowing Subsidiary, as the case may be, and a party to this Agreement. Any Borrowing Subsidiary shall continue to be a Tranche A Borrowing Subsidiary, a Tranche B Borrowing Subsidiary or a Tranche C Borrowing Subsidiary, as the case may be, until the Company shall have executed and delivered to the Administrative Agent a Borrower Termination Agreement with respect to such Subsidiary, whereupon such Subsidiary shall cease to be a Borrowing Subsidiary hereunder. Notwithstanding the preceding sentence, (a) no Borrower Joinder Agreement shall become effective as to any Subsidiary if it shall be unlawful for such Subsidiary to become a Borrower hereunder or for any Lender participating in a Tranche under which such Subsidiary may borrow to make Loans or otherwise extend credit to such Subsidiary as provided herein and (b) no Borrower Termination Agreement will become effective as to any Borrowing Subsidiary until all Loans made to and BAs drawn by such Borrowing Subsidiary shall have been repaid, all Letters of Credit issued for the account of such Borrowing Subsidiary have been drawn in full or have expired and all amounts payable by such Borrowing Subsidiary in respect of LC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9" w:name="page70"/>
    <w:bookmarkEnd w:id="69"/>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Disbursements, interest and/or fees (and, to the extent notified by the Administrative Agent or any Lender, any other amounts payable under the Credit Agreement by such Borrowing Subsidiary) shall have been paid in full;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Termination Agreement shall be effective to terminate the right of such Borrowing Subsidiary to request or receive further extensions of credit under this Agreement. As soon as practicable upon receipt of a Borrower Joinder Agreement, the Administrative Agent shall send a copy thereof to each Tranche A Lender, Tranche B Lender or Tranche C Lender, as the case may be.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Obligations of the Borrowing Subsidiaries hereunder shall be several and not joint.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represents and warrants, and each other Borrower represents and warrants as to itself and its subsidiaries, to the Lenders that:</w:t>
      </w:r>
    </w:p>
    <w:p>
      <w:pPr>
        <w:spacing w:after="0" w:line="24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Credit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xml:space="preserve"> The Transactions to be entered into by each Credit Party are within such Credit Party’s corporate, partnership or other applicable powers and have been duly authorized by all necessary corporate, partnership or other applicable action and, if required, by stockholder or other equityholder action. This Agreement has been duly executed and delivered by each Credit Party and constitutes, and each other Credit Document to which any Credit Party is to be a party, when executed and delivered by such Credit Party, will constitute, a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(a) The Transactions (i) do not require any consent or approval of, registration or filing with, or any other action by, any Governmental Authority, (ii) will not violate any applicable law or regulation or the charter, by-laws or other organizational documents of any Credit Party or any order of any Governmental Authority, (iii) will not violate or result in a default under any indenture, material agreement or other material instrument binding upon any Credit Party or its assets, or give rise to a right thereunder to require any payment to be made by any Credit Party, (iv) will not result in the creation or imposition of any Lien on any asset of any Credit Party (other than Liens created hereunder) and (v) have received all requisite approvals from the Guernsey Financial Services Commission for borrowings by the Company or any Guernsey Borrowing Subsidiary.</w:t>
      </w:r>
    </w:p>
    <w:p>
      <w:pPr>
        <w:spacing w:after="0" w:line="165" w:lineRule="exact"/>
        <w:rPr>
          <w:sz w:val="20"/>
          <w:szCs w:val="20"/>
          <w:color w:val="auto"/>
        </w:rPr>
      </w:pPr>
    </w:p>
    <w:p>
      <w:pPr>
        <w:ind w:right="80" w:firstLine="921"/>
        <w:spacing w:after="0" w:line="264"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engaged principally, or as one of its important activities, in the business of extending credit for the purpose of purchasing or carrying margin stock (as defined in Regulation U of the Board). No part of the proceeds of any Loan or BA Drawing will be used, whether directly or indirectly, for any purpose that would entail a violation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70" w:name="page71"/>
    <w:bookmarkEnd w:id="70"/>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Regulation U. Not more than 25% of the value of the assets subject to the restrictions on the sale, pledge or other disposition of assets contained in Section 6.02 or Section 6.04 of this Agreement, or in any other agreement to which any Lender or Affiliate of a Lender is party will at any time be represented by margin stock.</w:t>
      </w:r>
    </w:p>
    <w:p>
      <w:pPr>
        <w:spacing w:after="0" w:line="181" w:lineRule="exact"/>
        <w:rPr>
          <w:sz w:val="20"/>
          <w:szCs w:val="20"/>
          <w:color w:val="auto"/>
        </w:rPr>
      </w:pPr>
    </w:p>
    <w:p>
      <w:pPr>
        <w:jc w:val="both"/>
        <w:ind w:right="140" w:firstLine="913"/>
        <w:spacing w:after="0" w:line="30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(a) The Company has heretofore furnished to the Lenders its consolidated balance sheet and statements of income, shareholders equity and cash flows as of and for the fiscal year ended September 30, 2014, audited and reported on by Ernst &amp; Young LLP, independent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54" w:lineRule="exact"/>
        <w:rPr>
          <w:sz w:val="20"/>
          <w:szCs w:val="20"/>
          <w:color w:val="auto"/>
        </w:rPr>
      </w:pPr>
    </w:p>
    <w:p>
      <w:pPr>
        <w:jc w:val="both"/>
        <w:ind w:right="480" w:firstLine="921"/>
        <w:spacing w:after="0" w:line="342"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Since September 30, 2014, there has been no event or condition that has resulted or could reasonably be expected to result in a material adverse change in the business, assets, liabilities, operations or condition (financial or otherwise) of the Company and its subsidiaries, taken as a whole.</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 Each of the Company and the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1" w:lineRule="exact"/>
        <w:rPr>
          <w:sz w:val="20"/>
          <w:szCs w:val="20"/>
          <w:color w:val="auto"/>
        </w:rPr>
      </w:pPr>
    </w:p>
    <w:p>
      <w:pPr>
        <w:ind w:right="220" w:firstLine="921"/>
        <w:spacing w:after="0" w:line="312" w:lineRule="auto"/>
        <w:tabs>
          <w:tab w:leader="none" w:pos="116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4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xml:space="preserve">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could reasonably be expected, individually or in the aggregate, to result in a Material Adverse Effect or (ii) that involve any of the Credit Documents or the Transactions.</w:t>
      </w:r>
    </w:p>
    <w:p>
      <w:pPr>
        <w:spacing w:after="0" w:line="171" w:lineRule="exact"/>
        <w:rPr>
          <w:sz w:val="20"/>
          <w:szCs w:val="20"/>
          <w:color w:val="auto"/>
        </w:rPr>
      </w:pPr>
    </w:p>
    <w:p>
      <w:pPr>
        <w:ind w:right="200" w:firstLine="921"/>
        <w:spacing w:after="0" w:line="279" w:lineRule="auto"/>
        <w:tabs>
          <w:tab w:leader="none" w:pos="116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xml:space="preserve">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1" w:name="page72"/>
    <w:bookmarkEnd w:id="71"/>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xml:space="preserve"> Neither the Company nor any of the Subsidiaries is an “investment company” as defined in, or subject to regulation under, the Investment Company Act of 1940.</w:t>
      </w:r>
    </w:p>
    <w:p>
      <w:pPr>
        <w:spacing w:after="0" w:line="170" w:lineRule="exact"/>
        <w:rPr>
          <w:sz w:val="20"/>
          <w:szCs w:val="20"/>
          <w:color w:val="auto"/>
        </w:rPr>
      </w:pPr>
    </w:p>
    <w:p>
      <w:pPr>
        <w:jc w:val="both"/>
        <w:ind w:right="280" w:firstLine="913"/>
        <w:spacing w:after="0" w:line="288"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reserves if and as required by GAAP or</w:t>
      </w:r>
    </w:p>
    <w:p>
      <w:pPr>
        <w:ind w:right="140" w:firstLine="8"/>
        <w:spacing w:after="0" w:line="255"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extent that the failure to do so could not reasonably be expected to result in a Material Adverse Effect. 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9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1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the Information Memorandum nor any of the other reports, financial statements, certificates or other information furnished by or on behalf of any Credit Party to the Administrative Agent or any Lender in connection with the negotiation of this Agreement or delivered hereunder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Company represents only that such information was prepared in good faith based upon assumptions believed to be reasonable at the time.</w:t>
      </w:r>
    </w:p>
    <w:p>
      <w:pPr>
        <w:spacing w:after="0" w:line="193"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Subsidiaries. Schedule 3.12</w:t>
      </w:r>
      <w:r>
        <w:rPr>
          <w:rFonts w:ascii="Arial" w:cs="Arial" w:eastAsia="Arial" w:hAnsi="Arial"/>
          <w:sz w:val="17"/>
          <w:szCs w:val="17"/>
          <w:color w:val="auto"/>
        </w:rPr>
        <w:t xml:space="preserve"> correctly sets forth the name of, the jurisdiction of organization of, and the ownership interest of the Company in, each of the Subsidiaries listed therein, in each case as of the Effective Date. The Subsidiaries listed in </w:t>
      </w:r>
      <w:r>
        <w:rPr>
          <w:rFonts w:ascii="Arial" w:cs="Arial" w:eastAsia="Arial" w:hAnsi="Arial"/>
          <w:sz w:val="17"/>
          <w:szCs w:val="17"/>
          <w:u w:val="single" w:color="auto"/>
          <w:color w:val="auto"/>
        </w:rPr>
        <w:t>Schedule 3.12</w:t>
      </w:r>
      <w:r>
        <w:rPr>
          <w:rFonts w:ascii="Arial" w:cs="Arial" w:eastAsia="Arial" w:hAnsi="Arial"/>
          <w:sz w:val="17"/>
          <w:szCs w:val="17"/>
          <w:color w:val="auto"/>
        </w:rPr>
        <w:t>, together with their own subsidiaries, account as of the Effective Date for at least 90% of the Consolidated Assets of the Company and the Subsidiaries.</w:t>
      </w:r>
    </w:p>
    <w:p>
      <w:pPr>
        <w:spacing w:after="0" w:line="166"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xml:space="preserve">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 such, or, to the knowledge of the Company, employees, or (b) to the knowledge of the Company, 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will result in a violation by any party hereto of Anti-Corruption Laws or applicable Sanctions.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obligations of the Lenders to make Loans and accept and purchase BAs and of the Issuing Banks to issue Letters of Credit hereunder shall not become effective until the date on which each of the following conditions is satisfied (or waived in accordance with Section 11.02):</w:t>
      </w:r>
    </w:p>
    <w:p>
      <w:pPr>
        <w:spacing w:after="0" w:line="73" w:lineRule="exact"/>
        <w:rPr>
          <w:sz w:val="20"/>
          <w:szCs w:val="20"/>
          <w:color w:val="auto"/>
        </w:rPr>
      </w:pPr>
    </w:p>
    <w:p>
      <w:pPr>
        <w:ind w:left="1500" w:right="100" w:firstLine="389"/>
        <w:spacing w:after="0" w:line="302" w:lineRule="auto"/>
        <w:tabs>
          <w:tab w:leader="none" w:pos="214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party hereto either (i) a counterpart of this Agreement signed on behalf of such party or (ii) written evidence reasonably satisfactory to the Administrative Agent (which may include fax or other electronic transmission of a signed signature page of this Agreement) that such party has signed a counterpart of this Agreement. The parties hereto shall include Lenders constituting the Required Lenders under the Existing Credit Agreement.</w:t>
      </w:r>
    </w:p>
    <w:p>
      <w:pPr>
        <w:spacing w:after="0" w:line="46" w:lineRule="exact"/>
        <w:rPr>
          <w:rFonts w:ascii="Arial" w:cs="Arial" w:eastAsia="Arial" w:hAnsi="Arial"/>
          <w:sz w:val="16"/>
          <w:szCs w:val="16"/>
          <w:color w:val="auto"/>
        </w:rPr>
      </w:pPr>
    </w:p>
    <w:p>
      <w:pPr>
        <w:ind w:left="1500" w:right="260" w:firstLine="389"/>
        <w:spacing w:after="0" w:line="257" w:lineRule="auto"/>
        <w:tabs>
          <w:tab w:leader="none" w:pos="2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and the Lenders and dated the Effective Date) of (i) Wilmer Cutler Pickering Hale and Dorr LLP, counsel for the Borrowers, and (ii) Mourant Ozannes, Guernsey counsel, in each case covering such matters relating to the Borrowers, the Credit Documents and the Transactions as the Administrative Agent or the Required Lenders shall reasonably request. The Company hereby requests such counsel to deliver such opinions.</w:t>
      </w:r>
    </w:p>
    <w:p>
      <w:pPr>
        <w:spacing w:after="0" w:line="80" w:lineRule="exact"/>
        <w:rPr>
          <w:rFonts w:ascii="Arial" w:cs="Arial" w:eastAsia="Arial" w:hAnsi="Arial"/>
          <w:sz w:val="18"/>
          <w:szCs w:val="18"/>
          <w:color w:val="auto"/>
        </w:rPr>
      </w:pPr>
    </w:p>
    <w:p>
      <w:pPr>
        <w:jc w:val="both"/>
        <w:ind w:left="1500" w:right="60" w:firstLine="389"/>
        <w:spacing w:after="0" w:line="259" w:lineRule="auto"/>
        <w:tabs>
          <w:tab w:leader="none" w:pos="21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legal matters relating to the Borrowers, the Credit Documents or the Transactions, all in form and substance satisfactory to the Administrative Agent and its counsel.</w:t>
      </w:r>
    </w:p>
    <w:p>
      <w:pPr>
        <w:spacing w:after="0" w:line="78" w:lineRule="exact"/>
        <w:rPr>
          <w:rFonts w:ascii="Arial" w:cs="Arial" w:eastAsia="Arial" w:hAnsi="Arial"/>
          <w:sz w:val="18"/>
          <w:szCs w:val="18"/>
          <w:color w:val="auto"/>
        </w:rPr>
      </w:pPr>
    </w:p>
    <w:p>
      <w:pPr>
        <w:ind w:left="1500" w:right="160" w:firstLine="389"/>
        <w:spacing w:after="0" w:line="259" w:lineRule="auto"/>
        <w:tabs>
          <w:tab w:leader="none" w:pos="2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and no Default shall have occurred and be continuing.</w:t>
      </w:r>
    </w:p>
    <w:p>
      <w:pPr>
        <w:spacing w:after="0" w:line="78" w:lineRule="exact"/>
        <w:rPr>
          <w:rFonts w:ascii="Arial" w:cs="Arial" w:eastAsia="Arial" w:hAnsi="Arial"/>
          <w:sz w:val="18"/>
          <w:szCs w:val="18"/>
          <w:color w:val="auto"/>
        </w:rPr>
      </w:pPr>
    </w:p>
    <w:p>
      <w:pPr>
        <w:ind w:left="1500" w:right="40" w:firstLine="389"/>
        <w:spacing w:after="0" w:line="264" w:lineRule="auto"/>
        <w:tabs>
          <w:tab w:leader="none" w:pos="21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Effective Date, including, to the extent invoiced, reimbursement or payment of all out-of-pocket expenses (including fees, charges and disbursements of counsel) required to be reimbursed or paid by any Borrower hereunder.</w:t>
      </w:r>
    </w:p>
    <w:p>
      <w:pPr>
        <w:spacing w:after="0" w:line="73" w:lineRule="exact"/>
        <w:rPr>
          <w:rFonts w:ascii="Arial" w:cs="Arial" w:eastAsia="Arial" w:hAnsi="Arial"/>
          <w:sz w:val="18"/>
          <w:szCs w:val="18"/>
          <w:color w:val="auto"/>
        </w:rPr>
      </w:pPr>
    </w:p>
    <w:p>
      <w:pPr>
        <w:ind w:left="1500" w:right="160" w:firstLine="389"/>
        <w:spacing w:after="0" w:line="259" w:lineRule="auto"/>
        <w:tabs>
          <w:tab w:leader="none" w:pos="21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Agents and Lenders shall have received all documentation and other information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not fewer than five Business Days prior to the Closing Date.</w:t>
      </w:r>
    </w:p>
    <w:p>
      <w:pPr>
        <w:spacing w:after="0" w:line="78" w:lineRule="exact"/>
        <w:rPr>
          <w:rFonts w:ascii="Arial" w:cs="Arial" w:eastAsia="Arial" w:hAnsi="Arial"/>
          <w:sz w:val="18"/>
          <w:szCs w:val="18"/>
          <w:color w:val="auto"/>
        </w:rPr>
      </w:pPr>
    </w:p>
    <w:p>
      <w:pPr>
        <w:ind w:left="1500" w:firstLine="389"/>
        <w:spacing w:after="0" w:line="264" w:lineRule="auto"/>
        <w:tabs>
          <w:tab w:leader="none" w:pos="2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Loans or BA Drawings shall be outstanding under the Existing Credit Agreement, and interest, fees and other amounts accrued for the accounts of the Lenders or Issuing Banks under the Existing Credit Agreement, whether or not at the time due, shall have been or shall concurrently be paid in full.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73" w:name="page74"/>
    <w:bookmarkEnd w:id="73"/>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notify the Company and the Lenders of the Effective Date, and such notice shall be conclusive and binding. Notwithstanding the foregoing, the obligations of the Lenders to make Loans and accept and purchase BAs and of the Issuing Banks to issue Letters of Credit hereunder shall not become effective unless each of the foregoing conditions is satisfied (or waived pursuant to Section 11.02) at or prior to 5:00 p.m., New York City time, on December 31, 2014 (and in the event such conditions are not so satisfied or waived, the Commitments shall terminate at such time).</w:t>
      </w:r>
    </w:p>
    <w:p>
      <w:pPr>
        <w:spacing w:after="0" w:line="154"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xml:space="preserve"> The obligation of each Lender to make a Loan on the occasion of any Borrowing or to accept and purchase BAs on the occasion of any BA Drawing, and of each Issuing Bank to issue, amend, renew or extend any Letter of Credit, is subject to receipt of the request therefor in accordance herewith and to the satisfaction of the following conditions:</w:t>
      </w:r>
    </w:p>
    <w:p>
      <w:pPr>
        <w:spacing w:after="0" w:line="73" w:lineRule="exact"/>
        <w:rPr>
          <w:sz w:val="20"/>
          <w:szCs w:val="20"/>
          <w:color w:val="auto"/>
        </w:rPr>
      </w:pPr>
    </w:p>
    <w:p>
      <w:pPr>
        <w:ind w:left="1500" w:right="60" w:firstLine="389"/>
        <w:spacing w:after="0" w:line="259" w:lineRule="auto"/>
        <w:tabs>
          <w:tab w:leader="none" w:pos="21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(other than, with respect to any Borrowing occurring after the Effective Date, the representations set forth in Section 3.04(b)) shall be true and correct in all material respects on and as of the date of such Borrowing or BA Drawing or the date of issuance, amendment, renewal or extension of such Letter of Credit, as applicable.</w:t>
      </w:r>
    </w:p>
    <w:p>
      <w:pPr>
        <w:spacing w:after="0" w:line="78" w:lineRule="exact"/>
        <w:rPr>
          <w:rFonts w:ascii="Arial" w:cs="Arial" w:eastAsia="Arial" w:hAnsi="Arial"/>
          <w:sz w:val="18"/>
          <w:szCs w:val="18"/>
          <w:color w:val="auto"/>
        </w:rPr>
      </w:pPr>
    </w:p>
    <w:p>
      <w:pPr>
        <w:ind w:left="1500" w:right="240" w:firstLine="389"/>
        <w:spacing w:after="0" w:line="277" w:lineRule="auto"/>
        <w:tabs>
          <w:tab w:leader="none" w:pos="2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BA Drawing or the issuance, amendment, renewal or extension of such Letter of Credit, as applicable, no Default shall have occurred and be continuing.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Borrowing or BA Drawing and each issuance, amendment, renewal or extension of a Letter of Credit shall be deemed to constitute a representation and warranty by the Company on the date thereof as to the matters specified in paragraphs (a) and (b) of this Section.</w:t>
      </w:r>
    </w:p>
    <w:p>
      <w:pPr>
        <w:spacing w:after="0" w:line="17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Initial Credit Event for each Additional Borrowing Subsidiary.</w:t>
      </w:r>
      <w:r>
        <w:rPr>
          <w:rFonts w:ascii="Arial" w:cs="Arial" w:eastAsia="Arial" w:hAnsi="Arial"/>
          <w:sz w:val="17"/>
          <w:szCs w:val="17"/>
          <w:color w:val="auto"/>
        </w:rPr>
        <w:t xml:space="preserve"> The obligations of the Lenders to make Loans to and accept and purchase BAs issued by, and the obligations of the Issuing Banks to issue Letters of Credit for the account of, any Borrowing Subsidiary that becomes a Borrowing Subsidiary after the Closing Date in accordance with Section 2.21 are subject to the satisfaction of the following conditions:</w:t>
      </w:r>
    </w:p>
    <w:p>
      <w:pPr>
        <w:spacing w:after="0" w:line="57" w:lineRule="exact"/>
        <w:rPr>
          <w:sz w:val="20"/>
          <w:szCs w:val="20"/>
          <w:color w:val="auto"/>
        </w:rPr>
      </w:pPr>
    </w:p>
    <w:p>
      <w:pPr>
        <w:ind w:left="1500" w:right="200" w:firstLine="389"/>
        <w:spacing w:after="0" w:line="277" w:lineRule="auto"/>
        <w:tabs>
          <w:tab w:leader="none" w:pos="21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such Borrowing Subsidiary’s Borrower Joinder Agreement duly executed by the parties thereto.</w:t>
      </w:r>
    </w:p>
    <w:p>
      <w:pPr>
        <w:spacing w:after="0" w:line="62" w:lineRule="exact"/>
        <w:rPr>
          <w:rFonts w:ascii="Arial" w:cs="Arial" w:eastAsia="Arial" w:hAnsi="Arial"/>
          <w:sz w:val="18"/>
          <w:szCs w:val="18"/>
          <w:color w:val="auto"/>
        </w:rPr>
      </w:pPr>
    </w:p>
    <w:p>
      <w:pPr>
        <w:jc w:val="both"/>
        <w:ind w:left="1500" w:firstLine="389"/>
        <w:spacing w:after="0" w:line="302" w:lineRule="auto"/>
        <w:tabs>
          <w:tab w:leader="none" w:pos="2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documents (including such legal opinions) as the Administrative Agent or its counsel may reasonably request relating to the formation, existence and good standing of such Borrower, the authorization and legality of the Transactions insofar as they relate to such Borrower and any other legal matters relating to such Borrower, its Borrower Joinder Agreement or the Transactions, all in form and substance reasonably satisfactory to the Administrative Agent and its counsel.</w:t>
      </w:r>
    </w:p>
    <w:p>
      <w:pPr>
        <w:spacing w:after="0" w:line="46" w:lineRule="exact"/>
        <w:rPr>
          <w:rFonts w:ascii="Arial" w:cs="Arial" w:eastAsia="Arial" w:hAnsi="Arial"/>
          <w:sz w:val="16"/>
          <w:szCs w:val="16"/>
          <w:color w:val="auto"/>
        </w:rPr>
      </w:pPr>
    </w:p>
    <w:p>
      <w:pPr>
        <w:ind w:left="1500" w:right="80" w:firstLine="389"/>
        <w:spacing w:after="0" w:line="257" w:lineRule="auto"/>
        <w:tabs>
          <w:tab w:leader="none" w:pos="21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Agents and Lenders shall have received, at least five Business Days prior to the making of such Loans, acceptance and purchase of such BAs or issuance of such Letters of Credit, all documentation and other information relating to such Borrower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74" w:name="page75"/>
    <w:bookmarkEnd w:id="74"/>
    <w:p>
      <w:pPr>
        <w:ind w:left="1500" w:firstLine="389"/>
        <w:spacing w:after="0" w:line="270" w:lineRule="auto"/>
        <w:tabs>
          <w:tab w:leader="none" w:pos="2152"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that so requests for purposes of ensuring compliance with applicable “know your customer” rules and regulations shall have received one of the following: (i) the audited consolidated balance sheet and related statements of income, changes in shareholders’ equity and cash flows as of the end of and for the prior year of such Borrower, or (ii) if financial statements referred to in subclause (i) are not required to be prepared under the laws of the Borrower’s jurisdiction of organization, a written confirmation (the form of which shall be in the Company’s discretion) by an attorney or accountant confirming the form of financial statements the Borrower is required to prepare under the laws of the Borrower’s jurisdiction of organization together with the financial statements in such form for the prior year of such Borrower, or (iii) if no financial statements are required to be prepared by the Borrower, under the laws of the Borrower’s jurisdiction of organization, a written confirmation (the form of which shall be in the Company’s discretion) by an attorney or accountant that no financial statements at all are required to be prepared.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xml:space="preserve"> The Company will furnish to the Administrative Agent and each Lender:</w:t>
      </w:r>
    </w:p>
    <w:p>
      <w:pPr>
        <w:spacing w:after="0" w:line="237" w:lineRule="exact"/>
        <w:rPr>
          <w:sz w:val="20"/>
          <w:szCs w:val="20"/>
          <w:color w:val="auto"/>
        </w:rPr>
      </w:pPr>
    </w:p>
    <w:p>
      <w:pPr>
        <w:ind w:firstLine="921"/>
        <w:spacing w:after="0" w:line="255"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shareholders’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89" w:lineRule="exact"/>
        <w:rPr>
          <w:rFonts w:ascii="Arial" w:cs="Arial" w:eastAsia="Arial" w:hAnsi="Arial"/>
          <w:sz w:val="18"/>
          <w:szCs w:val="18"/>
          <w:color w:val="auto"/>
        </w:rPr>
      </w:pPr>
    </w:p>
    <w:p>
      <w:pPr>
        <w:ind w:right="20" w:firstLine="921"/>
        <w:spacing w:after="0" w:line="293" w:lineRule="auto"/>
        <w:tabs>
          <w:tab w:leader="none" w:pos="1168"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5" w:name="page76"/>
    <w:bookmarkEnd w:id="75"/>
    <w:p>
      <w:pPr>
        <w:ind w:left="1160" w:hanging="239"/>
        <w:spacing w:after="0"/>
        <w:tabs>
          <w:tab w:leader="none" w:pos="1160" w:val="left"/>
        </w:tabs>
        <w:numPr>
          <w:ilvl w:val="1"/>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concurrently with any delivery of financial statements under clause (a) or (b) above, a certificate of a Financial Officer of the Company</w:t>
      </w:r>
    </w:p>
    <w:p>
      <w:pPr>
        <w:spacing w:after="0" w:line="34" w:lineRule="exact"/>
        <w:rPr>
          <w:rFonts w:ascii="Arial" w:cs="Arial" w:eastAsia="Arial" w:hAnsi="Arial"/>
          <w:sz w:val="17"/>
          <w:szCs w:val="17"/>
          <w:color w:val="auto"/>
        </w:rPr>
      </w:pPr>
    </w:p>
    <w:p>
      <w:pPr>
        <w:ind w:right="200" w:firstLine="8"/>
        <w:spacing w:after="0" w:line="271" w:lineRule="auto"/>
        <w:tabs>
          <w:tab w:leader="none" w:pos="2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178" w:lineRule="exact"/>
        <w:rPr>
          <w:rFonts w:ascii="Arial" w:cs="Arial" w:eastAsia="Arial" w:hAnsi="Arial"/>
          <w:sz w:val="17"/>
          <w:szCs w:val="17"/>
          <w:color w:val="auto"/>
        </w:rPr>
      </w:pPr>
    </w:p>
    <w:p>
      <w:pPr>
        <w:ind w:right="20" w:firstLine="921"/>
        <w:spacing w:after="0" w:line="264" w:lineRule="auto"/>
        <w:tabs>
          <w:tab w:leader="none" w:pos="11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181" w:lineRule="exact"/>
        <w:rPr>
          <w:rFonts w:ascii="Arial" w:cs="Arial" w:eastAsia="Arial" w:hAnsi="Arial"/>
          <w:sz w:val="18"/>
          <w:szCs w:val="18"/>
          <w:color w:val="auto"/>
        </w:rPr>
      </w:pPr>
    </w:p>
    <w:p>
      <w:pPr>
        <w:ind w:right="160" w:firstLine="921"/>
        <w:spacing w:after="0" w:line="277" w:lineRule="auto"/>
        <w:tabs>
          <w:tab w:leader="none" w:pos="11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after either Moody’s or S&amp;P shall have announced a change in the Rating established or deemed to have been established by it for the Index Debt, written notice of such Rating change;</w:t>
      </w:r>
    </w:p>
    <w:p>
      <w:pPr>
        <w:spacing w:after="0" w:line="170" w:lineRule="exact"/>
        <w:rPr>
          <w:rFonts w:ascii="Arial" w:cs="Arial" w:eastAsia="Arial" w:hAnsi="Arial"/>
          <w:sz w:val="18"/>
          <w:szCs w:val="18"/>
          <w:color w:val="auto"/>
        </w:rPr>
      </w:pPr>
    </w:p>
    <w:p>
      <w:pPr>
        <w:ind w:right="140" w:firstLine="921"/>
        <w:spacing w:after="0" w:line="264" w:lineRule="auto"/>
        <w:tabs>
          <w:tab w:leader="none" w:pos="11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w:t>
      </w:r>
    </w:p>
    <w:p>
      <w:pPr>
        <w:spacing w:after="0" w:line="181" w:lineRule="exact"/>
        <w:rPr>
          <w:rFonts w:ascii="Arial" w:cs="Arial" w:eastAsia="Arial" w:hAnsi="Arial"/>
          <w:sz w:val="18"/>
          <w:szCs w:val="18"/>
          <w:color w:val="auto"/>
        </w:rPr>
      </w:pPr>
    </w:p>
    <w:p>
      <w:pPr>
        <w:ind w:right="460" w:firstLine="921"/>
        <w:spacing w:after="0" w:line="264" w:lineRule="auto"/>
        <w:tabs>
          <w:tab w:leader="none" w:pos="11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for itself or on behalf of any Lender, may reasonably request.</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an Intralinks or similar site to which the Lenders have been granted access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xml:space="preserve"> The Company will furnish to the Administrative Agent and each Lender prompt written notice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03" w:lineRule="exact"/>
        <w:rPr>
          <w:sz w:val="20"/>
          <w:szCs w:val="20"/>
          <w:color w:val="auto"/>
        </w:rPr>
      </w:pPr>
    </w:p>
    <w:p>
      <w:pPr>
        <w:ind w:left="2140" w:hanging="251"/>
        <w:spacing w:after="0"/>
        <w:tabs>
          <w:tab w:leader="none" w:pos="2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1500" w:right="140" w:firstLine="389"/>
        <w:spacing w:after="0" w:line="308" w:lineRule="auto"/>
        <w:tabs>
          <w:tab w:leader="none" w:pos="21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38" w:lineRule="exact"/>
        <w:rPr>
          <w:rFonts w:ascii="Arial" w:cs="Arial" w:eastAsia="Arial" w:hAnsi="Arial"/>
          <w:sz w:val="17"/>
          <w:szCs w:val="17"/>
          <w:color w:val="auto"/>
        </w:rPr>
      </w:pPr>
    </w:p>
    <w:p>
      <w:pPr>
        <w:ind w:left="1500" w:right="180" w:firstLine="389"/>
        <w:spacing w:after="0" w:line="342" w:lineRule="auto"/>
        <w:tabs>
          <w:tab w:leader="none" w:pos="214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76" w:name="page77"/>
    <w:bookmarkEnd w:id="76"/>
    <w:p>
      <w:pPr>
        <w:ind w:left="2140" w:hanging="251"/>
        <w:spacing w:after="0"/>
        <w:tabs>
          <w:tab w:leader="none" w:pos="2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change in the date of its fiscal year end; and</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development that has resulted in or could reasonably be expected to result in a Material Adverse Effect.</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4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6.04.</w:t>
      </w:r>
    </w:p>
    <w:p>
      <w:pPr>
        <w:spacing w:after="0" w:line="15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88"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 and (c) maintain in effect and enforce policies and procedures designed to ensure compliance by the Company, its Subsidiaries and their respective directors, officers, employees and agents with Anti-Corruption Laws and applicable Sanctions.</w:t>
      </w:r>
    </w:p>
    <w:p>
      <w:pPr>
        <w:spacing w:after="0" w:line="18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9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will, and will cause each of the Subsidiaries to, comply with all laws, rules, regulations and orders of Governmental Authorities applicable to it or its property, except where the failure to do so, individually or in the aggregate, could not reasonably be expected to result in a Material Adverse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7" w:name="page78"/>
    <w:bookmarkEnd w:id="77"/>
    <w:p>
      <w:pPr>
        <w:ind w:right="22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5.08.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(a) The proceeds of the Loans will be used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investments and share repurchases.</w:t>
      </w:r>
    </w:p>
    <w:p>
      <w:pPr>
        <w:spacing w:after="0" w:line="147" w:lineRule="exact"/>
        <w:rPr>
          <w:sz w:val="20"/>
          <w:szCs w:val="20"/>
          <w:color w:val="auto"/>
        </w:rPr>
      </w:pPr>
    </w:p>
    <w:p>
      <w:pPr>
        <w:ind w:right="60" w:firstLine="921"/>
        <w:spacing w:after="0" w:line="272" w:lineRule="auto"/>
        <w:tabs>
          <w:tab w:leader="none" w:pos="116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BA Drawing or any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as permitted by licenses granted by applicable Governmental Authorities; </w:t>
      </w:r>
      <w:r>
        <w:rPr>
          <w:rFonts w:ascii="Arial" w:cs="Arial" w:eastAsia="Arial" w:hAnsi="Arial"/>
          <w:sz w:val="17"/>
          <w:szCs w:val="17"/>
          <w:u w:val="single" w:color="auto"/>
          <w:color w:val="auto"/>
        </w:rPr>
        <w:t>provided that</w:t>
      </w:r>
      <w:r>
        <w:rPr>
          <w:rFonts w:ascii="Arial" w:cs="Arial" w:eastAsia="Arial" w:hAnsi="Arial"/>
          <w:sz w:val="17"/>
          <w:szCs w:val="17"/>
          <w:color w:val="auto"/>
        </w:rPr>
        <w:t>, each Lender consents to the use of such license) or (iii) in any manner that would result in the violation of any Sanctions by any party hereto.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Subsidiary Indebtedness.</w:t>
      </w:r>
      <w:r>
        <w:rPr>
          <w:rFonts w:ascii="Arial" w:cs="Arial" w:eastAsia="Arial" w:hAnsi="Arial"/>
          <w:sz w:val="17"/>
          <w:szCs w:val="17"/>
          <w:color w:val="auto"/>
        </w:rPr>
        <w:t xml:space="preserve"> The Company will not permit any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or any preferred stock or other preferred equity interests other than:</w:t>
      </w:r>
    </w:p>
    <w:p>
      <w:pPr>
        <w:spacing w:after="0" w:line="211" w:lineRule="exact"/>
        <w:rPr>
          <w:sz w:val="20"/>
          <w:szCs w:val="20"/>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and Refinancing Indebtedness in respect thereof;</w:t>
      </w:r>
    </w:p>
    <w:p>
      <w:pPr>
        <w:spacing w:after="0" w:line="225"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Indebtedness of any Subsidiary to the Company or any other Subsidiary and (ii) preferred stock or other preferred equity interests in any Subsidiary held by the Company or any other Subsidiary; provided that no such Indebtedness shall be assigned to, or subjected to any Lien in favor of, a Person other than the Company or a Subsidiary;</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incurred to finance the acquisition, construction or improvement of any fixed or capital assets acquired, constructed or improved by the Company or any Subsidiary, and Refinancing Indebtedness in respect of such Indebtedness; provided that such Indebtedness is incurred prior to or within 180 days after such acquisition or the completion of such construction or improvement and does not exceed the cost of acquiring, constructing or improving such fixed or capital assets;</w:t>
      </w:r>
    </w:p>
    <w:p>
      <w:pPr>
        <w:spacing w:after="0" w:line="186" w:lineRule="exact"/>
        <w:rPr>
          <w:rFonts w:ascii="Arial" w:cs="Arial" w:eastAsia="Arial" w:hAnsi="Arial"/>
          <w:sz w:val="18"/>
          <w:szCs w:val="18"/>
          <w:color w:val="auto"/>
        </w:rPr>
      </w:pPr>
    </w:p>
    <w:p>
      <w:pPr>
        <w:ind w:right="220" w:firstLine="921"/>
        <w:spacing w:after="0" w:line="277" w:lineRule="auto"/>
        <w:tabs>
          <w:tab w:leader="none" w:pos="11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preferred stock or preferred equity interests of any Person that becomes a Subsidiary after the date hereof; provided that such Indebtedness, preferred stock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8" w:name="page79"/>
    <w:bookmarkEnd w:id="7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181" w:lineRule="exact"/>
        <w:rPr>
          <w:sz w:val="20"/>
          <w:szCs w:val="20"/>
          <w:color w:val="auto"/>
        </w:rPr>
      </w:pPr>
    </w:p>
    <w:p>
      <w:pPr>
        <w:ind w:left="1140" w:hanging="219"/>
        <w:spacing w:after="0"/>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Indebtedness of any Subsidiary as an account party in respect of letters of credit backing obligations that do not constitute Indebtedness;</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deemed to exist in connection with any sale and lease-back transaction permitted under Section 6.03; and</w:t>
      </w:r>
    </w:p>
    <w:p>
      <w:pPr>
        <w:spacing w:after="0" w:line="225" w:lineRule="exact"/>
        <w:rPr>
          <w:rFonts w:ascii="Arial" w:cs="Arial" w:eastAsia="Arial" w:hAnsi="Arial"/>
          <w:sz w:val="18"/>
          <w:szCs w:val="18"/>
          <w:color w:val="auto"/>
        </w:rPr>
      </w:pPr>
    </w:p>
    <w:p>
      <w:pPr>
        <w:ind w:firstLine="921"/>
        <w:spacing w:after="0" w:line="259"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Indebtedness not expressly permitted by clauses (a) through (g) above; provided that the sum, without duplication, of (i) the outstanding Indebtedness permitted solely by this clause (h), (ii) the aggregate principal amount of the outstanding Indebtedness secured by Liens and the outstanding Securitization Transactions permitted solely by Section 6.02(h) and (iii) the Attributable Debt in respect of Sale-Leaseback Transactions permitted by Section 6.03 does not at any time exceed the Basket Amount.</w:t>
      </w:r>
    </w:p>
    <w:p>
      <w:pPr>
        <w:spacing w:after="0" w:line="187"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3" w:lineRule="exact"/>
        <w:rPr>
          <w:sz w:val="20"/>
          <w:szCs w:val="20"/>
          <w:color w:val="auto"/>
        </w:rPr>
      </w:pPr>
    </w:p>
    <w:p>
      <w:pPr>
        <w:ind w:left="2140" w:hanging="251"/>
        <w:spacing w:after="0"/>
        <w:tabs>
          <w:tab w:leader="none" w:pos="2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Liens securing the Obligations;</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 6.01(c);</w:t>
      </w:r>
    </w:p>
    <w:p>
      <w:pPr>
        <w:spacing w:after="0" w:line="117" w:lineRule="exact"/>
        <w:rPr>
          <w:rFonts w:ascii="Arial" w:cs="Arial" w:eastAsia="Arial" w:hAnsi="Arial"/>
          <w:sz w:val="18"/>
          <w:szCs w:val="18"/>
          <w:color w:val="auto"/>
        </w:rPr>
      </w:pPr>
    </w:p>
    <w:p>
      <w:pPr>
        <w:ind w:left="1500" w:right="60" w:firstLine="389"/>
        <w:spacing w:after="0" w:line="286" w:lineRule="auto"/>
        <w:tabs>
          <w:tab w:leader="none" w:pos="215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Lien on any property or asset of the Company or any Subsidiary or proceeds thereof existing on the date hereof (and any replacement Lien securing permitted extensions, renewals and replacements of the obligations secured by any such Lien); provided that any such Lien on any property or asset of the Company or any Subsidiary the value of which exceeds $15,000,000 is set forth on Schedule 6.02(d); provided further that (i) such Lien shall not apply to any other property or asset of the Company or any Subsidiary and</w:t>
      </w:r>
    </w:p>
    <w:p>
      <w:pPr>
        <w:spacing w:after="0" w:line="1" w:lineRule="exact"/>
        <w:rPr>
          <w:rFonts w:ascii="Arial" w:cs="Arial" w:eastAsia="Arial" w:hAnsi="Arial"/>
          <w:sz w:val="16"/>
          <w:szCs w:val="16"/>
          <w:color w:val="auto"/>
        </w:rPr>
      </w:pPr>
    </w:p>
    <w:p>
      <w:pPr>
        <w:ind w:left="1500" w:right="180" w:hanging="8"/>
        <w:spacing w:after="0" w:line="261" w:lineRule="auto"/>
        <w:tabs>
          <w:tab w:leader="none" w:pos="17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Lien shall secure only those obligations which it secures on the date hereof and extensions, renewals and replacements thereof that do not increase the outstanding principal amount thereof;</w:t>
      </w:r>
    </w:p>
    <w:p>
      <w:pPr>
        <w:spacing w:after="0" w:line="75" w:lineRule="exact"/>
        <w:rPr>
          <w:rFonts w:ascii="Arial" w:cs="Arial" w:eastAsia="Arial" w:hAnsi="Arial"/>
          <w:sz w:val="18"/>
          <w:szCs w:val="18"/>
          <w:color w:val="auto"/>
        </w:rPr>
      </w:pPr>
    </w:p>
    <w:p>
      <w:pPr>
        <w:ind w:left="1500" w:right="120" w:firstLine="389"/>
        <w:spacing w:after="0" w:line="286" w:lineRule="auto"/>
        <w:tabs>
          <w:tab w:leader="none" w:pos="2142"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Lien is not created in contemplation of or in connection with such acquisition or such Person becoming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as the case may be, (ii) such Lien shall not apply to any other property or assets of the Company or any Subsidiary and</w:t>
      </w:r>
    </w:p>
    <w:p>
      <w:pPr>
        <w:spacing w:after="0" w:line="1" w:lineRule="exact"/>
        <w:rPr>
          <w:rFonts w:ascii="Arial" w:cs="Arial" w:eastAsia="Arial" w:hAnsi="Arial"/>
          <w:sz w:val="16"/>
          <w:szCs w:val="16"/>
          <w:color w:val="auto"/>
        </w:rPr>
      </w:pPr>
    </w:p>
    <w:p>
      <w:pPr>
        <w:ind w:left="1500" w:right="120" w:hanging="8"/>
        <w:spacing w:after="0" w:line="255" w:lineRule="auto"/>
        <w:tabs>
          <w:tab w:leader="none" w:pos="18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79" w:name="page80"/>
    <w:bookmarkEnd w:id="79"/>
    <w:p>
      <w:pPr>
        <w:ind w:left="1500" w:right="60" w:firstLine="389"/>
        <w:spacing w:after="0" w:line="288" w:lineRule="auto"/>
        <w:tabs>
          <w:tab w:leader="none" w:pos="2122" w:val="left"/>
        </w:tabs>
        <w:numPr>
          <w:ilvl w:val="1"/>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on fixed or capital assets acquired, constructed or improved by the Company or any Subsidiary securing Indebtedness incurred to finance such acquisition, construction or improvement;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Liens and the Indebtedness secured thereby are incurred prior to or within 180 days after such acquisition or the completion of such construction or improvement, as the case may be,</w:t>
      </w:r>
    </w:p>
    <w:p>
      <w:pPr>
        <w:ind w:left="1760" w:hanging="268"/>
        <w:spacing w:after="0"/>
        <w:tabs>
          <w:tab w:leader="none" w:pos="1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Indebtedness secured thereby does not exceed the cost of acquiring, constructing or improving such fixed or capital assets and</w:t>
      </w:r>
    </w:p>
    <w:p>
      <w:pPr>
        <w:spacing w:after="0" w:line="32" w:lineRule="exact"/>
        <w:rPr>
          <w:rFonts w:ascii="Arial" w:cs="Arial" w:eastAsia="Arial" w:hAnsi="Arial"/>
          <w:sz w:val="16"/>
          <w:szCs w:val="16"/>
          <w:color w:val="auto"/>
        </w:rPr>
      </w:pPr>
    </w:p>
    <w:p>
      <w:pPr>
        <w:ind w:left="1800" w:hanging="30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Liens shall not apply to any other property or assets of the Company or any Subsidiary;</w:t>
      </w:r>
    </w:p>
    <w:p>
      <w:pPr>
        <w:spacing w:after="0" w:line="102" w:lineRule="exact"/>
        <w:rPr>
          <w:rFonts w:ascii="Arial" w:cs="Arial" w:eastAsia="Arial" w:hAnsi="Arial"/>
          <w:sz w:val="18"/>
          <w:szCs w:val="18"/>
          <w:color w:val="auto"/>
        </w:rPr>
      </w:pPr>
    </w:p>
    <w:p>
      <w:pPr>
        <w:ind w:left="2140" w:hanging="251"/>
        <w:spacing w:after="0"/>
        <w:tabs>
          <w:tab w:leader="none" w:pos="2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Liens deemed to exist in connection with Sale-Leaseback transactions permitted under Section 6.03; and</w:t>
      </w:r>
    </w:p>
    <w:p>
      <w:pPr>
        <w:spacing w:after="0" w:line="117" w:lineRule="exact"/>
        <w:rPr>
          <w:rFonts w:ascii="Arial" w:cs="Arial" w:eastAsia="Arial" w:hAnsi="Arial"/>
          <w:sz w:val="18"/>
          <w:szCs w:val="18"/>
          <w:color w:val="auto"/>
        </w:rPr>
      </w:pPr>
    </w:p>
    <w:p>
      <w:pPr>
        <w:ind w:left="1500" w:right="140" w:firstLine="389"/>
        <w:spacing w:after="0" w:line="297" w:lineRule="auto"/>
        <w:tabs>
          <w:tab w:leader="none" w:pos="2152" w:val="left"/>
        </w:tabs>
        <w:numPr>
          <w:ilvl w:val="1"/>
          <w:numId w:val="83"/>
        </w:numPr>
        <w:rPr>
          <w:rFonts w:ascii="Arial" w:cs="Arial" w:eastAsia="Arial" w:hAnsi="Arial"/>
          <w:sz w:val="16"/>
          <w:szCs w:val="16"/>
          <w:color w:val="auto"/>
        </w:rPr>
      </w:pPr>
      <w:r>
        <w:rPr>
          <w:rFonts w:ascii="Arial" w:cs="Arial" w:eastAsia="Arial" w:hAnsi="Arial"/>
          <w:sz w:val="16"/>
          <w:szCs w:val="16"/>
          <w:color w:val="auto"/>
        </w:rPr>
        <w:t>other Liens on assets other than Equity Interests in Subsidiaries securing or deemed to exist in connection with Indebtedness, and sales of accounts receivable and rights in respect thereof pursuant to Securitization Transactions; provided that the sum, without duplication, of (i) the aggregate principal amount of the outstanding Indebtedness secured by Liens and the outstanding Securitization Transactions permitted solely by this clause (h), (ii) the outstanding Indebtedness permitted solely by Section 6.01(h) and (iii) the Attributable Debt in respect of Sale-Leaseback Transactions permitted by Section 6.03 does not at any time exceed the Basket Amount.</w:t>
      </w:r>
    </w:p>
    <w:p>
      <w:pPr>
        <w:spacing w:after="0" w:line="15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Sale and Lease Back Transactions.</w:t>
      </w:r>
      <w:r>
        <w:rPr>
          <w:rFonts w:ascii="Arial" w:cs="Arial" w:eastAsia="Arial" w:hAnsi="Arial"/>
          <w:sz w:val="17"/>
          <w:szCs w:val="17"/>
          <w:color w:val="auto"/>
        </w:rPr>
        <w:t xml:space="preserve"> The Company will not, and will not permit any Subsidiary to, enter into any Sale-Leaseback Transaction except (a) a Sale-Leaseback Transaction between the Company and a Subsidiary or between Subsidiaries, and (b) to the extent the sum, without duplication, of (i) the Attributable Debt with respect to all such Sale-Leaseback Transactions in effect at any time, (ii) the outstanding Indebtedness permitted solely by Section 6.01(h) and (iii) the aggregate principal amount of the outstanding Indebtedness secured by Liens and the outstanding Securitization Transactions permitted solely by Section 6.02(h) does not at any time exceed the Basket Amount.</w:t>
      </w:r>
    </w:p>
    <w:p>
      <w:pPr>
        <w:spacing w:after="0" w:line="173" w:lineRule="exact"/>
        <w:rPr>
          <w:sz w:val="20"/>
          <w:szCs w:val="20"/>
          <w:color w:val="auto"/>
        </w:rPr>
      </w:pPr>
    </w:p>
    <w:p>
      <w:pPr>
        <w:ind w:right="180" w:firstLine="913"/>
        <w:spacing w:after="0" w:line="285"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(a) The Company will not, and will not permit any Subsidiary to, merge or consolidate with any other Person, or permit any other Person to merge or consolidate with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into the Company or any other Subsidiary; (ii) any Subsidiary may sell, lease or otherwise transfer all or any part of its assets to the Company or to another Subsidiary, including by liquidation or dissolution;</w:t>
      </w:r>
    </w:p>
    <w:p>
      <w:pPr>
        <w:spacing w:after="0" w:line="2" w:lineRule="exact"/>
        <w:rPr>
          <w:sz w:val="20"/>
          <w:szCs w:val="20"/>
          <w:color w:val="auto"/>
        </w:rPr>
      </w:pPr>
    </w:p>
    <w:p>
      <w:pPr>
        <w:ind w:firstLine="8"/>
        <w:spacing w:after="0" w:line="287" w:lineRule="auto"/>
        <w:tabs>
          <w:tab w:leader="none" w:pos="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Company and the Subsidiaries may (A) sell, transfer, lease or otherwise dispose of inventory and worn out or obsolete equipment in the ordinary course of business and (B) sell other assets (including through one or more mergers of Subsidiaries) so long as (1) the greater of the aggregate book value and the aggregate fair market value of the assets sold pursuant to this clause (B) during any fiscal year of the Company does not exceed 10% of the Consolidated Assets of the Company and the Subsidiaries as of the end of the immediately preceding fiscal year, and (2) if the greater of the aggregate book value and the aggregate fair market value of all assets so sold during such fiscal year exceeds 5% of Consolidated Assets as of the end of the immediately preceding fiscal year, the tangible assets so sold during such fiscal year do not account for more than 5% of Consolidated Tangible Assets as of the end of such immediately preceding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Material Disposition, (1) no Default shall exist after giving effect to such disposition and (2) the Company shall be in compliance on a pro forma basis with the covenants set forth in Sections 6.06 and 6.07 as of the end of and for the most recent period of four fiscal quarters for which financial statements shall have been delivered pursuant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80" w:name="page81"/>
    <w:bookmarkEnd w:id="80"/>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5.01, giving effect to such disposition and any related repayment of Indebtedness as if it had occurred at the beginning of such period (and the Company shall have delivered to the Administrative Agent a certificate of a Financial Officer setting forth computations demonstrating such pro forma compliance); and (iv) the Company or any Subsidiary may acquire all or substantially all the equity interests or assets of any other Person or assets constituting a division or other business unit, including through a merger of any Person with the Company or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(A) in the case of any such acquisition involving a merger to which the Company is a party, the Company shall be the surviving or resulting corporation and (B) in the case of any Material Acquisition, (1) no Default shall exist after giving effect to such acquisition, and (2) the Company shall be in compliance on a pro forma basis with the covenants set forth in Sections 6.06 and 6.07 as of the end of and for the most recent period of four fiscal quarters for which financial statements shall have been delivered pursuant to Section 5.01,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178" w:lineRule="exact"/>
        <w:rPr>
          <w:sz w:val="20"/>
          <w:szCs w:val="20"/>
          <w:color w:val="auto"/>
        </w:rPr>
      </w:pPr>
    </w:p>
    <w:p>
      <w:pPr>
        <w:ind w:right="40" w:firstLine="921"/>
        <w:spacing w:after="0" w:line="308" w:lineRule="auto"/>
        <w:tabs>
          <w:tab w:leader="none" w:pos="116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147"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xml:space="preserve"> The Company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foregoing shall not apply to restrictions and conditions imposed by law or by any Credit Document, (b) the foregoing shall not apply to restrictions and conditions existing on the date hereof and identified on </w:t>
      </w:r>
      <w:r>
        <w:rPr>
          <w:rFonts w:ascii="Arial" w:cs="Arial" w:eastAsia="Arial" w:hAnsi="Arial"/>
          <w:sz w:val="18"/>
          <w:szCs w:val="18"/>
          <w:u w:val="single" w:color="auto"/>
          <w:color w:val="auto"/>
        </w:rPr>
        <w:t>Schedule 6.05</w:t>
      </w:r>
      <w:r>
        <w:rPr>
          <w:rFonts w:ascii="Arial" w:cs="Arial" w:eastAsia="Arial" w:hAnsi="Arial"/>
          <w:sz w:val="18"/>
          <w:szCs w:val="18"/>
          <w:color w:val="auto"/>
        </w:rPr>
        <w:t xml:space="preserve"> (but shall apply to any extension or renewal, or any amendment or modification expanding the scope, of any such restriction or condition) and (c) the foregoing shall not apply to customary restrictions and conditions that are contained in any agreement for the sale of any asset or Subsidiary in a transaction permitted by this Agreement and applicable only to the asset or Subsidiary that is to be sold.</w:t>
      </w:r>
    </w:p>
    <w:p>
      <w:pPr>
        <w:spacing w:after="0" w:line="192"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The Company will not permit the ratio of (a) Consolidated EBITDA to (b) Consolidated Interest Expense, in each case for any period of four consecutive fiscal quarters, to be less than 4.00 to 1.00.</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Consolidated Total Debt to Consolidated EBITDA Ratio.</w:t>
      </w:r>
      <w:r>
        <w:rPr>
          <w:rFonts w:ascii="Arial" w:cs="Arial" w:eastAsia="Arial" w:hAnsi="Arial"/>
          <w:sz w:val="18"/>
          <w:szCs w:val="18"/>
          <w:color w:val="auto"/>
        </w:rPr>
        <w:t xml:space="preserve"> The Company will not at any time permit the ratio of (a) Consolidated Total Indebtedness at such time to (b) Consolidated EBITDA for the most recently ended period of four consecutive fiscal quarters to be greater than 3.25 to 1.00.</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i w:val="1"/>
          <w:iCs w:val="1"/>
          <w:color w:val="auto"/>
        </w:rPr>
        <w:t>Events of Default</w:t>
      </w:r>
      <w:r>
        <w:rPr>
          <w:rFonts w:ascii="Arial" w:cs="Arial" w:eastAsia="Arial" w:hAnsi="Arial"/>
          <w:sz w:val="18"/>
          <w:szCs w:val="18"/>
          <w:color w:val="auto"/>
        </w:rPr>
        <w:t>”) shall occur:</w:t>
      </w:r>
    </w:p>
    <w:p>
      <w:pPr>
        <w:spacing w:after="0" w:line="117" w:lineRule="exact"/>
        <w:rPr>
          <w:sz w:val="20"/>
          <w:szCs w:val="20"/>
          <w:color w:val="auto"/>
        </w:rPr>
      </w:pPr>
    </w:p>
    <w:p>
      <w:pPr>
        <w:ind w:left="1500" w:right="340" w:firstLine="389"/>
        <w:spacing w:after="0" w:line="264" w:lineRule="auto"/>
        <w:tabs>
          <w:tab w:leader="none" w:pos="21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Borrower shall fail to pay any principal of any Loan or any BA or any reimbursement obligation in respect of any LC Disbursement when and as the same shall become due and payable, whether at the due date thereof or at a date fixed for prepayment thereof or otherwise;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74" w:right="299" w:bottom="1440" w:gutter="0" w:footer="0" w:header="0"/>
        </w:sectPr>
      </w:pPr>
    </w:p>
    <w:bookmarkStart w:id="81" w:name="page82"/>
    <w:bookmarkEnd w:id="81"/>
    <w:p>
      <w:pPr>
        <w:jc w:val="both"/>
        <w:ind w:left="300" w:right="420" w:firstLine="389"/>
        <w:spacing w:after="0" w:line="264" w:lineRule="auto"/>
        <w:tabs>
          <w:tab w:leader="none" w:pos="952"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73" w:lineRule="exact"/>
        <w:rPr>
          <w:rFonts w:ascii="Arial" w:cs="Arial" w:eastAsia="Arial" w:hAnsi="Arial"/>
          <w:sz w:val="18"/>
          <w:szCs w:val="18"/>
          <w:color w:val="auto"/>
        </w:rPr>
      </w:pPr>
    </w:p>
    <w:p>
      <w:pPr>
        <w:ind w:left="300" w:right="260" w:firstLine="389"/>
        <w:spacing w:after="0" w:line="302" w:lineRule="auto"/>
        <w:tabs>
          <w:tab w:leader="none" w:pos="942"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representation or warranty or statement made or deemed made by or on behalf of the Company or any Subsidiary in or in connection with any Credit Document or any amendment or modification thereof or waiver thereunder, or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46" w:lineRule="exact"/>
        <w:rPr>
          <w:rFonts w:ascii="Arial" w:cs="Arial" w:eastAsia="Arial" w:hAnsi="Arial"/>
          <w:sz w:val="16"/>
          <w:szCs w:val="16"/>
          <w:color w:val="auto"/>
        </w:rPr>
      </w:pPr>
    </w:p>
    <w:p>
      <w:pPr>
        <w:ind w:left="300" w:right="120" w:firstLine="389"/>
        <w:spacing w:after="0" w:line="277" w:lineRule="auto"/>
        <w:tabs>
          <w:tab w:leader="none" w:pos="95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or any Borrower shall fail to observe or perform any covenant, condition or agreement contained in Section 5.02, 5.03 (with respect to the existence of any Borrower) or 5.08 or in Article VI;</w:t>
      </w:r>
    </w:p>
    <w:p>
      <w:pPr>
        <w:spacing w:after="0" w:line="62" w:lineRule="exact"/>
        <w:rPr>
          <w:rFonts w:ascii="Arial" w:cs="Arial" w:eastAsia="Arial" w:hAnsi="Arial"/>
          <w:sz w:val="18"/>
          <w:szCs w:val="18"/>
          <w:color w:val="auto"/>
        </w:rPr>
      </w:pPr>
    </w:p>
    <w:p>
      <w:pPr>
        <w:ind w:left="300" w:right="160" w:firstLine="389"/>
        <w:spacing w:after="0" w:line="286" w:lineRule="auto"/>
        <w:tabs>
          <w:tab w:leader="none" w:pos="942"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Credit Party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57" w:lineRule="exact"/>
        <w:rPr>
          <w:rFonts w:ascii="Arial" w:cs="Arial" w:eastAsia="Arial" w:hAnsi="Arial"/>
          <w:sz w:val="17"/>
          <w:szCs w:val="17"/>
          <w:color w:val="auto"/>
        </w:rPr>
      </w:pPr>
    </w:p>
    <w:p>
      <w:pPr>
        <w:ind w:left="300" w:right="320" w:firstLine="389"/>
        <w:spacing w:after="0" w:line="277" w:lineRule="auto"/>
        <w:tabs>
          <w:tab w:leader="none" w:pos="92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at the maturity date thereof;</w:t>
      </w:r>
    </w:p>
    <w:p>
      <w:pPr>
        <w:spacing w:after="0" w:line="62" w:lineRule="exact"/>
        <w:rPr>
          <w:rFonts w:ascii="Arial" w:cs="Arial" w:eastAsia="Arial" w:hAnsi="Arial"/>
          <w:sz w:val="18"/>
          <w:szCs w:val="18"/>
          <w:color w:val="auto"/>
        </w:rPr>
      </w:pPr>
    </w:p>
    <w:p>
      <w:pPr>
        <w:ind w:left="300" w:right="120" w:firstLine="389"/>
        <w:spacing w:after="0" w:line="271" w:lineRule="auto"/>
        <w:tabs>
          <w:tab w:leader="none" w:pos="952"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(g) shall not apply to secured Indebtedness that becomes due as a result of the voluntary sale or transfer of the property or assets securing such Indebtedness;</w:t>
      </w:r>
    </w:p>
    <w:p>
      <w:pPr>
        <w:spacing w:after="0" w:line="70" w:lineRule="exact"/>
        <w:rPr>
          <w:rFonts w:ascii="Arial" w:cs="Arial" w:eastAsia="Arial" w:hAnsi="Arial"/>
          <w:sz w:val="17"/>
          <w:szCs w:val="17"/>
          <w:color w:val="auto"/>
        </w:rPr>
      </w:pPr>
    </w:p>
    <w:p>
      <w:pPr>
        <w:ind w:left="300" w:firstLine="389"/>
        <w:spacing w:after="0" w:line="286" w:lineRule="auto"/>
        <w:tabs>
          <w:tab w:leader="none" w:pos="952"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w:t>
      </w:r>
    </w:p>
    <w:p>
      <w:pPr>
        <w:spacing w:after="0" w:line="1" w:lineRule="exact"/>
        <w:rPr>
          <w:rFonts w:ascii="Arial" w:cs="Arial" w:eastAsia="Arial" w:hAnsi="Arial"/>
          <w:sz w:val="16"/>
          <w:szCs w:val="16"/>
          <w:color w:val="auto"/>
        </w:rPr>
      </w:pPr>
    </w:p>
    <w:p>
      <w:pPr>
        <w:ind w:left="300" w:right="120" w:hanging="8"/>
        <w:spacing w:after="0" w:line="254" w:lineRule="auto"/>
        <w:tabs>
          <w:tab w:leader="none" w:pos="6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 declaration that the Company or any Material Subsidiary is </w:t>
      </w:r>
      <w:r>
        <w:rPr>
          <w:rFonts w:ascii="Arial" w:cs="Arial" w:eastAsia="Arial" w:hAnsi="Arial"/>
          <w:sz w:val="18"/>
          <w:szCs w:val="18"/>
          <w:i w:val="1"/>
          <w:iCs w:val="1"/>
          <w:color w:val="auto"/>
        </w:rPr>
        <w:t>en desastre</w:t>
      </w:r>
      <w:r>
        <w:rPr>
          <w:rFonts w:ascii="Arial" w:cs="Arial" w:eastAsia="Arial" w:hAnsi="Arial"/>
          <w:sz w:val="18"/>
          <w:szCs w:val="18"/>
          <w:color w:val="auto"/>
        </w:rPr>
        <w:t xml:space="preserve">, or proceedings are commenced </w:t>
      </w:r>
      <w:r>
        <w:rPr>
          <w:rFonts w:ascii="Arial" w:cs="Arial" w:eastAsia="Arial" w:hAnsi="Arial"/>
          <w:sz w:val="18"/>
          <w:szCs w:val="18"/>
          <w:i w:val="1"/>
          <w:iCs w:val="1"/>
          <w:color w:val="auto"/>
        </w:rPr>
        <w:t>in saisie</w:t>
      </w:r>
      <w:r>
        <w:rPr>
          <w:rFonts w:ascii="Arial" w:cs="Arial" w:eastAsia="Arial" w:hAnsi="Arial"/>
          <w:sz w:val="18"/>
          <w:szCs w:val="18"/>
          <w:color w:val="auto"/>
        </w:rPr>
        <w:t xml:space="preserve"> or an initial vesting is declared over the Borrower or any Material Subsidiary or over the assets of the Borrower or any Material Subsidiary, and, in any such case, such proceeding or petition shall continue undismissed for 60 days or an order or decree approving, ordering or declaring any of the foregoing shall be entered;</w:t>
      </w:r>
    </w:p>
    <w:p>
      <w:pPr>
        <w:spacing w:after="0" w:line="1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20"/>
          </w:cols>
          <w:pgMar w:left="1440" w:top="274" w:right="239" w:bottom="1440" w:gutter="0" w:footer="0" w:header="0"/>
        </w:sectPr>
      </w:pPr>
    </w:p>
    <w:bookmarkStart w:id="82" w:name="page83"/>
    <w:bookmarkEnd w:id="82"/>
    <w:p>
      <w:pPr>
        <w:ind w:left="1500" w:right="100" w:firstLine="389"/>
        <w:spacing w:after="0" w:line="254" w:lineRule="auto"/>
        <w:tabs>
          <w:tab w:leader="none" w:pos="2112"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Borrower or any Material Subsidiary shall (i) voluntarily commence any proceeding or file any petition seeking liquidation, reorganization or other relief under any Federal, state or foreign bankruptcy, insolvency, receivership or similar law now or hereafter in effect or seeking a declaration that the Company or any Material Subsidiary is </w:t>
      </w:r>
      <w:r>
        <w:rPr>
          <w:rFonts w:ascii="Arial" w:cs="Arial" w:eastAsia="Arial" w:hAnsi="Arial"/>
          <w:sz w:val="18"/>
          <w:szCs w:val="18"/>
          <w:i w:val="1"/>
          <w:iCs w:val="1"/>
          <w:color w:val="auto"/>
        </w:rPr>
        <w:t>en desastre</w:t>
      </w:r>
      <w:r>
        <w:rPr>
          <w:rFonts w:ascii="Arial" w:cs="Arial" w:eastAsia="Arial" w:hAnsi="Arial"/>
          <w:sz w:val="18"/>
          <w:szCs w:val="18"/>
          <w:color w:val="auto"/>
        </w:rPr>
        <w: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other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4" w:lineRule="exact"/>
        <w:rPr>
          <w:rFonts w:ascii="Arial" w:cs="Arial" w:eastAsia="Arial" w:hAnsi="Arial"/>
          <w:sz w:val="18"/>
          <w:szCs w:val="18"/>
          <w:color w:val="auto"/>
        </w:rPr>
      </w:pPr>
    </w:p>
    <w:p>
      <w:pPr>
        <w:ind w:left="2100" w:hanging="211"/>
        <w:spacing w:after="0"/>
        <w:tabs>
          <w:tab w:leader="none" w:pos="21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Borrower or any Material Subsidiary shall admit in writing its inability, or fail generally, to pay its debts as they become due;</w:t>
      </w:r>
    </w:p>
    <w:p>
      <w:pPr>
        <w:spacing w:after="0" w:line="140" w:lineRule="exact"/>
        <w:rPr>
          <w:rFonts w:ascii="Arial" w:cs="Arial" w:eastAsia="Arial" w:hAnsi="Arial"/>
          <w:sz w:val="16"/>
          <w:szCs w:val="16"/>
          <w:color w:val="auto"/>
        </w:rPr>
      </w:pPr>
    </w:p>
    <w:p>
      <w:pPr>
        <w:ind w:left="1500" w:right="60" w:firstLine="389"/>
        <w:spacing w:after="0" w:line="276" w:lineRule="auto"/>
        <w:tabs>
          <w:tab w:leader="none" w:pos="21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US$75,000,000 shall be rendered against any Borrower, any other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 or any other Subsidiary to enforce any one or more judgments in such aggregate amount and such action shall not have been promptly stayed;</w:t>
      </w:r>
    </w:p>
    <w:p>
      <w:pPr>
        <w:spacing w:after="0" w:line="64" w:lineRule="exact"/>
        <w:rPr>
          <w:rFonts w:ascii="Arial" w:cs="Arial" w:eastAsia="Arial" w:hAnsi="Arial"/>
          <w:sz w:val="17"/>
          <w:szCs w:val="17"/>
          <w:color w:val="auto"/>
        </w:rPr>
      </w:pPr>
    </w:p>
    <w:p>
      <w:pPr>
        <w:ind w:left="1500" w:right="380" w:firstLine="389"/>
        <w:spacing w:after="0" w:line="342" w:lineRule="auto"/>
        <w:tabs>
          <w:tab w:leader="none" w:pos="211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15" w:lineRule="exact"/>
        <w:rPr>
          <w:rFonts w:ascii="Arial" w:cs="Arial" w:eastAsia="Arial" w:hAnsi="Arial"/>
          <w:sz w:val="16"/>
          <w:szCs w:val="16"/>
          <w:color w:val="auto"/>
        </w:rPr>
      </w:pPr>
    </w:p>
    <w:p>
      <w:pPr>
        <w:ind w:left="1500" w:right="80" w:firstLine="389"/>
        <w:spacing w:after="0" w:line="277" w:lineRule="auto"/>
        <w:tabs>
          <w:tab w:leader="none" w:pos="22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guarantee of the Company under Article X shall cease to be, or shall be asserted by the Company not to be, a legal, valid or binding obligation of the Company;</w:t>
      </w:r>
    </w:p>
    <w:p>
      <w:pPr>
        <w:spacing w:after="0" w:line="62" w:lineRule="exact"/>
        <w:rPr>
          <w:rFonts w:ascii="Arial" w:cs="Arial" w:eastAsia="Arial" w:hAnsi="Arial"/>
          <w:sz w:val="18"/>
          <w:szCs w:val="18"/>
          <w:color w:val="auto"/>
        </w:rPr>
      </w:pPr>
    </w:p>
    <w:p>
      <w:pPr>
        <w:ind w:left="1500" w:right="80" w:firstLine="389"/>
        <w:spacing w:after="0" w:line="264" w:lineRule="auto"/>
        <w:tabs>
          <w:tab w:leader="none" w:pos="21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could reasonably be expected to result in a Material Adverse Effect; or</w:t>
      </w:r>
    </w:p>
    <w:p>
      <w:pPr>
        <w:spacing w:after="0" w:line="73" w:lineRule="exact"/>
        <w:rPr>
          <w:rFonts w:ascii="Arial" w:cs="Arial" w:eastAsia="Arial" w:hAnsi="Arial"/>
          <w:sz w:val="18"/>
          <w:szCs w:val="18"/>
          <w:color w:val="auto"/>
        </w:rPr>
      </w:pPr>
    </w:p>
    <w:p>
      <w:pPr>
        <w:ind w:left="2140" w:hanging="251"/>
        <w:spacing w:after="0"/>
        <w:tabs>
          <w:tab w:leader="none" w:pos="2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then, and in every such event (other than an event with respect to the Company or any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and all payment obligations of the Borrowers in respect of BAs then outstanding to be due and payable in whole (or in part, in which case any principal not so declared to be due and payable may thereafter be declared to be due and payable), and thereupon the principal of the Loans and all payment obligations of the Borrowers in respect of BAs so declared to be due and payable, together with accrued interest thereon and all fees and other obligations of the Borrowers accrued hereunder, shall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3" w:name="page84"/>
    <w:bookmarkEnd w:id="83"/>
    <w:p>
      <w:pPr>
        <w:ind w:right="2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 due and payable immediately, without presentment, demand, protest or other notice of any kind, all of which are hereby waived by the Borrowers; and in case of any event with respect to any Borrower or any Subsidiary described in clause (h) or (i) of this Article, the Commitments shall automatically terminate and the principal of the Loans and all payment obligations of the Borrowers in respect of BAs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Agents</w:t>
      </w:r>
    </w:p>
    <w:p>
      <w:pPr>
        <w:spacing w:after="0" w:line="22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Each of the Lenders and Issuing Banks hereby irrevocably appoints the Agents as its agents and authorizes the Agents to take such actions on its behalf and to exercise such powers as are delegated to the Agents by the terms of the Credit Documents, together with such actions and powers as are reasonably incidental thereto. It is understood and agreed that the use of the term “agent” herein or in any other Credit Documents (or any other similar term) with reference to the Agents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Any Person serving as an Agent hereunder shall have the same rights and powers in its capacity as a Lender or an Issuing Bank as any other Lender or Issuing Bank and may exercise the same as though it were not an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an Agent hereunder and without any duty to account therefor to the Lenders or Issuing Banks.</w:t>
      </w:r>
    </w:p>
    <w:p>
      <w:pPr>
        <w:spacing w:after="0" w:line="154"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The Agents shall not have any duties or obligations except those expressly set forth in the Credit Documents. Without limiting the generality of the foregoing, (a) the Agents shall not be subject to any fiduciary or other implied duties, regardless of whether a Default has occurred and is continuing,</w:t>
      </w:r>
    </w:p>
    <w:p>
      <w:pPr>
        <w:ind w:firstLine="8"/>
        <w:spacing w:after="0" w:line="285" w:lineRule="auto"/>
        <w:tabs>
          <w:tab w:leader="none" w:pos="2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Agents shall not have any duty to take any discretionary action or exercise any discretionary powers, except discretionary rights and powers expressly contemplated by the Credit Documents that the Agents are required to exercise in writing as directed by the Required Lenders (or such other number or percentage of the Lenders as shall be necessary, or as the relevant Agent shall believe in good faith to be necessary, under the circumstances as provided in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Agent shall not be required to take any action that, in its opinion, could expose it to liability or be contrary to any Credit Document or applicable law, and (c) except as expressly set forth in the Credit Documents, the Agents shall not have any duty to disclose, and shall not be liable for the failure to disclose, any information relating to the Company, any of the Subsidiaries or any other Affiliates of the foregoing that is communicated to or obtained by the Agents or any of their Affiliates in any capacity. The Agents shall not be liable to any Lender or Issuing Bank for any action taken or not taken by them with the consent or at the request of the Required Lenders (or such other number or percentage of the Lenders as shall be necessary, or as the relevant Agent shall believe in good faith to be necessary, under the circumstances as provided in the Credit Documents) or in the absence of their own gross negligence or wilful misconduct (such absence to be presumed unless otherwise determined by a court of competent jurisdiction by a final and nonappealable judgment). Each Agent shall be deemed not to have knowledge of any Default unless and until written notice thereof (stating that it is a “notice of default”) is given to such Agent by the Company or a Lender, and the Agents shall not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for or have any duty to ascertain or inquire into (i) any statement, warranty or representation made in or in connection with any Credit Document,</w:t>
      </w:r>
    </w:p>
    <w:p>
      <w:pPr>
        <w:spacing w:after="0" w:line="46" w:lineRule="exact"/>
        <w:rPr>
          <w:sz w:val="20"/>
          <w:szCs w:val="20"/>
          <w:color w:val="auto"/>
        </w:rPr>
      </w:pPr>
    </w:p>
    <w:p>
      <w:pPr>
        <w:ind w:right="60" w:firstLine="8"/>
        <w:spacing w:after="0" w:line="271" w:lineRule="auto"/>
        <w:tabs>
          <w:tab w:leader="none" w:pos="2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contents of any certificate, report or other document delivered thereunder or in connection therewith, (iii) the performance or observance of any of the covenants, agreements or other terms or conditions set forth in any Credit Document or the occurrence of any Default, (iv) the validity, enforceability, effectiveness or genuineness of any Credit Document or any other agreement, instrument or document or (v) the satisfaction of any condition set forth in Article IV or elsewhere in any Credit Document, other than to confirm receipt of items expressly required to be delivered to such Agent or satisfaction of any condition that expressly refers to the matters described therein being acceptable or satisfactory to such Agent.</w:t>
      </w:r>
    </w:p>
    <w:p>
      <w:pPr>
        <w:spacing w:after="0" w:line="179" w:lineRule="exact"/>
        <w:rPr>
          <w:sz w:val="20"/>
          <w:szCs w:val="20"/>
          <w:color w:val="auto"/>
        </w:rPr>
      </w:pPr>
    </w:p>
    <w:p>
      <w:pPr>
        <w:ind w:right="180" w:firstLine="913"/>
        <w:spacing w:after="0" w:line="270" w:lineRule="auto"/>
        <w:rPr>
          <w:sz w:val="20"/>
          <w:szCs w:val="20"/>
          <w:color w:val="auto"/>
        </w:rPr>
      </w:pPr>
      <w:r>
        <w:rPr>
          <w:rFonts w:ascii="Arial" w:cs="Arial" w:eastAsia="Arial" w:hAnsi="Arial"/>
          <w:sz w:val="17"/>
          <w:szCs w:val="17"/>
          <w:color w:val="auto"/>
        </w:rPr>
        <w:t>Each Agent shall be entitled to rely upon, and shall not incur any liability to any Lender or Issuing Bank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Each Agent also may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Each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182"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Each Agent may perform any and all its duties and exercise its rights and powers hereunder or under any other Credit Document by or through any one or more sub-agents appointed by it. Each Agent and any such sub-agent may perform any and all its duties and exercise its rights and powers through its respective Related Parties. The exculpatory provisions of the preceding paragraphs and the provisions of Section 11.03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8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Subject to the appointment and acceptance of a successor Agent as provided in this paragraph, each Agent may resign at any time by notifying the other Agents, the Lenders, the Issuing Banks and the Company. Upon any such resignation, the Required Lenders (in the case of a resignation by the Administrative Agent) or the Administrative Agent (in the case of a resignation by any other Agent) shall have the right, in consultation with the Company and, so long as no Event of Default shall have occurred and be continuing, with the Company’s prior consent (which shall not be unreasonably withheld), to appoint a successor. If no successor Agent shall have been so appointed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that is reasonably acceptable to the Company.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and under the other Credit Documents. The fees payable by the Company to a successor Agent shall be the same as those payable to its predecessor unless otherwise agreed between the Company and such successor. Notwithstanding the foregoing, in the event no successor Agent shall have been so appointed and shall have accepted such appointment within 30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85" w:name="page86"/>
    <w:bookmarkEnd w:id="85"/>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retiring Agent gives notice of its intent to resign, the retiring Agent may give notice of the effectiveness of its resignation to the Lenders, the Issuing Banks and the Company, whereupon, on the date of effectiveness of such resignation stated in such notice, (a) the retiring Agent shall be discharged from its duties and obligations hereunder and under the other Credit Documents and (b) the Required Lenders (in the case of a resignation by the Administrative Agent) or the Administrative Agent (in the case of a resignation by any other Agent) shall succeed to and become vested with all the rights, powers, privileges and duties of the retiring Agent, provided that (i) all payments required to be made hereunder or under any other Credit Document to the retiring Agent for the account of any Person other than such Agent shall be made directly to such Person and (ii) all notices and other communications required or contemplated to be given or made to the retiring Agent shall also directly be given or made to each Lender and each Issuing Bank. Following the effectiveness of the Agent’s resignation from its capacity as such, the provisions of this Article and Section 11.03, as well as any exculpatory, reimbursement and indemnification provisions set forth in any other Credit Document, shall continue in effect for the benefit of such retiring Agent, its sub agents and their respective Related Parties in respect of any actions taken or omitted to be taken by any of them while it was acting as Agent</w:t>
      </w:r>
    </w:p>
    <w:p>
      <w:pPr>
        <w:spacing w:after="0" w:line="169"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Each Lender and Issuing Bank acknowledges that it has, independently and without reliance upon any Agent, the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any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Lender, by delivering its signature page to this Agreement and funding its Loans on the Effective Date, or delivering its signature page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any Agent or the Lenders on the Effective Date.</w:t>
      </w:r>
    </w:p>
    <w:p>
      <w:pPr>
        <w:spacing w:after="0" w:line="187"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In case of the pendency of any proceeding with respect to any Credit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46" w:lineRule="exact"/>
        <w:rPr>
          <w:sz w:val="20"/>
          <w:szCs w:val="20"/>
          <w:color w:val="auto"/>
        </w:rPr>
      </w:pPr>
    </w:p>
    <w:p>
      <w:pPr>
        <w:ind w:left="460" w:firstLine="443"/>
        <w:spacing w:after="0" w:line="286" w:lineRule="auto"/>
        <w:tabs>
          <w:tab w:leader="none" w:pos="114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and LC Exposure that are owing and unpaid and to file such other documents as may be necessary or advisable in order to have the claims of the Lenders, the Issuing Banks and the Agents (including any claim under Sections 2.11, 2.12, 2.14, 2.15, 2.16 and 11.03) allowed in such judicial proceeding; and</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6" w:name="page87"/>
    <w:bookmarkEnd w:id="8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or the Issuing Banks, to pay to each Agent any amount due to it, in its capacity as Agent, under the Credit Documents (including under Section 11.03). In the case of such a proceeding, the Administrative Agent shall not have the authority to vote on behalf of any Lender on any plan of reorganization.</w:t>
      </w:r>
    </w:p>
    <w:p>
      <w:pPr>
        <w:spacing w:after="0" w:line="188"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The parties agree that none of the Joint Lead Arrangers, the Joint Bookrunners, the Syndication Agents and the Documentation Agent named on the cover page of this Agreement shall, in such capacities, have any powers, duties or responsibilities under this Agreement or any other Credit Document (except in its capacity, as applicable, as a Lender or an Issuing Bank), but all such Persons shall have the benefit of the indemnities provided for hereunder.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Collection Allocation Mechanism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the CAM Exchange Date, (a) the Commitments shall automatically and without further act be terminated as provided in Article VII and</w:t>
      </w:r>
    </w:p>
    <w:p>
      <w:pPr>
        <w:spacing w:after="0" w:line="35" w:lineRule="exact"/>
        <w:rPr>
          <w:sz w:val="20"/>
          <w:szCs w:val="20"/>
          <w:color w:val="auto"/>
        </w:rPr>
      </w:pPr>
    </w:p>
    <w:p>
      <w:pPr>
        <w:ind w:firstLine="8"/>
        <w:spacing w:after="0" w:line="267"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It is understood and agreed that Lenders holding interests in BAs immediately prior to the CAM Exchange shall discharge their obligations with respect to the payment of such BAs at the maturity thereof in exchange for the interests acquired by such Lenders in funded Loans in the CAM Exchange. Each Lender, each person acquiring a participation from any Lender as contemplated by Section 11.04 and each Credit Party hereby consents and agrees to the CAM Exchange. Each Credit Party and each Lender agrees from time to time to execute and deliver to the Agents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Borrower to execute or deliver or of any Lender to accept any such promissory note, instrument or document shall not affect the validity or effectiveness of the CAM Exchange.</w:t>
      </w:r>
    </w:p>
    <w:p>
      <w:pPr>
        <w:spacing w:after="0" w:line="187"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 xml:space="preserve">As a result of the CAM Exchange, on and after the CAM Exchange Date, each payment received by an Agent pursuant to any Credit Document in respect of the Designated Obligations shall be distributed to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8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 2.04(d), promptly purchase from the applicable Issuing Bank a participation in such LC</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7" w:name="page88"/>
    <w:bookmarkEnd w:id="87"/>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In order to induce the Lenders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54" w:lineRule="exact"/>
        <w:rPr>
          <w:sz w:val="20"/>
          <w:szCs w:val="20"/>
          <w:color w:val="auto"/>
        </w:rPr>
      </w:pPr>
    </w:p>
    <w:p>
      <w:pPr>
        <w:ind w:right="100" w:firstLine="913"/>
        <w:spacing w:after="0" w:line="268" w:lineRule="auto"/>
        <w:rPr>
          <w:sz w:val="20"/>
          <w:szCs w:val="20"/>
          <w:color w:val="auto"/>
        </w:rPr>
      </w:pPr>
      <w:r>
        <w:rPr>
          <w:rFonts w:ascii="Arial" w:cs="Arial" w:eastAsia="Arial" w:hAnsi="Arial"/>
          <w:sz w:val="17"/>
          <w:szCs w:val="17"/>
          <w:color w:val="auto"/>
        </w:rPr>
        <w:t xml:space="preserve">The Company waives presentment to, demand of payment from and protest to any Borrowing Subsidiary of any of the Obligations, and also waives notice of acceptance of its obligations and notice of protest for nonpayment. The Company further waives any rights it may have at law, including the </w:t>
      </w:r>
      <w:r>
        <w:rPr>
          <w:rFonts w:ascii="Arial" w:cs="Arial" w:eastAsia="Arial" w:hAnsi="Arial"/>
          <w:sz w:val="17"/>
          <w:szCs w:val="17"/>
          <w:i w:val="1"/>
          <w:iCs w:val="1"/>
          <w:color w:val="auto"/>
        </w:rPr>
        <w:t xml:space="preserve">droit de discussion </w:t>
      </w:r>
      <w:r>
        <w:rPr>
          <w:rFonts w:ascii="Arial" w:cs="Arial" w:eastAsia="Arial" w:hAnsi="Arial"/>
          <w:sz w:val="17"/>
          <w:szCs w:val="17"/>
          <w:color w:val="auto"/>
        </w:rPr>
        <w:t>or any other right it may otherwise have had of requiring the Lenders and the Agents to pursue the Borrowing Subsidiaries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 prior to enforcing the Guarantee or before any action is taken hereunder against it, or any other right whether known as the </w:t>
      </w:r>
      <w:r>
        <w:rPr>
          <w:rFonts w:ascii="Arial" w:cs="Arial" w:eastAsia="Arial" w:hAnsi="Arial"/>
          <w:sz w:val="17"/>
          <w:szCs w:val="17"/>
          <w:i w:val="1"/>
          <w:iCs w:val="1"/>
          <w:color w:val="auto"/>
        </w:rPr>
        <w:t>droit de division</w:t>
      </w:r>
      <w:r>
        <w:rPr>
          <w:rFonts w:ascii="Arial" w:cs="Arial" w:eastAsia="Arial" w:hAnsi="Arial"/>
          <w:sz w:val="17"/>
          <w:szCs w:val="17"/>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any Agent or Lender to assert any claim or demand or to enforce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other Borrower.</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any Agent or Lender to any balance of any deposit account or credit on the books of any Agent or Lender in favor of any Borrower or any other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88" w:name="page89"/>
    <w:bookmarkEnd w:id="88"/>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Company further agrees that its obligations hereunder shall continue to be effective or be reinstated, as the case may be, if at any time payment, or any part thereof, of any Obligation is rescinded or must otherwise be restored by any Agent or Lender upon the bankruptcy or reorganization of any Borrowing Subsidiary or otherwise.</w:t>
      </w:r>
    </w:p>
    <w:p>
      <w:pPr>
        <w:spacing w:after="0" w:line="18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In furtherance of the foregoing and not in limitation of any other right any Agent or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any Agent or Lender, forthwith pay, or cause to be paid, to the Applicable Agent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Agent or Lender, not consistent with the protection of its rights or interests, then, at the election of the Administrative Agent, the Company shall make payment of such Obligation in US Dollars (based upon the applicable Exchange Rate in effect on the date of payment) and/or in</w:t>
      </w:r>
    </w:p>
    <w:p>
      <w:pPr>
        <w:spacing w:after="0" w:line="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New York, and shall indemnify each Agent, Issuing Bank and Lender against any losses or reasonable out-of-pocket expenses that it shall sustain as a result of such alternative payment.</w:t>
      </w:r>
    </w:p>
    <w:p>
      <w:pPr>
        <w:spacing w:after="0" w:line="18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Upon payment by the Company of any sums as provided above, all rights of the Company against any Borrowing Subsidiary arising as a result thereof by way of right of subrogation or otherwise shall in all respects be subordinate and junior in right of payment to the prior indefeasible payment in full of all the Obligations owed by such Borrowing Subsidiary to the Agents, the Issuing Bank and the Lenders.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as follows:</w:t>
      </w:r>
    </w:p>
    <w:p>
      <w:pPr>
        <w:spacing w:after="0" w:line="181" w:lineRule="exact"/>
        <w:rPr>
          <w:sz w:val="20"/>
          <w:szCs w:val="20"/>
          <w:color w:val="auto"/>
        </w:rPr>
      </w:pPr>
    </w:p>
    <w:p>
      <w:pPr>
        <w:ind w:right="80" w:firstLine="1492"/>
        <w:spacing w:after="0" w:line="277" w:lineRule="auto"/>
        <w:tabs>
          <w:tab w:leader="none" w:pos="16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to the Company, to it in care of Amdocs Limited, PO Box 263, Hirzel House, Smith Street, St. Peter Port, Island of Guernsey, GY1 2NG, with a copy to Amdocs, Inc., 1390 Timberlake Manor Parkway, Chesterfield, Missouri 63017;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89" w:name="page90"/>
    <w:bookmarkEnd w:id="89"/>
    <w:p>
      <w:pPr>
        <w:ind w:left="1760" w:hanging="268"/>
        <w:spacing w:after="0"/>
        <w:tabs>
          <w:tab w:leader="none" w:pos="1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any Borrower (other than the Company), to it in care of the Company as provided in clause (i) above;</w:t>
      </w:r>
    </w:p>
    <w:p>
      <w:pPr>
        <w:spacing w:after="0" w:line="225" w:lineRule="exact"/>
        <w:rPr>
          <w:rFonts w:ascii="Arial" w:cs="Arial" w:eastAsia="Arial" w:hAnsi="Arial"/>
          <w:sz w:val="18"/>
          <w:szCs w:val="18"/>
          <w:color w:val="auto"/>
        </w:rPr>
      </w:pPr>
    </w:p>
    <w:p>
      <w:pPr>
        <w:ind w:right="100" w:firstLine="1492"/>
        <w:spacing w:after="0" w:line="257" w:lineRule="auto"/>
        <w:tabs>
          <w:tab w:leader="none" w:pos="179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to the Administrative Agent, JPMorgan Chase Bank, N.A., in its capacity as Issuing Bank, to JPMorgan Chase Bank, N.A., Loan and Agency Services Group, Floor 03, Ops 2, 500 Stanton Christiana Road, Newark, Delaware 19713, Attention of Neer Reibenbach (Fax No. (302) 634-3301), with a copy to JPMorgan Chase Bank, N.A., 383 Madison Avenue, New York, New York 10179, Attention of Nicolas Ayling and Austin Curtis (Fax No. (212) 270 3279). All compliance certificates sent to the Administrative Agent are to be sent to the Covenant Compliance Team at </w:t>
      </w:r>
      <w:r>
        <w:rPr>
          <w:rFonts w:ascii="Arial" w:cs="Arial" w:eastAsia="Arial" w:hAnsi="Arial"/>
          <w:sz w:val="18"/>
          <w:szCs w:val="18"/>
          <w:u w:val="single" w:color="auto"/>
          <w:color w:val="auto"/>
        </w:rPr>
        <w:t>covenant.compliance@jpmchase.com</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540" w:firstLine="1492"/>
        <w:spacing w:after="0" w:line="277" w:lineRule="auto"/>
        <w:tabs>
          <w:tab w:leader="none" w:pos="17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to the London Agent, to J. P. Morgan Europe Limited, 125 London Wall, Floor 9, London EC2Y 5AJ, Attention of Agency Department (Fax No. 44-207-777-2360), with a copy to the Administrative Agent as provided under clause (iii) above;</w:t>
      </w:r>
    </w:p>
    <w:p>
      <w:pPr>
        <w:spacing w:after="0" w:line="170" w:lineRule="exact"/>
        <w:rPr>
          <w:rFonts w:ascii="Arial" w:cs="Arial" w:eastAsia="Arial" w:hAnsi="Arial"/>
          <w:sz w:val="18"/>
          <w:szCs w:val="18"/>
          <w:color w:val="auto"/>
        </w:rPr>
      </w:pPr>
    </w:p>
    <w:p>
      <w:pPr>
        <w:ind w:right="80" w:firstLine="1492"/>
        <w:spacing w:after="0" w:line="277" w:lineRule="auto"/>
        <w:tabs>
          <w:tab w:leader="none" w:pos="17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to the Canadian Agent, to JPMorgan Chase Bank, N.A., Toronto Branch, 1111 Fannin, Floor 10, Houston, TX 77002, Attention of Carla Kinney (Fax No. (713) 374-4312), with a copy to the Administrative Agent as provided under clause (iii) above;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to any other Issuing Bank or Lender, to it at its address (or fax number) set forth in its Administrative Questionnaire.</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of this Section shall be effective as provided in such paragraph.</w:t>
      </w:r>
    </w:p>
    <w:p>
      <w:pPr>
        <w:spacing w:after="0" w:line="187" w:lineRule="exact"/>
        <w:rPr>
          <w:sz w:val="20"/>
          <w:szCs w:val="20"/>
          <w:color w:val="auto"/>
        </w:rPr>
      </w:pPr>
    </w:p>
    <w:p>
      <w:pPr>
        <w:ind w:firstLine="921"/>
        <w:spacing w:after="0" w:line="297" w:lineRule="auto"/>
        <w:tabs>
          <w:tab w:leader="none" w:pos="1168"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and Issuing Banks hereunder may be delivered or furnished by electronic communications (including email and Internet and intranet websites) pursuant to procedures approved by the Agents;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pursuant to Article II unless otherwise agreed by the Applicable Agent and the applicable Lender. Any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 or rescinded by any such Person by notice to each other such Person.</w:t>
      </w:r>
    </w:p>
    <w:p>
      <w:pPr>
        <w:spacing w:after="0" w:line="158" w:lineRule="exact"/>
        <w:rPr>
          <w:rFonts w:ascii="Arial" w:cs="Arial" w:eastAsia="Arial" w:hAnsi="Arial"/>
          <w:sz w:val="16"/>
          <w:szCs w:val="16"/>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party hereto may change its address or fax number for notices and other communications hereunder by notice to the other parties hereto.</w:t>
      </w:r>
    </w:p>
    <w:p>
      <w:pPr>
        <w:spacing w:after="0" w:line="248" w:lineRule="exact"/>
        <w:rPr>
          <w:rFonts w:ascii="Arial" w:cs="Arial" w:eastAsia="Arial" w:hAnsi="Arial"/>
          <w:sz w:val="16"/>
          <w:szCs w:val="16"/>
          <w:color w:val="auto"/>
        </w:rPr>
      </w:pPr>
    </w:p>
    <w:p>
      <w:pPr>
        <w:ind w:right="60" w:firstLine="921"/>
        <w:spacing w:after="0" w:line="273" w:lineRule="auto"/>
        <w:tabs>
          <w:tab w:leader="none" w:pos="11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agrees that the Agents may, but shall not be obligated to, make any Communication by posting such Communication on Debt Domain, Intralinks, Syndtrak or a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The Platform is provided “as is” and “as available”. Neither any Agent nor any of its Related Parties warrants, or shall be deemed to warrant, the adequacy of the Platform and each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Agents or any of their Related Parties in connection with the Communications or the Platform.</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274" w:right="319" w:bottom="1440" w:gutter="0" w:footer="0" w:header="0"/>
        </w:sectPr>
      </w:pPr>
    </w:p>
    <w:bookmarkStart w:id="90" w:name="page91"/>
    <w:bookmarkEnd w:id="90"/>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xml:space="preserve"> (a) No failure or delay by any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Credit Documents are cumulative and are not exclusive of any rights or remedies that they would otherwise have. No waiver of any provision of any Credit Document or consent to any departure by any Credit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acceptance and purchase of a BA or issuance of a Letter of Credit shall not be construed as a waiver of any Default, regardless of whether any Agent, any Lender or any Issuing Bank may have had notice or knowledge of such Default at the time.</w:t>
      </w:r>
    </w:p>
    <w:p>
      <w:pPr>
        <w:spacing w:after="0" w:line="167" w:lineRule="exact"/>
        <w:rPr>
          <w:sz w:val="20"/>
          <w:szCs w:val="20"/>
          <w:color w:val="auto"/>
        </w:rPr>
      </w:pPr>
    </w:p>
    <w:p>
      <w:pPr>
        <w:ind w:right="20" w:firstLine="921"/>
        <w:spacing w:after="0" w:line="283" w:lineRule="auto"/>
        <w:tabs>
          <w:tab w:leader="none" w:pos="1168"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None of this Agreement, any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Credit Party or Credit Parties that are parties thereto, in each case with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any Commitment of any Lender without the written consent of such Lender, (B) reduce the principal amount of any Loan, payment obligation in respect of a BA or LC Disbursement or reduce the rate of interest thereon, or reduce any fees payable hereunder, without the written consent of each Lender affected thereby,</w:t>
      </w:r>
    </w:p>
    <w:p>
      <w:pPr>
        <w:spacing w:after="0" w:line="5" w:lineRule="exact"/>
        <w:rPr>
          <w:rFonts w:ascii="Arial" w:cs="Arial" w:eastAsia="Arial" w:hAnsi="Arial"/>
          <w:sz w:val="16"/>
          <w:szCs w:val="16"/>
          <w:color w:val="auto"/>
        </w:rPr>
      </w:pPr>
    </w:p>
    <w:p>
      <w:pPr>
        <w:ind w:firstLine="8"/>
        <w:spacing w:after="0" w:line="267" w:lineRule="auto"/>
        <w:tabs>
          <w:tab w:leader="none" w:pos="2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postpone the maturity of any Loan or BA,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(D) change the currencies in which such Lender is required to lend, without the written consent of each Lender affected thereby, (E) change Section 2.17(b) or (c) in a manner that would alter the pro rata sharing of payments required thereby, without the written consent of each Lender, (F) change any of the provisions of this Section or the percentage set forth in the definition of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(G) release the Company from its Guarantee under Article X or limit the liability of the Company in respect of such Guarantee, without the written consent of each Lender or (H) change any provision of any Credit Document in a manner that by its terms adversely affects the rights in respect of payments or prepayments due to Lenders with Commitments or Obligations of any Class differently than those with Commitments or Obligations of any other Class, without the written consent of Lenders holding a majority in interest of the Commitments and outstanding Loans and BAs of the adversely affected Class;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no such agreement shall amend, modify or otherwise affect the rights or duties of any Agent or Issuing Bank without the prior written consent of such Agent or Issuing Bank, as the case may be, and (ii) any waiver, amendment or modification of this Agreement that by its terms affects the rights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under this Agreement of one Tranche (but not of all Tranches) may be effected by an agreement or agreements in writing entered into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requisite percentage in interest of the affected Lenders under the applicable Tranche. Notwithstanding the foregoing, any provision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amended by an agreement in writing entered into by the Company, the Required Lenders and the Administrative Agent (and, if their rights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obligations are affected thereby, the other Agents and the Issuing Banks) if (i) by the terms of such agreement the Commitments of each Lender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consenting to the amendment provided for therein shall terminate upon the effectiveness of such amendment and (ii) at the time such amendment becomes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each Lender not consenting thereto receives payment in full of the principal of and interest accrued on each Loan made and BA accepted by it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other amounts owing to it or accrued for its account under this Agreement. For the avoidance of doubt, increases in the Commitments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2.08(d), extensions of the Maturity Date pursuant to Section 2.08(e) and terminations of the status of Subsidiaries as Borrowing Subsidiaries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Section 2.21 may be effected in accordance with the requirements of, and subject to the conditions set forth in, such respective Sections and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constitute amendments subject to the provisions of this paragraph. Notwithstanding the foregoing, no consent with respect to any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waiver or other modification of this Agreement or any other Credit Document shall be required of any Defaulting Lender, except with respect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waiver or other modification referred to in clauses (A), (B) or (C) of clause (ii) of the first proviso of this paragraph and then only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Defaulting Lender shall be affected by such amendment, waiver or other modification.</w:t>
      </w:r>
    </w:p>
    <w:p>
      <w:pPr>
        <w:spacing w:after="0" w:line="2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xml:space="preserve"> (a) The Company shall pay (i) all reasonable out-of-pocket expenses incurred by the Agents, the Arrangers and their Affiliates, including the reasonable fees, charges and disbursements of counsel for the Agents,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renewal or extension of any Letter of Credit or any demand for payment thereunder and (iii) all out-of-pocket expenses incurred by any Agent, Arranger, Issuing Bank or Lender, including the fees, charges and disbursements of counsel for such Agent, Arranger, Issuing Bank or Lender, in connection with the enforcement or protection of its rights in connection with the Credit Documents, including its rights under this Section, or in connection with the Loans made, the BAs accepted and purchased or the Letters of Credit issued hereunder, including all such out-of-pocket expenses incurred during any workout, restructuring or negotiations in respect of such Loans, BAs or Letters of Credit.</w:t>
      </w:r>
    </w:p>
    <w:p>
      <w:pPr>
        <w:spacing w:after="0" w:line="178" w:lineRule="exact"/>
        <w:rPr>
          <w:sz w:val="20"/>
          <w:szCs w:val="20"/>
          <w:color w:val="auto"/>
        </w:rPr>
      </w:pPr>
    </w:p>
    <w:p>
      <w:pPr>
        <w:ind w:right="80" w:firstLine="921"/>
        <w:spacing w:after="0" w:line="253" w:lineRule="auto"/>
        <w:tabs>
          <w:tab w:leader="none" w:pos="1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and the other Borrowers shall indemnify each Agent, Arranger, Issuing Bank and Lender, and each Related Party of any of the foregoing Persons (each such Person being called an “</w:t>
      </w:r>
      <w:r>
        <w:rPr>
          <w:rFonts w:ascii="Arial" w:cs="Arial" w:eastAsia="Arial" w:hAnsi="Arial"/>
          <w:sz w:val="18"/>
          <w:szCs w:val="18"/>
          <w:i w:val="1"/>
          <w:iCs w:val="1"/>
          <w:color w:val="auto"/>
        </w:rPr>
        <w:t>Indemnitee</w:t>
      </w:r>
      <w:r>
        <w:rPr>
          <w:rFonts w:ascii="Arial" w:cs="Arial" w:eastAsia="Arial" w:hAnsi="Arial"/>
          <w:sz w:val="18"/>
          <w:szCs w:val="18"/>
          <w:color w:val="auto"/>
        </w:rPr>
        <w:t>”) against, and hold each Indemnitee harmless from, any and all losses, claims, damages, penalties,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hereby, the performance by the parties to the Credit Documents of their respective obligations thereunder or the consummation of the Transactions or any other transactions contemplated hereby, (iii) any Loan, BA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Environmental Liability related in any way to the Company or any of the Subsidiaries or (v) any actual or prospective claim, litigation,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92" w:name="page93"/>
    <w:bookmarkEnd w:id="9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investigation or proceeding relating to any of the foregoing, whether based on contract, tort or any other theory and regardless of whether initiated by any Indemnitee or a third party or whether any Indemnitee is a party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wilful misconduct of such Indemnitee or from the breach by such Indemnitee of its agreements under the Credit Documents (other than unintentional breaches that are immaterial or that are corrected promptly after they come to the attention of such Indemnitee). Notwithstanding the foregoing, the indemnification obligations of each Borrowing Subsidiary (but not of the Company) under this paragraph (b) will be limited to losses, claims, damages, penalties, liabilities and related expenses directly related to such Borrowing Subsidiary (including the execution, delivery and performance of this Agreement by such Borrowing Subsidiary, the Loans made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178" w:lineRule="exact"/>
        <w:rPr>
          <w:sz w:val="20"/>
          <w:szCs w:val="20"/>
          <w:color w:val="auto"/>
        </w:rPr>
      </w:pPr>
    </w:p>
    <w:p>
      <w:pPr>
        <w:ind w:right="20" w:firstLine="921"/>
        <w:spacing w:after="0" w:line="271" w:lineRule="auto"/>
        <w:tabs>
          <w:tab w:leader="none" w:pos="115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To the extent that the Company or any other Borrower fails to pay any amount required to be paid by it to any Agent (or any sub-agent thereof), Issuing Bank or any Related Party of any of the foregoing (without limiting their obligation to do so), under paragraph (a) or (b) of this Section, each Lender severally agrees to pay to such Agent (or any such sub-agent), such Issuing Bank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such Agent (or any such sub-agent) or any Issuing Bank in its capacity as such, or against any Related Party of any of the foregoing acting for any Agent (or any such sub-agent) or any Issuing Bank in connection with such capacity. For purposes hereof, a Lender’s “</w:t>
      </w:r>
      <w:r>
        <w:rPr>
          <w:rFonts w:ascii="Arial" w:cs="Arial" w:eastAsia="Arial" w:hAnsi="Arial"/>
          <w:sz w:val="17"/>
          <w:szCs w:val="17"/>
          <w:i w:val="1"/>
          <w:iCs w:val="1"/>
          <w:color w:val="auto"/>
        </w:rPr>
        <w:t>pro rata share</w:t>
      </w:r>
      <w:r>
        <w:rPr>
          <w:rFonts w:ascii="Arial" w:cs="Arial" w:eastAsia="Arial" w:hAnsi="Arial"/>
          <w:sz w:val="17"/>
          <w:szCs w:val="17"/>
          <w:color w:val="auto"/>
        </w:rPr>
        <w:t>” shall be determined based upon its share of the sum of the aggregate Revolving Credit Exposures and unused Commitments at the time.</w:t>
      </w:r>
    </w:p>
    <w:p>
      <w:pPr>
        <w:spacing w:after="0" w:line="178" w:lineRule="exact"/>
        <w:rPr>
          <w:rFonts w:ascii="Arial" w:cs="Arial" w:eastAsia="Arial" w:hAnsi="Arial"/>
          <w:sz w:val="17"/>
          <w:szCs w:val="17"/>
          <w:color w:val="auto"/>
        </w:rPr>
      </w:pPr>
    </w:p>
    <w:p>
      <w:pPr>
        <w:ind w:right="100" w:firstLine="921"/>
        <w:spacing w:after="0" w:line="312" w:lineRule="auto"/>
        <w:tabs>
          <w:tab w:leader="none" w:pos="11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Borrowers shall not assert, and hereby waive, any claim against any Indemnitee,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BA or Letter of Credit or the use of the proceeds thereof.</w:t>
      </w:r>
    </w:p>
    <w:p>
      <w:pPr>
        <w:spacing w:after="0" w:line="146" w:lineRule="exact"/>
        <w:rPr>
          <w:rFonts w:ascii="Arial" w:cs="Arial" w:eastAsia="Arial" w:hAnsi="Arial"/>
          <w:sz w:val="16"/>
          <w:szCs w:val="16"/>
          <w:color w:val="auto"/>
        </w:rPr>
      </w:pPr>
    </w:p>
    <w:p>
      <w:pPr>
        <w:ind w:left="1160" w:hanging="239"/>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Related Parties of each of the Agents, the Issuing Banks and the Lenders) any legal or equitable right, remedy or claim under or by reason of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93" w:name="page94"/>
    <w:bookmarkEnd w:id="93"/>
    <w:p>
      <w:pPr>
        <w:jc w:val="both"/>
        <w:ind w:left="-120" w:right="20" w:firstLine="921"/>
        <w:spacing w:after="0" w:line="264" w:lineRule="auto"/>
        <w:tabs>
          <w:tab w:leader="none" w:pos="10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Subject to the conditions set forth in paragraph (b)(ii) below, any Lender may assign to one or more Eligible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of:</w:t>
      </w:r>
    </w:p>
    <w:p>
      <w:pPr>
        <w:spacing w:after="0" w:line="73" w:lineRule="exact"/>
        <w:rPr>
          <w:sz w:val="20"/>
          <w:szCs w:val="20"/>
          <w:color w:val="auto"/>
        </w:rPr>
      </w:pPr>
    </w:p>
    <w:p>
      <w:pPr>
        <w:ind w:left="340" w:right="80" w:firstLine="443"/>
        <w:spacing w:after="0" w:line="257" w:lineRule="auto"/>
        <w:tabs>
          <w:tab w:leader="none" w:pos="10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Company shall be required for an assignment to a Lender, an Affiliate of a Lender an Approved Fund (except to the extent such assignment to an Affiliate or Approved Fund will result in an increase in the payments required to be made by any Borrower under Section 2.12(h), 2.14, 2.16 or 2.20) or, if an Event of Default has occurred and is continuing, any other assignee;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the Company shall be deemed to have consented to any such assignment unless it shall object thereto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within five Business Days after having received notice thereof;</w:t>
      </w:r>
    </w:p>
    <w:p>
      <w:pPr>
        <w:spacing w:after="0" w:line="80" w:lineRule="exact"/>
        <w:rPr>
          <w:rFonts w:ascii="Arial" w:cs="Arial" w:eastAsia="Arial" w:hAnsi="Arial"/>
          <w:sz w:val="18"/>
          <w:szCs w:val="18"/>
          <w:color w:val="auto"/>
        </w:rPr>
      </w:pPr>
    </w:p>
    <w:p>
      <w:pPr>
        <w:ind w:left="1060" w:hanging="277"/>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Administrative Agent; and</w:t>
      </w:r>
    </w:p>
    <w:p>
      <w:pPr>
        <w:spacing w:after="0" w:line="117" w:lineRule="exact"/>
        <w:rPr>
          <w:rFonts w:ascii="Arial" w:cs="Arial" w:eastAsia="Arial" w:hAnsi="Arial"/>
          <w:sz w:val="18"/>
          <w:szCs w:val="18"/>
          <w:color w:val="auto"/>
        </w:rPr>
      </w:pPr>
    </w:p>
    <w:p>
      <w:pPr>
        <w:ind w:left="1060" w:hanging="277"/>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Issuing Bank, in the case of an assignment of a Tranche A Commitment.</w:t>
      </w:r>
    </w:p>
    <w:p>
      <w:pPr>
        <w:spacing w:after="0" w:line="225" w:lineRule="exact"/>
        <w:rPr>
          <w:sz w:val="20"/>
          <w:szCs w:val="20"/>
          <w:color w:val="auto"/>
        </w:rPr>
      </w:pPr>
    </w:p>
    <w:p>
      <w:pPr>
        <w:ind w:left="1640" w:hanging="268"/>
        <w:spacing w:after="0"/>
        <w:tabs>
          <w:tab w:leader="none" w:pos="1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340" w:right="60" w:firstLine="443"/>
        <w:spacing w:after="0" w:line="257" w:lineRule="auto"/>
        <w:tabs>
          <w:tab w:leader="none" w:pos="107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any Commitment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80" w:lineRule="exact"/>
        <w:rPr>
          <w:rFonts w:ascii="Arial" w:cs="Arial" w:eastAsia="Arial" w:hAnsi="Arial"/>
          <w:sz w:val="18"/>
          <w:szCs w:val="18"/>
          <w:color w:val="auto"/>
        </w:rPr>
      </w:pPr>
    </w:p>
    <w:p>
      <w:pPr>
        <w:ind w:left="340" w:firstLine="443"/>
        <w:spacing w:after="0" w:line="277" w:lineRule="auto"/>
        <w:tabs>
          <w:tab w:leader="none" w:pos="10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partial assignment of a Commitment and extensions of credit under a Tranche shall be made as an assignment of a proportionate part of all the assigning Lender’s rights and obligations under such Tranche;</w:t>
      </w:r>
    </w:p>
    <w:p>
      <w:pPr>
        <w:spacing w:after="0" w:line="62" w:lineRule="exact"/>
        <w:rPr>
          <w:rFonts w:ascii="Arial" w:cs="Arial" w:eastAsia="Arial" w:hAnsi="Arial"/>
          <w:sz w:val="18"/>
          <w:szCs w:val="18"/>
          <w:color w:val="auto"/>
        </w:rPr>
      </w:pPr>
    </w:p>
    <w:p>
      <w:pPr>
        <w:ind w:left="340" w:right="580" w:firstLine="443"/>
        <w:spacing w:after="0" w:line="277" w:lineRule="auto"/>
        <w:tabs>
          <w:tab w:leader="none" w:pos="10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62" w:lineRule="exact"/>
        <w:rPr>
          <w:rFonts w:ascii="Arial" w:cs="Arial" w:eastAsia="Arial" w:hAnsi="Arial"/>
          <w:sz w:val="18"/>
          <w:szCs w:val="18"/>
          <w:color w:val="auto"/>
        </w:rPr>
      </w:pPr>
    </w:p>
    <w:p>
      <w:pPr>
        <w:ind w:left="340" w:right="200" w:firstLine="443"/>
        <w:spacing w:after="0" w:line="279" w:lineRule="auto"/>
        <w:tabs>
          <w:tab w:leader="none" w:pos="107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securities) will be made available and who may receive such information in accordance with the assignee’s compliance procedures and applicable laws, including Federal, State and foreign securities laws;</w:t>
      </w:r>
    </w:p>
    <w:p>
      <w:pPr>
        <w:spacing w:after="0" w:line="63" w:lineRule="exact"/>
        <w:rPr>
          <w:rFonts w:ascii="Arial" w:cs="Arial" w:eastAsia="Arial" w:hAnsi="Arial"/>
          <w:sz w:val="17"/>
          <w:szCs w:val="17"/>
          <w:color w:val="auto"/>
        </w:rPr>
      </w:pPr>
    </w:p>
    <w:p>
      <w:pPr>
        <w:ind w:left="340" w:right="100" w:firstLine="443"/>
        <w:spacing w:after="0" w:line="276" w:lineRule="auto"/>
        <w:tabs>
          <w:tab w:leader="none" w:pos="10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assignee shall be able to receive payments of interest from the Borrowers under the Tranche or Tranches in which it will participate free of withholding taxes referred to in clause (b) or (c), as applicable, of the definition of “Excluded Taxes” (other than any such withholding taxes resulting from a Change in Law after the Closing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60" w:top="274" w:right="339" w:bottom="1440" w:gutter="0" w:footer="0" w:header="0"/>
        </w:sectPr>
      </w:pPr>
    </w:p>
    <w:bookmarkStart w:id="94" w:name="page95"/>
    <w:bookmarkEnd w:id="94"/>
    <w:p>
      <w:pPr>
        <w:ind w:left="460" w:right="20" w:firstLine="443"/>
        <w:spacing w:after="0" w:line="284" w:lineRule="auto"/>
        <w:tabs>
          <w:tab w:leader="none" w:pos="1163" w:val="left"/>
        </w:tabs>
        <w:numPr>
          <w:ilvl w:val="1"/>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Section 11.04, and provided that no Event of Default under clauses (a), (b), (h), (i) or (j) of Article VII has occurred and is continuing, any assignment (or other transfer of rights or obligations) to a person that has not represented that it is a Qualifying Bank of any Tranche A Commitment or Tranche B Commitment or of any Loan to any Swiss Subsidiary Borrower shall be subject to the prior written consent of the Company (such consent not to be unreasonably withheld, but it being understood that such consent will be deemed reasonably withheld if such assignment would, in the Company’s judgment, (x) result in a breach of the Swiss Ten Non-Bank Rule, or (y) result in there being more than five Lenders that are Non-Qualifying Banks for purposes of the Swiss Twenty Non-Bank Rule, and such consent, in the case of the foregoing clause</w:t>
      </w:r>
    </w:p>
    <w:p>
      <w:pPr>
        <w:spacing w:after="0" w:line="4" w:lineRule="exact"/>
        <w:rPr>
          <w:rFonts w:ascii="Arial" w:cs="Arial" w:eastAsia="Arial" w:hAnsi="Arial"/>
          <w:sz w:val="16"/>
          <w:szCs w:val="16"/>
          <w:color w:val="auto"/>
        </w:rPr>
      </w:pPr>
    </w:p>
    <w:p>
      <w:pPr>
        <w:ind w:left="460" w:right="60" w:firstLine="4"/>
        <w:spacing w:after="0" w:line="261" w:lineRule="auto"/>
        <w:tabs>
          <w:tab w:leader="none" w:pos="7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or (y), if permitted to be withheld pursuant to the foregoing provisions, shall not to be deemed given by the passage of time and the failure to object under Section 11.04(b)(i)(A));</w:t>
      </w:r>
    </w:p>
    <w:p>
      <w:pPr>
        <w:spacing w:after="0" w:line="75" w:lineRule="exact"/>
        <w:rPr>
          <w:rFonts w:ascii="Arial" w:cs="Arial" w:eastAsia="Arial" w:hAnsi="Arial"/>
          <w:sz w:val="18"/>
          <w:szCs w:val="18"/>
          <w:color w:val="auto"/>
        </w:rPr>
      </w:pPr>
    </w:p>
    <w:p>
      <w:pPr>
        <w:ind w:left="460" w:right="100" w:firstLine="443"/>
        <w:spacing w:after="0" w:line="277" w:lineRule="auto"/>
        <w:tabs>
          <w:tab w:leader="none" w:pos="11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assignee shall be capable of lending in the applicable currencies and to the applicable Borrowers under the Tranche or Tranches in which it will participate;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Credit Party or Affiliate of a Credit Party may be an assignee.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Section, the term “Approved Fund” has the following meaning:</w:t>
      </w:r>
    </w:p>
    <w:p>
      <w:pPr>
        <w:spacing w:after="0" w:line="22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81" w:lineRule="exact"/>
        <w:rPr>
          <w:sz w:val="20"/>
          <w:szCs w:val="20"/>
          <w:color w:val="auto"/>
        </w:rPr>
      </w:pPr>
    </w:p>
    <w:p>
      <w:pPr>
        <w:ind w:right="40" w:firstLine="921"/>
        <w:spacing w:after="0" w:line="254" w:lineRule="auto"/>
        <w:tabs>
          <w:tab w:leader="none" w:pos="11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192" w:lineRule="exact"/>
        <w:rPr>
          <w:rFonts w:ascii="Arial" w:cs="Arial" w:eastAsia="Arial" w:hAnsi="Arial"/>
          <w:sz w:val="18"/>
          <w:szCs w:val="18"/>
          <w:color w:val="auto"/>
        </w:rPr>
      </w:pPr>
    </w:p>
    <w:p>
      <w:pPr>
        <w:ind w:firstLine="921"/>
        <w:spacing w:after="0" w:line="272" w:lineRule="auto"/>
        <w:tabs>
          <w:tab w:leader="none" w:pos="116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 non-fiduciary agent of the Borrowers, shall maintain at one of its offices in The City of New York a copy of each Assignment and Assumption delivered to it and a register for the recordation of the names and addresses of the Lenders, and the Commitments of, and principal amounts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5" w:name="page96"/>
    <w:bookmarkEnd w:id="95"/>
    <w:p>
      <w:pPr>
        <w:ind w:left="-8" w:right="20" w:firstLine="921"/>
        <w:spacing w:after="0" w:line="290" w:lineRule="auto"/>
        <w:tabs>
          <w:tab w:leader="none" w:pos="1150" w:val="left"/>
        </w:tabs>
        <w:numPr>
          <w:ilvl w:val="1"/>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shall be deemed to have represented to the assigning Lender and Administrative Agent that such assignee is an Eligible Assignee.</w:t>
      </w:r>
    </w:p>
    <w:p>
      <w:pPr>
        <w:spacing w:after="0" w:line="166" w:lineRule="exact"/>
        <w:rPr>
          <w:rFonts w:ascii="Arial" w:cs="Arial" w:eastAsia="Arial" w:hAnsi="Arial"/>
          <w:sz w:val="16"/>
          <w:szCs w:val="16"/>
          <w:color w:val="auto"/>
        </w:rPr>
      </w:pPr>
    </w:p>
    <w:p>
      <w:pPr>
        <w:ind w:left="-8" w:right="60" w:firstLine="921"/>
        <w:spacing w:after="0" w:line="286" w:lineRule="auto"/>
        <w:tabs>
          <w:tab w:leader="none" w:pos="113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Lender may, without the consent of the Company, the Administrative Agent, the Issuing Banks or any other Lender, sell participations to one or more banks or other entities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Commitments and its Loans and other extensions of credit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w:t>
      </w:r>
    </w:p>
    <w:p>
      <w:pPr>
        <w:spacing w:after="0" w:line="1" w:lineRule="exact"/>
        <w:rPr>
          <w:rFonts w:ascii="Arial" w:cs="Arial" w:eastAsia="Arial" w:hAnsi="Arial"/>
          <w:sz w:val="16"/>
          <w:szCs w:val="16"/>
          <w:color w:val="auto"/>
        </w:rPr>
      </w:pPr>
    </w:p>
    <w:p>
      <w:pPr>
        <w:ind w:left="-8" w:firstLine="8"/>
        <w:spacing w:after="0" w:line="251" w:lineRule="auto"/>
        <w:tabs>
          <w:tab w:leader="none" w:pos="3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Borrowers, the Agents,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clause (ii) of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agrees to be subject to Section 2.17(c) as though it were a Lender.</w:t>
      </w:r>
    </w:p>
    <w:p>
      <w:pPr>
        <w:spacing w:after="0" w:line="198" w:lineRule="exact"/>
        <w:rPr>
          <w:rFonts w:ascii="Arial" w:cs="Arial" w:eastAsia="Arial" w:hAnsi="Arial"/>
          <w:sz w:val="18"/>
          <w:szCs w:val="18"/>
          <w:color w:val="auto"/>
        </w:rPr>
      </w:pPr>
    </w:p>
    <w:p>
      <w:pPr>
        <w:ind w:left="-8" w:right="60" w:firstLine="921"/>
        <w:spacing w:after="0" w:line="259"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186" w:lineRule="exact"/>
        <w:rPr>
          <w:rFonts w:ascii="Arial" w:cs="Arial" w:eastAsia="Arial" w:hAnsi="Arial"/>
          <w:sz w:val="18"/>
          <w:szCs w:val="18"/>
          <w:color w:val="auto"/>
        </w:rPr>
      </w:pPr>
    </w:p>
    <w:p>
      <w:pPr>
        <w:ind w:left="-8" w:right="20" w:firstLine="921"/>
        <w:spacing w:after="0" w:line="259"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92"/>
          </w:cols>
          <w:pgMar w:left="248" w:top="274" w:right="259" w:bottom="1440" w:gutter="0" w:footer="0" w:header="0"/>
        </w:sectPr>
      </w:pPr>
    </w:p>
    <w:bookmarkStart w:id="96" w:name="page97"/>
    <w:bookmarkEnd w:id="96"/>
    <w:p>
      <w:pPr>
        <w:ind w:left="-20" w:firstLine="921"/>
        <w:spacing w:after="0" w:line="285" w:lineRule="auto"/>
        <w:tabs>
          <w:tab w:leader="none" w:pos="1108"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herein, but subject to satisfaction of the conditions set forth in Section 11.04(b)(ii)(E) and (F),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 be determined as if the Granting Bank had made such Loan and (iv) any notices given by the Agents, the Borrowers and the other Lenders with respect to any Loan provided by a SPC may be given to the Granting Bank and the Granting Bank shall have the authority to act on behalf of the SPC with respect to such Loans and/or notices. The making of Loans and other extensions of credit by a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172" w:lineRule="exact"/>
        <w:rPr>
          <w:rFonts w:ascii="Arial" w:cs="Arial" w:eastAsia="Arial" w:hAnsi="Arial"/>
          <w:sz w:val="16"/>
          <w:szCs w:val="16"/>
          <w:color w:val="auto"/>
        </w:rPr>
      </w:pPr>
    </w:p>
    <w:p>
      <w:pPr>
        <w:ind w:left="-20" w:right="140" w:firstLine="921"/>
        <w:spacing w:after="0" w:line="257" w:lineRule="auto"/>
        <w:tabs>
          <w:tab w:leader="none" w:pos="110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avoidance of doubt, and with respect to any Swiss Borrowing Subsidiary, no Lender, participant or subparticipant shall enter into any agreement with another person under which payments are made by reference to this Agreement or to any hereto related transfer, assignment, participation, subparticipation or similar agreement if such agreement would be treated as a debt instrument that can be subject to Swiss Withholding Tax according to the Swiss Withholding Tax Rules, but nothing in this Section 11.04(j) restricts any Lender, participant or subparticipant from entering into any agreement that would not be so treated.</w:t>
      </w:r>
    </w:p>
    <w:p>
      <w:pPr>
        <w:spacing w:after="0" w:line="188" w:lineRule="exact"/>
        <w:rPr>
          <w:rFonts w:ascii="Arial" w:cs="Arial" w:eastAsia="Arial" w:hAnsi="Arial"/>
          <w:sz w:val="18"/>
          <w:szCs w:val="18"/>
          <w:color w:val="auto"/>
        </w:rPr>
      </w:pPr>
    </w:p>
    <w:p>
      <w:pPr>
        <w:ind w:left="-20" w:right="40" w:firstLine="921"/>
        <w:spacing w:after="0" w:line="289" w:lineRule="auto"/>
        <w:tabs>
          <w:tab w:leader="none" w:pos="11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hereunder or under any other Credit Document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none of the Agents (in any Agent’s capacity as Agent) shall have any responsibility for maintaining a Participant Register.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60" w:top="274" w:right="239" w:bottom="1440" w:gutter="0" w:footer="0" w:header="0"/>
        </w:sectPr>
      </w:pPr>
    </w:p>
    <w:bookmarkStart w:id="97" w:name="page98"/>
    <w:bookmarkEnd w:id="97"/>
    <w:p>
      <w:pPr>
        <w:ind w:right="4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Credit Parties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the acceptance and purchase of any BAs and the issuance of any Letters of Credit, regardless of any investigation made by any such other party or on its behalf and notwithstanding that any Agent, any Arranger, any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Applicable Agent a written consent to the release of the Tranche A Lenders from their obligations hereunder with respect to any Letter of Credit issued by such Issuing Bank (whether as a result of the obligations of the Company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2.04(d) or 2.04(e). The provisions of Sections 2.14, 2.15, 2.16, 2.17(e), 2.20 and 11.03 and Article VIII shall survive and remain in full force and effect regardless of the consummation of the transactions contemplated hereby, the repayment of the Loans and BAs, the expiration or termination of the Letters of Credit and the Commitments or the termination of this Agreement or any provision hereof.</w:t>
      </w:r>
    </w:p>
    <w:p>
      <w:pPr>
        <w:spacing w:after="0" w:line="173"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Agents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Agents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fax or other electronic imaging means shall be effective as delivery of a manually executed counterpart of this Agreement.</w:t>
      </w:r>
    </w:p>
    <w:p>
      <w:pPr>
        <w:spacing w:after="0" w:line="17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98" w:name="page99"/>
    <w:bookmarkEnd w:id="98"/>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existing under this Agreement or any other Credit Document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6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(a) This Agreement shall be construed in accordance with and governed by the law of the State of New York.</w:t>
      </w:r>
    </w:p>
    <w:p>
      <w:pPr>
        <w:spacing w:after="0" w:line="170" w:lineRule="exact"/>
        <w:rPr>
          <w:sz w:val="20"/>
          <w:szCs w:val="20"/>
          <w:color w:val="auto"/>
        </w:rPr>
      </w:pPr>
    </w:p>
    <w:p>
      <w:pPr>
        <w:ind w:right="20" w:firstLine="921"/>
        <w:spacing w:after="0" w:line="290" w:lineRule="auto"/>
        <w:tabs>
          <w:tab w:leader="none" w:pos="116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that any Agent, Issuing Bank or Lender may otherwise have to bring any action or proceeding relating to this Agreement or any other Credit Document against any Borrower or its properties in the courts of any jurisdiction.</w:t>
      </w:r>
    </w:p>
    <w:p>
      <w:pPr>
        <w:spacing w:after="0" w:line="166" w:lineRule="exact"/>
        <w:rPr>
          <w:rFonts w:ascii="Arial" w:cs="Arial" w:eastAsia="Arial" w:hAnsi="Arial"/>
          <w:sz w:val="16"/>
          <w:szCs w:val="16"/>
          <w:color w:val="auto"/>
        </w:rPr>
      </w:pPr>
    </w:p>
    <w:p>
      <w:pPr>
        <w:ind w:right="140" w:firstLine="921"/>
        <w:spacing w:after="0" w:line="259" w:lineRule="auto"/>
        <w:tabs>
          <w:tab w:leader="none" w:pos="11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100" w:firstLine="921"/>
        <w:spacing w:after="0" w:line="291" w:lineRule="auto"/>
        <w:tabs>
          <w:tab w:leader="none" w:pos="116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Credit Party has appointed CT Corporation System, 111 Eighth Avenue, 13</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10011,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action arising out of or based on this Agreement or any other Credit Document which may be instituted in any court referred to in clause (b) of this Section by any Agent, Issuing Bank or Lender or their Affiliates, and waives any other requirements of or objections to personal jurisdiction with respect thereto. Such appointment shall be irrevocable. Each Credit Party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Credit Party shall be deemed, in every respect, effective service of process upon such Credit Party.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9" w:name="page100"/>
    <w:bookmarkEnd w:id="99"/>
    <w:p>
      <w:pPr>
        <w:ind w:right="160" w:firstLine="921"/>
        <w:spacing w:after="0" w:line="342" w:lineRule="auto"/>
        <w:tabs>
          <w:tab w:leader="none" w:pos="1158"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24"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Agent, Issuing Bank and Lender agrees to maintain the confidentiality of the Information (as defined below), and will not use such confidential Information for any purpose or in any manner except in connection with this Agreement, except that Information may be disclosed (a) to its and its Affiliates’ directors, officers, employees and agents,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supervisory or regulatory authority (including any self-regulatory authority, such as the National Association of Insurance Commissioners) (it being agreed that, except in the case of a request by a bank supervisory or regulatory authority, such Agent, Issuing Bank or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such Agent, Issuing Bank or Lender will to the extent reasonably practicable and permitted by law provide the Company with prior notice of such disclosure), (d) 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or (ii) any actual or prospective counterparty (or its advisors) to any Hedging Agreement or other derivative transaction relating to the Company or any Subsidiary and its obligations,</w:t>
      </w:r>
    </w:p>
    <w:p>
      <w:pPr>
        <w:spacing w:after="0" w:line="2" w:lineRule="exact"/>
        <w:rPr>
          <w:sz w:val="20"/>
          <w:szCs w:val="20"/>
          <w:color w:val="auto"/>
        </w:rPr>
      </w:pPr>
    </w:p>
    <w:p>
      <w:pPr>
        <w:ind w:right="20" w:firstLine="8"/>
        <w:spacing w:after="0" w:line="271"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with the written consent of the Company, (h) to the extent such Information (i) becomes publicly available other than as a result of a breach of this Section or any other confidentiality agreement to which it is party with the Company or any Subsidiary or (ii) becomes available to such Agent, Issuing Bank or Lender on a nonconfidential basis from a source other than the Company, (i) to any rating agency when required by it, provided that, prior to any disclosure, such rating agency shall undertake in writing to preserve the confidentiality of any confidential information relating to the Credit Parties received by it from any Agent or any Lender, or (j) on a confidential basis to the CUSIP Service Bureau or any similar agency to the extent required by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00" w:name="page101"/>
    <w:bookmarkEnd w:id="100"/>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agency in connection with the issuance and monitoring of CUSIP numbers with respect to the Loans. For the purposes of this Section, “</w:t>
      </w:r>
      <w:r>
        <w:rPr>
          <w:rFonts w:ascii="Arial" w:cs="Arial" w:eastAsia="Arial" w:hAnsi="Arial"/>
          <w:sz w:val="17"/>
          <w:szCs w:val="17"/>
          <w:i w:val="1"/>
          <w:iCs w:val="1"/>
          <w:color w:val="auto"/>
        </w:rPr>
        <w:t>Information</w:t>
      </w:r>
      <w:r>
        <w:rPr>
          <w:rFonts w:ascii="Arial" w:cs="Arial" w:eastAsia="Arial" w:hAnsi="Arial"/>
          <w:sz w:val="17"/>
          <w:szCs w:val="17"/>
          <w:color w:val="auto"/>
        </w:rPr>
        <w:t>” means all confidential information received from the Company relating to the Company or its businesses, other than any such information that is available to any Agent, Issuing Bank or Lender on a nonconfidential basis prior to disclosure by the Company.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Arial" w:cs="Arial" w:eastAsia="Arial" w:hAnsi="Arial"/>
          <w:sz w:val="18"/>
          <w:szCs w:val="18"/>
          <w:i w:val="1"/>
          <w:i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i w:val="1"/>
          <w:iCs w:val="1"/>
          <w:color w:val="auto"/>
        </w:rPr>
        <w:t>Maximum Rate</w:t>
      </w:r>
      <w:r>
        <w:rPr>
          <w:rFonts w:ascii="Arial" w:cs="Arial" w:eastAsia="Arial" w:hAnsi="Arial"/>
          <w:sz w:val="18"/>
          <w:szCs w:val="18"/>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Federal Funds Effective Rate to the date of repayment, shall have been received by such Lender.</w:t>
      </w:r>
    </w:p>
    <w:p>
      <w:pPr>
        <w:spacing w:after="0" w:line="19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hereby notifies the Borrowers that pursuant to the requirements of the USA PATRIOT Act, it is required to obtain, verify and record information that identifies the Borrowers, which information includes the names and addresses of the Borrowers and other information that will allow such Lender to identify the Borrowers in accordance with the USA PATRIOT Act.</w:t>
      </w:r>
    </w:p>
    <w:p>
      <w:pPr>
        <w:spacing w:after="0" w:line="166"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xml:space="preserve"> (a) Each Lender acknowledges that all information furnished to it pursuant to this Agreement by the Credit Parties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188" w:lineRule="exact"/>
        <w:rPr>
          <w:sz w:val="20"/>
          <w:szCs w:val="20"/>
          <w:color w:val="auto"/>
        </w:rPr>
      </w:pPr>
    </w:p>
    <w:p>
      <w:pPr>
        <w:ind w:right="160" w:firstLine="921"/>
        <w:spacing w:after="0" w:line="276" w:lineRule="auto"/>
        <w:tabs>
          <w:tab w:leader="none" w:pos="116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such information, including requests for waivers and amendments, furnished by the Credit Parties or the Administrative Agent pursuant to, or in the course of administering, this Agreement will be syndicate-level information, which may contain material non-public information about the Company and the Subsidiaries and their securities. Accordingly, each Lender represents to the Credit Parties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No Fiduciary Duty.</w:t>
      </w:r>
      <w:r>
        <w:rPr>
          <w:rFonts w:ascii="Arial" w:cs="Arial" w:eastAsia="Arial" w:hAnsi="Arial"/>
          <w:sz w:val="18"/>
          <w:szCs w:val="18"/>
          <w:color w:val="auto"/>
        </w:rPr>
        <w:t xml:space="preserve"> Each Credit Party agrees that in connection with all aspects of the Transactions and any communications in connection therewith, the Company and its Affiliates, on the one hand, and the Agents, the Arrangers, the Issuing Banks, the Lenders and their respective Affiliates, on the other hand, will have a business relationship that does not create, by implication or otherwise, any fiduciary duty on the part of the Agents, the Arrangers, the Issuing Banks, the Lenders or their respective Affiliates, and no such duty will be deemed to have arisen in connection with any such Transactions or communications.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sectPr>
      </w:pPr>
    </w:p>
    <w:bookmarkStart w:id="101" w:name="page102"/>
    <w:bookmarkEnd w:id="101"/>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11.17. </w:t>
      </w:r>
      <w:r>
        <w:rPr>
          <w:rFonts w:ascii="Arial" w:cs="Arial" w:eastAsia="Arial" w:hAnsi="Arial"/>
          <w:sz w:val="17"/>
          <w:szCs w:val="17"/>
          <w:u w:val="single" w:color="auto"/>
          <w:color w:val="auto"/>
        </w:rPr>
        <w:t>Senior Indebtedness.</w:t>
      </w:r>
      <w:r>
        <w:rPr>
          <w:rFonts w:ascii="Arial" w:cs="Arial" w:eastAsia="Arial" w:hAnsi="Arial"/>
          <w:sz w:val="17"/>
          <w:szCs w:val="17"/>
          <w:color w:val="auto"/>
        </w:rPr>
        <w:t xml:space="preserve"> In the event that any Credit Party shall at any time issue or have outstanding any Subordinated Indebtedness, such Credit Party shall take all such actions as shall be necessary under the terms of such Subordinated Indebtedness to cause the Obligations of such Credit Party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Credit Party are hereby designated as “senior indebtedness” and as “designated senior indebtedness” under and in respect of any indenture or other agreement or instrument under which Subordinated Indebtedness of such Credit Party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82" w:lineRule="exact"/>
        <w:rPr>
          <w:sz w:val="20"/>
          <w:szCs w:val="20"/>
          <w:color w:val="auto"/>
        </w:rPr>
      </w:pPr>
    </w:p>
    <w:p>
      <w:pPr>
        <w:ind w:right="340" w:firstLine="913"/>
        <w:spacing w:after="0" w:line="279"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xml:space="preserve">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1" w:lineRule="exact"/>
        <w:rPr>
          <w:sz w:val="20"/>
          <w:szCs w:val="20"/>
          <w:color w:val="auto"/>
        </w:rPr>
      </w:pPr>
    </w:p>
    <w:p>
      <w:pPr>
        <w:ind w:right="40" w:firstLine="921"/>
        <w:spacing w:after="0" w:line="271" w:lineRule="auto"/>
        <w:tabs>
          <w:tab w:leader="none" w:pos="116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obligations of each party hereto in respect of any sum due to any other party hereto or any holder of the obligations owing hereunder (the “</w:t>
      </w:r>
      <w:r>
        <w:rPr>
          <w:rFonts w:ascii="Arial" w:cs="Arial" w:eastAsia="Arial" w:hAnsi="Arial"/>
          <w:sz w:val="17"/>
          <w:szCs w:val="17"/>
          <w:i w:val="1"/>
          <w:iCs w:val="1"/>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i w:val="1"/>
          <w:iCs w:val="1"/>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i w:val="1"/>
          <w:iCs w:val="1"/>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7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Each Lender party hereto that is also a party to the Existing Credit Agreement hereby waives the notice requirements of Section 2.08(c) and Section 2.10(d) of the Existing Credit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02" w:name="page103"/>
    <w:bookmarkEnd w:id="10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5715</wp:posOffset>
            </wp:positionV>
            <wp:extent cx="25126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Elizabeth W. McDermon</w:t>
      </w:r>
    </w:p>
    <w:p>
      <w:pPr>
        <w:spacing w:after="0" w:line="23" w:lineRule="exact"/>
        <w:rPr>
          <w:sz w:val="20"/>
          <w:szCs w:val="20"/>
          <w:color w:val="auto"/>
        </w:rPr>
      </w:pPr>
    </w:p>
    <w:p>
      <w:pPr>
        <w:ind w:left="7460"/>
        <w:spacing w:after="0"/>
        <w:tabs>
          <w:tab w:leader="none" w:pos="8020" w:val="left"/>
        </w:tabs>
        <w:rPr>
          <w:sz w:val="20"/>
          <w:szCs w:val="20"/>
          <w:color w:val="auto"/>
        </w:rPr>
      </w:pPr>
      <w:r>
        <w:rPr>
          <w:rFonts w:ascii="Arial" w:cs="Arial" w:eastAsia="Arial" w:hAnsi="Arial"/>
          <w:sz w:val="18"/>
          <w:szCs w:val="18"/>
          <w:color w:val="auto"/>
        </w:rPr>
        <w:t>Title:</w:t>
        <w:tab/>
        <w:t>Secretary</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EUROPEAN SOFTWARE MARKETING LIMITED,</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Marina Eleni Smila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5715</wp:posOffset>
            </wp:positionV>
            <wp:extent cx="25126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Marina Eleni Smila</w:t>
      </w:r>
    </w:p>
    <w:p>
      <w:pPr>
        <w:spacing w:after="0" w:line="23" w:lineRule="exact"/>
        <w:rPr>
          <w:sz w:val="20"/>
          <w:szCs w:val="20"/>
          <w:color w:val="auto"/>
        </w:rPr>
      </w:pPr>
    </w:p>
    <w:p>
      <w:pPr>
        <w:ind w:left="7460"/>
        <w:spacing w:after="0"/>
        <w:tabs>
          <w:tab w:leader="none" w:pos="80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1420"/>
          </w:cols>
          <w:pgMar w:left="240" w:top="274" w:right="239" w:bottom="1440" w:gutter="0" w:footer="0" w:header="0"/>
        </w:sectPr>
      </w:pPr>
    </w:p>
    <w:bookmarkStart w:id="103" w:name="page104"/>
    <w:bookmarkEnd w:id="10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individually and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Issuing Bank</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Sandeep S. Parihar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Sandeep S. Parihar</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 P. MORGAN EUROPE LIMITED, individually and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London Agent,</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Belinda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Belinda Lucas</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JPMORGAN CHASE BANK, N.A., TORONTO BRANCH,</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individually and as Canadian Agent</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Sandeep S. Parihar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Sandeep S. Parihar</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0040"/>
          </w:cols>
          <w:pgMar w:left="1440" w:top="274" w:right="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 individually and as Syndication Agent,</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9840"/>
          </w:cols>
          <w:pgMar w:left="1440" w:top="274" w:right="6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PLC, individually and as Syndication Agent,</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Rachael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Rachael Willis</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9960"/>
          </w:cols>
          <w:pgMar w:left="1440" w:top="274" w:right="49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individually and as Documentation</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Eric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Eric Leblanc</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Vice President - KBI</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John H.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5715</wp:posOffset>
            </wp:positionV>
            <wp:extent cx="2512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John H. Lee</w:t>
      </w:r>
    </w:p>
    <w:p>
      <w:pPr>
        <w:spacing w:after="0" w:line="2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Sr. Relationship Manager - KBI</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9900"/>
          </w:cols>
          <w:pgMar w:left="1440" w:top="274" w:right="559" w:bottom="1440" w:gutter="0" w:footer="0" w:header="0"/>
        </w:sectPr>
      </w:pPr>
    </w:p>
    <w:bookmarkStart w:id="107" w:name="page108"/>
    <w:bookmarkEnd w:id="107"/>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2478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King</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1380"/>
          </w:cols>
          <w:pgMar w:left="240" w:top="274" w:right="279" w:bottom="1440" w:gutter="0" w:footer="0" w:header="0"/>
        </w:sectPr>
      </w:pPr>
    </w:p>
    <w:bookmarkStart w:id="108" w:name="page109"/>
    <w:bookmarkEnd w:id="108"/>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SIGNATURE PAGE TO THE AMDOCS LIMITED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Boaz Blumovitz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2478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Boaz Blumovitz</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any institution requiring a second signature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Shani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2478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Shani Handler</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380"/>
          </w:cols>
          <w:pgMar w:left="240" w:top="274" w:right="279" w:bottom="1440" w:gutter="0" w:footer="0" w:header="0"/>
        </w:sectPr>
      </w:pPr>
    </w:p>
    <w:bookmarkStart w:id="109" w:name="page110"/>
    <w:bookmarkEnd w:id="109"/>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2478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Name:</w:t>
        <w:tab/>
        <w:t>Lillian Kim</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Title:</w:t>
        <w:tab/>
        <w:t>Director</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lowerLetter"/>
      <w:start w:val="2"/>
    </w:lvl>
  </w:abstractNum>
  <w:abstractNum w:abstractNumId="1">
    <w:nsid w:val="47398C89"/>
    <w:multiLevelType w:val="hybridMultilevel"/>
    <w:lvl w:ilvl="0">
      <w:lvlJc w:val="left"/>
      <w:lvlText w:val="(%1)"/>
      <w:numFmt w:val="lowerRoman"/>
      <w:start w:val="2"/>
    </w:lvl>
  </w:abstractNum>
  <w:abstractNum w:abstractNumId="2">
    <w:nsid w:val="354FE9F9"/>
    <w:multiLevelType w:val="hybridMultilevel"/>
    <w:lvl w:ilvl="0">
      <w:lvlJc w:val="left"/>
      <w:lvlText w:val="(%1)"/>
      <w:numFmt w:val="lowerLetter"/>
      <w:start w:val="3"/>
    </w:lvl>
  </w:abstractNum>
  <w:abstractNum w:abstractNumId="3">
    <w:nsid w:val="15B5AF5C"/>
    <w:multiLevelType w:val="hybridMultilevel"/>
    <w:lvl w:ilvl="0">
      <w:lvlJc w:val="left"/>
      <w:lvlText w:val="(%1)"/>
      <w:numFmt w:val="lowerLetter"/>
      <w:start w:val="2"/>
    </w:lvl>
  </w:abstractNum>
  <w:abstractNum w:abstractNumId="4">
    <w:nsid w:val="741226BB"/>
    <w:multiLevelType w:val="hybridMultilevel"/>
    <w:lvl w:ilvl="0">
      <w:lvlJc w:val="left"/>
      <w:lvlText w:val="(%1)"/>
      <w:numFmt w:val="lowerLetter"/>
      <w:start w:val="2"/>
    </w:lvl>
  </w:abstractNum>
  <w:abstractNum w:abstractNumId="5">
    <w:nsid w:val="D34B6A8"/>
    <w:multiLevelType w:val="hybridMultilevel"/>
    <w:lvl w:ilvl="0">
      <w:lvlJc w:val="left"/>
      <w:lvlText w:val="(%1)"/>
      <w:numFmt w:val="lowerLetter"/>
      <w:start w:val="2"/>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lowerLetter"/>
      <w:start w:val="1"/>
    </w:lvl>
  </w:abstractNum>
  <w:abstractNum w:abstractNumId="9">
    <w:nsid w:val="7E0C57B1"/>
    <w:multiLevelType w:val="hybridMultilevel"/>
    <w:lvl w:ilvl="0">
      <w:lvlJc w:val="left"/>
      <w:lvlText w:val="(%1)"/>
      <w:numFmt w:val="lowerLetter"/>
      <w:start w:val="2"/>
    </w:lvl>
  </w:abstractNum>
  <w:abstractNum w:abstractNumId="10">
    <w:nsid w:val="77AE35EB"/>
    <w:multiLevelType w:val="hybridMultilevel"/>
    <w:lvl w:ilvl="0">
      <w:lvlJc w:val="left"/>
      <w:lvlText w:val="(%1)"/>
      <w:numFmt w:val="lowerLetter"/>
      <w:start w:val="3"/>
    </w:lvl>
  </w:abstractNum>
  <w:abstractNum w:abstractNumId="11">
    <w:nsid w:val="579BE4F1"/>
    <w:multiLevelType w:val="hybridMultilevel"/>
    <w:lvl w:ilvl="0">
      <w:lvlJc w:val="left"/>
      <w:lvlText w:val="%1"/>
      <w:numFmt w:val="upperLetter"/>
      <w:start w:val="1"/>
    </w:lvl>
    <w:lvl w:ilvl="1">
      <w:lvlJc w:val="left"/>
      <w:lvlText w:val="(%2)"/>
      <w:numFmt w:val="lowerLetter"/>
      <w:start w:val="2"/>
    </w:lvl>
  </w:abstractNum>
  <w:abstractNum w:abstractNumId="12">
    <w:nsid w:val="310C50B3"/>
    <w:multiLevelType w:val="hybridMultilevel"/>
    <w:lvl w:ilvl="0">
      <w:lvlJc w:val="left"/>
      <w:lvlText w:val="(%1)"/>
      <w:numFmt w:val="upperLetter"/>
      <w:start w:val="2"/>
    </w:lvl>
    <w:lvl w:ilvl="1">
      <w:lvlJc w:val="left"/>
      <w:lvlText w:val="(%2)"/>
      <w:numFmt w:val="lowerLetter"/>
      <w:start w:val="3"/>
    </w:lvl>
  </w:abstractNum>
  <w:abstractNum w:abstractNumId="13">
    <w:nsid w:val="5FF87E05"/>
    <w:multiLevelType w:val="hybridMultilevel"/>
    <w:lvl w:ilvl="0">
      <w:lvlJc w:val="left"/>
      <w:lvlText w:val="(%1)"/>
      <w:numFmt w:val="lowerRoman"/>
      <w:start w:val="1"/>
    </w:lvl>
  </w:abstractNum>
  <w:abstractNum w:abstractNumId="14">
    <w:nsid w:val="2F305DEF"/>
    <w:multiLevelType w:val="hybridMultilevel"/>
    <w:lvl w:ilvl="0">
      <w:lvlJc w:val="left"/>
      <w:lvlText w:val="%1"/>
      <w:numFmt w:val="lowerLetter"/>
      <w:start w:val="1"/>
    </w:lvl>
    <w:lvl w:ilvl="1">
      <w:lvlJc w:val="left"/>
      <w:lvlText w:val="(%2)"/>
      <w:numFmt w:val="lowerLetter"/>
      <w:start w:val="2"/>
    </w:lvl>
  </w:abstractNum>
  <w:abstractNum w:abstractNumId="15">
    <w:nsid w:val="25A70BF7"/>
    <w:multiLevelType w:val="hybridMultilevel"/>
    <w:lvl w:ilvl="0">
      <w:lvlJc w:val="left"/>
      <w:lvlText w:val="(%1)"/>
      <w:numFmt w:val="lowerLetter"/>
      <w:start w:val="35"/>
    </w:lvl>
    <w:lvl w:ilvl="1">
      <w:lvlJc w:val="left"/>
      <w:lvlText w:val="(%2)"/>
      <w:numFmt w:val="lowerLetter"/>
      <w:start w:val="3"/>
    </w:lvl>
  </w:abstractNum>
  <w:abstractNum w:abstractNumId="16">
    <w:nsid w:val="1DBABF00"/>
    <w:multiLevelType w:val="hybridMultilevel"/>
    <w:lvl w:ilvl="0">
      <w:lvlJc w:val="left"/>
      <w:lvlText w:val="(%1)"/>
      <w:numFmt w:val="lowerLetter"/>
      <w:start w:val="5"/>
    </w:lvl>
  </w:abstractNum>
  <w:abstractNum w:abstractNumId="17">
    <w:nsid w:val="4AD084E9"/>
    <w:multiLevelType w:val="hybridMultilevel"/>
    <w:lvl w:ilvl="0">
      <w:lvlJc w:val="left"/>
      <w:lvlText w:val="(%1)"/>
      <w:numFmt w:val="lowerLetter"/>
      <w:start w:val="7"/>
    </w:lvl>
  </w:abstractNum>
  <w:abstractNum w:abstractNumId="18">
    <w:nsid w:val="1F48EAA1"/>
    <w:multiLevelType w:val="hybridMultilevel"/>
    <w:lvl w:ilvl="0">
      <w:lvlJc w:val="left"/>
      <w:lvlText w:val="(%1)"/>
      <w:numFmt w:val="lowerLetter"/>
      <w:start w:val="10"/>
    </w:lvl>
  </w:abstractNum>
  <w:abstractNum w:abstractNumId="19">
    <w:nsid w:val="1381823A"/>
    <w:multiLevelType w:val="hybridMultilevel"/>
    <w:lvl w:ilvl="0">
      <w:lvlJc w:val="left"/>
      <w:lvlText w:val="(%1)"/>
      <w:numFmt w:val="lowerLetter"/>
      <w:start w:val="12"/>
    </w:lvl>
  </w:abstractNum>
  <w:abstractNum w:abstractNumId="20">
    <w:nsid w:val="5DB70AE5"/>
    <w:multiLevelType w:val="hybridMultilevel"/>
    <w:lvl w:ilvl="0">
      <w:lvlJc w:val="left"/>
      <w:lvlText w:val="(%1)"/>
      <w:numFmt w:val="lowerLetter"/>
      <w:start w:val="3"/>
    </w:lvl>
    <w:lvl w:ilvl="1">
      <w:lvlJc w:val="left"/>
      <w:lvlText w:val="(%2)"/>
      <w:numFmt w:val="lowerLetter"/>
      <w:start w:val="9"/>
    </w:lvl>
  </w:abstractNum>
  <w:abstractNum w:abstractNumId="21">
    <w:nsid w:val="100F8FCA"/>
    <w:multiLevelType w:val="hybridMultilevel"/>
    <w:lvl w:ilvl="0">
      <w:lvlJc w:val="left"/>
      <w:lvlText w:val="(%1)"/>
      <w:numFmt w:val="lowerRoman"/>
      <w:start w:val="2"/>
    </w:lvl>
  </w:abstractNum>
  <w:abstractNum w:abstractNumId="22">
    <w:nsid w:val="6590700B"/>
    <w:multiLevelType w:val="hybridMultilevel"/>
    <w:lvl w:ilvl="0">
      <w:lvlJc w:val="left"/>
      <w:lvlText w:val="(%1)"/>
      <w:numFmt w:val="lowerLetter"/>
      <w:start w:val="4"/>
    </w:lvl>
  </w:abstractNum>
  <w:abstractNum w:abstractNumId="23">
    <w:nsid w:val="15014ACB"/>
    <w:multiLevelType w:val="hybridMultilevel"/>
    <w:lvl w:ilvl="0">
      <w:lvlJc w:val="left"/>
      <w:lvlText w:val="(%1)"/>
      <w:numFmt w:val="lowerLetter"/>
      <w:start w:val="6"/>
    </w:lvl>
  </w:abstractNum>
  <w:abstractNum w:abstractNumId="24">
    <w:nsid w:val="5F5E7FD0"/>
    <w:multiLevelType w:val="hybridMultilevel"/>
    <w:lvl w:ilvl="0">
      <w:lvlJc w:val="left"/>
      <w:lvlText w:val="(%1)"/>
      <w:numFmt w:val="lowerLetter"/>
      <w:start w:val="12"/>
    </w:lvl>
  </w:abstractNum>
  <w:abstractNum w:abstractNumId="25">
    <w:nsid w:val="98A3148"/>
    <w:multiLevelType w:val="hybridMultilevel"/>
    <w:lvl w:ilvl="0">
      <w:lvlJc w:val="left"/>
      <w:lvlText w:val="(%1)"/>
      <w:numFmt w:val="lowerLetter"/>
      <w:start w:val="2"/>
    </w:lvl>
  </w:abstractNum>
  <w:abstractNum w:abstractNumId="26">
    <w:nsid w:val="799D0247"/>
    <w:multiLevelType w:val="hybridMultilevel"/>
    <w:lvl w:ilvl="0">
      <w:lvlJc w:val="left"/>
      <w:lvlText w:val="(%1)"/>
      <w:numFmt w:val="lowerLetter"/>
      <w:start w:val="2"/>
    </w:lvl>
    <w:lvl w:ilvl="1">
      <w:lvlJc w:val="left"/>
      <w:lvlText w:val="(%2)"/>
      <w:numFmt w:val="lowerRoman"/>
      <w:start w:val="1"/>
    </w:lvl>
  </w:abstractNum>
  <w:abstractNum w:abstractNumId="27">
    <w:nsid w:val="6B94764"/>
    <w:multiLevelType w:val="hybridMultilevel"/>
    <w:lvl w:ilvl="0">
      <w:lvlJc w:val="left"/>
      <w:lvlText w:val="(%1)"/>
      <w:numFmt w:val="lowerLetter"/>
      <w:start w:val="4"/>
    </w:lvl>
  </w:abstractNum>
  <w:abstractNum w:abstractNumId="28">
    <w:nsid w:val="42C296BD"/>
    <w:multiLevelType w:val="hybridMultilevel"/>
    <w:lvl w:ilvl="0">
      <w:lvlJc w:val="left"/>
      <w:lvlText w:val="(%1)"/>
      <w:numFmt w:val="lowerLetter"/>
      <w:start w:val="2"/>
    </w:lvl>
  </w:abstractNum>
  <w:abstractNum w:abstractNumId="29">
    <w:nsid w:val="168E121F"/>
    <w:multiLevelType w:val="hybridMultilevel"/>
    <w:lvl w:ilvl="0">
      <w:lvlJc w:val="left"/>
      <w:lvlText w:val="(%1)"/>
      <w:numFmt w:val="lowerLetter"/>
      <w:start w:val="5"/>
    </w:lvl>
  </w:abstractNum>
  <w:abstractNum w:abstractNumId="30">
    <w:nsid w:val="1EBA5D23"/>
    <w:multiLevelType w:val="hybridMultilevel"/>
    <w:lvl w:ilvl="0">
      <w:lvlJc w:val="left"/>
      <w:lvlText w:val="(%1)"/>
      <w:numFmt w:val="lowerLetter"/>
      <w:start w:val="2"/>
    </w:lvl>
  </w:abstractNum>
  <w:abstractNum w:abstractNumId="31">
    <w:nsid w:val="661E3F1E"/>
    <w:multiLevelType w:val="hybridMultilevel"/>
    <w:lvl w:ilvl="0">
      <w:lvlJc w:val="left"/>
      <w:lvlText w:val="(%1)"/>
      <w:numFmt w:val="lowerLetter"/>
      <w:start w:val="5"/>
    </w:lvl>
  </w:abstractNum>
  <w:abstractNum w:abstractNumId="32">
    <w:nsid w:val="5DC79EA8"/>
    <w:multiLevelType w:val="hybridMultilevel"/>
    <w:lvl w:ilvl="0">
      <w:lvlJc w:val="left"/>
      <w:lvlText w:val="(%1)"/>
      <w:numFmt w:val="lowerLetter"/>
      <w:start w:val="2"/>
    </w:lvl>
  </w:abstractNum>
  <w:abstractNum w:abstractNumId="33">
    <w:nsid w:val="540A471C"/>
    <w:multiLevelType w:val="hybridMultilevel"/>
    <w:lvl w:ilvl="0">
      <w:lvlJc w:val="left"/>
      <w:lvlText w:val="(%1)"/>
      <w:numFmt w:val="lowerLetter"/>
      <w:start w:val="2"/>
    </w:lvl>
  </w:abstractNum>
  <w:abstractNum w:abstractNumId="34">
    <w:nsid w:val="7BD3EE7B"/>
    <w:multiLevelType w:val="hybridMultilevel"/>
    <w:lvl w:ilvl="0">
      <w:lvlJc w:val="left"/>
      <w:lvlText w:val="(%1)"/>
      <w:numFmt w:val="lowerLetter"/>
      <w:start w:val="4"/>
    </w:lvl>
  </w:abstractNum>
  <w:abstractNum w:abstractNumId="35">
    <w:nsid w:val="51D9C564"/>
    <w:multiLevelType w:val="hybridMultilevel"/>
    <w:lvl w:ilvl="0">
      <w:lvlJc w:val="left"/>
      <w:lvlText w:val="%1"/>
      <w:numFmt w:val="lowerLetter"/>
      <w:start w:val="1"/>
    </w:lvl>
    <w:lvl w:ilvl="1">
      <w:lvlJc w:val="left"/>
      <w:lvlText w:val="(%2)"/>
      <w:numFmt w:val="lowerLetter"/>
      <w:start w:val="2"/>
    </w:lvl>
  </w:abstractNum>
  <w:abstractNum w:abstractNumId="36">
    <w:nsid w:val="613EFDC5"/>
    <w:multiLevelType w:val="hybridMultilevel"/>
    <w:lvl w:ilvl="0">
      <w:lvlJc w:val="left"/>
      <w:lvlText w:val="(%1)"/>
      <w:numFmt w:val="lowerLetter"/>
      <w:start w:val="35"/>
    </w:lvl>
    <w:lvl w:ilvl="1">
      <w:lvlJc w:val="left"/>
      <w:lvlText w:val="%2"/>
      <w:numFmt w:val="lowerLetter"/>
      <w:start w:val="1"/>
    </w:lvl>
  </w:abstractNum>
  <w:abstractNum w:abstractNumId="37">
    <w:nsid w:val="BF72B14"/>
    <w:multiLevelType w:val="hybridMultilevel"/>
    <w:lvl w:ilvl="0">
      <w:lvlJc w:val="left"/>
      <w:lvlText w:val="%1"/>
      <w:numFmt w:val="lowerLetter"/>
      <w:start w:val="1"/>
    </w:lvl>
    <w:lvl w:ilvl="1">
      <w:lvlJc w:val="left"/>
      <w:lvlText w:val="(%2)"/>
      <w:numFmt w:val="lowerLetter"/>
      <w:start w:val="7"/>
    </w:lvl>
  </w:abstractNum>
  <w:abstractNum w:abstractNumId="38">
    <w:nsid w:val="11447B73"/>
    <w:multiLevelType w:val="hybridMultilevel"/>
    <w:lvl w:ilvl="0">
      <w:lvlJc w:val="left"/>
      <w:lvlText w:val="(%1)"/>
      <w:numFmt w:val="lowerLetter"/>
      <w:start w:val="35"/>
    </w:lvl>
    <w:lvl w:ilvl="1">
      <w:lvlJc w:val="left"/>
      <w:lvlText w:val="(%2)"/>
      <w:numFmt w:val="lowerLetter"/>
      <w:start w:val="8"/>
    </w:lvl>
  </w:abstractNum>
  <w:abstractNum w:abstractNumId="39">
    <w:nsid w:val="42963E5A"/>
    <w:multiLevelType w:val="hybridMultilevel"/>
    <w:lvl w:ilvl="0">
      <w:lvlJc w:val="left"/>
      <w:lvlText w:val="(%1)"/>
      <w:numFmt w:val="lowerRoman"/>
      <w:start w:val="1"/>
    </w:lvl>
  </w:abstractNum>
  <w:abstractNum w:abstractNumId="40">
    <w:nsid w:val="A0382C5"/>
    <w:multiLevelType w:val="hybridMultilevel"/>
    <w:lvl w:ilvl="0">
      <w:lvlJc w:val="left"/>
      <w:lvlText w:val="(%1)"/>
      <w:numFmt w:val="decimal"/>
      <w:start w:val="2"/>
    </w:lvl>
    <w:lvl w:ilvl="1">
      <w:lvlJc w:val="left"/>
      <w:lvlText w:val="(%2)"/>
      <w:numFmt w:val="lowerLetter"/>
      <w:start w:val="2"/>
    </w:lvl>
  </w:abstractNum>
  <w:abstractNum w:abstractNumId="41">
    <w:nsid w:val="8F2B15E"/>
    <w:multiLevelType w:val="hybridMultilevel"/>
    <w:lvl w:ilvl="0">
      <w:lvlJc w:val="left"/>
      <w:lvlText w:val="(%1)"/>
      <w:numFmt w:val="lowerRoman"/>
      <w:start w:val="1"/>
    </w:lvl>
  </w:abstractNum>
  <w:abstractNum w:abstractNumId="42">
    <w:nsid w:val="1A32234B"/>
    <w:multiLevelType w:val="hybridMultilevel"/>
    <w:lvl w:ilvl="0">
      <w:lvlJc w:val="left"/>
      <w:lvlText w:val="%1"/>
      <w:numFmt w:val="lowerLetter"/>
      <w:start w:val="1"/>
    </w:lvl>
    <w:lvl w:ilvl="1">
      <w:lvlJc w:val="left"/>
      <w:lvlText w:val="(%2)"/>
      <w:numFmt w:val="lowerLetter"/>
      <w:start w:val="2"/>
    </w:lvl>
  </w:abstractNum>
  <w:abstractNum w:abstractNumId="43">
    <w:nsid w:val="3B0FD379"/>
    <w:multiLevelType w:val="hybridMultilevel"/>
    <w:lvl w:ilvl="0">
      <w:lvlJc w:val="left"/>
      <w:lvlText w:val="(%1)"/>
      <w:numFmt w:val="lowerLetter"/>
      <w:start w:val="2"/>
    </w:lvl>
    <w:lvl w:ilvl="1">
      <w:lvlJc w:val="left"/>
      <w:lvlText w:val="(%2)"/>
      <w:numFmt w:val="lowerLetter"/>
      <w:start w:val="4"/>
    </w:lvl>
  </w:abstractNum>
  <w:abstractNum w:abstractNumId="44">
    <w:nsid w:val="68EB2F63"/>
    <w:multiLevelType w:val="hybridMultilevel"/>
    <w:lvl w:ilvl="0">
      <w:lvlJc w:val="left"/>
      <w:lvlText w:val="(%1)"/>
      <w:numFmt w:val="lowerLetter"/>
      <w:start w:val="6"/>
    </w:lvl>
  </w:abstractNum>
  <w:abstractNum w:abstractNumId="45">
    <w:nsid w:val="4962813B"/>
    <w:multiLevelType w:val="hybridMultilevel"/>
    <w:lvl w:ilvl="0">
      <w:lvlJc w:val="left"/>
      <w:lvlText w:val="(%1)"/>
      <w:numFmt w:val="lowerRoman"/>
      <w:start w:val="3"/>
    </w:lvl>
  </w:abstractNum>
  <w:abstractNum w:abstractNumId="46">
    <w:nsid w:val="60B6DF70"/>
    <w:multiLevelType w:val="hybridMultilevel"/>
    <w:lvl w:ilvl="0">
      <w:lvlJc w:val="left"/>
      <w:lvlText w:val="(%1)"/>
      <w:numFmt w:val="lowerLetter"/>
      <w:start w:val="2"/>
    </w:lvl>
  </w:abstractNum>
  <w:abstractNum w:abstractNumId="47">
    <w:nsid w:val="6A5EE64"/>
    <w:multiLevelType w:val="hybridMultilevel"/>
    <w:lvl w:ilvl="0">
      <w:lvlJc w:val="left"/>
      <w:lvlText w:val="(%1)"/>
      <w:numFmt w:val="lowerRoman"/>
      <w:start w:val="2"/>
    </w:lvl>
  </w:abstractNum>
  <w:abstractNum w:abstractNumId="48">
    <w:nsid w:val="14330624"/>
    <w:multiLevelType w:val="hybridMultilevel"/>
    <w:lvl w:ilvl="0">
      <w:lvlJc w:val="left"/>
      <w:lvlText w:val="(%1)"/>
      <w:numFmt w:val="lowerLetter"/>
      <w:start w:val="4"/>
    </w:lvl>
  </w:abstractNum>
  <w:abstractNum w:abstractNumId="49">
    <w:nsid w:val="7FFFCA11"/>
    <w:multiLevelType w:val="hybridMultilevel"/>
    <w:lvl w:ilvl="0">
      <w:lvlJc w:val="left"/>
      <w:lvlText w:val="%1"/>
      <w:numFmt w:val="lowerLetter"/>
      <w:start w:val="1"/>
    </w:lvl>
    <w:lvl w:ilvl="1">
      <w:lvlJc w:val="left"/>
      <w:lvlText w:val="(%2)"/>
      <w:numFmt w:val="lowerRoman"/>
      <w:start w:val="2"/>
    </w:lvl>
  </w:abstractNum>
  <w:abstractNum w:abstractNumId="50">
    <w:nsid w:val="1A27709E"/>
    <w:multiLevelType w:val="hybridMultilevel"/>
    <w:lvl w:ilvl="0">
      <w:lvlJc w:val="left"/>
      <w:lvlText w:val="(%1)"/>
      <w:numFmt w:val="lowerLetter"/>
      <w:start w:val="6"/>
    </w:lvl>
    <w:lvl w:ilvl="1">
      <w:lvlJc w:val="left"/>
      <w:lvlText w:val="%2"/>
      <w:numFmt w:val="lowerRoman"/>
      <w:start w:val="1"/>
    </w:lvl>
  </w:abstractNum>
  <w:abstractNum w:abstractNumId="51">
    <w:nsid w:val="71EA1109"/>
    <w:multiLevelType w:val="hybridMultilevel"/>
    <w:lvl w:ilvl="0">
      <w:lvlJc w:val="left"/>
      <w:lvlText w:val="(%1)"/>
      <w:numFmt w:val="lowerLetter"/>
      <w:start w:val="8"/>
    </w:lvl>
  </w:abstractNum>
  <w:abstractNum w:abstractNumId="52">
    <w:nsid w:val="100F59DC"/>
    <w:multiLevelType w:val="hybridMultilevel"/>
    <w:lvl w:ilvl="0">
      <w:lvlJc w:val="left"/>
      <w:lvlText w:val="(%1)"/>
      <w:numFmt w:val="lowerRoman"/>
      <w:start w:val="2"/>
    </w:lvl>
  </w:abstractNum>
  <w:abstractNum w:abstractNumId="53">
    <w:nsid w:val="7FB7E0AA"/>
    <w:multiLevelType w:val="hybridMultilevel"/>
    <w:lvl w:ilvl="0">
      <w:lvlJc w:val="left"/>
      <w:lvlText w:val="(%1)"/>
      <w:numFmt w:val="lowerLetter"/>
      <w:start w:val="2"/>
    </w:lvl>
  </w:abstractNum>
  <w:abstractNum w:abstractNumId="54">
    <w:nsid w:val="6EB5BD4"/>
    <w:multiLevelType w:val="hybridMultilevel"/>
    <w:lvl w:ilvl="0">
      <w:lvlJc w:val="left"/>
      <w:lvlText w:val="(%1)"/>
      <w:numFmt w:val="lowerLetter"/>
      <w:start w:val="5"/>
    </w:lvl>
  </w:abstractNum>
  <w:abstractNum w:abstractNumId="55">
    <w:nsid w:val="6F6DD9AC"/>
    <w:multiLevelType w:val="hybridMultilevel"/>
    <w:lvl w:ilvl="0">
      <w:lvlJc w:val="left"/>
      <w:lvlText w:val="(%1)"/>
      <w:numFmt w:val="lowerLetter"/>
      <w:start w:val="2"/>
    </w:lvl>
  </w:abstractNum>
  <w:abstractNum w:abstractNumId="56">
    <w:nsid w:val="94211F2"/>
    <w:multiLevelType w:val="hybridMultilevel"/>
    <w:lvl w:ilvl="0">
      <w:lvlJc w:val="left"/>
      <w:lvlText w:val="(%1)"/>
      <w:numFmt w:val="lowerLetter"/>
      <w:start w:val="25"/>
    </w:lvl>
    <w:lvl w:ilvl="1">
      <w:lvlJc w:val="left"/>
      <w:lvlText w:val="(%2)"/>
      <w:numFmt w:val="lowerLetter"/>
      <w:start w:val="3"/>
    </w:lvl>
  </w:abstractNum>
  <w:abstractNum w:abstractNumId="57">
    <w:nsid w:val="885E1B"/>
    <w:multiLevelType w:val="hybridMultilevel"/>
    <w:lvl w:ilvl="0">
      <w:lvlJc w:val="left"/>
      <w:lvlText w:val="(%1)"/>
      <w:numFmt w:val="lowerLetter"/>
      <w:start w:val="1"/>
    </w:lvl>
    <w:lvl w:ilvl="1">
      <w:lvlJc w:val="left"/>
      <w:lvlText w:val="(%2)"/>
      <w:numFmt w:val="lowerLetter"/>
      <w:start w:val="9"/>
    </w:lvl>
  </w:abstractNum>
  <w:abstractNum w:abstractNumId="58">
    <w:nsid w:val="76272110"/>
    <w:multiLevelType w:val="hybridMultilevel"/>
    <w:lvl w:ilvl="0">
      <w:lvlJc w:val="left"/>
      <w:lvlText w:val="(%1)"/>
      <w:numFmt w:val="lowerRoman"/>
      <w:start w:val="2"/>
    </w:lvl>
  </w:abstractNum>
  <w:abstractNum w:abstractNumId="59">
    <w:nsid w:val="4C04A8AF"/>
    <w:multiLevelType w:val="hybridMultilevel"/>
    <w:lvl w:ilvl="0">
      <w:lvlJc w:val="left"/>
      <w:lvlText w:val="(%1)"/>
      <w:numFmt w:val="lowerLetter"/>
      <w:start w:val="4"/>
    </w:lvl>
  </w:abstractNum>
  <w:abstractNum w:abstractNumId="60">
    <w:nsid w:val="1716703B"/>
    <w:multiLevelType w:val="hybridMultilevel"/>
    <w:lvl w:ilvl="0">
      <w:lvlJc w:val="left"/>
      <w:lvlText w:val="(%1)"/>
      <w:numFmt w:val="lowerLetter"/>
      <w:start w:val="2"/>
    </w:lvl>
  </w:abstractNum>
  <w:abstractNum w:abstractNumId="61">
    <w:nsid w:val="14E17E33"/>
    <w:multiLevelType w:val="hybridMultilevel"/>
    <w:lvl w:ilvl="0">
      <w:lvlJc w:val="left"/>
      <w:lvlText w:val="(%1)"/>
      <w:numFmt w:val="lowerLetter"/>
      <w:start w:val="2"/>
    </w:lvl>
  </w:abstractNum>
  <w:abstractNum w:abstractNumId="62">
    <w:nsid w:val="3222E7CD"/>
    <w:multiLevelType w:val="hybridMultilevel"/>
    <w:lvl w:ilvl="0">
      <w:lvlJc w:val="left"/>
      <w:lvlText w:val="(%1)"/>
      <w:numFmt w:val="lowerLetter"/>
      <w:start w:val="2"/>
    </w:lvl>
  </w:abstractNum>
  <w:abstractNum w:abstractNumId="63">
    <w:nsid w:val="74DE0EE3"/>
    <w:multiLevelType w:val="hybridMultilevel"/>
    <w:lvl w:ilvl="0">
      <w:lvlJc w:val="left"/>
      <w:lvlText w:val="(%1)"/>
      <w:numFmt w:val="lowerLetter"/>
      <w:start w:val="2"/>
    </w:lvl>
  </w:abstractNum>
  <w:abstractNum w:abstractNumId="64">
    <w:nsid w:val="68EBC550"/>
    <w:multiLevelType w:val="hybridMultilevel"/>
    <w:lvl w:ilvl="0">
      <w:lvlJc w:val="left"/>
      <w:lvlText w:val="(%1)"/>
      <w:numFmt w:val="lowerLetter"/>
      <w:start w:val="2"/>
    </w:lvl>
  </w:abstractNum>
  <w:abstractNum w:abstractNumId="65">
    <w:nsid w:val="2DF6D648"/>
    <w:multiLevelType w:val="hybridMultilevel"/>
    <w:lvl w:ilvl="0">
      <w:lvlJc w:val="left"/>
      <w:lvlText w:val="(%1)"/>
      <w:numFmt w:val="lowerLetter"/>
      <w:start w:val="2"/>
    </w:lvl>
  </w:abstractNum>
  <w:abstractNum w:abstractNumId="66">
    <w:nsid w:val="46B7D447"/>
    <w:multiLevelType w:val="hybridMultilevel"/>
    <w:lvl w:ilvl="0">
      <w:lvlJc w:val="left"/>
      <w:lvlText w:val="(%1)"/>
      <w:numFmt w:val="lowerLetter"/>
      <w:start w:val="1"/>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4"/>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1"/>
    </w:lvl>
    <w:lvl w:ilvl="1">
      <w:lvlJc w:val="left"/>
      <w:lvlText w:val="(%2)"/>
      <w:numFmt w:val="lowerLetter"/>
      <w:start w:val="3"/>
    </w:lvl>
  </w:abstractNum>
  <w:abstractNum w:abstractNumId="72">
    <w:nsid w:val="60EF0119"/>
    <w:multiLevelType w:val="hybridMultilevel"/>
    <w:lvl w:ilvl="0">
      <w:lvlJc w:val="left"/>
      <w:lvlText w:val="(%1)"/>
      <w:numFmt w:val="lowerLetter"/>
      <w:start w:val="9"/>
    </w:lvl>
    <w:lvl w:ilvl="1">
      <w:lvlJc w:val="left"/>
      <w:lvlText w:val="(%2)"/>
      <w:numFmt w:val="lowerLetter"/>
      <w:start w:val="4"/>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4"/>
    </w:lvl>
  </w:abstractNum>
  <w:abstractNum w:abstractNumId="75">
    <w:nsid w:val="49DA307D"/>
    <w:multiLevelType w:val="hybridMultilevel"/>
    <w:lvl w:ilvl="0">
      <w:lvlJc w:val="left"/>
      <w:lvlText w:val="(%1)"/>
      <w:numFmt w:val="lowerLetter"/>
      <w:start w:val="2"/>
    </w:lvl>
  </w:abstractNum>
  <w:abstractNum w:abstractNumId="76">
    <w:nsid w:val="7055A5F5"/>
    <w:multiLevelType w:val="hybridMultilevel"/>
    <w:lvl w:ilvl="0">
      <w:lvlJc w:val="left"/>
      <w:lvlText w:val="(%1)"/>
      <w:numFmt w:val="lowerLetter"/>
      <w:start w:val="1"/>
    </w:lvl>
  </w:abstractNum>
  <w:abstractNum w:abstractNumId="77">
    <w:nsid w:val="5FB8370B"/>
    <w:multiLevelType w:val="hybridMultilevel"/>
    <w:lvl w:ilvl="0">
      <w:lvlJc w:val="left"/>
      <w:lvlText w:val="(%1)"/>
      <w:numFmt w:val="lowerLetter"/>
      <w:start w:val="6"/>
    </w:lvl>
  </w:abstractNum>
  <w:abstractNum w:abstractNumId="78">
    <w:nsid w:val="50801EE1"/>
    <w:multiLevelType w:val="hybridMultilevel"/>
    <w:lvl w:ilvl="0">
      <w:lvlJc w:val="left"/>
      <w:lvlText w:val="%1"/>
      <w:numFmt w:val="lowerLetter"/>
      <w:start w:val="1"/>
    </w:lvl>
    <w:lvl w:ilvl="1">
      <w:lvlJc w:val="left"/>
      <w:lvlText w:val="(%2)"/>
      <w:numFmt w:val="lowerLetter"/>
      <w:start w:val="1"/>
    </w:lvl>
  </w:abstractNum>
  <w:abstractNum w:abstractNumId="79">
    <w:nsid w:val="488AC1A"/>
    <w:multiLevelType w:val="hybridMultilevel"/>
    <w:lvl w:ilvl="0">
      <w:lvlJc w:val="left"/>
      <w:lvlText w:val="(%1)"/>
      <w:numFmt w:val="lowerLetter"/>
      <w:start w:val="35"/>
    </w:lvl>
    <w:lvl w:ilvl="1">
      <w:lvlJc w:val="left"/>
      <w:lvlText w:val="(%2)"/>
      <w:numFmt w:val="lowerLetter"/>
      <w:start w:val="5"/>
    </w:lvl>
  </w:abstractNum>
  <w:abstractNum w:abstractNumId="80">
    <w:nsid w:val="5FB8011C"/>
    <w:multiLevelType w:val="hybridMultilevel"/>
    <w:lvl w:ilvl="0">
      <w:lvlJc w:val="left"/>
      <w:lvlText w:val="(%1)"/>
      <w:numFmt w:val="lowerLetter"/>
      <w:start w:val="61"/>
    </w:lvl>
    <w:lvl w:ilvl="1">
      <w:lvlJc w:val="left"/>
      <w:lvlText w:val="%2"/>
      <w:numFmt w:val="lowerLetter"/>
      <w:start w:val="1"/>
    </w:lvl>
  </w:abstractNum>
  <w:abstractNum w:abstractNumId="81">
    <w:nsid w:val="6AA78F7F"/>
    <w:multiLevelType w:val="hybridMultilevel"/>
    <w:lvl w:ilvl="0">
      <w:lvlJc w:val="left"/>
      <w:lvlText w:val="%1"/>
      <w:numFmt w:val="lowerRoman"/>
      <w:start w:val="1"/>
    </w:lvl>
    <w:lvl w:ilvl="1">
      <w:lvlJc w:val="left"/>
      <w:lvlText w:val="(%2)"/>
      <w:numFmt w:val="lowerLetter"/>
      <w:start w:val="6"/>
    </w:lvl>
  </w:abstractNum>
  <w:abstractNum w:abstractNumId="82">
    <w:nsid w:val="7672BD23"/>
    <w:multiLevelType w:val="hybridMultilevel"/>
    <w:lvl w:ilvl="0">
      <w:lvlJc w:val="left"/>
      <w:lvlText w:val="(%1)"/>
      <w:numFmt w:val="lowerRoman"/>
      <w:start w:val="2"/>
    </w:lvl>
    <w:lvl w:ilvl="1">
      <w:lvlJc w:val="left"/>
      <w:lvlText w:val="(%2)"/>
      <w:numFmt w:val="lowerLetter"/>
      <w:start w:val="7"/>
    </w:lvl>
  </w:abstractNum>
  <w:abstractNum w:abstractNumId="83">
    <w:nsid w:val="6FC75AF8"/>
    <w:multiLevelType w:val="hybridMultilevel"/>
    <w:lvl w:ilvl="0">
      <w:lvlJc w:val="left"/>
      <w:lvlText w:val="(%1)"/>
      <w:numFmt w:val="lowerRoman"/>
      <w:start w:val="3"/>
    </w:lvl>
  </w:abstractNum>
  <w:abstractNum w:abstractNumId="84">
    <w:nsid w:val="6A5F7029"/>
    <w:multiLevelType w:val="hybridMultilevel"/>
    <w:lvl w:ilvl="0">
      <w:lvlJc w:val="left"/>
      <w:lvlText w:val="(%1)"/>
      <w:numFmt w:val="lowerLetter"/>
      <w:start w:val="2"/>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1"/>
      <w:numFmt w:val="lowerLetter"/>
      <w:start w:val="1"/>
    </w:lvl>
    <w:lvl w:ilvl="1">
      <w:lvlJc w:val="left"/>
      <w:lvlText w:val="(%2)"/>
      <w:numFmt w:val="lowerLetter"/>
      <w:start w:val="2"/>
    </w:lvl>
  </w:abstractNum>
  <w:abstractNum w:abstractNumId="87">
    <w:nsid w:val="73A1821B"/>
    <w:multiLevelType w:val="hybridMultilevel"/>
    <w:lvl w:ilvl="0">
      <w:lvlJc w:val="left"/>
      <w:lvlText w:val="(%1)"/>
      <w:numFmt w:val="lowerLetter"/>
      <w:start w:val="61"/>
    </w:lvl>
    <w:lvl w:ilvl="1">
      <w:lvlJc w:val="left"/>
      <w:lvlText w:val="%2"/>
      <w:numFmt w:val="lowerLetter"/>
      <w:start w:val="1"/>
    </w:lvl>
  </w:abstractNum>
  <w:abstractNum w:abstractNumId="88">
    <w:nsid w:val="7DE67713"/>
    <w:multiLevelType w:val="hybridMultilevel"/>
    <w:lvl w:ilvl="0">
      <w:lvlJc w:val="left"/>
      <w:lvlText w:val="(%1)"/>
      <w:numFmt w:val="lowerLetter"/>
      <w:start w:val="9"/>
    </w:lvl>
  </w:abstractNum>
  <w:abstractNum w:abstractNumId="89">
    <w:nsid w:val="555C55B5"/>
    <w:multiLevelType w:val="hybridMultilevel"/>
    <w:lvl w:ilvl="0">
      <w:lvlJc w:val="left"/>
      <w:lvlText w:val="(%1)"/>
      <w:numFmt w:val="lowerLetter"/>
      <w:start w:val="2"/>
    </w:lvl>
  </w:abstractNum>
  <w:abstractNum w:abstractNumId="90">
    <w:nsid w:val="3FA62ACA"/>
    <w:multiLevelType w:val="hybridMultilevel"/>
    <w:lvl w:ilvl="0">
      <w:lvlJc w:val="left"/>
      <w:lvlText w:val="(%1)"/>
      <w:numFmt w:val="lowerRoman"/>
      <w:start w:val="2"/>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2"/>
    </w:lvl>
  </w:abstractNum>
  <w:abstractNum w:abstractNumId="93">
    <w:nsid w:val="71C91298"/>
    <w:multiLevelType w:val="hybridMultilevel"/>
    <w:lvl w:ilvl="0">
      <w:lvlJc w:val="left"/>
      <w:lvlText w:val="(%1)"/>
      <w:numFmt w:val="lowerRoman"/>
      <w:start w:val="1"/>
    </w:lvl>
  </w:abstractNum>
  <w:abstractNum w:abstractNumId="94">
    <w:nsid w:val="9DAF632"/>
    <w:multiLevelType w:val="hybridMultilevel"/>
    <w:lvl w:ilvl="0">
      <w:lvlJc w:val="left"/>
      <w:lvlText w:val="(%1)"/>
      <w:numFmt w:val="lowerRoman"/>
      <w:start w:val="2"/>
    </w:lvl>
  </w:abstractNum>
  <w:abstractNum w:abstractNumId="95">
    <w:nsid w:val="53299938"/>
    <w:multiLevelType w:val="hybridMultilevel"/>
    <w:lvl w:ilvl="0">
      <w:lvlJc w:val="left"/>
      <w:lvlText w:val="(%1)"/>
      <w:numFmt w:val="lowerLetter"/>
      <w:start w:val="2"/>
    </w:lvl>
  </w:abstractNum>
  <w:abstractNum w:abstractNumId="96">
    <w:nsid w:val="1FBFE8E0"/>
    <w:multiLevelType w:val="hybridMultilevel"/>
    <w:lvl w:ilvl="0">
      <w:lvlJc w:val="left"/>
      <w:lvlText w:val="%1"/>
      <w:numFmt w:val="upperLetter"/>
      <w:start w:val="1"/>
    </w:lvl>
    <w:lvl w:ilvl="1">
      <w:lvlJc w:val="left"/>
      <w:lvlText w:val="(%2)"/>
      <w:numFmt w:val="lowerLetter"/>
      <w:start w:val="2"/>
    </w:lvl>
  </w:abstractNum>
  <w:abstractNum w:abstractNumId="97">
    <w:nsid w:val="5092CA79"/>
    <w:multiLevelType w:val="hybridMultilevel"/>
    <w:lvl w:ilvl="0">
      <w:lvlJc w:val="left"/>
      <w:lvlText w:val="(%1)"/>
      <w:numFmt w:val="upperLetter"/>
      <w:start w:val="3"/>
    </w:lvl>
    <w:lvl w:ilvl="1">
      <w:lvlJc w:val="left"/>
      <w:lvlText w:val="%2"/>
      <w:numFmt w:val="lowerLetter"/>
      <w:start w:val="1"/>
    </w:lvl>
  </w:abstractNum>
  <w:abstractNum w:abstractNumId="98">
    <w:nsid w:val="1D545C4D"/>
    <w:multiLevelType w:val="hybridMultilevel"/>
    <w:lvl w:ilvl="0">
      <w:lvlJc w:val="left"/>
      <w:lvlText w:val="(%1)"/>
      <w:numFmt w:val="lowerLetter"/>
      <w:start w:val="2"/>
    </w:lvl>
  </w:abstractNum>
  <w:abstractNum w:abstractNumId="99">
    <w:nsid w:val="59ADEA3D"/>
    <w:multiLevelType w:val="hybridMultilevel"/>
    <w:lvl w:ilvl="0">
      <w:lvlJc w:val="left"/>
      <w:lvlText w:val="(%1)"/>
      <w:numFmt w:val="lowerLetter"/>
      <w:start w:val="3"/>
    </w:lvl>
  </w:abstractNum>
  <w:abstractNum w:abstractNumId="100">
    <w:nsid w:val="288F1A34"/>
    <w:multiLevelType w:val="hybridMultilevel"/>
    <w:lvl w:ilvl="0">
      <w:lvlJc w:val="left"/>
      <w:lvlText w:val="(%1)"/>
      <w:numFmt w:val="lowerLetter"/>
      <w:start w:val="2"/>
    </w:lvl>
  </w:abstractNum>
  <w:abstractNum w:abstractNumId="101">
    <w:nsid w:val="2A155DBC"/>
    <w:multiLevelType w:val="hybridMultilevel"/>
    <w:lvl w:ilvl="0">
      <w:lvlJc w:val="left"/>
      <w:lvlText w:val="(%1)"/>
      <w:numFmt w:val="upperLetter"/>
      <w:start w:val="1"/>
    </w:lvl>
  </w:abstractNum>
  <w:abstractNum w:abstractNumId="102">
    <w:nsid w:val="1D9F6E5F"/>
    <w:multiLevelType w:val="hybridMultilevel"/>
    <w:lvl w:ilvl="0">
      <w:lvlJc w:val="left"/>
      <w:lvlText w:val="%1"/>
      <w:numFmt w:val="upperLetter"/>
      <w:start w:val="1"/>
    </w:lvl>
    <w:lvl w:ilvl="1">
      <w:lvlJc w:val="left"/>
      <w:lvlText w:val="(%2)"/>
      <w:numFmt w:val="lowerRoman"/>
      <w:start w:val="2"/>
    </w:lvl>
  </w:abstractNum>
  <w:abstractNum w:abstractNumId="103">
    <w:nsid w:val="97E1B4E"/>
    <w:multiLevelType w:val="hybridMultilevel"/>
    <w:lvl w:ilvl="0">
      <w:lvlJc w:val="left"/>
      <w:lvlText w:val="(%1)"/>
      <w:numFmt w:val="upperLetter"/>
      <w:start w:val="1"/>
    </w:lvl>
    <w:lvl w:ilvl="1">
      <w:lvlJc w:val="left"/>
      <w:lvlText w:val="%2"/>
      <w:numFmt w:val="lowerRoman"/>
      <w:start w:val="1"/>
    </w:lvl>
  </w:abstractNum>
  <w:abstractNum w:abstractNumId="104">
    <w:nsid w:val="51088277"/>
    <w:multiLevelType w:val="hybridMultilevel"/>
    <w:lvl w:ilvl="0">
      <w:lvlJc w:val="left"/>
      <w:lvlText w:val="%1"/>
      <w:numFmt w:val="lowerRoman"/>
      <w:start w:val="1"/>
    </w:lvl>
    <w:lvl w:ilvl="1">
      <w:lvlJc w:val="left"/>
      <w:lvlText w:val="(%2)"/>
      <w:numFmt w:val="upperLetter"/>
      <w:start w:val="6"/>
    </w:lvl>
  </w:abstractNum>
  <w:abstractNum w:abstractNumId="105">
    <w:nsid w:val="1CA0C5FA"/>
    <w:multiLevelType w:val="hybridMultilevel"/>
    <w:lvl w:ilvl="0">
      <w:lvlJc w:val="left"/>
      <w:lvlText w:val="(%1)"/>
      <w:numFmt w:val="lowerRoman"/>
      <w:start w:val="10"/>
    </w:lvl>
    <w:lvl w:ilvl="1">
      <w:lvlJc w:val="left"/>
      <w:lvlText w:val="(%2)"/>
      <w:numFmt w:val="upperLetter"/>
      <w:start w:val="7"/>
    </w:lvl>
  </w:abstractNum>
  <w:abstractNum w:abstractNumId="106">
    <w:nsid w:val="53584BCB"/>
    <w:multiLevelType w:val="hybridMultilevel"/>
    <w:lvl w:ilvl="0">
      <w:lvlJc w:val="left"/>
      <w:lvlText w:val="(%1)"/>
      <w:numFmt w:val="lowerLetter"/>
      <w:start w:val="3"/>
    </w:lvl>
  </w:abstractNum>
  <w:abstractNum w:abstractNumId="107">
    <w:nsid w:val="415E286C"/>
    <w:multiLevelType w:val="hybridMultilevel"/>
    <w:lvl w:ilvl="0">
      <w:lvlJc w:val="left"/>
      <w:lvlText w:val="%1"/>
      <w:numFmt w:val="lowerLetter"/>
      <w:start w:val="1"/>
    </w:lvl>
    <w:lvl w:ilvl="1">
      <w:lvlJc w:val="left"/>
      <w:lvlText w:val="(%2)"/>
      <w:numFmt w:val="lowerLetter"/>
      <w:start w:val="5"/>
    </w:lvl>
  </w:abstractNum>
  <w:abstractNum w:abstractNumId="108">
    <w:nsid w:val="7C58FD05"/>
    <w:multiLevelType w:val="hybridMultilevel"/>
    <w:lvl w:ilvl="0">
      <w:lvlJc w:val="left"/>
      <w:lvlText w:val="(%1)"/>
      <w:numFmt w:val="lowerLetter"/>
      <w:start w:val="61"/>
    </w:lvl>
    <w:lvl w:ilvl="1">
      <w:lvlJc w:val="left"/>
      <w:lvlText w:val="(%2)"/>
      <w:numFmt w:val="lowerLetter"/>
      <w:start w:val="7"/>
    </w:lvl>
  </w:abstractNum>
  <w:abstractNum w:abstractNumId="109">
    <w:nsid w:val="23D86AAC"/>
    <w:multiLevelType w:val="hybridMultilevel"/>
    <w:lvl w:ilvl="0">
      <w:lvlJc w:val="left"/>
      <w:lvlText w:val="(%1)"/>
      <w:numFmt w:val="lowerLetter"/>
      <w:start w:val="9"/>
    </w:lvl>
  </w:abstractNum>
  <w:abstractNum w:abstractNumId="110">
    <w:nsid w:val="45E6D486"/>
    <w:multiLevelType w:val="hybridMultilevel"/>
    <w:lvl w:ilvl="0">
      <w:lvlJc w:val="left"/>
      <w:lvlText w:val="(%1)"/>
      <w:numFmt w:val="lowerLetter"/>
      <w:start w:val="2"/>
    </w:lvl>
  </w:abstractNum>
  <w:abstractNum w:abstractNumId="111">
    <w:nsid w:val="5C10FE21"/>
    <w:multiLevelType w:val="hybridMultilevel"/>
    <w:lvl w:ilvl="0">
      <w:lvlJc w:val="left"/>
      <w:lvlText w:val="(%1)"/>
      <w:numFmt w:val="lowerLetter"/>
      <w:start w:val="5"/>
    </w:lvl>
  </w:abstractNum>
  <w:abstractNum w:abstractNumId="112">
    <w:nsid w:val="E7FFA2B"/>
    <w:multiLevelType w:val="hybridMultilevel"/>
    <w:lvl w:ilvl="0">
      <w:lvlJc w:val="left"/>
      <w:lvlText w:val="(%1)"/>
      <w:numFmt w:val="lowerLetter"/>
      <w:start w:val="7"/>
    </w:lvl>
  </w:abstractNum>
  <w:abstractNum w:abstractNumId="113">
    <w:nsid w:val="3C5991AA"/>
    <w:multiLevelType w:val="hybridMultilevel"/>
    <w:lvl w:ilvl="0">
      <w:lvlJc w:val="left"/>
      <w:lvlText w:val="(%1)"/>
      <w:numFmt w:val="lowerLetter"/>
      <w:start w:val="2"/>
    </w:lvl>
  </w:abstractNum>
  <w:abstractNum w:abstractNumId="114">
    <w:nsid w:val="4BD8591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2019-12-06T20:05:02Z</dcterms:created>
  <dcterms:modified xsi:type="dcterms:W3CDTF">2019-12-06T20:05:02Z</dcterms:modified>
</cp:coreProperties>
</file>