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390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600"/>
        <w:spacing w:after="0" w:line="207" w:lineRule="exact"/>
        <w:tabs>
          <w:tab w:leader="none" w:pos="5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August 4, 2021, Amdocs Limited (“Amdocs”) issued a press release announcing financial results for the quarter ended June 30, 2021. A copy of the press release is furnished as Exhibit 99.1 to this Report of Foreign Private Issuer on Form 6-K.</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74"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ectPr>
          <w:pgSz w:w="11900" w:h="16838" w:orient="portrait"/>
          <w:cols w:equalWidth="0" w:num="1">
            <w:col w:w="10260"/>
          </w:cols>
          <w:pgMar w:left="440" w:top="270" w:right="119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Amdocs Limited Press Release dated August 4, 2021.</w:t>
        </w:r>
      </w:hyperlink>
    </w:p>
    <w:p>
      <w:pPr>
        <w:sectPr>
          <w:pgSz w:w="11900" w:h="16838" w:orient="portrait"/>
          <w:cols w:equalWidth="0" w:num="1">
            <w:col w:w="10019"/>
          </w:cols>
          <w:pgMar w:left="4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171450</wp:posOffset>
            </wp:positionV>
            <wp:extent cx="209169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6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Third Quarter Fiscal 2021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Revenue of $1.07 Billion, Above Midpoint of Guidance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12-Month Backlog of $3.59 Billion on a Pro Forma</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Basis, up</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10.8%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On-Track for Revenue Growth Acceleration in Fiscal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Raises Outlook for Earnings per Share Growth in Fiscal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2021 Highlights</w:t>
      </w:r>
    </w:p>
    <w:p>
      <w:pPr>
        <w:spacing w:after="0" w:line="135" w:lineRule="exact"/>
        <w:rPr>
          <w:sz w:val="20"/>
          <w:szCs w:val="20"/>
          <w:color w:val="auto"/>
        </w:rPr>
      </w:pPr>
    </w:p>
    <w:p>
      <w:pPr>
        <w:ind w:left="960" w:right="4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$1,066 million, above the midpoint of the $1,040-$1,080 million guidance range including a positive impact from foreign currency movements of approximately $5 million compared to our guidance assumptions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managed services revenue of $651 million, equivalent to approximately 61% of total revenue</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$1.14, above the $0.91-$0.99 guidance range, primarily due to a lower GAAP effective tax rate than anticipated in quarterly guidance</w:t>
      </w:r>
    </w:p>
    <w:p>
      <w:pPr>
        <w:spacing w:after="0" w:line="75"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$1.35, above the $1.14-$1.20 guidance range, primarily due to a lower non-GAAP effective tax rate than anticipated in quarterly guidance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$155 million; GAAP operating margin of 14.5%</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$188 million; non-GAAP operating margin of 17.6%</w:t>
      </w:r>
    </w:p>
    <w:p>
      <w:pPr>
        <w:spacing w:after="0" w:line="130" w:lineRule="exact"/>
        <w:rPr>
          <w:rFonts w:ascii="Arial" w:cs="Arial" w:eastAsia="Arial" w:hAnsi="Arial"/>
          <w:sz w:val="18"/>
          <w:szCs w:val="18"/>
          <w:color w:val="auto"/>
        </w:rPr>
      </w:pPr>
    </w:p>
    <w:p>
      <w:pPr>
        <w:ind w:left="960" w:right="8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free cash flow of $140 million, comprised of cash flow from operations of $190 million, less $50 million in net capital expenditures and other</w:t>
      </w:r>
      <w:r>
        <w:rPr>
          <w:rFonts w:ascii="Arial" w:cs="Arial" w:eastAsia="Arial" w:hAnsi="Arial"/>
          <w:sz w:val="15"/>
          <w:szCs w:val="15"/>
          <w:color w:val="auto"/>
        </w:rPr>
        <w:t>(1)</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Normalized free cash flow of $179 million</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$3.59 billion up approximately $50 million sequentially; on a pro forma</w:t>
      </w:r>
      <w:r>
        <w:rPr>
          <w:rFonts w:ascii="Arial" w:cs="Arial" w:eastAsia="Arial" w:hAnsi="Arial"/>
          <w:sz w:val="15"/>
          <w:szCs w:val="15"/>
          <w:color w:val="auto"/>
        </w:rPr>
        <w:t>(2)</w:t>
      </w:r>
      <w:r>
        <w:rPr>
          <w:rFonts w:ascii="Arial" w:cs="Arial" w:eastAsia="Arial" w:hAnsi="Arial"/>
          <w:sz w:val="18"/>
          <w:szCs w:val="18"/>
          <w:color w:val="auto"/>
        </w:rPr>
        <w:t xml:space="preserve"> basis, record twelve-month backlog, up 10.8% as compared to last year’s third fiscal quarter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$0.36 per share to be paid on October 29, 2021</w:t>
      </w:r>
    </w:p>
    <w:p>
      <w:pPr>
        <w:spacing w:after="0" w:line="131"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 (figures may not sum because of rounding).</w:t>
      </w:r>
    </w:p>
    <w:p>
      <w:pPr>
        <w:spacing w:after="0" w:line="23" w:lineRule="exact"/>
        <w:rPr>
          <w:rFonts w:ascii="Arial" w:cs="Arial" w:eastAsia="Arial" w:hAnsi="Arial"/>
          <w:sz w:val="18"/>
          <w:szCs w:val="18"/>
          <w:color w:val="auto"/>
        </w:rPr>
      </w:pPr>
    </w:p>
    <w:p>
      <w:pPr>
        <w:ind w:left="960" w:right="260" w:hanging="532"/>
        <w:spacing w:after="0" w:line="250"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growth rate excludes the financial impact of OpenMarket (which was divested on December 31, 2020) from the current fiscal year and comparable fiscal year</w:t>
      </w:r>
    </w:p>
    <w:p>
      <w:pPr>
        <w:ind w:left="960" w:hanging="532"/>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 on a constant currency basis assumes that the exchange rates in the current period were unchanged from the prior period</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 LOUIS – August 4, 2021 </w:t>
      </w:r>
      <w:r>
        <w:rPr>
          <w:rFonts w:ascii="Arial" w:cs="Arial" w:eastAsia="Arial" w:hAnsi="Arial"/>
          <w:sz w:val="17"/>
          <w:szCs w:val="17"/>
          <w:color w:val="auto"/>
        </w:rPr>
        <w:t>– Amdocs Limited (NASDAQ: DOX) today reported operating results for the three months ended June 30, 2021.</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strong third quarter performance reflects the strategic initiatives we have executed this year to accelerate Amdocs’ long-term growth. Revenue was up 9.4% from a year ago on a pro forma</w:t>
      </w:r>
      <w:r>
        <w:rPr>
          <w:rFonts w:ascii="Arial" w:cs="Arial" w:eastAsia="Arial" w:hAnsi="Arial"/>
          <w:sz w:val="15"/>
          <w:szCs w:val="15"/>
          <w:color w:val="auto"/>
        </w:rPr>
        <w:t>(2)</w:t>
      </w:r>
      <w:r>
        <w:rPr>
          <w:rFonts w:ascii="Arial" w:cs="Arial" w:eastAsia="Arial" w:hAnsi="Arial"/>
          <w:sz w:val="18"/>
          <w:szCs w:val="18"/>
          <w:color w:val="auto"/>
        </w:rPr>
        <w:t xml:space="preserve"> constant currency</w:t>
      </w:r>
      <w:r>
        <w:rPr>
          <w:rFonts w:ascii="Arial" w:cs="Arial" w:eastAsia="Arial" w:hAnsi="Arial"/>
          <w:sz w:val="15"/>
          <w:szCs w:val="15"/>
          <w:color w:val="auto"/>
        </w:rPr>
        <w:t>(3)</w:t>
      </w:r>
      <w:r>
        <w:rPr>
          <w:rFonts w:ascii="Arial" w:cs="Arial" w:eastAsia="Arial" w:hAnsi="Arial"/>
          <w:sz w:val="18"/>
          <w:szCs w:val="18"/>
          <w:color w:val="auto"/>
        </w:rPr>
        <w:t xml:space="preserve"> basis and was led by a growing scope of activities as our customers accelerate multi-year investments focused around 5G modernization and the cloud. At the operating level, profitability remained above the high-end of our target range as we balanced operational excellence with accelerated R&amp;D investments, and we generated robust free cash flow of which we returned a majority to shareholders through share repurchases and our quarterly dividend program,” said Shuky Sheffer, president and chief executive officer of Amdocs Management Limited.</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Sheffer continued, “During Q3, we strengthened our European footprint as our customers’ progressed digital modernization initiatives to support improved customer experience, better operating efficiency and multiplay convergence strategies. We entered into a multi-year managed transformation agreement with Three UK, a subsidiary of CK Hutchison Holdings, that expands the two companies’ collaboration in the business-to-business domain to the consumer sector to provide subscribers with next-generation digital experiences and 5G services. Additionally, Vodafone Group selected Amdocs to provide next-generation inventory and OSS capabilities to support mobile, fixed and cable offerings in Germany, Romania, and Czech Republic, and we expanded our agreement with Vodafone Spain to modernize its CRM systems in readiness for 5G and the cloud era.”</w:t>
      </w:r>
    </w:p>
    <w:p>
      <w:pPr>
        <w:spacing w:after="0" w:line="16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 xml:space="preserve">Sheffer concluded, “We enter the fourth fiscal quarter with record 12-month backlog on a pro forma </w:t>
      </w:r>
      <w:r>
        <w:rPr>
          <w:rFonts w:ascii="Arial" w:cs="Arial" w:eastAsia="Arial" w:hAnsi="Arial"/>
          <w:sz w:val="14"/>
          <w:szCs w:val="14"/>
          <w:color w:val="auto"/>
        </w:rPr>
        <w:t>(2)</w:t>
      </w:r>
      <w:r>
        <w:rPr>
          <w:rFonts w:ascii="Arial" w:cs="Arial" w:eastAsia="Arial" w:hAnsi="Arial"/>
          <w:sz w:val="17"/>
          <w:szCs w:val="17"/>
          <w:color w:val="auto"/>
        </w:rPr>
        <w:t xml:space="preserve"> basis, up 10.8% from a year ago. Additionally, we expect to sustain strong sales momentum by monetizing our market-leading offerings which we believe are well-aligned with our customer’s needs for digital modernization, 5G, cloud migration, and next-generation OSS platforms. Overall, we are raising our outlook for earnings per share growth in fiscal 2021 and we remain on track to deliver full year revenue growth acceleration on a proforma basis.”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Revenue for the third fiscal quarter ended June 30, 2021 was $1,066 million, which was up $17 million as reported from the second fiscal quarter of 2021. Revenue was up 3.9% as reported and up 1.9% in constant currency</w:t>
      </w:r>
      <w:r>
        <w:rPr>
          <w:rFonts w:ascii="Arial" w:cs="Arial" w:eastAsia="Arial" w:hAnsi="Arial"/>
          <w:sz w:val="14"/>
          <w:szCs w:val="14"/>
          <w:color w:val="auto"/>
        </w:rPr>
        <w:t>(3)</w:t>
      </w:r>
      <w:r>
        <w:rPr>
          <w:rFonts w:ascii="Arial" w:cs="Arial" w:eastAsia="Arial" w:hAnsi="Arial"/>
          <w:sz w:val="17"/>
          <w:szCs w:val="17"/>
          <w:color w:val="auto"/>
        </w:rPr>
        <w:t xml:space="preserve"> as compared to last year’s third fiscal quarter. On a pro forma basis in constant currency</w:t>
      </w:r>
      <w:r>
        <w:rPr>
          <w:rFonts w:ascii="Arial" w:cs="Arial" w:eastAsia="Arial" w:hAnsi="Arial"/>
          <w:sz w:val="14"/>
          <w:szCs w:val="14"/>
          <w:color w:val="auto"/>
        </w:rPr>
        <w:t>(3)</w:t>
      </w:r>
      <w:r>
        <w:rPr>
          <w:rFonts w:ascii="Arial" w:cs="Arial" w:eastAsia="Arial" w:hAnsi="Arial"/>
          <w:sz w:val="17"/>
          <w:szCs w:val="17"/>
          <w:color w:val="auto"/>
        </w:rPr>
        <w:t>, revenue was up 9.4% compared to last year. Revenue for the third fiscal quarter of 2021 includes a positive impact from foreign currency movements of approximately $3 million relative to the second quarter of fiscal 2021. Revenue was above the midpoint of Amdocs’ guidance, and included positive impact from foreign currency movements of approximately $5 million compared to our guidance assumptions. Revenue for the third fiscal quarter of 2021 includes record managed services revenue of $651 million, up 7.6% as compared to last year’s third fiscal quarter and equivalent to approximately 61% of total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GAAP net income for the third quarter of fiscal 2021 was $146.2 million, or $1.14 per diluted share, compared to GAAP net income of $120.4 million, or $0.90 per diluted share, in the prior fiscal year’s third quarter. Net income on a non-GAAP basis was $173.3 million, or $1.35 per diluted share, compared to non-GAAP net income of $143.2 million, or $1.07 per diluted share, in the third quarter of fiscal 2020. Non-GAAP net income excludes amortization of purchased intangible assets and other acquisition-related costs, changes in certain acquisitions related liabilities measured at fair value, equity-based compensation expenses, and other, net of related tax effects, in the third quarter of fiscal 2021 as well as in the third quarter of fiscal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reconciliation of selected financial metrics from GAAP to Non-GAAP, please refer to the tables below.</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Returning Cash to Shareholders</w:t>
      </w:r>
    </w:p>
    <w:p>
      <w:pPr>
        <w:spacing w:after="0" w:line="135"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Quarterly Cash Dividend Program: </w:t>
      </w:r>
      <w:r>
        <w:rPr>
          <w:rFonts w:ascii="Arial" w:cs="Arial" w:eastAsia="Arial" w:hAnsi="Arial"/>
          <w:sz w:val="16"/>
          <w:szCs w:val="16"/>
          <w:color w:val="auto"/>
        </w:rPr>
        <w:t>On August 4, 2021, the Board approved the Company’s next quarterly cash dividend payment of</w:t>
      </w:r>
    </w:p>
    <w:p>
      <w:pPr>
        <w:spacing w:after="0" w:line="46" w:lineRule="exact"/>
        <w:rPr>
          <w:rFonts w:ascii="Arial" w:cs="Arial" w:eastAsia="Arial" w:hAnsi="Arial"/>
          <w:sz w:val="16"/>
          <w:szCs w:val="16"/>
          <w:color w:val="auto"/>
        </w:rPr>
      </w:pPr>
    </w:p>
    <w:p>
      <w:pPr>
        <w:ind w:left="960" w:right="40"/>
        <w:spacing w:after="0" w:line="260" w:lineRule="auto"/>
        <w:rPr>
          <w:rFonts w:ascii="Arial" w:cs="Arial" w:eastAsia="Arial" w:hAnsi="Arial"/>
          <w:sz w:val="16"/>
          <w:szCs w:val="16"/>
          <w:color w:val="auto"/>
        </w:rPr>
      </w:pPr>
      <w:r>
        <w:rPr>
          <w:rFonts w:ascii="Arial" w:cs="Arial" w:eastAsia="Arial" w:hAnsi="Arial"/>
          <w:sz w:val="18"/>
          <w:szCs w:val="18"/>
          <w:color w:val="auto"/>
        </w:rPr>
        <w:t>$0.36 per share and set September 30, 2021 as the record date for determining the shareholders entitled to receive the dividend, which will be payable on October 29, 2021</w:t>
      </w:r>
    </w:p>
    <w:p>
      <w:pPr>
        <w:spacing w:after="0" w:line="90" w:lineRule="exact"/>
        <w:rPr>
          <w:rFonts w:ascii="Arial" w:cs="Arial" w:eastAsia="Arial" w:hAnsi="Arial"/>
          <w:sz w:val="16"/>
          <w:szCs w:val="16"/>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$90 million of ordinary shares during the third quarter of fiscal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$3.59 billion at the end of the third quarter of fiscal 2021. On a pro forma</w:t>
      </w:r>
      <w:r>
        <w:rPr>
          <w:rFonts w:ascii="Arial" w:cs="Arial" w:eastAsia="Arial" w:hAnsi="Arial"/>
          <w:sz w:val="15"/>
          <w:szCs w:val="15"/>
          <w:color w:val="auto"/>
        </w:rPr>
        <w:t>(2)</w:t>
      </w:r>
      <w:r>
        <w:rPr>
          <w:rFonts w:ascii="Arial" w:cs="Arial" w:eastAsia="Arial" w:hAnsi="Arial"/>
          <w:sz w:val="18"/>
          <w:szCs w:val="18"/>
          <w:color w:val="auto"/>
        </w:rPr>
        <w:t xml:space="preserve"> basis, twelve-month backlog was up approximately 10.8% as compared to last year’s third fiscal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Fiscal 2021 Outlook</w:t>
      </w:r>
    </w:p>
    <w:p>
      <w:pPr>
        <w:spacing w:after="0" w:line="135" w:lineRule="exact"/>
        <w:rPr>
          <w:sz w:val="20"/>
          <w:szCs w:val="20"/>
          <w:color w:val="auto"/>
        </w:rPr>
      </w:pPr>
    </w:p>
    <w:p>
      <w:pPr>
        <w:ind w:left="960" w:right="2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approximately $1,065-$1,105 million, assuming approximately $1 million sequential negative impact from foreign currency fluctuations as compared to the third quarter of fiscal 2021</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$0.91-$0.99</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EPS of approximately $1.13-$1.19, excluding amortization of purchased intangible assets and other acquisition-related costs, changes in certain acquisitions related liabilities measured at fair value, and approximately $0.08-$0.10 per share of equity-based compensation expense, net of related tax effects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2021 Outlook</w:t>
      </w:r>
    </w:p>
    <w:p>
      <w:pPr>
        <w:spacing w:after="0" w:line="135" w:lineRule="exact"/>
        <w:rPr>
          <w:sz w:val="20"/>
          <w:szCs w:val="20"/>
          <w:color w:val="auto"/>
        </w:rPr>
      </w:pPr>
    </w:p>
    <w:p>
      <w:pPr>
        <w:ind w:left="960" w:right="44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Full year fiscal 2021 revenue guidance reflects the divestiture of OpenMarket as of December 31, 2020 and incorporates an expected positive impact from foreign currency fluctuations of approximately 1.0% year-over-year, consistent with the previous outlook</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Expects revenue growth of 2.3%-3.3% year-over-year on a reported basis as compared with 1.0%-4.0% year-over-year previously</w:t>
      </w:r>
    </w:p>
    <w:p>
      <w:pPr>
        <w:sectPr>
          <w:pgSz w:w="11900" w:h="16838" w:orient="portrait"/>
          <w:cols w:equalWidth="0" w:num="1">
            <w:col w:w="10980"/>
          </w:cols>
          <w:pgMar w:left="440" w:top="270" w:right="479" w:bottom="1440" w:gutter="0" w:footer="0" w:header="0"/>
        </w:sectPr>
      </w:pPr>
    </w:p>
    <w:bookmarkStart w:id="8" w:name="page9"/>
    <w:bookmarkEnd w:id="8"/>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Expects pro forma</w:t>
      </w:r>
      <w:r>
        <w:rPr>
          <w:rFonts w:ascii="Arial" w:cs="Arial" w:eastAsia="Arial" w:hAnsi="Arial"/>
          <w:sz w:val="15"/>
          <w:szCs w:val="15"/>
          <w:color w:val="auto"/>
        </w:rPr>
        <w:t>(2)</w:t>
      </w:r>
      <w:r>
        <w:rPr>
          <w:rFonts w:ascii="Arial" w:cs="Arial" w:eastAsia="Arial" w:hAnsi="Arial"/>
          <w:sz w:val="18"/>
          <w:szCs w:val="18"/>
          <w:color w:val="auto"/>
        </w:rPr>
        <w:t xml:space="preserve"> revenue growth of 6.3%-7.3% year-over-year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as compared with 5.0%-8.0% year-over-year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previously</w:t>
      </w:r>
    </w:p>
    <w:p>
      <w:pPr>
        <w:spacing w:after="0" w:line="75"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revenue growth of 1.3%-2.3% year-over-year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as compared with 0.0%-3.0% year-over-year previously</w:t>
      </w:r>
    </w:p>
    <w:p>
      <w:pPr>
        <w:spacing w:after="0" w:line="75"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42.0%-44.0% year-over-year, including gain, net of tax, from divestiture of OpenMarket, as compared with 39.0%-44.0% year-over-year previously</w:t>
      </w:r>
    </w:p>
    <w:p>
      <w:pPr>
        <w:spacing w:after="0" w:line="75"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non-GAAP diluted earnings per share growth of roughly 7.6%-9.0% year-over-year as compared with 6.0%-9.0% year-over-year previously, excluding amortization of purchased intangible assets and other acquisition-related costs, changes in certain acquisitions related liabilities measured at fair value, approximately $0.35-$0.37 per share of equity-based compensation expense, and gain from divestiture of OpenMarket, net of related tax effects</w:t>
      </w:r>
    </w:p>
    <w:p>
      <w:pPr>
        <w:spacing w:after="0" w:line="92"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pro forma</w:t>
      </w:r>
      <w:r>
        <w:rPr>
          <w:rFonts w:ascii="Arial" w:cs="Arial" w:eastAsia="Arial" w:hAnsi="Arial"/>
          <w:sz w:val="15"/>
          <w:szCs w:val="15"/>
          <w:color w:val="auto"/>
        </w:rPr>
        <w:t>(2)</w:t>
      </w:r>
      <w:r>
        <w:rPr>
          <w:rFonts w:ascii="Arial" w:cs="Arial" w:eastAsia="Arial" w:hAnsi="Arial"/>
          <w:sz w:val="18"/>
          <w:szCs w:val="18"/>
          <w:color w:val="auto"/>
        </w:rPr>
        <w:t xml:space="preserve"> non-GAAP diluted earnings per share growth of roughly 9.1%-10.5% year-over-year as compared with 7.5%-10.5% year-over-year previously, excluding amortization of purchased intangible assets and other acquisition-related costs, changes in certain acquisitions related liabilities measured at fair value, approximately $0.35-$0.37 per share of equity-based compensation expense, and gain from divestiture of OpenMarket, net of related tax effects</w:t>
      </w:r>
    </w:p>
    <w:p>
      <w:pPr>
        <w:spacing w:after="0" w:line="92"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free cash flow of approximately $650 million, comprised of cash flow from operations, less net capital expenditures and other, as compared with $620 million previously</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Reiterates expected normalized free cash flow of approximately $820 million; normalized free cash flow excludes expected capital expenditure of $110 million related to the new campus development in Israel, $40 million of capital gains tax in relation to the divestiture of OpenMarket, and other items</w:t>
      </w:r>
    </w:p>
    <w:p>
      <w:pPr>
        <w:spacing w:after="0" w:line="184"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fourth fiscal quarter 2021 and full year fiscal 2021 outlook takes into consideration the Company’s current expectations regarding macro and industry specific risks and various uncertainties and certain assumptions that we will discuss on our earnings conference call.</w:t>
      </w:r>
    </w:p>
    <w:p>
      <w:pPr>
        <w:sectPr>
          <w:pgSz w:w="11900" w:h="16838" w:orient="portrait"/>
          <w:cols w:equalWidth="0" w:num="1">
            <w:col w:w="11000"/>
          </w:cols>
          <w:pgMar w:left="440" w:top="274" w:right="459" w:bottom="1440" w:gutter="0" w:footer="0" w:header="0"/>
        </w:sectPr>
      </w:pPr>
    </w:p>
    <w:bookmarkStart w:id="9" w:name="page10"/>
    <w:bookmarkEnd w:id="9"/>
    <w:p>
      <w:pPr>
        <w:ind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we note that market dynamics continue to shift rapidly and we cannot predict all possible outcomes, including those resulting from the COVID-19 pandemic, which has created, and continues to create, a significant amount of uncertainty, or from current and potential customer consolidation or their other strategic corporate activities.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Board Member</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Amdocs is pleased to announce the appointment of Sarah Ruth Davis to the company’s board of directors, effective August 2, 2021, and subject to re-election at Amdocs’ next annual general meeting on Friday, January 28, 2022. For more information, please visit the Investor Relations section of Amdocs’ website at https://investors.amdocs.com/board-directors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Amdocs will host a conference call on August 4, 2021 at 5:00 p.m. Eastern Time to discuss the Company’s third quarter of fiscal 2021 results. To participate, please dial +1 (844) 513-7152, or +1 (508) 637-5600 outside the United States, approximately 15 minutes before the call and enter passcode 3478186. The call will also be carried live on the Internet via the Amdocs website, www.amdocs.com.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5"/>
          <w:szCs w:val="15"/>
          <w:color w:val="auto"/>
        </w:rPr>
        <w:t>(3)</w:t>
      </w:r>
      <w:r>
        <w:rPr>
          <w:rFonts w:ascii="Arial" w:cs="Arial" w:eastAsia="Arial" w:hAnsi="Arial"/>
          <w:sz w:val="18"/>
          <w:szCs w:val="18"/>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pacing w:after="0" w:line="93"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and unusual charges or benefits (such as a gain from divestiture of OpenMarket);</w:t>
      </w:r>
    </w:p>
    <w:p>
      <w:pPr>
        <w:sectPr>
          <w:pgSz w:w="11900" w:h="16838" w:orient="portrait"/>
          <w:cols w:equalWidth="0" w:num="1">
            <w:col w:w="10940"/>
          </w:cols>
          <w:pgMar w:left="440" w:top="274" w:right="519" w:bottom="1440" w:gutter="0" w:footer="0" w:header="0"/>
        </w:sectPr>
      </w:pPr>
    </w:p>
    <w:bookmarkStart w:id="10" w:name="page11"/>
    <w:bookmarkEnd w:id="10"/>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equity-based compensation expense;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0980"/>
          </w:cols>
          <w:pgMar w:left="440" w:top="274" w:right="479" w:bottom="144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27,000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ectPr>
          <w:pgSz w:w="11900" w:h="16838" w:orient="portrait"/>
          <w:cols w:equalWidth="0" w:num="1">
            <w:col w:w="10980"/>
          </w:cols>
          <w:pgMar w:left="440" w:top="274"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 and our Form 6-K furnished for the first quarter of fiscal 2021 on February 16, 2021 and for the second quarter of fiscal 2021 on May 24,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980"/>
          </w:cols>
          <w:pgMar w:left="440" w:top="274" w:right="47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1,066,254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1,026,201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3,201,331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3,116,091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681,725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2,103,601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2,052,007</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231,617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206,199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352,187</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17,240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60,510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57,878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2,756,968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2,668,271</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442,761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96,226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79,384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363,377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134,758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$1,066,254</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$1,026,201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$3,201,331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$3,116,091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187,606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175,476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533,940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173,283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143,198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433,042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4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128,050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133,593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134,758</w:t>
            </w:r>
          </w:p>
        </w:tc>
      </w:tr>
      <w:tr>
        <w:trPr>
          <w:trHeight w:val="625"/>
        </w:trPr>
        <w:tc>
          <w:tcPr>
            <w:tcW w:w="7740" w:type="dxa"/>
            <w:vAlign w:val="bottom"/>
            <w:gridSpan w:val="6"/>
          </w:tcPr>
          <w:p>
            <w:pPr>
              <w:jc w:val="center"/>
              <w:ind w:left="3170"/>
              <w:spacing w:after="0"/>
              <w:rPr>
                <w:sz w:val="20"/>
                <w:szCs w:val="20"/>
                <w:color w:val="auto"/>
              </w:rPr>
            </w:pPr>
            <w:r>
              <w:rPr>
                <w:rFonts w:ascii="Arial" w:cs="Arial" w:eastAsia="Arial" w:hAnsi="Arial"/>
                <w:sz w:val="18"/>
                <w:szCs w:val="18"/>
                <w:b w:val="1"/>
                <w:bCs w:val="1"/>
                <w:color w:val="auto"/>
                <w:w w:val="90"/>
              </w:rPr>
              <w:t>Free Cash Flows and Normalized Free Cash Flow</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4860" w:type="dxa"/>
            <w:vAlign w:val="bottom"/>
          </w:tcPr>
          <w:p>
            <w:pPr>
              <w:spacing w:after="0"/>
              <w:rPr>
                <w:sz w:val="16"/>
                <w:szCs w:val="16"/>
                <w:color w:val="auto"/>
              </w:rPr>
            </w:pPr>
          </w:p>
        </w:tc>
        <w:tc>
          <w:tcPr>
            <w:tcW w:w="2160" w:type="dxa"/>
            <w:vAlign w:val="bottom"/>
            <w:gridSpan w:val="2"/>
          </w:tcPr>
          <w:p>
            <w:pPr>
              <w:jc w:val="center"/>
              <w:ind w:right="79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4"/>
        </w:trPr>
        <w:tc>
          <w:tcPr>
            <w:tcW w:w="4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8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gridSpan w:val="3"/>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214"/>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15"/>
                <w:szCs w:val="15"/>
                <w:b w:val="1"/>
                <w:bCs w:val="1"/>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$ 189,873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$ 186,680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$ 726,094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453,456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 xml:space="preserve">Purchases of property and equipment, net </w:t>
            </w:r>
            <w:r>
              <w:rPr>
                <w:rFonts w:ascii="Arial" w:cs="Arial" w:eastAsia="Arial" w:hAnsi="Arial"/>
                <w:sz w:val="15"/>
                <w:szCs w:val="15"/>
                <w:color w:val="auto"/>
              </w:rPr>
              <w:t>(c)</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8"/>
                <w:szCs w:val="18"/>
                <w:color w:val="auto"/>
              </w:rPr>
              <w:t>(50,255)</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(41,250)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(149,565)</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auto"/>
              </w:rPr>
              <w:t>(145,955)</w:t>
            </w:r>
          </w:p>
        </w:tc>
      </w:tr>
      <w:tr>
        <w:trPr>
          <w:trHeight w:val="27"/>
        </w:trPr>
        <w:tc>
          <w:tcPr>
            <w:tcW w:w="4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145,430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576,529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307,501</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Tax payment on sale of business</w:t>
            </w:r>
            <w:r>
              <w:rPr>
                <w:rFonts w:ascii="Arial" w:cs="Arial" w:eastAsia="Arial" w:hAnsi="Arial"/>
                <w:sz w:val="15"/>
                <w:szCs w:val="15"/>
                <w:color w:val="auto"/>
              </w:rPr>
              <w:t>(b)</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auto"/>
              </w:rPr>
              <w:t>13,597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38,787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Payments of acquisition related liabilities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7,667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9,417</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capital expenditures related to the new campus development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25,324</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15,460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46,752</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Normalized Free Cash Flow</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$ 178,539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$ 168,841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$ 696,429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365,599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January 1, 2021, OpenMarket results are not included in the Consolidated Statements of Income given its divestiture.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payment related to capital gain from divesture of OpenMarket, which was completed on December 31, 2020.</w:t>
      </w:r>
    </w:p>
    <w:p>
      <w:pPr>
        <w:spacing w:after="0" w:line="9"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$233 and $133 for the nine months ended June 30, 2021 and 2020, respectively.</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 2021</w:t>
            </w:r>
            <w:r>
              <w:rPr>
                <w:rFonts w:ascii="Arial" w:cs="Arial" w:eastAsia="Arial" w:hAnsi="Arial"/>
                <w:sz w:val="12"/>
                <w:szCs w:val="12"/>
                <w:b w:val="1"/>
                <w:bCs w:val="1"/>
                <w:color w:val="auto"/>
                <w:w w:val="92"/>
              </w:rPr>
              <w:t>(a)</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right"/>
              <w:ind w:right="3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Changes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certain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180" w:type="dxa"/>
            <w:vAlign w:val="bottom"/>
            <w:gridSpan w:val="5"/>
            <w:vMerge w:val="restart"/>
          </w:tcPr>
          <w:p>
            <w:pPr>
              <w:jc w:val="right"/>
              <w:ind w:right="259"/>
              <w:spacing w:after="0"/>
              <w:rPr>
                <w:sz w:val="20"/>
                <w:szCs w:val="20"/>
                <w:color w:val="auto"/>
              </w:rPr>
            </w:pPr>
            <w:r>
              <w:rPr>
                <w:rFonts w:ascii="Arial" w:cs="Arial" w:eastAsia="Arial" w:hAnsi="Arial"/>
                <w:sz w:val="14"/>
                <w:szCs w:val="14"/>
                <w:b w:val="1"/>
                <w:bCs w:val="1"/>
                <w:color w:val="auto"/>
                <w:w w:val="94"/>
              </w:rPr>
              <w:t>Equity based</w:t>
            </w:r>
          </w:p>
        </w:tc>
        <w:tc>
          <w:tcPr>
            <w:tcW w:w="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180" w:type="dxa"/>
            <w:vAlign w:val="bottom"/>
            <w:gridSpan w:val="5"/>
            <w:vMerge w:val="continue"/>
          </w:tcPr>
          <w:p>
            <w:pPr>
              <w:spacing w:after="0"/>
              <w:rPr>
                <w:sz w:val="12"/>
                <w:szCs w:val="12"/>
                <w:color w:val="auto"/>
              </w:rPr>
            </w:pP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related 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measured at 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104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$689,370</w:t>
            </w:r>
          </w:p>
        </w:tc>
        <w:tc>
          <w:tcPr>
            <w:tcW w:w="20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79"/>
              <w:spacing w:after="0"/>
              <w:rPr>
                <w:sz w:val="20"/>
                <w:szCs w:val="20"/>
                <w:color w:val="auto"/>
              </w:rPr>
            </w:pPr>
            <w:r>
              <w:rPr>
                <w:rFonts w:ascii="Arial" w:cs="Arial" w:eastAsia="Arial" w:hAnsi="Arial"/>
                <w:sz w:val="18"/>
                <w:szCs w:val="18"/>
                <w:color w:val="auto"/>
              </w:rPr>
              <w:t>(6,020)</w:t>
            </w:r>
          </w:p>
        </w:tc>
        <w:tc>
          <w:tcPr>
            <w:tcW w:w="80" w:type="dxa"/>
            <w:vAlign w:val="bottom"/>
          </w:tcPr>
          <w:p>
            <w:pPr>
              <w:jc w:val="right"/>
              <w:spacing w:after="0"/>
              <w:rPr>
                <w:sz w:val="20"/>
                <w:szCs w:val="20"/>
                <w:color w:val="auto"/>
              </w:rPr>
            </w:pPr>
            <w:r>
              <w:rPr>
                <w:rFonts w:ascii="Arial" w:cs="Arial" w:eastAsia="Arial" w:hAnsi="Arial"/>
                <w:sz w:val="4"/>
                <w:szCs w:val="4"/>
                <w:color w:val="auto"/>
                <w:w w:val="87"/>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9"/>
              </w:rPr>
              <w:t>$ 683,424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80,794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179"/>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122,401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4"/>
          </w:tcPr>
          <w:p>
            <w:pPr>
              <w:jc w:val="right"/>
              <w:ind w:right="179"/>
              <w:spacing w:after="0"/>
              <w:rPr>
                <w:sz w:val="20"/>
                <w:szCs w:val="20"/>
                <w:color w:val="auto"/>
              </w:rPr>
            </w:pPr>
            <w:r>
              <w:rPr>
                <w:rFonts w:ascii="Arial" w:cs="Arial" w:eastAsia="Arial" w:hAnsi="Arial"/>
                <w:sz w:val="18"/>
                <w:szCs w:val="18"/>
                <w:color w:val="auto"/>
              </w:rPr>
              <w:t>(6,939)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115,462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Amortization of purchased intangible assets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other</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(18,770)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911,335</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(18,770)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(13,991)</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878,648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154,919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239"/>
              <w:spacing w:after="0"/>
              <w:rPr>
                <w:sz w:val="20"/>
                <w:szCs w:val="20"/>
                <w:color w:val="auto"/>
              </w:rPr>
            </w:pPr>
            <w:r>
              <w:rPr>
                <w:rFonts w:ascii="Arial" w:cs="Arial" w:eastAsia="Arial" w:hAnsi="Arial"/>
                <w:sz w:val="18"/>
                <w:szCs w:val="18"/>
                <w:color w:val="auto"/>
              </w:rPr>
              <w:t>13,991</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187,606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0"/>
              </w:rPr>
              <w:t>(1,510)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w w:val="97"/>
              </w:rPr>
              <w:t>4,044</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146,150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13,991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0"/>
              </w:rPr>
              <w:t>(1,510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(4,044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$ 173,283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Amortization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7"/>
            <w:vMerge w:val="restart"/>
          </w:tcPr>
          <w:p>
            <w:pPr>
              <w:jc w:val="center"/>
              <w:ind w:right="181"/>
              <w:spacing w:after="0"/>
              <w:rPr>
                <w:sz w:val="20"/>
                <w:szCs w:val="20"/>
                <w:color w:val="auto"/>
              </w:rPr>
            </w:pPr>
            <w:r>
              <w:rPr>
                <w:rFonts w:ascii="Arial" w:cs="Arial" w:eastAsia="Arial" w:hAnsi="Arial"/>
                <w:sz w:val="14"/>
                <w:szCs w:val="14"/>
                <w:b w:val="1"/>
                <w:bCs w:val="1"/>
                <w:color w:val="auto"/>
                <w:w w:val="92"/>
              </w:rPr>
              <w:t>Changes in certain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purchased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vMerge w:val="restart"/>
          </w:tcPr>
          <w:p>
            <w:pPr>
              <w:jc w:val="right"/>
              <w:ind w:right="53"/>
              <w:spacing w:after="0"/>
              <w:rPr>
                <w:sz w:val="20"/>
                <w:szCs w:val="20"/>
                <w:color w:val="auto"/>
              </w:rPr>
            </w:pPr>
            <w:r>
              <w:rPr>
                <w:rFonts w:ascii="Arial" w:cs="Arial" w:eastAsia="Arial" w:hAnsi="Arial"/>
                <w:sz w:val="14"/>
                <w:szCs w:val="14"/>
                <w:b w:val="1"/>
                <w:bCs w:val="1"/>
                <w:color w:val="auto"/>
                <w:w w:val="94"/>
              </w:rPr>
              <w:t>Equity based</w:t>
            </w:r>
          </w:p>
        </w:tc>
        <w:tc>
          <w:tcPr>
            <w:tcW w:w="280" w:type="dxa"/>
            <w:vAlign w:val="bottom"/>
          </w:tcPr>
          <w:p>
            <w:pPr>
              <w:spacing w:after="0"/>
              <w:rPr>
                <w:sz w:val="12"/>
                <w:szCs w:val="12"/>
                <w:color w:val="auto"/>
              </w:rPr>
            </w:pPr>
          </w:p>
        </w:tc>
        <w:tc>
          <w:tcPr>
            <w:tcW w:w="162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7"/>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acquisitions related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80" w:type="dxa"/>
            <w:vAlign w:val="bottom"/>
          </w:tcPr>
          <w:p>
            <w:pPr>
              <w:spacing w:after="0"/>
              <w:rPr>
                <w:sz w:val="12"/>
                <w:szCs w:val="12"/>
                <w:color w:val="auto"/>
              </w:rPr>
            </w:pPr>
          </w:p>
        </w:tc>
        <w:tc>
          <w:tcPr>
            <w:tcW w:w="1620" w:type="dxa"/>
            <w:vAlign w:val="bottom"/>
            <w:gridSpan w:val="7"/>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liabilities measured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7"/>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261"/>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$681,725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(4,985)</w:t>
            </w:r>
          </w:p>
        </w:tc>
        <w:tc>
          <w:tcPr>
            <w:tcW w:w="900" w:type="dxa"/>
            <w:vAlign w:val="bottom"/>
            <w:gridSpan w:val="2"/>
          </w:tcPr>
          <w:p>
            <w:pPr>
              <w:jc w:val="right"/>
              <w:ind w:right="4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$ 677,096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70,093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69,382</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109,612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(5,365)</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104,247</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Amortization of purchased intangible assets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other</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(17,240)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878,670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(17,240)</w:t>
            </w:r>
          </w:p>
        </w:tc>
        <w:tc>
          <w:tcPr>
            <w:tcW w:w="1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(11,061)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14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850,725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147,531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11,061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175,476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4"/>
              </w:rPr>
              <w:t>5,154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120,407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17,240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11,061</w:t>
            </w:r>
          </w:p>
        </w:tc>
        <w:tc>
          <w:tcPr>
            <w:tcW w:w="9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ind w:lef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(5,154)</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$ 143,198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2800"/>
        <w:spacing w:after="0"/>
        <w:rPr>
          <w:sz w:val="20"/>
          <w:szCs w:val="20"/>
          <w:color w:val="auto"/>
        </w:rPr>
      </w:pPr>
      <w:r>
        <w:rPr>
          <w:rFonts w:ascii="Arial" w:cs="Arial" w:eastAsia="Arial" w:hAnsi="Arial"/>
          <w:sz w:val="14"/>
          <w:szCs w:val="14"/>
          <w:b w:val="1"/>
          <w:bCs w:val="1"/>
          <w:color w:val="auto"/>
        </w:rPr>
        <w:t>June 30, 2021</w:t>
      </w: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-3175</wp:posOffset>
            </wp:positionV>
            <wp:extent cx="5066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ind w:left="6300"/>
        <w:spacing w:after="0" w:line="232" w:lineRule="auto"/>
        <w:rPr>
          <w:sz w:val="20"/>
          <w:szCs w:val="20"/>
          <w:color w:val="auto"/>
        </w:rPr>
      </w:pPr>
      <w:r>
        <w:rPr>
          <w:rFonts w:ascii="Arial" w:cs="Arial" w:eastAsia="Arial" w:hAnsi="Arial"/>
          <w:sz w:val="14"/>
          <w:szCs w:val="14"/>
          <w:b w:val="1"/>
          <w:bCs w:val="1"/>
          <w:color w:val="auto"/>
        </w:rPr>
        <w:t>Reconciliation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Borders>
              <w:top w:val="single" w:sz="8" w:color="auto"/>
            </w:tcBorders>
            <w:gridSpan w:val="6"/>
            <w:vMerge w:val="restart"/>
          </w:tcPr>
          <w:p>
            <w:pPr>
              <w:jc w:val="center"/>
              <w:ind w:right="9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Changes in</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certain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6"/>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00" w:type="dxa"/>
            <w:vAlign w:val="bottom"/>
          </w:tcPr>
          <w:p>
            <w:pPr>
              <w:spacing w:after="0"/>
              <w:rPr>
                <w:sz w:val="12"/>
                <w:szCs w:val="12"/>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Equity based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80" w:type="dxa"/>
            <w:vAlign w:val="bottom"/>
          </w:tcPr>
          <w:p>
            <w:pPr>
              <w:spacing w:after="0"/>
              <w:rPr>
                <w:sz w:val="12"/>
                <w:szCs w:val="12"/>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Gain from</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related liabilities</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jc w:val="right"/>
              <w:ind w:right="207"/>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jc w:val="center"/>
              <w:ind w:right="193"/>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measured at fair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sale of a</w:t>
            </w:r>
          </w:p>
        </w:tc>
        <w:tc>
          <w:tcPr>
            <w:tcW w:w="200" w:type="dxa"/>
            <w:vAlign w:val="bottom"/>
          </w:tcPr>
          <w:p>
            <w:pPr>
              <w:spacing w:after="0"/>
              <w:rPr>
                <w:sz w:val="12"/>
                <w:szCs w:val="12"/>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expense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business</w:t>
            </w:r>
          </w:p>
        </w:tc>
        <w:tc>
          <w:tcPr>
            <w:tcW w:w="2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effect</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920" w:type="dxa"/>
            <w:vAlign w:val="bottom"/>
            <w:gridSpan w:val="3"/>
          </w:tcPr>
          <w:p>
            <w:pPr>
              <w:jc w:val="right"/>
              <w:ind w:right="7"/>
              <w:spacing w:after="0"/>
              <w:rPr>
                <w:sz w:val="20"/>
                <w:szCs w:val="20"/>
                <w:color w:val="auto"/>
              </w:rPr>
            </w:pPr>
            <w:r>
              <w:rPr>
                <w:rFonts w:ascii="Arial" w:cs="Arial" w:eastAsia="Arial" w:hAnsi="Arial"/>
                <w:sz w:val="18"/>
                <w:szCs w:val="18"/>
                <w:color w:val="auto"/>
                <w:w w:val="90"/>
              </w:rPr>
              <w:t>$2,103,601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173"/>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(16,543)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(15,654)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$2,071,404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231,617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228,741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360"/>
              <w:spacing w:after="0" w:line="201" w:lineRule="exact"/>
              <w:rPr>
                <w:sz w:val="20"/>
                <w:szCs w:val="20"/>
                <w:color w:val="auto"/>
              </w:rPr>
            </w:pPr>
            <w:r>
              <w:rPr>
                <w:rFonts w:ascii="Arial" w:cs="Arial" w:eastAsia="Arial" w:hAnsi="Arial"/>
                <w:sz w:val="18"/>
                <w:szCs w:val="18"/>
                <w:color w:val="auto"/>
              </w:rPr>
              <w:t>Selling, generaland</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540"/>
              <w:spacing w:after="0"/>
              <w:rPr>
                <w:sz w:val="20"/>
                <w:szCs w:val="20"/>
                <w:color w:val="auto"/>
              </w:rPr>
            </w:pPr>
            <w:r>
              <w:rPr>
                <w:rFonts w:ascii="Arial" w:cs="Arial" w:eastAsia="Arial" w:hAnsi="Arial"/>
                <w:sz w:val="18"/>
                <w:szCs w:val="18"/>
                <w:color w:val="auto"/>
              </w:rPr>
              <w:t>administrative</w:t>
            </w:r>
          </w:p>
        </w:tc>
        <w:tc>
          <w:tcPr>
            <w:tcW w:w="920" w:type="dxa"/>
            <w:vAlign w:val="bottom"/>
            <w:gridSpan w:val="3"/>
          </w:tcPr>
          <w:p>
            <w:pPr>
              <w:jc w:val="right"/>
              <w:ind w:right="7"/>
              <w:spacing w:after="0"/>
              <w:rPr>
                <w:sz w:val="20"/>
                <w:szCs w:val="20"/>
                <w:color w:val="auto"/>
              </w:rPr>
            </w:pPr>
            <w:r>
              <w:rPr>
                <w:rFonts w:ascii="Arial" w:cs="Arial" w:eastAsia="Arial" w:hAnsi="Arial"/>
                <w:sz w:val="18"/>
                <w:szCs w:val="18"/>
                <w:color w:val="auto"/>
              </w:rPr>
              <w:t>361,240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173"/>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340,716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w:t>
            </w:r>
          </w:p>
        </w:tc>
        <w:tc>
          <w:tcPr>
            <w:tcW w:w="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intangible assets and other</w:t>
            </w:r>
          </w:p>
        </w:tc>
        <w:tc>
          <w:tcPr>
            <w:tcW w:w="9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60,510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5"/>
            <w:shd w:val="clear" w:color="auto" w:fill="CCEEFF"/>
          </w:tcPr>
          <w:p>
            <w:pPr>
              <w:jc w:val="right"/>
              <w:ind w:right="33"/>
              <w:spacing w:after="0"/>
              <w:rPr>
                <w:sz w:val="20"/>
                <w:szCs w:val="20"/>
                <w:color w:val="auto"/>
              </w:rPr>
            </w:pPr>
            <w:r>
              <w:rPr>
                <w:rFonts w:ascii="Arial" w:cs="Arial" w:eastAsia="Arial" w:hAnsi="Arial"/>
                <w:sz w:val="18"/>
                <w:szCs w:val="18"/>
                <w:color w:val="auto"/>
              </w:rPr>
              <w:t>(60,510)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2,756,968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(60,510)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(39,943)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(15,654)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2,640,861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444,363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560,470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20"/>
                <w:szCs w:val="20"/>
                <w:color w:val="auto"/>
              </w:rPr>
            </w:pPr>
            <w:r>
              <w:rPr>
                <w:rFonts w:ascii="Arial" w:cs="Arial" w:eastAsia="Arial" w:hAnsi="Arial"/>
                <w:sz w:val="18"/>
                <w:szCs w:val="18"/>
                <w:color w:val="auto"/>
                <w:w w:val="97"/>
              </w:rPr>
              <w:t>Interest and other income (expense),</w:t>
            </w: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173"/>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226,410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(226,410)</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(20,490)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3"/>
              </w:rPr>
              <w:t>$  564,849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60,510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39,943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15,654</w:t>
            </w:r>
          </w:p>
        </w:tc>
        <w:tc>
          <w:tcPr>
            <w:tcW w:w="164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(226,410)  </w:t>
            </w:r>
            <w:r>
              <w:rPr>
                <w:rFonts w:ascii="Arial" w:cs="Arial" w:eastAsia="Arial" w:hAnsi="Arial"/>
                <w:sz w:val="18"/>
                <w:szCs w:val="18"/>
                <w:u w:val="single" w:color="auto"/>
                <w:color w:val="auto"/>
              </w:rPr>
              <w:t>$</w:t>
            </w:r>
            <w:r>
              <w:rPr>
                <w:rFonts w:ascii="Arial" w:cs="Arial" w:eastAsia="Arial" w:hAnsi="Arial"/>
                <w:sz w:val="18"/>
                <w:szCs w:val="18"/>
                <w:color w:val="auto"/>
              </w:rPr>
              <w:t>(686)</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$ 20,490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474,350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tcPr>
          <w:p>
            <w:pPr>
              <w:jc w:val="center"/>
              <w:ind w:right="260"/>
              <w:spacing w:after="0" w:line="119" w:lineRule="exact"/>
              <w:rPr>
                <w:sz w:val="20"/>
                <w:szCs w:val="20"/>
                <w:color w:val="auto"/>
              </w:rPr>
            </w:pPr>
            <w:r>
              <w:rPr>
                <w:rFonts w:ascii="Arial" w:cs="Arial" w:eastAsia="Arial" w:hAnsi="Arial"/>
                <w:sz w:val="13"/>
                <w:szCs w:val="13"/>
                <w:b w:val="1"/>
                <w:bCs w:val="1"/>
                <w:color w:val="auto"/>
              </w:rPr>
              <w:t>Amortization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7"/>
            <w:vMerge w:val="restart"/>
          </w:tcPr>
          <w:p>
            <w:pPr>
              <w:jc w:val="center"/>
              <w:ind w:right="380"/>
              <w:spacing w:after="0"/>
              <w:rPr>
                <w:sz w:val="20"/>
                <w:szCs w:val="20"/>
                <w:color w:val="auto"/>
              </w:rPr>
            </w:pPr>
            <w:r>
              <w:rPr>
                <w:rFonts w:ascii="Arial" w:cs="Arial" w:eastAsia="Arial" w:hAnsi="Arial"/>
                <w:sz w:val="14"/>
                <w:szCs w:val="14"/>
                <w:b w:val="1"/>
                <w:bCs w:val="1"/>
                <w:color w:val="auto"/>
                <w:w w:val="90"/>
              </w:rPr>
              <w:t>Changes in certain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purchased</w:t>
            </w:r>
          </w:p>
        </w:tc>
        <w:tc>
          <w:tcPr>
            <w:tcW w:w="100" w:type="dxa"/>
            <w:vAlign w:val="bottom"/>
          </w:tcPr>
          <w:p>
            <w:pPr>
              <w:spacing w:after="0"/>
              <w:rPr>
                <w:sz w:val="12"/>
                <w:szCs w:val="12"/>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80" w:type="dxa"/>
            <w:vAlign w:val="bottom"/>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6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acquisitions related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liabilities measured at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effect</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660" w:type="dxa"/>
            <w:vAlign w:val="bottom"/>
            <w:gridSpan w:val="7"/>
          </w:tcPr>
          <w:p>
            <w:pPr>
              <w:jc w:val="right"/>
              <w:ind w:right="20"/>
              <w:spacing w:after="0"/>
              <w:rPr>
                <w:sz w:val="20"/>
                <w:szCs w:val="20"/>
                <w:color w:val="auto"/>
              </w:rPr>
            </w:pPr>
            <w:r>
              <w:rPr>
                <w:rFonts w:ascii="Arial" w:cs="Arial" w:eastAsia="Arial" w:hAnsi="Arial"/>
                <w:sz w:val="18"/>
                <w:szCs w:val="18"/>
                <w:color w:val="auto"/>
              </w:rPr>
              <w:t>$2,052,007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(15,024)</w:t>
            </w:r>
          </w:p>
        </w:tc>
        <w:tc>
          <w:tcPr>
            <w:tcW w:w="18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4,328</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$ 2,041,311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206,199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203,962</w:t>
            </w: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w w:val="91"/>
              </w:rPr>
              <w:t>Selling, general and administrative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352,187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(15,309)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336,878</w:t>
            </w:r>
          </w:p>
        </w:tc>
        <w:tc>
          <w:tcPr>
            <w:tcW w:w="0" w:type="dxa"/>
            <w:vAlign w:val="bottom"/>
          </w:tcPr>
          <w:p>
            <w:pPr>
              <w:spacing w:after="0"/>
              <w:rPr>
                <w:sz w:val="1"/>
                <w:szCs w:val="1"/>
                <w:color w:val="auto"/>
              </w:rPr>
            </w:pPr>
          </w:p>
        </w:tc>
      </w:tr>
      <w:tr>
        <w:trPr>
          <w:trHeight w:val="202"/>
        </w:trPr>
        <w:tc>
          <w:tcPr>
            <w:tcW w:w="382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assets and other</w:t>
            </w:r>
          </w:p>
        </w:tc>
        <w:tc>
          <w:tcPr>
            <w:tcW w:w="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57,878</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2,668,271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4,328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2,582,151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447,820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(4,328)</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533,940</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79,384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363,377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32,570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(4,328)</w:t>
            </w: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(16,455)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433,042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8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853,301</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983,188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including unbilled of $177,166 and $175,548, respectively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861,033</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213,387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229,604</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2,185,159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2,074,577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654,111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607,951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295,494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2,898,365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2,874,979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488,620</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6,567,501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996,785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930,259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Short-term financing arrangement</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59,100</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126,841</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1,275,205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1,216,200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195,844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230,076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644,023</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778,290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586,167</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3,631,239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3,622,646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3,673,748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3,665,155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6,567,501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020" w:type="dxa"/>
            <w:vAlign w:val="bottom"/>
          </w:tcPr>
          <w:p>
            <w:pPr>
              <w:spacing w:after="0"/>
              <w:rPr>
                <w:sz w:val="14"/>
                <w:szCs w:val="14"/>
                <w:color w:val="auto"/>
              </w:rPr>
            </w:pPr>
          </w:p>
        </w:tc>
        <w:tc>
          <w:tcPr>
            <w:tcW w:w="20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0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15"/>
                <w:szCs w:val="15"/>
                <w:b w:val="1"/>
                <w:bCs w:val="1"/>
                <w:color w:val="auto"/>
              </w:rPr>
              <w:t>(a)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$ 564,849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363,377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157,024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144,715</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39,943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32,570</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(226,410)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(64,882)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43,916</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18,522</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(12,603)</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(9,869)</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(98,670)</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205,915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(13,752)</w:t>
            </w: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27,297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(1,566)</w:t>
            </w:r>
          </w:p>
        </w:tc>
      </w:tr>
      <w:tr>
        <w:trPr>
          <w:trHeight w:val="27"/>
        </w:trPr>
        <w:tc>
          <w:tcPr>
            <w:tcW w:w="9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453,456</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 of property and equipment, net </w:t>
            </w:r>
            <w:r>
              <w:rPr>
                <w:rFonts w:ascii="Arial" w:cs="Arial" w:eastAsia="Arial" w:hAnsi="Arial"/>
                <w:sz w:val="15"/>
                <w:szCs w:val="15"/>
                <w:b w:val="1"/>
                <w:bCs w:val="1"/>
                <w:color w:val="auto"/>
              </w:rPr>
              <w:t>(c)</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(149,565)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(145,955)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(111,932)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(29,258)</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(5,290)</w:t>
            </w:r>
          </w:p>
        </w:tc>
      </w:tr>
      <w:tr>
        <w:trPr>
          <w:trHeight w:val="27"/>
        </w:trPr>
        <w:tc>
          <w:tcPr>
            <w:tcW w:w="9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(180,503)</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(350,000)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 net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645,685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(539,969)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(270,062)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95,979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of dividends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(131,892)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(120,493)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7"/>
        </w:trPr>
        <w:tc>
          <w:tcPr>
            <w:tcW w:w="9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449,458</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(129,887)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722,411</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471,632</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$ 853,301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1,194,043</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12"/>
          </w:tcPr>
          <w:p>
            <w:pPr>
              <w:jc w:val="center"/>
              <w:ind w:right="42"/>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020" w:type="dxa"/>
            <w:vAlign w:val="bottom"/>
            <w:gridSpan w:val="7"/>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700" w:type="dxa"/>
            <w:vAlign w:val="bottom"/>
            <w:gridSpan w:val="2"/>
          </w:tcPr>
          <w:p>
            <w:pPr>
              <w:jc w:val="right"/>
              <w:ind w:right="22"/>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2021</w:t>
            </w:r>
            <w:r>
              <w:rPr>
                <w:rFonts w:ascii="Arial" w:cs="Arial" w:eastAsia="Arial" w:hAnsi="Arial"/>
                <w:sz w:val="12"/>
                <w:szCs w:val="12"/>
                <w:b w:val="1"/>
                <w:bCs w:val="1"/>
                <w:color w:val="auto"/>
                <w:w w:val="95"/>
              </w:rPr>
              <w:t>(a)</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686.1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685.9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2860" w:type="dxa"/>
            <w:vAlign w:val="bottom"/>
            <w:gridSpan w:val="7"/>
          </w:tcPr>
          <w:p>
            <w:pPr>
              <w:jc w:val="right"/>
              <w:ind w:right="80"/>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145.4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86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194.9</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 Revenue</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$ 1,066.3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$ 1,048.7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1,086.3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$ 1,026.2</w:t>
            </w:r>
          </w:p>
        </w:tc>
        <w:tc>
          <w:tcPr>
            <w:tcW w:w="6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2"/>
          </w:tcPr>
          <w:p>
            <w:pPr>
              <w:jc w:val="center"/>
              <w:ind w:right="42"/>
              <w:spacing w:after="0"/>
              <w:rPr>
                <w:sz w:val="20"/>
                <w:szCs w:val="20"/>
                <w:color w:val="auto"/>
              </w:rPr>
            </w:pPr>
            <w:r>
              <w:rPr>
                <w:rFonts w:ascii="Arial" w:cs="Arial" w:eastAsia="Arial" w:hAnsi="Arial"/>
                <w:sz w:val="14"/>
                <w:szCs w:val="14"/>
                <w:b w:val="1"/>
                <w:bCs w:val="1"/>
                <w:color w:val="auto"/>
                <w:w w:val="91"/>
              </w:rPr>
              <w:t>Three months ended</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80" w:type="dxa"/>
            <w:vAlign w:val="bottom"/>
            <w:gridSpan w:val="6"/>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860" w:type="dxa"/>
            <w:vAlign w:val="bottom"/>
            <w:gridSpan w:val="7"/>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020" w:type="dxa"/>
            <w:vAlign w:val="bottom"/>
            <w:gridSpan w:val="7"/>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600" w:type="dxa"/>
            <w:vAlign w:val="bottom"/>
            <w:gridSpan w:val="4"/>
          </w:tcPr>
          <w:p>
            <w:pPr>
              <w:jc w:val="right"/>
              <w:ind w:right="4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20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650.5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634.6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$ 604.5</w:t>
            </w:r>
          </w:p>
        </w:tc>
        <w:tc>
          <w:tcPr>
            <w:tcW w:w="60" w:type="dxa"/>
            <w:vAlign w:val="bottom"/>
            <w:tcBorders>
              <w:top w:val="single" w:sz="8" w:color="CCEEFF"/>
            </w:tcBorders>
            <w:shd w:val="clear" w:color="auto" w:fill="CCEEFF"/>
          </w:tcPr>
          <w:p>
            <w:pPr>
              <w:spacing w:after="0"/>
              <w:rPr>
                <w:sz w:val="18"/>
                <w:szCs w:val="18"/>
                <w:color w:val="auto"/>
              </w:rPr>
            </w:pPr>
          </w:p>
        </w:tc>
      </w:tr>
      <w:tr>
        <w:trPr>
          <w:trHeight w:val="398"/>
        </w:trPr>
        <w:tc>
          <w:tcPr>
            <w:tcW w:w="4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6"/>
          </w:tcPr>
          <w:p>
            <w:pPr>
              <w:jc w:val="right"/>
              <w:ind w:right="18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2021</w:t>
            </w:r>
            <w:r>
              <w:rPr>
                <w:rFonts w:ascii="Arial" w:cs="Arial" w:eastAsia="Arial" w:hAnsi="Arial"/>
                <w:sz w:val="12"/>
                <w:szCs w:val="12"/>
                <w:b w:val="1"/>
                <w:bCs w:val="1"/>
                <w:color w:val="auto"/>
                <w:w w:val="90"/>
              </w:rPr>
              <w:t>(d)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2021</w:t>
            </w:r>
            <w:r>
              <w:rPr>
                <w:rFonts w:ascii="Arial" w:cs="Arial" w:eastAsia="Arial" w:hAnsi="Arial"/>
                <w:sz w:val="12"/>
                <w:szCs w:val="12"/>
                <w:b w:val="1"/>
                <w:bCs w:val="1"/>
                <w:color w:val="auto"/>
                <w:w w:val="98"/>
              </w:rPr>
              <w:t>(d)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2140" w:type="dxa"/>
            <w:vAlign w:val="bottom"/>
            <w:tcBorders>
              <w:top w:val="single" w:sz="8" w:color="CCEEFF"/>
            </w:tcBorders>
            <w:gridSpan w:val="3"/>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$ 3,480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OpenMarket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2021-08-05T05:51:56Z</dcterms:created>
  <dcterms:modified xsi:type="dcterms:W3CDTF">2021-08-05T05:51:56Z</dcterms:modified>
</cp:coreProperties>
</file>