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9"/>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FORM 6-K</w:t>
      </w:r>
    </w:p>
    <w:p>
      <w:pPr>
        <w:spacing w:after="0" w:line="210"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REPORT OF FOREIGN PRIVATE ISSUER</w:t>
      </w:r>
    </w:p>
    <w:p>
      <w:pPr>
        <w:spacing w:after="0" w:line="9"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PURSUANT TO RULE 13A-16 OR 15D-16 UNDER</w:t>
      </w:r>
    </w:p>
    <w:p>
      <w:pPr>
        <w:spacing w:after="0" w:line="9"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For the month of July 2006</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Commission File Number 1-14840</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AMDOCS LIMITED</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Suite 5, Tower Hill House Le Bordage</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Amdocs, Inc.</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10" w:lineRule="exact"/>
        <w:rPr>
          <w:sz w:val="24"/>
          <w:szCs w:val="24"/>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2620"/>
        <w:spacing w:after="0"/>
        <w:tabs>
          <w:tab w:leader="none" w:pos="3860" w:val="left"/>
          <w:tab w:leader="none" w:pos="4280" w:val="left"/>
        </w:tabs>
        <w:rPr>
          <w:sz w:val="20"/>
          <w:szCs w:val="20"/>
          <w:color w:val="auto"/>
        </w:rPr>
      </w:pPr>
      <w:r>
        <w:rPr>
          <w:rFonts w:ascii="Courier New" w:cs="Courier New" w:eastAsia="Courier New" w:hAnsi="Courier New"/>
          <w:sz w:val="17"/>
          <w:szCs w:val="17"/>
          <w:color w:val="auto"/>
        </w:rPr>
        <w:t>FORM 20-F</w:t>
      </w:r>
      <w:r>
        <w:rPr>
          <w:sz w:val="20"/>
          <w:szCs w:val="20"/>
          <w:color w:val="auto"/>
        </w:rPr>
        <w:tab/>
      </w: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FORM 40-F</w:t>
      </w:r>
    </w:p>
    <w:p>
      <w:pPr>
        <w:spacing w:after="0" w:line="9" w:lineRule="exact"/>
        <w:rPr>
          <w:sz w:val="24"/>
          <w:szCs w:val="24"/>
          <w:color w:val="auto"/>
        </w:rPr>
      </w:pPr>
    </w:p>
    <w:p>
      <w:pPr>
        <w:ind w:left="3680"/>
        <w:spacing w:after="0"/>
        <w:tabs>
          <w:tab w:leader="none" w:pos="53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10" w:lineRule="exact"/>
        <w:rPr>
          <w:sz w:val="24"/>
          <w:szCs w:val="24"/>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101(b)(1):</w:t>
      </w:r>
    </w:p>
    <w:p>
      <w:pPr>
        <w:ind w:left="46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Indicate by check mark if the registrant is submitting the Form 6-K in paper as permitted by Regulation S-T Rule 101(b)(7):</w:t>
      </w:r>
    </w:p>
    <w:p>
      <w:pPr>
        <w:ind w:left="46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52" w:right="1440" w:bottom="1440" w:gutter="0" w:footer="0" w:header="0"/>
        </w:sectPr>
      </w:pPr>
    </w:p>
    <w:p>
      <w:pPr>
        <w:spacing w:after="0" w:line="194"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5079"/>
        <w:spacing w:after="0"/>
        <w:rPr>
          <w:sz w:val="20"/>
          <w:szCs w:val="20"/>
          <w:color w:val="auto"/>
        </w:rPr>
      </w:pPr>
      <w:r>
        <w:rPr>
          <w:rFonts w:ascii="Courier New" w:cs="Courier New" w:eastAsia="Courier New" w:hAnsi="Courier New"/>
          <w:sz w:val="17"/>
          <w:szCs w:val="17"/>
          <w:color w:val="auto"/>
        </w:rPr>
        <w:t>X</w:t>
      </w:r>
    </w:p>
    <w:p>
      <w:pPr>
        <w:spacing w:after="0" w:line="9" w:lineRule="exact"/>
        <w:rPr>
          <w:sz w:val="24"/>
          <w:szCs w:val="24"/>
          <w:color w:val="auto"/>
        </w:rPr>
      </w:pPr>
    </w:p>
    <w:p>
      <w:pPr>
        <w:jc w:val="center"/>
        <w:ind w:right="5079"/>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4">
            <w:col w:w="3560" w:space="120"/>
            <w:col w:w="520" w:space="100"/>
            <w:col w:w="220" w:space="100"/>
            <w:col w:w="5599"/>
          </w:cols>
          <w:pgMar w:left="240" w:top="652" w:right="1440" w:bottom="1440" w:gutter="0" w:footer="0" w:header="0"/>
          <w:type w:val="continuous"/>
        </w:sectPr>
      </w:pPr>
    </w:p>
    <w:bookmarkStart w:id="1" w:name="page2"/>
    <w:bookmarkEnd w:id="1"/>
    <w:p>
      <w:pPr>
        <w:ind w:right="1939" w:firstLine="524"/>
        <w:spacing w:after="0" w:line="253" w:lineRule="auto"/>
        <w:rPr>
          <w:sz w:val="20"/>
          <w:szCs w:val="20"/>
          <w:color w:val="auto"/>
        </w:rPr>
      </w:pPr>
      <w:r>
        <w:rPr>
          <w:rFonts w:ascii="Courier New" w:cs="Courier New" w:eastAsia="Courier New" w:hAnsi="Courier New"/>
          <w:sz w:val="17"/>
          <w:szCs w:val="17"/>
          <w:color w:val="auto"/>
        </w:rPr>
        <w:t>On July 19, 2006, Amdocs Limited ("Amdocs") issued a press release announcing financial results for the quarter ended June 30, 2006. A copy of the press release is furnished as Exhibit 99.1 to this Report of Foreign Private Issuer on Form 6-K.</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719" w:right="1440" w:bottom="1440" w:gutter="0" w:footer="0" w:header="0"/>
        </w:sectPr>
      </w:pPr>
    </w:p>
    <w:bookmarkStart w:id="2" w:name="page3"/>
    <w:bookmarkEnd w:id="2"/>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jc w:val="both"/>
        <w:ind w:right="2679"/>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spacing w:after="0" w:line="212"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Thomas G. O'Brien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Thomas G. O'Brien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Treasurer and Secretary</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Authorized U.S. Representative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July 20, 2006</w:t>
      </w:r>
    </w:p>
    <w:p>
      <w:pPr>
        <w:sectPr>
          <w:pgSz w:w="11900" w:h="16838" w:orient="portrait"/>
          <w:cols w:equalWidth="0" w:num="1">
            <w:col w:w="10219"/>
          </w:cols>
          <w:pgMar w:left="240" w:top="719" w:right="1440" w:bottom="1440" w:gutter="0" w:footer="0" w:header="0"/>
        </w:sectPr>
      </w:pPr>
    </w:p>
    <w:bookmarkStart w:id="3" w:name="page4"/>
    <w:bookmarkEnd w:id="3"/>
    <w:p>
      <w:pPr>
        <w:ind w:left="356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7"/>
          <w:szCs w:val="17"/>
          <w:color w:val="auto"/>
        </w:rPr>
        <w:t>DESCRIPTION</w:t>
      </w:r>
    </w:p>
    <w:p>
      <w:pPr>
        <w:spacing w:after="0" w:line="9"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7"/>
          <w:szCs w:val="17"/>
          <w:color w:val="auto"/>
        </w:rPr>
        <w:t>Amdocs Limited Press Release dated July 19, 2006.</w:t>
      </w:r>
    </w:p>
    <w:p>
      <w:pPr>
        <w:sectPr>
          <w:pgSz w:w="11900" w:h="16838" w:orient="portrait"/>
          <w:cols w:equalWidth="0" w:num="1">
            <w:col w:w="10219"/>
          </w:cols>
          <w:pgMar w:left="240" w:top="719" w:right="1440" w:bottom="1440" w:gutter="0" w:footer="0" w:header="0"/>
        </w:sectPr>
      </w:pPr>
    </w:p>
    <w:bookmarkStart w:id="4" w:name="page5"/>
    <w:bookmarkEnd w:id="4"/>
    <w:p>
      <w:pPr>
        <w:ind w:left="7120"/>
        <w:spacing w:after="0"/>
        <w:rPr>
          <w:sz w:val="20"/>
          <w:szCs w:val="20"/>
          <w:color w:val="auto"/>
        </w:rPr>
      </w:pPr>
      <w:r>
        <w:rPr>
          <w:rFonts w:ascii="Courier New" w:cs="Courier New" w:eastAsia="Courier New" w:hAnsi="Courier New"/>
          <w:sz w:val="17"/>
          <w:szCs w:val="17"/>
          <w:color w:val="auto"/>
        </w:rPr>
        <w:t>Exhibit 99.1</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AMDOCS LIMITED REPORTS 23% GROWTH IN REVENUE TO A RECORD $626</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MILLION FOR THE THIRD QUARTER OF FISCAL 2006</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32% GROWTH IN DILUTED NON-GAAP EARNINGS PER SHARE TO $0.49;</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DILUTED GAAP EARNINGS PER SHARE OF $0.39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highlights:</w:t>
      </w:r>
    </w:p>
    <w:p>
      <w:pPr>
        <w:spacing w:after="0" w:line="210" w:lineRule="exact"/>
        <w:rPr>
          <w:sz w:val="20"/>
          <w:szCs w:val="20"/>
          <w:color w:val="auto"/>
        </w:rPr>
      </w:pPr>
    </w:p>
    <w:p>
      <w:pPr>
        <w:ind w:left="1060" w:hanging="529"/>
        <w:spacing w:after="0"/>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quarter revenue grew 23% to $626 million</w:t>
      </w:r>
    </w:p>
    <w:p>
      <w:pPr>
        <w:spacing w:after="0" w:line="210" w:lineRule="exact"/>
        <w:rPr>
          <w:rFonts w:ascii="Courier New" w:cs="Courier New" w:eastAsia="Courier New" w:hAnsi="Courier New"/>
          <w:sz w:val="17"/>
          <w:szCs w:val="17"/>
          <w:color w:val="auto"/>
        </w:rPr>
      </w:pPr>
    </w:p>
    <w:p>
      <w:pPr>
        <w:ind w:left="1060" w:right="2039" w:hanging="529"/>
        <w:spacing w:after="0" w:line="254"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32% increase in third quarter diluted non-GAAP EPS, excluding acquisition-related costs and equity-based compensation expense, net of related tax effects, to $0.49; Exceeds guidance of $0.46</w:t>
      </w:r>
    </w:p>
    <w:p>
      <w:pPr>
        <w:spacing w:after="0" w:line="194"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 GAAP EPS of $0.39</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Free cash flow of $94 million for the quarter</w:t>
      </w:r>
    </w:p>
    <w:p>
      <w:pPr>
        <w:spacing w:after="0" w:line="210" w:lineRule="exact"/>
        <w:rPr>
          <w:rFonts w:ascii="Courier New" w:cs="Courier New" w:eastAsia="Courier New" w:hAnsi="Courier New"/>
          <w:sz w:val="17"/>
          <w:szCs w:val="17"/>
          <w:color w:val="auto"/>
        </w:rPr>
      </w:pPr>
    </w:p>
    <w:p>
      <w:pPr>
        <w:ind w:left="1060" w:right="2459" w:hanging="529"/>
        <w:spacing w:after="0" w:line="257"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Qpass acquisition positions Amdocs as the leader in the emerging digital content market</w:t>
      </w:r>
    </w:p>
    <w:p>
      <w:pPr>
        <w:spacing w:after="0" w:line="191" w:lineRule="exact"/>
        <w:rPr>
          <w:rFonts w:ascii="Courier New" w:cs="Courier New" w:eastAsia="Courier New" w:hAnsi="Courier New"/>
          <w:sz w:val="17"/>
          <w:szCs w:val="17"/>
          <w:color w:val="auto"/>
        </w:rPr>
      </w:pPr>
    </w:p>
    <w:p>
      <w:pPr>
        <w:ind w:left="1060" w:right="2039" w:hanging="529"/>
        <w:spacing w:after="0" w:line="253"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quarter, Amdocs announced that it signed an agreement to acquire Cramer Systems Group Ltd., a leading provider of operations support systems (OSS) software and solutions, for approximately $375 million in cash, net of cash on hand</w:t>
      </w:r>
    </w:p>
    <w:p>
      <w:pPr>
        <w:spacing w:after="0" w:line="195" w:lineRule="exact"/>
        <w:rPr>
          <w:rFonts w:ascii="Courier New" w:cs="Courier New" w:eastAsia="Courier New" w:hAnsi="Courier New"/>
          <w:sz w:val="17"/>
          <w:szCs w:val="17"/>
          <w:color w:val="auto"/>
        </w:rPr>
      </w:pPr>
    </w:p>
    <w:p>
      <w:pPr>
        <w:ind w:left="1060" w:right="1839" w:hanging="529"/>
        <w:spacing w:after="0" w:line="252"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Fourth quarter fiscal 2006 guidance: Expected revenue of approximately $657 million and diluted non-GAAP EPS of $0.49, excluding acquisition-related costs and approximately $0.04-$0.05 per share of equity-based compensation expense, net of related tax effects. Diluted GAAP EPS is expected to be approximately $0.41-$0.42. This guidance excludes any potential impact of the pending acquisition of Cramer</w:t>
      </w:r>
    </w:p>
    <w:p>
      <w:pPr>
        <w:spacing w:after="0" w:line="196" w:lineRule="exact"/>
        <w:rPr>
          <w:rFonts w:ascii="Courier New" w:cs="Courier New" w:eastAsia="Courier New" w:hAnsi="Courier New"/>
          <w:sz w:val="17"/>
          <w:szCs w:val="17"/>
          <w:color w:val="auto"/>
        </w:rPr>
      </w:pPr>
    </w:p>
    <w:p>
      <w:pPr>
        <w:ind w:left="1060" w:right="1939" w:hanging="529"/>
        <w:spacing w:after="0" w:line="251" w:lineRule="auto"/>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fiscal 2007 guidance: Expected revenue of approximately $2.880 - $2.980 billion and diluted non-GAAP EPS of $2.06 - $2.16, which exclude acquisition-related costs and approximately $0.19-$0.22 per share of equity-based compensation expense, net of related tax effects. This guidance includes the expected impact of the pending acquisition of Cramer. Amdocs expects to provide guidance for 2007 diluted GAAP EPS after the purchase price accounting for the acquisition is completed</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ST. LOUIS, MO - JULY 19, 2006 - Amdocs Limited (NYSE: DOX) today reported that for the quarter ended June 30, 2006, revenue was $626.4 million, an increase of 23.5% from last year's third quarter. Excluding acquisition-related costs, which include amortization of purchased intangible assets and the write-off of in-process research and development and</w:t>
      </w:r>
    </w:p>
    <w:p>
      <w:pPr>
        <w:sectPr>
          <w:pgSz w:w="11900" w:h="16838" w:orient="portrait"/>
          <w:cols w:equalWidth="0" w:num="1">
            <w:col w:w="10219"/>
          </w:cols>
          <w:pgMar w:left="240" w:top="54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excluding equity-based compensation expense, net of related tax effects, of</w:t>
      </w:r>
    </w:p>
    <w:p>
      <w:pPr>
        <w:spacing w:after="0" w:line="9"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$20.6 million, net income on a non-GAAP basis was $106.2 million, or $0.49 per diluted share, compared to non-GAAP net income, excluding $1.7 million of acquisition-related costs net of related tax effects, of $78.8 million, or $0.37 per diluted share, in the third quarter of fiscal 2005. The Company's net income was $85.6 million, or $0.39 per diluted share, compared to net income of $77.1 million, or $0.36 per diluted share, in the third quarter of fiscal 2005. Free cash flow, defined as cash flow from operations less net capital expenditures and principal payments on capital leases, was $94 million in the quarter.</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are pleased to again report record revenues and increasing profitability," said Dov Baharav, chief executive officer of Amdocs Management Limited. "We see demand in the market, which continues to be driven by service providers' need to address competition, consolidation and convergence. We have strengthened our presence in the digital content area with our acquisition of Qpass and we are expanding our OSS activities with our pending acquisition of Cramer. Amdocs is positioned as the only vendor that can provide an end-to-end solution, from business support systems -- or BSS -- to OSS, for the leading services providers. This will put us in the leading position to benefit from the growth opportunities as service providers transform their organizations in order to offer new products and services. We are confident that our success in 2006 will continue as we look towards fiscal 2007."</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During the third quarter, Amdocs new business included 11 key wins, across geographies and lines of business. Amdocs expanded its relationship with Rogers Communications, which will install Amdocs CRM across its cable, wireless and telecom lines of business as part of a rollout of an integrated customer management strategy. In Australia, Telstra has selected Amdocs as one of the key vendors for an OSS transformational program. In the United States, Amdocs was awarded several projects related to assisting customers in their consolidation and integration of acquisitions. In broadband cable and satellite, a customer has signed a contract extension. Several other customers, including some new logos, have chosen Amdocs for CRM, Amdocs Partner Management and mediation projects.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OUTLOOK</w:t>
      </w:r>
    </w:p>
    <w:p>
      <w:pPr>
        <w:spacing w:after="0" w:line="210"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Amdocs expects that revenue for the fourth quarter of fiscal 2006 will be approximately $657 million. Diluted earnings per share on a non-GAAP basis for the fourth quarter are</w:t>
      </w:r>
    </w:p>
    <w:p>
      <w:pPr>
        <w:sectPr>
          <w:pgSz w:w="11900" w:h="16838" w:orient="portrait"/>
          <w:cols w:equalWidth="0" w:num="1">
            <w:col w:w="10219"/>
          </w:cols>
          <w:pgMar w:left="240" w:top="719" w:right="1440" w:bottom="1440" w:gutter="0" w:footer="0" w:header="0"/>
        </w:sectPr>
      </w:pPr>
    </w:p>
    <w:bookmarkStart w:id="6" w:name="page7"/>
    <w:bookmarkEnd w:id="6"/>
    <w:p>
      <w:pPr>
        <w:ind w:right="1839"/>
        <w:spacing w:after="0" w:line="252" w:lineRule="auto"/>
        <w:rPr>
          <w:sz w:val="20"/>
          <w:szCs w:val="20"/>
          <w:color w:val="auto"/>
        </w:rPr>
      </w:pPr>
      <w:r>
        <w:rPr>
          <w:rFonts w:ascii="Courier New" w:cs="Courier New" w:eastAsia="Courier New" w:hAnsi="Courier New"/>
          <w:sz w:val="17"/>
          <w:szCs w:val="17"/>
          <w:color w:val="auto"/>
        </w:rPr>
        <w:t>expected to be $0.49, excluding acquisition-related costs and the impact of approximately $0.04-$0.05 per share of equity-based compensation expense, net of related tax effects. Diluted GAAP EPS is expected to be approximately $0.41-$0.42. This guidance excludes any potential impact of the pending acquisition of Cramer. Amdocs expects that it may incur a one-time charge in its fourth fiscal quarter to account for certain costs related to the Cramer acquisition.</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Preliminary fiscal 2007 guidance: Expected revenue of approximately</w:t>
      </w:r>
    </w:p>
    <w:p>
      <w:pPr>
        <w:spacing w:after="0" w:line="9"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$2.880-$2.980 billion and diluted non-GAAP EPS of $2.06-$2.16, which excludes acquisition-related costs and approximately $0.19-$0.22 per share of equity-based compensation expense, net of related tax effects. This guidance includes the expected impact of the pending acquisition of Cramer. Amdocs expects to provide guidance for diluted GAAP EPS after the purchase price accounting for the acquisition is completed.</w:t>
      </w:r>
    </w:p>
    <w:p>
      <w:pPr>
        <w:spacing w:after="0" w:line="197"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Amdocs will host a conference call on July 19, 2006 at 5 p.m. Eastern Time to discuss the Company's third quarter results. The call will be carried live on the Internet via www.InvestorCalendar.com and the Amdocs website, www.amdocs.com.</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NON-GAAP FINANCIAL MEASURES</w:t>
      </w:r>
    </w:p>
    <w:p>
      <w:pPr>
        <w:spacing w:after="0" w:line="210"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This release includes non-GAAP diluted earnings per share and other non-GAAP line items from the Non-GAAP Consolidated Statements of Income, including non-GAAP cost of service, non-GAAP research and development, non-GAAP selling, general and administrative, non-GAAP operating income, non-GAAP income before income taxes, non-GAAP income taxes and non-GAAP net income. These non-GAAP measures exclude the following items:</w:t>
      </w:r>
    </w:p>
    <w:p>
      <w:pPr>
        <w:spacing w:after="0" w:line="197" w:lineRule="exact"/>
        <w:rPr>
          <w:sz w:val="20"/>
          <w:szCs w:val="20"/>
          <w:color w:val="auto"/>
        </w:rPr>
      </w:pPr>
    </w:p>
    <w:p>
      <w:pPr>
        <w:ind w:left="1060" w:hanging="529"/>
        <w:spacing w:after="0"/>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 of purchased intangible assets;</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In-process research and development write-off;</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equity-based compensation expense; and</w:t>
      </w:r>
    </w:p>
    <w:p>
      <w:pPr>
        <w:spacing w:after="0" w:line="210" w:lineRule="exact"/>
        <w:rPr>
          <w:rFonts w:ascii="Courier New" w:cs="Courier New" w:eastAsia="Courier New" w:hAnsi="Courier New"/>
          <w:sz w:val="17"/>
          <w:szCs w:val="17"/>
          <w:color w:val="auto"/>
        </w:rPr>
      </w:pPr>
    </w:p>
    <w:p>
      <w:pPr>
        <w:ind w:left="1060" w:hanging="529"/>
        <w:spacing w:after="0"/>
        <w:tabs>
          <w:tab w:leader="none" w:pos="10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effects related to the above.</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These non-GAAP financial measures are not in accordance with, or an alternative for, generally accepted accounting principles and may be different from non-GAAP financial measures used by other companies. In addition, these non-GAAP financial measures and the Non-GAAP Consolidated Statements of Income are not based on any comprehensive</w:t>
      </w:r>
    </w:p>
    <w:p>
      <w:pPr>
        <w:sectPr>
          <w:pgSz w:w="11900" w:h="16838" w:orient="portrait"/>
          <w:cols w:equalWidth="0" w:num="1">
            <w:col w:w="10219"/>
          </w:cols>
          <w:pgMar w:left="240" w:top="719" w:right="1440" w:bottom="1440" w:gutter="0" w:footer="0" w:header="0"/>
        </w:sectPr>
      </w:pPr>
    </w:p>
    <w:bookmarkStart w:id="7" w:name="page8"/>
    <w:bookmarkEnd w:id="7"/>
    <w:p>
      <w:pPr>
        <w:ind w:right="1939"/>
        <w:spacing w:after="0" w:line="252" w:lineRule="auto"/>
        <w:rPr>
          <w:sz w:val="20"/>
          <w:szCs w:val="20"/>
          <w:color w:val="auto"/>
        </w:rPr>
      </w:pPr>
      <w:r>
        <w:rPr>
          <w:rFonts w:ascii="Courier New" w:cs="Courier New" w:eastAsia="Courier New" w:hAnsi="Courier New"/>
          <w:sz w:val="17"/>
          <w:szCs w:val="17"/>
          <w:color w:val="auto"/>
        </w:rPr>
        <w:t>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Amdocs believes that the presentation of non-GAAP diluted earnings per share and other non-GAAP line items from the Non-GAAP Consolidated Statements of Income, including non-GAAP cost of service, non-GAAP research and development, non-GAAP selling, general and administrative, non-GAAP operating income, non-GAAP income before income taxes, non-GAAP income taxes and non-GAAP net income, when shown in conjunction with the corresponding GAAP measures, provides useful information to investors and management regarding financial and business trends relating to its financial condition and results of operations.</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before income taxes, income taxes and net income), it is useful to investors to understand how these specific line items in the Consolidated Statements of Income are affected by these adjustments.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AMDOCS</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Amdocs combines innovative software and services with deep business knowledge to accelerate implementation of integrated customer management by the world's leading service providers. By delivering a comprehensive portfolio of software and services that</w:t>
      </w:r>
    </w:p>
    <w:p>
      <w:pPr>
        <w:sectPr>
          <w:pgSz w:w="11900" w:h="16838" w:orient="portrait"/>
          <w:cols w:equalWidth="0" w:num="1">
            <w:col w:w="10219"/>
          </w:cols>
          <w:pgMar w:left="240" w:top="719" w:right="1440" w:bottom="1440" w:gutter="0" w:footer="0" w:header="0"/>
        </w:sectPr>
      </w:pPr>
    </w:p>
    <w:bookmarkStart w:id="8" w:name="page9"/>
    <w:bookmarkEnd w:id="8"/>
    <w:p>
      <w:pPr>
        <w:ind w:right="1839"/>
        <w:spacing w:after="0" w:line="252" w:lineRule="auto"/>
        <w:rPr>
          <w:sz w:val="20"/>
          <w:szCs w:val="20"/>
          <w:color w:val="auto"/>
        </w:rPr>
      </w:pPr>
      <w:r>
        <w:rPr>
          <w:rFonts w:ascii="Courier New" w:cs="Courier New" w:eastAsia="Courier New" w:hAnsi="Courier New"/>
          <w:sz w:val="17"/>
          <w:szCs w:val="17"/>
          <w:color w:val="auto"/>
        </w:rPr>
        <w:t>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revenue of more than $2 billion in fiscal 2005, Amdocs has over 14,000 employees and serves customers in more than 50 countries around the world. For more information, visit Amdocs at www.amdocs.com.</w:t>
      </w:r>
    </w:p>
    <w:p>
      <w:pPr>
        <w:spacing w:after="0" w:line="19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filed on December 28, 2005 and our quarterly 6-K furnished on February 15 and May 15, 2006.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G. O'Brien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 and Vice President of Investor Relations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314-212-8328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dox_info@amdocs.com</w:t>
      </w:r>
    </w:p>
    <w:p>
      <w:pPr>
        <w:sectPr>
          <w:pgSz w:w="11900" w:h="16838" w:orient="portrait"/>
          <w:cols w:equalWidth="0" w:num="1">
            <w:col w:w="10219"/>
          </w:cols>
          <w:pgMar w:left="240" w:top="719" w:right="1440" w:bottom="1440" w:gutter="0" w:footer="0" w:header="0"/>
        </w:sectPr>
      </w:pPr>
    </w:p>
    <w:bookmarkStart w:id="9" w:name="page10"/>
    <w:bookmarkEnd w:id="9"/>
    <w:p>
      <w:pPr>
        <w:jc w:val="center"/>
        <w:ind w:right="183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CONSOLIDATED STATEMENTS OF INCOME (UNAUDITED)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THREE MONTHS ENDED</w:t>
            </w:r>
          </w:p>
        </w:tc>
        <w:tc>
          <w:tcPr>
            <w:tcW w:w="260" w:type="dxa"/>
            <w:vAlign w:val="bottom"/>
          </w:tcPr>
          <w:p>
            <w:pPr>
              <w:spacing w:after="0"/>
              <w:rPr>
                <w:sz w:val="17"/>
                <w:szCs w:val="17"/>
                <w:color w:val="auto"/>
              </w:rPr>
            </w:pPr>
          </w:p>
        </w:tc>
        <w:tc>
          <w:tcPr>
            <w:tcW w:w="2300" w:type="dxa"/>
            <w:vAlign w:val="bottom"/>
            <w:gridSpan w:val="3"/>
          </w:tcPr>
          <w:p>
            <w:pPr>
              <w:jc w:val="right"/>
              <w:ind w:right="213"/>
              <w:spacing w:after="0"/>
              <w:rPr>
                <w:sz w:val="20"/>
                <w:szCs w:val="20"/>
                <w:color w:val="auto"/>
              </w:rPr>
            </w:pPr>
            <w:r>
              <w:rPr>
                <w:rFonts w:ascii="Courier New" w:cs="Courier New" w:eastAsia="Courier New" w:hAnsi="Courier New"/>
                <w:sz w:val="17"/>
                <w:szCs w:val="17"/>
                <w:color w:val="auto"/>
              </w:rPr>
              <w:t>NINE MONTHS ENDED</w:t>
            </w:r>
          </w:p>
        </w:tc>
      </w:tr>
      <w:tr>
        <w:trPr>
          <w:trHeight w:val="201"/>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JUNE</w:t>
            </w:r>
          </w:p>
        </w:tc>
        <w:tc>
          <w:tcPr>
            <w:tcW w:w="10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30,</w:t>
            </w:r>
          </w:p>
        </w:tc>
        <w:tc>
          <w:tcPr>
            <w:tcW w:w="260" w:type="dxa"/>
            <w:vAlign w:val="bottom"/>
          </w:tcPr>
          <w:p>
            <w:pPr>
              <w:spacing w:after="0"/>
              <w:rPr>
                <w:sz w:val="17"/>
                <w:szCs w:val="17"/>
                <w:color w:val="auto"/>
              </w:rPr>
            </w:pPr>
          </w:p>
        </w:tc>
        <w:tc>
          <w:tcPr>
            <w:tcW w:w="2300" w:type="dxa"/>
            <w:vAlign w:val="bottom"/>
            <w:gridSpan w:val="3"/>
          </w:tcPr>
          <w:p>
            <w:pPr>
              <w:jc w:val="right"/>
              <w:ind w:right="633"/>
              <w:spacing w:after="0"/>
              <w:rPr>
                <w:sz w:val="20"/>
                <w:szCs w:val="20"/>
                <w:color w:val="auto"/>
              </w:rPr>
            </w:pPr>
            <w:r>
              <w:rPr>
                <w:rFonts w:ascii="Courier New" w:cs="Courier New" w:eastAsia="Courier New" w:hAnsi="Courier New"/>
                <w:sz w:val="17"/>
                <w:szCs w:val="17"/>
                <w:color w:val="auto"/>
              </w:rPr>
              <w:t>JUNE 30,</w:t>
            </w:r>
          </w:p>
        </w:tc>
      </w:tr>
      <w:tr>
        <w:trPr>
          <w:trHeight w:val="201"/>
        </w:trPr>
        <w:tc>
          <w:tcPr>
            <w:tcW w:w="3520" w:type="dxa"/>
            <w:vAlign w:val="bottom"/>
          </w:tcPr>
          <w:p>
            <w:pPr>
              <w:spacing w:after="0"/>
              <w:rPr>
                <w:sz w:val="17"/>
                <w:szCs w:val="17"/>
                <w:color w:val="auto"/>
              </w:rPr>
            </w:pPr>
          </w:p>
        </w:tc>
        <w:tc>
          <w:tcPr>
            <w:tcW w:w="230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2006(1)</w:t>
            </w:r>
          </w:p>
        </w:tc>
        <w:tc>
          <w:tcPr>
            <w:tcW w:w="14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2005</w:t>
            </w:r>
          </w:p>
        </w:tc>
        <w:tc>
          <w:tcPr>
            <w:tcW w:w="2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2006(2)</w:t>
            </w:r>
          </w:p>
        </w:tc>
        <w:tc>
          <w:tcPr>
            <w:tcW w:w="260" w:type="dxa"/>
            <w:vAlign w:val="bottom"/>
          </w:tcPr>
          <w:p>
            <w:pPr>
              <w:spacing w:after="0"/>
              <w:rPr>
                <w:sz w:val="17"/>
                <w:szCs w:val="17"/>
                <w:color w:val="auto"/>
              </w:rPr>
            </w:pPr>
          </w:p>
        </w:tc>
        <w:tc>
          <w:tcPr>
            <w:tcW w:w="9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5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License</w:t>
            </w: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$ 23,220</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$ 27,199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85,172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74,909</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Service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603,228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480,156</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1,729,433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1,390,394</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626,448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507,355</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1,814,605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1,465,303</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995</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1,125</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2,973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3,278</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402,626</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324,249</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1,165,010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929,487</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Research and development</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46,455</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31,393</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131,392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97,567</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74,940</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56,448</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227,289</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166,000</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purchased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640"/>
              <w:spacing w:after="0"/>
              <w:rPr>
                <w:sz w:val="20"/>
                <w:szCs w:val="20"/>
                <w:color w:val="auto"/>
              </w:rPr>
            </w:pPr>
            <w:r>
              <w:rPr>
                <w:rFonts w:ascii="Courier New" w:cs="Courier New" w:eastAsia="Courier New" w:hAnsi="Courier New"/>
                <w:sz w:val="17"/>
                <w:szCs w:val="17"/>
                <w:color w:val="auto"/>
              </w:rPr>
              <w:t>intangible assets</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8,547</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2,078</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23,588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7,875</w:t>
            </w: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8,415</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8,415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541,978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415,293</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1,558,667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1,204,207</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84,470</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92,062</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255,938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261,096</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14,938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4,305</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33,659</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14,944</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99,408</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96,367</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289,597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276,040</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13,823</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19,270</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46,916</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55,203</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$ 85,585</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$ 77,097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242,681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220,837</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0.42</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1.10</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Diluted earnings per share(3)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0.39</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1.03</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shares outstanding</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204,404</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200,494</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202,474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201,453</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52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520" w:type="dxa"/>
            <w:vAlign w:val="bottom"/>
          </w:tcPr>
          <w:p>
            <w:pPr>
              <w:ind w:left="320"/>
              <w:spacing w:after="0"/>
              <w:rPr>
                <w:sz w:val="20"/>
                <w:szCs w:val="20"/>
                <w:color w:val="auto"/>
              </w:rPr>
            </w:pPr>
            <w:r>
              <w:rPr>
                <w:rFonts w:ascii="Courier New" w:cs="Courier New" w:eastAsia="Courier New" w:hAnsi="Courier New"/>
                <w:sz w:val="17"/>
                <w:szCs w:val="17"/>
                <w:color w:val="auto"/>
              </w:rPr>
              <w:t>of shares outstanding</w:t>
            </w:r>
          </w:p>
        </w:tc>
        <w:tc>
          <w:tcPr>
            <w:tcW w:w="2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220,109</w:t>
            </w:r>
          </w:p>
        </w:tc>
        <w:tc>
          <w:tcPr>
            <w:tcW w:w="14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216,570</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217,633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217,608</w:t>
            </w:r>
          </w:p>
        </w:tc>
      </w:tr>
      <w:tr>
        <w:trPr>
          <w:trHeight w:val="201"/>
        </w:trPr>
        <w:tc>
          <w:tcPr>
            <w:tcW w:w="3520" w:type="dxa"/>
            <w:vAlign w:val="bottom"/>
          </w:tcPr>
          <w:p>
            <w:pPr>
              <w:spacing w:after="0"/>
              <w:rPr>
                <w:sz w:val="17"/>
                <w:szCs w:val="17"/>
                <w:color w:val="auto"/>
              </w:rPr>
            </w:pPr>
          </w:p>
        </w:tc>
        <w:tc>
          <w:tcPr>
            <w:tcW w:w="12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ind w:left="540" w:right="1839" w:hanging="533"/>
        <w:spacing w:after="0" w:line="253" w:lineRule="auto"/>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three months ended June 30, 2006 include equity-based compensation pre-tax expense of $10,948, which was classified as follows: $4,165 to Cost of service, $1,232 to Research and development and $5,551 to Selling, general and administrative.</w:t>
      </w:r>
    </w:p>
    <w:p>
      <w:pPr>
        <w:spacing w:after="0" w:line="195" w:lineRule="exact"/>
        <w:rPr>
          <w:rFonts w:ascii="Courier New" w:cs="Courier New" w:eastAsia="Courier New" w:hAnsi="Courier New"/>
          <w:sz w:val="17"/>
          <w:szCs w:val="17"/>
          <w:color w:val="auto"/>
        </w:rPr>
      </w:pPr>
    </w:p>
    <w:p>
      <w:pPr>
        <w:ind w:left="540" w:right="1839" w:hanging="533"/>
        <w:spacing w:after="0" w:line="253" w:lineRule="auto"/>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nine months ended June 30, 2006 include equity-based compensation pre-tax expense of $31,948, which was classified as follows: $12,237 to Cost of service, $3,041 to Research and development and $16,670 to Selling, general and administrative.</w:t>
      </w:r>
    </w:p>
    <w:p>
      <w:pPr>
        <w:spacing w:after="0" w:line="195"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the impact of assumed conversion of the convertible notes, $985 and $2,964, representing interest expense and amortization of issuance costs, were added back to net income for the three and nine months ended June 30, 2006, respectively, and $988 and $2,955 were added back to net income for the three and nine months ended June 30, 2005, respectively, for the purpose of computing diluted earnings per share.</w:t>
      </w:r>
    </w:p>
    <w:p>
      <w:pPr>
        <w:sectPr>
          <w:pgSz w:w="11900" w:h="16838" w:orient="portrait"/>
          <w:cols w:equalWidth="0" w:num="1">
            <w:col w:w="10219"/>
          </w:cols>
          <w:pgMar w:left="240" w:top="719" w:right="1440" w:bottom="1440" w:gutter="0" w:footer="0" w:header="0"/>
        </w:sectPr>
      </w:pPr>
    </w:p>
    <w:bookmarkStart w:id="10" w:name="page11"/>
    <w:bookmarkEnd w:id="10"/>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SELECTED FINANCIAL METRICS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80" w:type="dxa"/>
            <w:vAlign w:val="bottom"/>
            <w:gridSpan w:val="7"/>
          </w:tcPr>
          <w:p>
            <w:pPr>
              <w:ind w:left="2320"/>
              <w:spacing w:after="0"/>
              <w:rPr>
                <w:sz w:val="20"/>
                <w:szCs w:val="20"/>
                <w:color w:val="auto"/>
              </w:rPr>
            </w:pPr>
            <w:r>
              <w:rPr>
                <w:rFonts w:ascii="Courier New" w:cs="Courier New" w:eastAsia="Courier New" w:hAnsi="Courier New"/>
                <w:sz w:val="17"/>
                <w:szCs w:val="17"/>
                <w:color w:val="auto"/>
              </w:rPr>
              <w:t>(IN THOUSANDS, EXCEPT PER SHARE DATA)</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06"/>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THREE MONTHS ENDED</w:t>
            </w:r>
          </w:p>
        </w:tc>
        <w:tc>
          <w:tcPr>
            <w:tcW w:w="260" w:type="dxa"/>
            <w:vAlign w:val="bottom"/>
          </w:tcPr>
          <w:p>
            <w:pPr>
              <w:spacing w:after="0"/>
              <w:rPr>
                <w:sz w:val="24"/>
                <w:szCs w:val="24"/>
                <w:color w:val="auto"/>
              </w:rPr>
            </w:pPr>
          </w:p>
        </w:tc>
        <w:tc>
          <w:tcPr>
            <w:tcW w:w="230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NINE MONTHS ENDED</w:t>
            </w:r>
          </w:p>
        </w:tc>
      </w:tr>
      <w:tr>
        <w:trPr>
          <w:trHeight w:val="201"/>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ind w:right="593"/>
              <w:spacing w:after="0"/>
              <w:rPr>
                <w:sz w:val="20"/>
                <w:szCs w:val="20"/>
                <w:color w:val="auto"/>
              </w:rPr>
            </w:pPr>
            <w:r>
              <w:rPr>
                <w:rFonts w:ascii="Courier New" w:cs="Courier New" w:eastAsia="Courier New" w:hAnsi="Courier New"/>
                <w:sz w:val="17"/>
                <w:szCs w:val="17"/>
                <w:color w:val="auto"/>
              </w:rPr>
              <w:t>JUNE 30,</w:t>
            </w:r>
          </w:p>
        </w:tc>
        <w:tc>
          <w:tcPr>
            <w:tcW w:w="260" w:type="dxa"/>
            <w:vAlign w:val="bottom"/>
          </w:tcPr>
          <w:p>
            <w:pPr>
              <w:spacing w:after="0"/>
              <w:rPr>
                <w:sz w:val="17"/>
                <w:szCs w:val="17"/>
                <w:color w:val="auto"/>
              </w:rPr>
            </w:pPr>
          </w:p>
        </w:tc>
        <w:tc>
          <w:tcPr>
            <w:tcW w:w="2300" w:type="dxa"/>
            <w:vAlign w:val="bottom"/>
            <w:gridSpan w:val="3"/>
          </w:tcPr>
          <w:p>
            <w:pPr>
              <w:jc w:val="right"/>
              <w:ind w:right="653"/>
              <w:spacing w:after="0"/>
              <w:rPr>
                <w:sz w:val="20"/>
                <w:szCs w:val="20"/>
                <w:color w:val="auto"/>
              </w:rPr>
            </w:pPr>
            <w:r>
              <w:rPr>
                <w:rFonts w:ascii="Courier New" w:cs="Courier New" w:eastAsia="Courier New" w:hAnsi="Courier New"/>
                <w:sz w:val="17"/>
                <w:szCs w:val="17"/>
                <w:color w:val="auto"/>
              </w:rPr>
              <w:t>JUNE 30,</w:t>
            </w:r>
          </w:p>
        </w:tc>
      </w:tr>
      <w:tr>
        <w:trPr>
          <w:trHeight w:val="201"/>
        </w:trPr>
        <w:tc>
          <w:tcPr>
            <w:tcW w:w="3420" w:type="dxa"/>
            <w:vAlign w:val="bottom"/>
          </w:tcPr>
          <w:p>
            <w:pPr>
              <w:spacing w:after="0"/>
              <w:rPr>
                <w:sz w:val="17"/>
                <w:szCs w:val="17"/>
                <w:color w:val="auto"/>
              </w:rPr>
            </w:pPr>
          </w:p>
        </w:tc>
        <w:tc>
          <w:tcPr>
            <w:tcW w:w="230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2005</w:t>
            </w:r>
          </w:p>
        </w:tc>
        <w:tc>
          <w:tcPr>
            <w:tcW w:w="26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2006</w:t>
            </w:r>
          </w:p>
        </w:tc>
        <w:tc>
          <w:tcPr>
            <w:tcW w:w="26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3420" w:type="dxa"/>
            <w:vAlign w:val="bottom"/>
          </w:tcPr>
          <w:p>
            <w:pPr>
              <w:spacing w:after="0"/>
              <w:rPr>
                <w:sz w:val="17"/>
                <w:szCs w:val="17"/>
                <w:color w:val="auto"/>
              </w:rPr>
            </w:pPr>
          </w:p>
        </w:tc>
        <w:tc>
          <w:tcPr>
            <w:tcW w:w="11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342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626,448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507,355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1,814,605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1,465,303</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Non-GAAP operating income</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112,380</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94,140</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319,889</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268,971</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Non-GAAP net income</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106,169</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78,756</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291,678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227,132</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Non-GAAP diluted earnings per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share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0.37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1.06</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of shares outstanding</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220,109</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216,570</w:t>
            </w:r>
          </w:p>
        </w:tc>
        <w:tc>
          <w:tcPr>
            <w:tcW w:w="26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217,633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217,608</w:t>
            </w:r>
          </w:p>
        </w:tc>
      </w:tr>
    </w:tbl>
    <w:p>
      <w:pPr>
        <w:sectPr>
          <w:pgSz w:w="11900" w:h="16838" w:orient="portrait"/>
          <w:cols w:equalWidth="0" w:num="1">
            <w:col w:w="10219"/>
          </w:cols>
          <w:pgMar w:left="240" w:top="719" w:right="1440" w:bottom="1440" w:gutter="0" w:footer="0" w:header="0"/>
        </w:sectPr>
      </w:pPr>
    </w:p>
    <w:bookmarkStart w:id="11" w:name="page12"/>
    <w:bookmarkEnd w:id="11"/>
    <w:p>
      <w:pPr>
        <w:jc w:val="center"/>
        <w:ind w:right="2700"/>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RECONCILIATION OF SELECTED FINANCIAL METRICS FROM GAAP TO NON-GAAP</w:t>
      </w:r>
    </w:p>
    <w:p>
      <w:pPr>
        <w:spacing w:after="0" w:line="9"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80" w:type="dxa"/>
            <w:vAlign w:val="bottom"/>
            <w:gridSpan w:val="3"/>
          </w:tcPr>
          <w:p>
            <w:pPr>
              <w:jc w:val="right"/>
              <w:ind w:right="593"/>
              <w:spacing w:after="0"/>
              <w:rPr>
                <w:sz w:val="20"/>
                <w:szCs w:val="20"/>
                <w:color w:val="auto"/>
              </w:rPr>
            </w:pPr>
            <w:r>
              <w:rPr>
                <w:rFonts w:ascii="Courier New" w:cs="Courier New" w:eastAsia="Courier New" w:hAnsi="Courier New"/>
                <w:sz w:val="17"/>
                <w:szCs w:val="17"/>
                <w:color w:val="auto"/>
              </w:rPr>
              <w:t>THREE MONTHS ENDED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80" w:type="dxa"/>
            <w:vAlign w:val="bottom"/>
            <w:gridSpan w:val="3"/>
          </w:tcPr>
          <w:p>
            <w:pPr>
              <w:jc w:val="right"/>
              <w:ind w:right="913"/>
              <w:spacing w:after="0"/>
              <w:rPr>
                <w:sz w:val="20"/>
                <w:szCs w:val="20"/>
                <w:color w:val="auto"/>
              </w:rPr>
            </w:pPr>
            <w:r>
              <w:rPr>
                <w:rFonts w:ascii="Courier New" w:cs="Courier New" w:eastAsia="Courier New" w:hAnsi="Courier New"/>
                <w:sz w:val="17"/>
                <w:szCs w:val="17"/>
                <w:color w:val="auto"/>
              </w:rPr>
              <w:t>JUNE 30, 2006</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8220" w:type="dxa"/>
            <w:vAlign w:val="bottom"/>
            <w:gridSpan w:val="1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80" w:type="dxa"/>
            <w:vAlign w:val="bottom"/>
            <w:gridSpan w:val="3"/>
          </w:tcPr>
          <w:p>
            <w:pPr>
              <w:jc w:val="right"/>
              <w:ind w:right="493"/>
              <w:spacing w:after="0"/>
              <w:rPr>
                <w:sz w:val="20"/>
                <w:szCs w:val="20"/>
                <w:color w:val="auto"/>
              </w:rPr>
            </w:pPr>
            <w:r>
              <w:rPr>
                <w:rFonts w:ascii="Courier New" w:cs="Courier New" w:eastAsia="Courier New" w:hAnsi="Courier New"/>
                <w:sz w:val="17"/>
                <w:szCs w:val="17"/>
                <w:color w:val="auto"/>
              </w:rPr>
              <w:t>RECONCILIATION ITEMS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80" w:type="dxa"/>
            <w:vAlign w:val="bottom"/>
            <w:gridSpan w:val="8"/>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15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IN-PROCESS</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EQUITY BASED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RESEARCH AND</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COMPENSATION</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GAAP</w:t>
            </w:r>
          </w:p>
        </w:tc>
        <w:tc>
          <w:tcPr>
            <w:tcW w:w="480" w:type="dxa"/>
            <w:vAlign w:val="bottom"/>
          </w:tcPr>
          <w:p>
            <w:pPr>
              <w:spacing w:after="0"/>
              <w:rPr>
                <w:sz w:val="17"/>
                <w:szCs w:val="17"/>
                <w:color w:val="auto"/>
              </w:rPr>
            </w:pPr>
          </w:p>
        </w:tc>
        <w:tc>
          <w:tcPr>
            <w:tcW w:w="1100" w:type="dxa"/>
            <w:vAlign w:val="bottom"/>
          </w:tcPr>
          <w:p>
            <w:pPr>
              <w:jc w:val="center"/>
              <w:ind w:right="393"/>
              <w:spacing w:after="0"/>
              <w:rPr>
                <w:sz w:val="20"/>
                <w:szCs w:val="20"/>
                <w:color w:val="auto"/>
              </w:rPr>
            </w:pPr>
            <w:r>
              <w:rPr>
                <w:rFonts w:ascii="Courier New" w:cs="Courier New" w:eastAsia="Courier New" w:hAnsi="Courier New"/>
                <w:sz w:val="17"/>
                <w:szCs w:val="17"/>
                <w:color w:val="auto"/>
              </w:rPr>
              <w:t>ASSETS</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DEVELOPMENT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EXPENSE</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9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7"/>
              </w:rPr>
              <w:t>NON-GAAP</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4720" w:type="dxa"/>
            <w:vAlign w:val="bottom"/>
            <w:gridSpan w:val="6"/>
          </w:tcPr>
          <w:p>
            <w:pPr>
              <w:jc w:val="right"/>
              <w:ind w:right="73"/>
              <w:spacing w:after="0"/>
              <w:rPr>
                <w:sz w:val="20"/>
                <w:szCs w:val="20"/>
                <w:color w:val="auto"/>
              </w:rPr>
            </w:pPr>
            <w:r>
              <w:rPr>
                <w:rFonts w:ascii="Courier New" w:cs="Courier New" w:eastAsia="Courier New" w:hAnsi="Courier New"/>
                <w:sz w:val="17"/>
                <w:szCs w:val="17"/>
                <w:color w:val="auto"/>
              </w:rPr>
              <w:t>------------   ------------   ------------</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995</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995</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402,626</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(4,165)</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398,461</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46,455</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(1,232)</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45,223</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74,940</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(5,551)</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69,389</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purchased intangible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8,547</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(8,547)</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541,978</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(8,547)</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(10,948)</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514,068</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84,470</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8,547</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10,948</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112,380</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13,823</w:t>
            </w:r>
          </w:p>
        </w:tc>
        <w:tc>
          <w:tcPr>
            <w:tcW w:w="4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7,326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21,149</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85,585</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$ 8,547</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$ 8,415</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$ 10,948</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$(7,326)</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$106,169</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100"/>
          </w:cols>
          <w:pgMar w:left="240" w:top="719" w:right="559" w:bottom="1440" w:gutter="0" w:footer="0" w:header="0"/>
        </w:sectPr>
      </w:pPr>
    </w:p>
    <w:bookmarkStart w:id="12" w:name="page13"/>
    <w:bookmarkEnd w:id="12"/>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RECONCILIATION OF SELECTED FINANCIAL METRICS FROM GAAP TO NON-GAAP (CONT'D)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3"/>
          </w:tcPr>
          <w:p>
            <w:pPr>
              <w:jc w:val="right"/>
              <w:ind w:right="613"/>
              <w:spacing w:after="0"/>
              <w:rPr>
                <w:sz w:val="20"/>
                <w:szCs w:val="20"/>
                <w:color w:val="auto"/>
              </w:rPr>
            </w:pPr>
            <w:r>
              <w:rPr>
                <w:rFonts w:ascii="Courier New" w:cs="Courier New" w:eastAsia="Courier New" w:hAnsi="Courier New"/>
                <w:sz w:val="17"/>
                <w:szCs w:val="17"/>
                <w:color w:val="auto"/>
              </w:rPr>
              <w:t>(IN THOUSANDS)</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806"/>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THREE MONTHS ENDED</w:t>
            </w:r>
          </w:p>
        </w:tc>
        <w:tc>
          <w:tcPr>
            <w:tcW w:w="980" w:type="dxa"/>
            <w:vAlign w:val="bottom"/>
          </w:tcPr>
          <w:p>
            <w:pPr>
              <w:spacing w:after="0"/>
              <w:rPr>
                <w:sz w:val="24"/>
                <w:szCs w:val="24"/>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60" w:type="dxa"/>
            <w:vAlign w:val="bottom"/>
            <w:gridSpan w:val="2"/>
          </w:tcPr>
          <w:p>
            <w:pPr>
              <w:jc w:val="right"/>
              <w:ind w:right="713"/>
              <w:spacing w:after="0"/>
              <w:rPr>
                <w:sz w:val="20"/>
                <w:szCs w:val="20"/>
                <w:color w:val="auto"/>
              </w:rPr>
            </w:pPr>
            <w:r>
              <w:rPr>
                <w:rFonts w:ascii="Courier New" w:cs="Courier New" w:eastAsia="Courier New" w:hAnsi="Courier New"/>
                <w:sz w:val="17"/>
                <w:szCs w:val="17"/>
                <w:color w:val="auto"/>
              </w:rPr>
              <w:t>JUNE 30, 2005</w:t>
            </w: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50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4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RECONCILIATION ITEMS</w:t>
            </w: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40" w:type="dxa"/>
            <w:vAlign w:val="bottom"/>
            <w:gridSpan w:val="3"/>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GAAP</w:t>
            </w: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ASSETS</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NON-GAAP</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1,125</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1,125</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324,249</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324,249</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31,393</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31,393</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56,448</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56,448</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purchased intangible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2,078</w:t>
            </w:r>
          </w:p>
        </w:tc>
        <w:tc>
          <w:tcPr>
            <w:tcW w:w="58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(2,078)</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415,293</w:t>
            </w:r>
          </w:p>
        </w:tc>
        <w:tc>
          <w:tcPr>
            <w:tcW w:w="58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(2,078)</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413,215</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92,062</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2,078</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94,140</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19,270</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419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19,689</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77,097</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$ 2,078</w:t>
            </w:r>
          </w:p>
        </w:tc>
        <w:tc>
          <w:tcPr>
            <w:tcW w:w="13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$ 78,756</w:t>
            </w:r>
          </w:p>
        </w:tc>
      </w:tr>
      <w:tr>
        <w:trPr>
          <w:trHeight w:val="201"/>
        </w:trPr>
        <w:tc>
          <w:tcPr>
            <w:tcW w:w="2880" w:type="dxa"/>
            <w:vAlign w:val="bottom"/>
          </w:tcPr>
          <w:p>
            <w:pPr>
              <w:spacing w:after="0"/>
              <w:rPr>
                <w:sz w:val="17"/>
                <w:szCs w:val="17"/>
                <w:color w:val="auto"/>
              </w:rPr>
            </w:pPr>
          </w:p>
        </w:tc>
        <w:tc>
          <w:tcPr>
            <w:tcW w:w="11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9" w:right="1440" w:bottom="1440" w:gutter="0" w:footer="0" w:header="0"/>
        </w:sectPr>
      </w:pPr>
    </w:p>
    <w:bookmarkStart w:id="13" w:name="page14"/>
    <w:bookmarkEnd w:id="13"/>
    <w:p>
      <w:pPr>
        <w:jc w:val="center"/>
        <w:ind w:right="3120"/>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RECONCILIATION OF SELECTED FINANCIAL METRICS FROM GAAP TO NON-GAAP</w:t>
      </w:r>
    </w:p>
    <w:p>
      <w:pPr>
        <w:spacing w:after="0" w:line="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60" w:type="dxa"/>
            <w:vAlign w:val="bottom"/>
            <w:gridSpan w:val="3"/>
          </w:tcPr>
          <w:p>
            <w:pPr>
              <w:jc w:val="right"/>
              <w:ind w:right="693"/>
              <w:spacing w:after="0"/>
              <w:rPr>
                <w:sz w:val="20"/>
                <w:szCs w:val="20"/>
                <w:color w:val="auto"/>
              </w:rPr>
            </w:pPr>
            <w:r>
              <w:rPr>
                <w:rFonts w:ascii="Courier New" w:cs="Courier New" w:eastAsia="Courier New" w:hAnsi="Courier New"/>
                <w:sz w:val="17"/>
                <w:szCs w:val="17"/>
                <w:color w:val="auto"/>
              </w:rPr>
              <w:t>NINE MONTHS ENDED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60" w:type="dxa"/>
            <w:vAlign w:val="bottom"/>
            <w:gridSpan w:val="3"/>
          </w:tcPr>
          <w:p>
            <w:pPr>
              <w:jc w:val="right"/>
              <w:ind w:right="913"/>
              <w:spacing w:after="0"/>
              <w:rPr>
                <w:sz w:val="20"/>
                <w:szCs w:val="20"/>
                <w:color w:val="auto"/>
              </w:rPr>
            </w:pPr>
            <w:r>
              <w:rPr>
                <w:rFonts w:ascii="Courier New" w:cs="Courier New" w:eastAsia="Courier New" w:hAnsi="Courier New"/>
                <w:sz w:val="17"/>
                <w:szCs w:val="17"/>
                <w:color w:val="auto"/>
              </w:rPr>
              <w:t>JUNE 30, 2006</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8640" w:type="dxa"/>
            <w:vAlign w:val="bottom"/>
            <w:gridSpan w:val="1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40" w:type="dxa"/>
            <w:vAlign w:val="bottom"/>
            <w:gridSpan w:val="4"/>
          </w:tcPr>
          <w:p>
            <w:pPr>
              <w:ind w:left="480"/>
              <w:spacing w:after="0"/>
              <w:rPr>
                <w:sz w:val="20"/>
                <w:szCs w:val="20"/>
                <w:color w:val="auto"/>
              </w:rPr>
            </w:pPr>
            <w:r>
              <w:rPr>
                <w:rFonts w:ascii="Courier New" w:cs="Courier New" w:eastAsia="Courier New" w:hAnsi="Courier New"/>
                <w:sz w:val="17"/>
                <w:szCs w:val="17"/>
                <w:color w:val="auto"/>
              </w:rPr>
              <w:t>RECONCILIATION ITEMS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80" w:type="dxa"/>
            <w:vAlign w:val="bottom"/>
            <w:gridSpan w:val="8"/>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1580" w:type="dxa"/>
            <w:vAlign w:val="bottom"/>
            <w:gridSpan w:val="2"/>
          </w:tcPr>
          <w:p>
            <w:pPr>
              <w:jc w:val="right"/>
              <w:ind w:right="193"/>
              <w:spacing w:after="0"/>
              <w:rPr>
                <w:sz w:val="20"/>
                <w:szCs w:val="20"/>
                <w:color w:val="auto"/>
              </w:rPr>
            </w:pPr>
            <w:r>
              <w:rPr>
                <w:rFonts w:ascii="Courier New" w:cs="Courier New" w:eastAsia="Courier New" w:hAnsi="Courier New"/>
                <w:sz w:val="17"/>
                <w:szCs w:val="17"/>
                <w:color w:val="auto"/>
              </w:rPr>
              <w:t>IN-PROCESS</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EQUITY BASED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RESEARCH AND</w:t>
            </w:r>
          </w:p>
        </w:tc>
        <w:tc>
          <w:tcPr>
            <w:tcW w:w="15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COMPENSATION</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GAAP</w:t>
            </w:r>
          </w:p>
        </w:tc>
        <w:tc>
          <w:tcPr>
            <w:tcW w:w="480" w:type="dxa"/>
            <w:vAlign w:val="bottom"/>
          </w:tcPr>
          <w:p>
            <w:pPr>
              <w:spacing w:after="0"/>
              <w:rPr>
                <w:sz w:val="17"/>
                <w:szCs w:val="17"/>
                <w:color w:val="auto"/>
              </w:rPr>
            </w:pPr>
          </w:p>
        </w:tc>
        <w:tc>
          <w:tcPr>
            <w:tcW w:w="1100" w:type="dxa"/>
            <w:vAlign w:val="bottom"/>
          </w:tcPr>
          <w:p>
            <w:pPr>
              <w:jc w:val="center"/>
              <w:ind w:right="393"/>
              <w:spacing w:after="0"/>
              <w:rPr>
                <w:sz w:val="20"/>
                <w:szCs w:val="20"/>
                <w:color w:val="auto"/>
              </w:rPr>
            </w:pPr>
            <w:r>
              <w:rPr>
                <w:rFonts w:ascii="Courier New" w:cs="Courier New" w:eastAsia="Courier New" w:hAnsi="Courier New"/>
                <w:sz w:val="17"/>
                <w:szCs w:val="17"/>
                <w:color w:val="auto"/>
              </w:rPr>
              <w:t>ASSETS</w:t>
            </w:r>
          </w:p>
        </w:tc>
        <w:tc>
          <w:tcPr>
            <w:tcW w:w="158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DEVELOPMENT</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EXPENSE</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NON-GAAP</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4720" w:type="dxa"/>
            <w:vAlign w:val="bottom"/>
            <w:gridSpan w:val="6"/>
          </w:tcPr>
          <w:p>
            <w:pPr>
              <w:jc w:val="right"/>
              <w:ind w:right="73"/>
              <w:spacing w:after="0"/>
              <w:rPr>
                <w:sz w:val="20"/>
                <w:szCs w:val="20"/>
                <w:color w:val="auto"/>
              </w:rPr>
            </w:pPr>
            <w:r>
              <w:rPr>
                <w:rFonts w:ascii="Courier New" w:cs="Courier New" w:eastAsia="Courier New" w:hAnsi="Courier New"/>
                <w:sz w:val="17"/>
                <w:szCs w:val="17"/>
                <w:color w:val="auto"/>
              </w:rPr>
              <w:t>------------   ------------   ------------</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2,973</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2,973</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1,165,010</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(12,237)</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1,152,773</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Research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131,392</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(3,041)</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128,351</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227,289</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(16,670)</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210,619</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purchased intangible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23,588</w:t>
            </w:r>
          </w:p>
        </w:tc>
        <w:tc>
          <w:tcPr>
            <w:tcW w:w="480" w:type="dxa"/>
            <w:vAlign w:val="bottom"/>
          </w:tcPr>
          <w:p>
            <w:pPr>
              <w:spacing w:after="0"/>
              <w:rPr>
                <w:sz w:val="17"/>
                <w:szCs w:val="17"/>
                <w:color w:val="auto"/>
              </w:rPr>
            </w:pP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(23,588)</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8,415</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(8,415)</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1,558,667</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(23,588)</w:t>
            </w:r>
          </w:p>
        </w:tc>
        <w:tc>
          <w:tcPr>
            <w:tcW w:w="58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7"/>
              </w:rPr>
              <w:t>(8,415)</w:t>
            </w:r>
          </w:p>
        </w:tc>
        <w:tc>
          <w:tcPr>
            <w:tcW w:w="46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(31,948)</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1,494,716</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255,938</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23,588</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8,415</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31,948</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319,889</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46,916</w:t>
            </w:r>
          </w:p>
        </w:tc>
        <w:tc>
          <w:tcPr>
            <w:tcW w:w="480" w:type="dxa"/>
            <w:vAlign w:val="bottom"/>
          </w:tcPr>
          <w:p>
            <w:pPr>
              <w:spacing w:after="0"/>
              <w:rPr>
                <w:sz w:val="17"/>
                <w:szCs w:val="17"/>
                <w:color w:val="auto"/>
              </w:rPr>
            </w:pP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14,954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61,870</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242,681</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23,588</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$ 8,415</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$ 31,948</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$(14,954)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291,678</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719" w:right="139" w:bottom="1440" w:gutter="0" w:footer="0" w:header="0"/>
        </w:sectPr>
      </w:pPr>
    </w:p>
    <w:bookmarkStart w:id="14" w:name="page15"/>
    <w:bookmarkEnd w:id="14"/>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RECONCILIATION OF SELECTED FINANCIAL METRICS FROM GAAP TO NON-GAAP (CONT'D)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tcPr>
          <w:p>
            <w:pPr>
              <w:jc w:val="right"/>
              <w:ind w:right="813"/>
              <w:spacing w:after="0"/>
              <w:rPr>
                <w:sz w:val="20"/>
                <w:szCs w:val="20"/>
                <w:color w:val="auto"/>
              </w:rPr>
            </w:pPr>
            <w:r>
              <w:rPr>
                <w:rFonts w:ascii="Courier New" w:cs="Courier New" w:eastAsia="Courier New" w:hAnsi="Courier New"/>
                <w:sz w:val="17"/>
                <w:szCs w:val="17"/>
                <w:color w:val="auto"/>
              </w:rPr>
              <w:t>(IN THOUSANDS)</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06"/>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gridSpan w:val="3"/>
          </w:tcPr>
          <w:p>
            <w:pPr>
              <w:jc w:val="center"/>
              <w:ind w:right="493"/>
              <w:spacing w:after="0"/>
              <w:rPr>
                <w:sz w:val="20"/>
                <w:szCs w:val="20"/>
                <w:color w:val="auto"/>
              </w:rPr>
            </w:pPr>
            <w:r>
              <w:rPr>
                <w:rFonts w:ascii="Courier New" w:cs="Courier New" w:eastAsia="Courier New" w:hAnsi="Courier New"/>
                <w:sz w:val="17"/>
                <w:szCs w:val="17"/>
                <w:color w:val="auto"/>
              </w:rPr>
              <w:t>NINE MONTHS ENDED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gridSpan w:val="2"/>
          </w:tcPr>
          <w:p>
            <w:pPr>
              <w:jc w:val="center"/>
              <w:ind w:left="133"/>
              <w:spacing w:after="0"/>
              <w:rPr>
                <w:sz w:val="20"/>
                <w:szCs w:val="20"/>
                <w:color w:val="auto"/>
              </w:rPr>
            </w:pPr>
            <w:r>
              <w:rPr>
                <w:rFonts w:ascii="Courier New" w:cs="Courier New" w:eastAsia="Courier New" w:hAnsi="Courier New"/>
                <w:sz w:val="17"/>
                <w:szCs w:val="17"/>
                <w:color w:val="auto"/>
              </w:rPr>
              <w:t>JUNE 30, 2005</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550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40" w:type="dxa"/>
            <w:vAlign w:val="bottom"/>
            <w:gridSpan w:val="4"/>
          </w:tcPr>
          <w:p>
            <w:pPr>
              <w:ind w:left="480"/>
              <w:spacing w:after="0"/>
              <w:rPr>
                <w:sz w:val="20"/>
                <w:szCs w:val="20"/>
                <w:color w:val="auto"/>
              </w:rPr>
            </w:pPr>
            <w:r>
              <w:rPr>
                <w:rFonts w:ascii="Courier New" w:cs="Courier New" w:eastAsia="Courier New" w:hAnsi="Courier New"/>
                <w:sz w:val="17"/>
                <w:szCs w:val="17"/>
                <w:color w:val="auto"/>
              </w:rPr>
              <w:t>RECONCILIATION ITEMS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40" w:type="dxa"/>
            <w:vAlign w:val="bottom"/>
            <w:gridSpan w:val="4"/>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AMORTIZATION</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PURCHASED</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INTANGIBLE</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GAAP</w:t>
            </w: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ASSETS</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TAX EFFECT</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NON-GAAP</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license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3,278</w:t>
            </w:r>
          </w:p>
        </w:tc>
        <w:tc>
          <w:tcPr>
            <w:tcW w:w="580" w:type="dxa"/>
            <w:vAlign w:val="bottom"/>
          </w:tcPr>
          <w:p>
            <w:pPr>
              <w:ind w:left="48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3,278</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Cost of service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929,487</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929,487</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Research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development</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97,567</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97,567</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administrative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166,000</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166,000</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purchased intangible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7,875</w:t>
            </w:r>
          </w:p>
        </w:tc>
        <w:tc>
          <w:tcPr>
            <w:tcW w:w="58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(7,875)</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ind w:left="320"/>
              <w:spacing w:after="0"/>
              <w:rPr>
                <w:sz w:val="20"/>
                <w:szCs w:val="20"/>
                <w:color w:val="auto"/>
              </w:rPr>
            </w:pPr>
            <w:r>
              <w:rPr>
                <w:rFonts w:ascii="Courier New" w:cs="Courier New" w:eastAsia="Courier New" w:hAnsi="Courier New"/>
                <w:sz w:val="17"/>
                <w:szCs w:val="17"/>
                <w:color w:val="auto"/>
              </w:rPr>
              <w:t>In-process research</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2880" w:type="dxa"/>
            <w:vAlign w:val="bottom"/>
          </w:tcPr>
          <w:p>
            <w:pPr>
              <w:ind w:left="640"/>
              <w:spacing w:after="0"/>
              <w:rPr>
                <w:sz w:val="20"/>
                <w:szCs w:val="20"/>
                <w:color w:val="auto"/>
              </w:rPr>
            </w:pPr>
            <w:r>
              <w:rPr>
                <w:rFonts w:ascii="Courier New" w:cs="Courier New" w:eastAsia="Courier New" w:hAnsi="Courier New"/>
                <w:sz w:val="17"/>
                <w:szCs w:val="17"/>
                <w:color w:val="auto"/>
              </w:rPr>
              <w:t>and development</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1,204,207</w:t>
            </w:r>
          </w:p>
        </w:tc>
        <w:tc>
          <w:tcPr>
            <w:tcW w:w="58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(7,875)</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1,196,332</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261,096</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7,875</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268,971</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260" w:type="dxa"/>
            <w:vAlign w:val="bottom"/>
          </w:tcPr>
          <w:p>
            <w:pPr>
              <w:spacing w:after="0"/>
              <w:rPr>
                <w:sz w:val="17"/>
                <w:szCs w:val="17"/>
                <w:color w:val="auto"/>
              </w:rPr>
            </w:pP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55,203</w:t>
            </w:r>
          </w:p>
        </w:tc>
        <w:tc>
          <w:tcPr>
            <w:tcW w:w="580" w:type="dxa"/>
            <w:vAlign w:val="bottom"/>
          </w:tcPr>
          <w:p>
            <w:pPr>
              <w:spacing w:after="0"/>
              <w:rPr>
                <w:sz w:val="17"/>
                <w:szCs w:val="17"/>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7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1,580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56,783</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220,837</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$ 7,875</w:t>
            </w:r>
          </w:p>
        </w:tc>
        <w:tc>
          <w:tcPr>
            <w:tcW w:w="13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$(1,580)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227,132</w:t>
            </w:r>
          </w:p>
        </w:tc>
      </w:tr>
      <w:tr>
        <w:trPr>
          <w:trHeight w:val="201"/>
        </w:trPr>
        <w:tc>
          <w:tcPr>
            <w:tcW w:w="2880" w:type="dxa"/>
            <w:vAlign w:val="bottom"/>
          </w:tcPr>
          <w:p>
            <w:pPr>
              <w:spacing w:after="0"/>
              <w:rPr>
                <w:sz w:val="17"/>
                <w:szCs w:val="17"/>
                <w:color w:val="auto"/>
              </w:rPr>
            </w:pPr>
          </w:p>
        </w:tc>
        <w:tc>
          <w:tcPr>
            <w:tcW w:w="136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9" w:right="1440" w:bottom="1440" w:gutter="0" w:footer="0" w:header="0"/>
        </w:sectPr>
      </w:pPr>
    </w:p>
    <w:bookmarkStart w:id="15" w:name="page16"/>
    <w:bookmarkEnd w:id="15"/>
    <w:p>
      <w:pPr>
        <w:jc w:val="center"/>
        <w:ind w:right="1819"/>
        <w:spacing w:after="0"/>
        <w:rPr>
          <w:sz w:val="20"/>
          <w:szCs w:val="20"/>
          <w:color w:val="auto"/>
        </w:rPr>
      </w:pPr>
      <w:r>
        <w:rPr>
          <w:rFonts w:ascii="Courier New" w:cs="Courier New" w:eastAsia="Courier New" w:hAnsi="Courier New"/>
          <w:sz w:val="17"/>
          <w:szCs w:val="17"/>
          <w:color w:val="auto"/>
        </w:rPr>
        <w:t>AMDOCS LIMITED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ind w:left="3460"/>
              <w:spacing w:after="0"/>
              <w:rPr>
                <w:sz w:val="20"/>
                <w:szCs w:val="20"/>
                <w:color w:val="auto"/>
              </w:rPr>
            </w:pPr>
            <w:r>
              <w:rPr>
                <w:rFonts w:ascii="Courier New" w:cs="Courier New" w:eastAsia="Courier New" w:hAnsi="Courier New"/>
                <w:sz w:val="17"/>
                <w:szCs w:val="17"/>
                <w:color w:val="auto"/>
              </w:rPr>
              <w:t>(IN THOUSANDS)</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06"/>
        </w:trPr>
        <w:tc>
          <w:tcPr>
            <w:tcW w:w="7180" w:type="dxa"/>
            <w:vAlign w:val="bottom"/>
          </w:tcPr>
          <w:p>
            <w:pPr>
              <w:spacing w:after="0"/>
              <w:rPr>
                <w:sz w:val="24"/>
                <w:szCs w:val="24"/>
                <w:color w:val="auto"/>
              </w:rPr>
            </w:pPr>
          </w:p>
        </w:tc>
        <w:tc>
          <w:tcPr>
            <w:tcW w:w="2040" w:type="dxa"/>
            <w:vAlign w:val="bottom"/>
            <w:gridSpan w:val="2"/>
          </w:tcPr>
          <w:p>
            <w:pPr>
              <w:ind w:left="1200"/>
              <w:spacing w:after="0"/>
              <w:rPr>
                <w:sz w:val="20"/>
                <w:szCs w:val="20"/>
                <w:color w:val="auto"/>
              </w:rPr>
            </w:pPr>
            <w:r>
              <w:rPr>
                <w:rFonts w:ascii="Courier New" w:cs="Courier New" w:eastAsia="Courier New" w:hAnsi="Courier New"/>
                <w:sz w:val="17"/>
                <w:szCs w:val="17"/>
                <w:color w:val="auto"/>
              </w:rPr>
              <w:t>AS OF</w:t>
            </w:r>
          </w:p>
        </w:tc>
        <w:tc>
          <w:tcPr>
            <w:tcW w:w="640" w:type="dxa"/>
            <w:vAlign w:val="bottom"/>
          </w:tcPr>
          <w:p>
            <w:pPr>
              <w:spacing w:after="0"/>
              <w:rPr>
                <w:sz w:val="24"/>
                <w:szCs w:val="24"/>
                <w:color w:val="auto"/>
              </w:rPr>
            </w:pPr>
          </w:p>
        </w:tc>
      </w:tr>
      <w:tr>
        <w:trPr>
          <w:trHeight w:val="201"/>
        </w:trPr>
        <w:tc>
          <w:tcPr>
            <w:tcW w:w="7180" w:type="dxa"/>
            <w:vAlign w:val="bottom"/>
          </w:tcPr>
          <w:p>
            <w:pPr>
              <w:spacing w:after="0"/>
              <w:rPr>
                <w:sz w:val="17"/>
                <w:szCs w:val="17"/>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JUNE 30,</w:t>
            </w:r>
          </w:p>
        </w:tc>
        <w:tc>
          <w:tcPr>
            <w:tcW w:w="12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SEPTEMBER</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2006</w:t>
            </w:r>
          </w:p>
        </w:tc>
        <w:tc>
          <w:tcPr>
            <w:tcW w:w="580" w:type="dxa"/>
            <w:vAlign w:val="bottom"/>
          </w:tcPr>
          <w:p>
            <w:pPr>
              <w:ind w:left="260"/>
              <w:spacing w:after="0"/>
              <w:rPr>
                <w:sz w:val="20"/>
                <w:szCs w:val="20"/>
                <w:color w:val="auto"/>
              </w:rPr>
            </w:pPr>
            <w:r>
              <w:rPr>
                <w:rFonts w:ascii="Courier New" w:cs="Courier New" w:eastAsia="Courier New" w:hAnsi="Courier New"/>
                <w:sz w:val="17"/>
                <w:szCs w:val="17"/>
                <w:color w:val="auto"/>
                <w:w w:val="97"/>
              </w:rPr>
              <w:t>30,</w:t>
            </w: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2005</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(Unaudited)</w:t>
            </w:r>
          </w:p>
        </w:tc>
        <w:tc>
          <w:tcPr>
            <w:tcW w:w="12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(Audited)</w:t>
            </w:r>
          </w:p>
        </w:tc>
      </w:tr>
      <w:tr>
        <w:trPr>
          <w:trHeight w:val="403"/>
        </w:trPr>
        <w:tc>
          <w:tcPr>
            <w:tcW w:w="71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Cash, cash equivalents and short-term interest-bearing investments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$1,207,552</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$1,145,563</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Accounts receivable, net, including unbilled of $43,925 and</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$28,994, respectively</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414,154</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304,237</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77,653</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101,162</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81,793</w:t>
            </w: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76,780</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Total current assets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1,781,152</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1,627,742</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184,878</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181,812</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 assets, net</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1,411,561</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1,129,258</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318,740</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263,656</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$3,696,331</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$3,202,468</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Accounts payable and accruals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512,636</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462,276</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Short-term portion of capital lease obligations and other financing</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arrangements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1,938</w:t>
            </w: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8,480</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revenue</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243,381</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216,770</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Deferred income taxes and taxes payable</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175,210</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171,377</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933,165</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858,903</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0.50% Convertible notes</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450,000</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450,000</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Noncurrent liabilities and other</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282,279</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237,113</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2,030,887</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1,656,452</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7180" w:type="dxa"/>
            <w:vAlign w:val="bottom"/>
          </w:tcPr>
          <w:p>
            <w:pPr>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$3,696,331</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$3,202,468</w:t>
            </w:r>
          </w:p>
        </w:tc>
      </w:tr>
      <w:tr>
        <w:trPr>
          <w:trHeight w:val="201"/>
        </w:trPr>
        <w:tc>
          <w:tcPr>
            <w:tcW w:w="7180" w:type="dxa"/>
            <w:vAlign w:val="bottom"/>
          </w:tcPr>
          <w:p>
            <w:pPr>
              <w:spacing w:after="0"/>
              <w:rPr>
                <w:sz w:val="17"/>
                <w:szCs w:val="17"/>
                <w:color w:val="auto"/>
              </w:rPr>
            </w:pPr>
          </w:p>
        </w:tc>
        <w:tc>
          <w:tcPr>
            <w:tcW w:w="14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 w:lineRule="exact"/>
        <w:rPr>
          <w:sz w:val="20"/>
          <w:szCs w:val="20"/>
          <w:color w:val="auto"/>
        </w:rPr>
      </w:pPr>
    </w:p>
    <w:sectPr>
      <w:pgSz w:w="11900" w:h="16838" w:orient="portrait"/>
      <w:cols w:equalWidth="0" w:num="1">
        <w:col w:w="10219"/>
      </w:cols>
      <w:pgMar w:left="240" w:top="7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2019-12-14T20:52:31Z</dcterms:created>
  <dcterms:modified xsi:type="dcterms:W3CDTF">2019-12-14T20:52:31Z</dcterms:modified>
</cp:coreProperties>
</file>