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ind w:left="3500"/>
        <w:spacing w:after="0"/>
        <w:rPr>
          <w:sz w:val="20"/>
          <w:szCs w:val="20"/>
          <w:color w:val="auto"/>
        </w:rPr>
      </w:pPr>
      <w:r>
        <w:rPr>
          <w:rFonts w:ascii="Arial" w:cs="Arial" w:eastAsia="Arial" w:hAnsi="Arial"/>
          <w:sz w:val="22"/>
          <w:szCs w:val="22"/>
          <w:b w:val="1"/>
          <w:bCs w:val="1"/>
          <w:color w:val="auto"/>
        </w:rPr>
        <w:t>PURSUANT TO RULE 13a-16 OR 15d-16 OF</w:t>
      </w:r>
    </w:p>
    <w:p>
      <w:pPr>
        <w:ind w:left="33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Quarter Ended December 31, 2022</w:t>
      </w:r>
    </w:p>
    <w:p>
      <w:pPr>
        <w:spacing w:after="0" w:line="22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625 Maryville Centre Drive, Suite 200 Saint Louis, Missouri 63141</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180"/>
        <w:spacing w:after="0" w:line="207" w:lineRule="exact"/>
        <w:tabs>
          <w:tab w:leader="none" w:pos="59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00"/>
        <w:spacing w:after="0" w:line="207" w:lineRule="exact"/>
        <w:tabs>
          <w:tab w:leader="none" w:pos="59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-10160</wp:posOffset>
            </wp:positionV>
            <wp:extent cx="342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ectPr>
          <w:pgSz w:w="11900" w:h="16838" w:orient="portrait"/>
          <w:cols w:equalWidth="0" w:num="1">
            <w:col w:w="10680"/>
          </w:cols>
          <w:pgMar w:left="320" w:top="230"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60" w:type="dxa"/>
            <w:vAlign w:val="bottom"/>
            <w:gridSpan w:val="18"/>
          </w:tcPr>
          <w:p>
            <w:pPr>
              <w:spacing w:after="0"/>
              <w:rPr>
                <w:sz w:val="20"/>
                <w:szCs w:val="20"/>
                <w:color w:val="auto"/>
              </w:rPr>
            </w:pPr>
            <w:r>
              <w:rPr>
                <w:rFonts w:ascii="Arial" w:cs="Arial" w:eastAsia="Arial" w:hAnsi="Arial"/>
                <w:sz w:val="18"/>
                <w:szCs w:val="18"/>
                <w:b w:val="1"/>
                <w:bCs w:val="1"/>
                <w:color w:val="0000EE"/>
              </w:rPr>
              <w:t>Table of Contents</w:t>
            </w:r>
          </w:p>
        </w:tc>
        <w:tc>
          <w:tcPr>
            <w:tcW w:w="18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gridSpan w:val="4"/>
          </w:tcPr>
          <w:p>
            <w:pPr>
              <w:jc w:val="center"/>
              <w:ind w:right="2560"/>
              <w:spacing w:after="0"/>
              <w:rPr>
                <w:sz w:val="20"/>
                <w:szCs w:val="20"/>
                <w:color w:val="auto"/>
              </w:rPr>
            </w:pPr>
            <w:r>
              <w:rPr>
                <w:rFonts w:ascii="Arial" w:cs="Arial" w:eastAsia="Arial" w:hAnsi="Arial"/>
                <w:sz w:val="18"/>
                <w:szCs w:val="18"/>
                <w:color w:val="auto"/>
              </w:rPr>
              <w:t>AMDOCS LIMITED</w:t>
            </w:r>
          </w:p>
        </w:tc>
        <w:tc>
          <w:tcPr>
            <w:tcW w:w="18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2"/>
          </w:tcPr>
          <w:p>
            <w:pPr>
              <w:jc w:val="center"/>
              <w:ind w:right="3160"/>
              <w:spacing w:after="0"/>
              <w:rPr>
                <w:sz w:val="20"/>
                <w:szCs w:val="20"/>
                <w:color w:val="auto"/>
              </w:rPr>
            </w:pPr>
            <w:r>
              <w:rPr>
                <w:rFonts w:ascii="Arial" w:cs="Arial" w:eastAsia="Arial" w:hAnsi="Arial"/>
                <w:sz w:val="18"/>
                <w:szCs w:val="18"/>
                <w:color w:val="auto"/>
                <w:w w:val="97"/>
              </w:rPr>
              <w:t>FORM 6-K</w:t>
            </w:r>
          </w:p>
        </w:tc>
        <w:tc>
          <w:tcPr>
            <w:tcW w:w="18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00" w:type="dxa"/>
            <w:vAlign w:val="bottom"/>
            <w:gridSpan w:val="8"/>
          </w:tcPr>
          <w:p>
            <w:pPr>
              <w:jc w:val="center"/>
              <w:ind w:right="1780"/>
              <w:spacing w:after="0"/>
              <w:rPr>
                <w:sz w:val="20"/>
                <w:szCs w:val="20"/>
                <w:color w:val="auto"/>
              </w:rPr>
            </w:pPr>
            <w:r>
              <w:rPr>
                <w:rFonts w:ascii="Arial" w:cs="Arial" w:eastAsia="Arial" w:hAnsi="Arial"/>
                <w:sz w:val="18"/>
                <w:szCs w:val="18"/>
                <w:color w:val="auto"/>
                <w:w w:val="92"/>
              </w:rPr>
              <w:t>REPORT OF FOREIGN PRIVATE ISSUER</w:t>
            </w:r>
          </w:p>
        </w:tc>
        <w:tc>
          <w:tcPr>
            <w:tcW w:w="18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80" w:type="dxa"/>
            <w:vAlign w:val="bottom"/>
            <w:gridSpan w:val="9"/>
          </w:tcPr>
          <w:p>
            <w:pPr>
              <w:jc w:val="center"/>
              <w:ind w:right="1280"/>
              <w:spacing w:after="0"/>
              <w:rPr>
                <w:sz w:val="20"/>
                <w:szCs w:val="20"/>
                <w:color w:val="auto"/>
              </w:rPr>
            </w:pPr>
            <w:r>
              <w:rPr>
                <w:rFonts w:ascii="Arial" w:cs="Arial" w:eastAsia="Arial" w:hAnsi="Arial"/>
                <w:sz w:val="18"/>
                <w:szCs w:val="18"/>
                <w:color w:val="auto"/>
                <w:w w:val="94"/>
              </w:rPr>
              <w:t>FOR THE QUARTER ENDED DECEMBER 31, 2022</w:t>
            </w:r>
          </w:p>
        </w:tc>
        <w:tc>
          <w:tcPr>
            <w:tcW w:w="182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20" w:type="dxa"/>
            <w:vAlign w:val="bottom"/>
            <w:gridSpan w:val="2"/>
          </w:tcPr>
          <w:p>
            <w:pPr>
              <w:jc w:val="center"/>
              <w:ind w:right="3160"/>
              <w:spacing w:after="0"/>
              <w:rPr>
                <w:sz w:val="20"/>
                <w:szCs w:val="20"/>
                <w:color w:val="auto"/>
              </w:rPr>
            </w:pPr>
            <w:r>
              <w:rPr>
                <w:rFonts w:ascii="Arial" w:cs="Arial" w:eastAsia="Arial" w:hAnsi="Arial"/>
                <w:sz w:val="18"/>
                <w:szCs w:val="18"/>
                <w:color w:val="auto"/>
              </w:rPr>
              <w:t>INDEX</w:t>
            </w:r>
          </w:p>
        </w:tc>
        <w:tc>
          <w:tcPr>
            <w:tcW w:w="182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28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7"/>
              </w:rPr>
              <w:t>PART I FINANCIAL INFORMATION</w:t>
            </w:r>
          </w:p>
        </w:tc>
        <w:tc>
          <w:tcPr>
            <w:tcW w:w="6300" w:type="dxa"/>
            <w:vAlign w:val="bottom"/>
            <w:gridSpan w:val="10"/>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Item 1. Financial Statements</w:t>
            </w:r>
          </w:p>
        </w:tc>
        <w:tc>
          <w:tcPr>
            <w:tcW w:w="6720" w:type="dxa"/>
            <w:vAlign w:val="bottom"/>
            <w:gridSpan w:val="1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20" w:type="dxa"/>
            <w:vAlign w:val="bottom"/>
            <w:gridSpan w:val="15"/>
          </w:tcPr>
          <w:p>
            <w:pPr>
              <w:spacing w:after="0" w:line="196" w:lineRule="exact"/>
              <w:rPr>
                <w:sz w:val="20"/>
                <w:szCs w:val="20"/>
                <w:color w:val="auto"/>
              </w:rPr>
            </w:pPr>
            <w:r>
              <w:rPr>
                <w:rFonts w:ascii="Arial" w:cs="Arial" w:eastAsia="Arial" w:hAnsi="Arial"/>
                <w:sz w:val="18"/>
                <w:szCs w:val="18"/>
                <w:color w:val="0000EE"/>
              </w:rPr>
              <w:t>Unaudited Consolidated Financial Statements</w:t>
            </w:r>
          </w:p>
        </w:tc>
        <w:tc>
          <w:tcPr>
            <w:tcW w:w="18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Consolidated Balance Sheets</w:t>
            </w:r>
          </w:p>
        </w:tc>
        <w:tc>
          <w:tcPr>
            <w:tcW w:w="5140" w:type="dxa"/>
            <w:vAlign w:val="bottom"/>
            <w:gridSpan w:val="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8"/>
              </w:rPr>
              <w:t>Consolidated Statements of Income</w:t>
            </w:r>
          </w:p>
        </w:tc>
        <w:tc>
          <w:tcPr>
            <w:tcW w:w="5500" w:type="dxa"/>
            <w:vAlign w:val="bottom"/>
            <w:gridSpan w:val="8"/>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Consolidated Statements of Comprehensive Income</w:t>
            </w:r>
          </w:p>
        </w:tc>
        <w:tc>
          <w:tcPr>
            <w:tcW w:w="4320" w:type="dxa"/>
            <w:vAlign w:val="bottom"/>
            <w:gridSpan w:val="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40" w:type="dxa"/>
            <w:vAlign w:val="bottom"/>
            <w:gridSpan w:val="14"/>
          </w:tcPr>
          <w:p>
            <w:pPr>
              <w:spacing w:after="0" w:line="196" w:lineRule="exact"/>
              <w:rPr>
                <w:sz w:val="20"/>
                <w:szCs w:val="20"/>
                <w:color w:val="auto"/>
              </w:rPr>
            </w:pPr>
            <w:r>
              <w:rPr>
                <w:rFonts w:ascii="Arial" w:cs="Arial" w:eastAsia="Arial" w:hAnsi="Arial"/>
                <w:sz w:val="18"/>
                <w:szCs w:val="18"/>
                <w:color w:val="0000EE"/>
              </w:rPr>
              <w:t>Consolidated Statements of Changes in Equity</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2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Consolidated Statements of Cash Flows</w:t>
            </w:r>
          </w:p>
        </w:tc>
        <w:tc>
          <w:tcPr>
            <w:tcW w:w="4720" w:type="dxa"/>
            <w:vAlign w:val="bottom"/>
            <w:gridSpan w:val="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Notes to Unaudited Consolidated Financial Statements</w:t>
            </w:r>
          </w:p>
        </w:tc>
        <w:tc>
          <w:tcPr>
            <w:tcW w:w="412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80" w:type="dxa"/>
            <w:vAlign w:val="bottom"/>
            <w:gridSpan w:val="16"/>
          </w:tcPr>
          <w:p>
            <w:pPr>
              <w:spacing w:after="0" w:line="196" w:lineRule="exact"/>
              <w:rPr>
                <w:sz w:val="20"/>
                <w:szCs w:val="20"/>
                <w:color w:val="auto"/>
              </w:rPr>
            </w:pPr>
            <w:r>
              <w:rPr>
                <w:rFonts w:ascii="Arial" w:cs="Arial" w:eastAsia="Arial" w:hAnsi="Arial"/>
                <w:sz w:val="18"/>
                <w:szCs w:val="18"/>
                <w:color w:val="0000EE"/>
              </w:rPr>
              <w:t>Item 2. Operating and Financial Review and Prospects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40" w:type="dxa"/>
            <w:vAlign w:val="bottom"/>
            <w:gridSpan w:val="17"/>
          </w:tcPr>
          <w:p>
            <w:pPr>
              <w:spacing w:after="0" w:line="196" w:lineRule="exact"/>
              <w:rPr>
                <w:sz w:val="20"/>
                <w:szCs w:val="20"/>
                <w:color w:val="auto"/>
              </w:rPr>
            </w:pPr>
            <w:r>
              <w:rPr>
                <w:rFonts w:ascii="Arial" w:cs="Arial" w:eastAsia="Arial" w:hAnsi="Arial"/>
                <w:sz w:val="18"/>
                <w:szCs w:val="18"/>
                <w:color w:val="0000EE"/>
              </w:rPr>
              <w:t>PART II OTHER INFORMATION</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80" w:type="dxa"/>
            <w:vAlign w:val="bottom"/>
            <w:gridSpan w:val="16"/>
          </w:tcPr>
          <w:p>
            <w:pPr>
              <w:spacing w:after="0" w:line="196" w:lineRule="exact"/>
              <w:rPr>
                <w:sz w:val="20"/>
                <w:szCs w:val="20"/>
                <w:color w:val="auto"/>
              </w:rPr>
            </w:pPr>
            <w:r>
              <w:rPr>
                <w:rFonts w:ascii="Arial" w:cs="Arial" w:eastAsia="Arial" w:hAnsi="Arial"/>
                <w:sz w:val="18"/>
                <w:szCs w:val="18"/>
                <w:color w:val="0000EE"/>
              </w:rPr>
              <w:t>Item 1. Changes in Securities, Use of Proceeds and Issuer Purchases of Equity Securities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Item 2. Reports on Form 6-K</w:t>
            </w:r>
          </w:p>
        </w:tc>
        <w:tc>
          <w:tcPr>
            <w:tcW w:w="4220" w:type="dxa"/>
            <w:vAlign w:val="bottom"/>
            <w:tcBorders>
              <w:top w:val="single" w:sz="8" w:color="0000EE"/>
            </w:tcBorders>
            <w:gridSpan w:val="10"/>
          </w:tcPr>
          <w:p>
            <w:pPr>
              <w:spacing w:after="0"/>
              <w:rPr>
                <w:sz w:val="17"/>
                <w:szCs w:val="17"/>
                <w:color w:val="auto"/>
              </w:rPr>
            </w:pPr>
          </w:p>
        </w:tc>
        <w:tc>
          <w:tcPr>
            <w:tcW w:w="240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SIGNATURES</w:t>
            </w:r>
          </w:p>
        </w:tc>
        <w:tc>
          <w:tcPr>
            <w:tcW w:w="8040" w:type="dxa"/>
            <w:vAlign w:val="bottom"/>
            <w:gridSpan w:val="1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500"/>
        <w:spacing w:after="0" w:line="342"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120" w:type="dxa"/>
            <w:vAlign w:val="bottom"/>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8120" w:type="dxa"/>
            <w:vAlign w:val="bottom"/>
          </w:tcPr>
          <w:p>
            <w:pPr>
              <w:jc w:val="center"/>
              <w:ind w:left="1390"/>
              <w:spacing w:after="0"/>
              <w:rPr>
                <w:sz w:val="20"/>
                <w:szCs w:val="20"/>
                <w:color w:val="auto"/>
              </w:rPr>
            </w:pPr>
            <w:r>
              <w:rPr>
                <w:rFonts w:ascii="Arial" w:cs="Arial" w:eastAsia="Arial" w:hAnsi="Arial"/>
                <w:sz w:val="18"/>
                <w:szCs w:val="18"/>
                <w:b w:val="1"/>
                <w:bCs w:val="1"/>
                <w:color w:val="auto"/>
              </w:rPr>
              <w:t>AMDOCS LIMITED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00" w:type="dxa"/>
            <w:vAlign w:val="bottom"/>
          </w:tcPr>
          <w:p>
            <w:pPr>
              <w:spacing w:after="0"/>
              <w:rPr>
                <w:sz w:val="19"/>
                <w:szCs w:val="19"/>
                <w:color w:val="auto"/>
              </w:rPr>
            </w:pPr>
          </w:p>
        </w:tc>
        <w:tc>
          <w:tcPr>
            <w:tcW w:w="812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120" w:type="dxa"/>
            <w:vAlign w:val="bottom"/>
          </w:tcPr>
          <w:p>
            <w:pPr>
              <w:jc w:val="center"/>
              <w:ind w:left="1390"/>
              <w:spacing w:after="0"/>
              <w:rPr>
                <w:sz w:val="20"/>
                <w:szCs w:val="20"/>
                <w:color w:val="auto"/>
              </w:rPr>
            </w:pPr>
            <w:r>
              <w:rPr>
                <w:rFonts w:ascii="Arial" w:cs="Arial" w:eastAsia="Arial" w:hAnsi="Arial"/>
                <w:sz w:val="18"/>
                <w:szCs w:val="18"/>
                <w:color w:val="auto"/>
                <w:w w:val="88"/>
              </w:rPr>
              <w:t>(dollar and share amounts in thousands, except per share data)</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As of</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8120" w:type="dxa"/>
            <w:vAlign w:val="bottom"/>
          </w:tcPr>
          <w:p>
            <w:pPr>
              <w:spacing w:after="0"/>
              <w:rPr>
                <w:sz w:val="10"/>
                <w:szCs w:val="10"/>
                <w:color w:val="auto"/>
              </w:rPr>
            </w:pPr>
          </w:p>
        </w:tc>
        <w:tc>
          <w:tcPr>
            <w:tcW w:w="12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3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ASSETS</w:t>
            </w:r>
          </w:p>
        </w:tc>
        <w:tc>
          <w:tcPr>
            <w:tcW w:w="8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492,179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573,377</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242,377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244,603</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1,136,200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946,777</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213,630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238,390</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2,084,386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2,003,147</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798,907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794,287</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158,633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176,884</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2,662,825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2,662,825</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147,254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178,312</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606,849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574,938</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6,458,854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6,390,393</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228,516</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134,400</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563,379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612,656</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Accrued personnel costs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241,589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208,602</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43,336</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255,642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253,686</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1,328,850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1,252,680</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296,051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312,237</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122,488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138,378</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Long-term debt, net of unamortized debt issuance costs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645,262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645,117</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476,278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481,703</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2,868,929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2,830,115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8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2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5"/>
              </w:rPr>
              <w:t>Ordinary Shares — Authorized 700,000 shares; £0.01 par value; 285,329 and 284,400 issued and 120,588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ind w:left="540"/>
              <w:spacing w:after="0"/>
              <w:rPr>
                <w:sz w:val="20"/>
                <w:szCs w:val="20"/>
                <w:color w:val="auto"/>
              </w:rPr>
            </w:pPr>
            <w:r>
              <w:rPr>
                <w:rFonts w:ascii="Arial" w:cs="Arial" w:eastAsia="Arial" w:hAnsi="Arial"/>
                <w:sz w:val="18"/>
                <w:szCs w:val="18"/>
                <w:color w:val="auto"/>
              </w:rPr>
              <w:t>120,842 outstanding, respectively</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4,559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4,139,980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4,105,900</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Treasury stock, at cost 164,741 and 163,558 ordinary shares, respectively</w:t>
            </w:r>
          </w:p>
        </w:tc>
        <w:tc>
          <w:tcPr>
            <w:tcW w:w="100" w:type="dxa"/>
            <w:vAlign w:val="bottom"/>
          </w:tcPr>
          <w:p>
            <w:pPr>
              <w:spacing w:after="0"/>
              <w:rPr>
                <w:sz w:val="18"/>
                <w:szCs w:val="18"/>
                <w:color w:val="auto"/>
              </w:rPr>
            </w:pPr>
          </w:p>
        </w:tc>
        <w:tc>
          <w:tcPr>
            <w:tcW w:w="1100" w:type="dxa"/>
            <w:vAlign w:val="bottom"/>
            <w:gridSpan w:val="3"/>
          </w:tcPr>
          <w:p>
            <w:pPr>
              <w:jc w:val="right"/>
              <w:ind w:right="188"/>
              <w:spacing w:after="0"/>
              <w:rPr>
                <w:sz w:val="20"/>
                <w:szCs w:val="20"/>
                <w:color w:val="auto"/>
              </w:rPr>
            </w:pPr>
            <w:r>
              <w:rPr>
                <w:rFonts w:ascii="Arial" w:cs="Arial" w:eastAsia="Arial" w:hAnsi="Arial"/>
                <w:sz w:val="18"/>
                <w:szCs w:val="18"/>
                <w:color w:val="auto"/>
                <w:w w:val="89"/>
              </w:rPr>
              <w:t>(6,831,810)</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(6,731,789)</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(59,136)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(72,476)</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6,293,618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6,211,586</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Amdocs Limited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3,547,211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3,517,769</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42,714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42,509</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3,589,925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3,560,278</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6,458,854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6,390,393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Three months ended</w:t>
      </w:r>
    </w:p>
    <w:p>
      <w:pPr>
        <w:jc w:val="center"/>
        <w:ind w:left="89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1,185,720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1,104,632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756,849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716,718</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95,726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81,945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143,222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128,076</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15,313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17,747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1,035,646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944,486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160,146</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(4,963)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of a business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33,982</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Net income attributable to Amdocs Limited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129,667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133,602</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Amdocs Limited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color w:val="auto"/>
              </w:rPr>
              <w:t>Diluted earnings per share attributable to Amdocs Limited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Three months ended</w:t>
      </w:r>
    </w:p>
    <w:p>
      <w:pPr>
        <w:jc w:val="center"/>
        <w:ind w:left="91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60" w:type="dxa"/>
            <w:vAlign w:val="bottom"/>
          </w:tcPr>
          <w:p>
            <w:pPr>
              <w:spacing w:after="0"/>
              <w:rPr>
                <w:sz w:val="12"/>
                <w:szCs w:val="12"/>
                <w:color w:val="auto"/>
              </w:rPr>
            </w:pPr>
          </w:p>
        </w:tc>
        <w:tc>
          <w:tcPr>
            <w:tcW w:w="6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$129,872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$133,602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fair value of cash flow hedges(1)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11,193</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Net change in fair value of available-for-sale securities(2)</w:t>
            </w:r>
          </w:p>
        </w:tc>
        <w:tc>
          <w:tcPr>
            <w:tcW w:w="680" w:type="dxa"/>
            <w:vAlign w:val="bottom"/>
          </w:tcPr>
          <w:p>
            <w:pPr>
              <w:jc w:val="right"/>
              <w:spacing w:after="0"/>
              <w:rPr>
                <w:sz w:val="20"/>
                <w:szCs w:val="20"/>
                <w:color w:val="auto"/>
              </w:rPr>
            </w:pPr>
            <w:r>
              <w:rPr>
                <w:rFonts w:ascii="Arial" w:cs="Arial" w:eastAsia="Arial" w:hAnsi="Arial"/>
                <w:sz w:val="18"/>
                <w:szCs w:val="18"/>
                <w:color w:val="auto"/>
              </w:rPr>
              <w:t>2,147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143,212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8"/>
                <w:szCs w:val="18"/>
                <w:color w:val="auto"/>
              </w:rPr>
              <w:t>Comprehensive income attributable to Amdocs Limited</w:t>
            </w:r>
          </w:p>
        </w:tc>
        <w:tc>
          <w:tcPr>
            <w:tcW w:w="7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60" w:type="dxa"/>
            <w:vAlign w:val="bottom"/>
            <w:vMerge w:val="continue"/>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143,007</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of $563 and $121 for the three months ended December 31, 2022 and 2021, respectively.</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tax impact for the three months ended December 31, 2022 and 2021.</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Amdocs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Ordinary 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Limited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jc w:val="right"/>
              <w:ind w:right="340"/>
              <w:spacing w:after="0" w:line="12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980" w:type="dxa"/>
            <w:vAlign w:val="bottom"/>
            <w:gridSpan w:val="2"/>
          </w:tcPr>
          <w:p>
            <w:pPr>
              <w:jc w:val="right"/>
              <w:ind w:right="320"/>
              <w:spacing w:after="0" w:line="125" w:lineRule="exact"/>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400"/>
              <w:spacing w:after="0" w:line="125" w:lineRule="exact"/>
              <w:rPr>
                <w:sz w:val="20"/>
                <w:szCs w:val="20"/>
                <w:color w:val="auto"/>
              </w:rPr>
            </w:pPr>
            <w:r>
              <w:rPr>
                <w:rFonts w:ascii="Arial" w:cs="Arial" w:eastAsia="Arial" w:hAnsi="Arial"/>
                <w:sz w:val="14"/>
                <w:szCs w:val="14"/>
                <w:b w:val="1"/>
                <w:bCs w:val="1"/>
                <w:color w:val="auto"/>
                <w:w w:val="85"/>
              </w:rPr>
              <w:t>Loss</w:t>
            </w:r>
          </w:p>
        </w:tc>
        <w:tc>
          <w:tcPr>
            <w:tcW w:w="960" w:type="dxa"/>
            <w:vAlign w:val="bottom"/>
            <w:gridSpan w:val="2"/>
          </w:tcPr>
          <w:p>
            <w:pPr>
              <w:jc w:val="right"/>
              <w:ind w:right="260"/>
              <w:spacing w:after="0" w:line="125" w:lineRule="exact"/>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1"/>
                <w:szCs w:val="11"/>
                <w:color w:val="auto"/>
              </w:rPr>
            </w:pPr>
          </w:p>
        </w:tc>
        <w:tc>
          <w:tcPr>
            <w:tcW w:w="98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80" w:type="dxa"/>
            <w:vAlign w:val="bottom"/>
          </w:tcPr>
          <w:p>
            <w:pPr>
              <w:spacing w:after="0"/>
              <w:rPr>
                <w:sz w:val="11"/>
                <w:szCs w:val="11"/>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w w:val="99"/>
              </w:rPr>
              <w:t>controlling</w:t>
            </w:r>
          </w:p>
        </w:tc>
        <w:tc>
          <w:tcPr>
            <w:tcW w:w="60" w:type="dxa"/>
            <w:vAlign w:val="bottom"/>
          </w:tcPr>
          <w:p>
            <w:pPr>
              <w:spacing w:after="0"/>
              <w:rPr>
                <w:sz w:val="11"/>
                <w:szCs w:val="11"/>
                <w:color w:val="auto"/>
              </w:rPr>
            </w:pPr>
          </w:p>
        </w:tc>
        <w:tc>
          <w:tcPr>
            <w:tcW w:w="94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175"/>
              <w:spacing w:after="0"/>
              <w:rPr>
                <w:sz w:val="20"/>
                <w:szCs w:val="20"/>
                <w:color w:val="auto"/>
              </w:rPr>
            </w:pPr>
            <w:r>
              <w:rPr>
                <w:rFonts w:ascii="Arial" w:cs="Arial" w:eastAsia="Arial" w:hAnsi="Arial"/>
                <w:sz w:val="14"/>
                <w:szCs w:val="14"/>
                <w:b w:val="1"/>
                <w:bCs w:val="1"/>
                <w:color w:val="auto"/>
                <w:w w:val="93"/>
              </w:rPr>
              <w:t>(1)</w:t>
            </w:r>
          </w:p>
        </w:tc>
        <w:tc>
          <w:tcPr>
            <w:tcW w:w="14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25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 September 30,</w:t>
            </w:r>
          </w:p>
        </w:tc>
        <w:tc>
          <w:tcPr>
            <w:tcW w:w="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120,842</w:t>
            </w:r>
          </w:p>
        </w:tc>
        <w:tc>
          <w:tcPr>
            <w:tcW w:w="10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$ 4,548</w:t>
            </w:r>
          </w:p>
        </w:tc>
        <w:tc>
          <w:tcPr>
            <w:tcW w:w="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$4,105,900</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$(6,731,789)</w:t>
            </w:r>
          </w:p>
        </w:tc>
        <w:tc>
          <w:tcPr>
            <w:tcW w:w="26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(72,476)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$ 6,211,586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$ 3,517,769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42,509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$3,560,278</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Comprehensive income:</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129,667</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129,667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205</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129,872</w:t>
            </w:r>
          </w:p>
        </w:tc>
        <w:tc>
          <w:tcPr>
            <w:tcW w:w="0" w:type="dxa"/>
            <w:vAlign w:val="bottom"/>
          </w:tcPr>
          <w:p>
            <w:pPr>
              <w:spacing w:after="0"/>
              <w:rPr>
                <w:sz w:val="1"/>
                <w:szCs w:val="1"/>
                <w:color w:val="auto"/>
              </w:rPr>
            </w:pPr>
          </w:p>
        </w:tc>
      </w:tr>
      <w:tr>
        <w:trPr>
          <w:trHeight w:val="202"/>
        </w:trPr>
        <w:tc>
          <w:tcPr>
            <w:tcW w:w="2540" w:type="dxa"/>
            <w:vAlign w:val="bottom"/>
          </w:tcPr>
          <w:p>
            <w:pPr>
              <w:ind w:left="360"/>
              <w:spacing w:after="0" w:line="201" w:lineRule="exact"/>
              <w:rPr>
                <w:sz w:val="20"/>
                <w:szCs w:val="20"/>
                <w:color w:val="auto"/>
              </w:rPr>
            </w:pPr>
            <w:r>
              <w:rPr>
                <w:rFonts w:ascii="Arial" w:cs="Arial" w:eastAsia="Arial" w:hAnsi="Arial"/>
                <w:sz w:val="18"/>
                <w:szCs w:val="18"/>
                <w:color w:val="auto"/>
              </w:rPr>
              <w:t>Other comprehensive</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540"/>
              <w:spacing w:after="0"/>
              <w:rPr>
                <w:sz w:val="20"/>
                <w:szCs w:val="20"/>
                <w:color w:val="auto"/>
              </w:rPr>
            </w:pPr>
            <w:r>
              <w:rPr>
                <w:rFonts w:ascii="Arial" w:cs="Arial" w:eastAsia="Arial" w:hAnsi="Arial"/>
                <w:sz w:val="18"/>
                <w:szCs w:val="18"/>
                <w:color w:val="auto"/>
              </w:rPr>
              <w:t>income</w:t>
            </w:r>
          </w:p>
        </w:tc>
        <w:tc>
          <w:tcPr>
            <w:tcW w:w="60" w:type="dxa"/>
            <w:vAlign w:val="bottom"/>
          </w:tcPr>
          <w:p>
            <w:pPr>
              <w:spacing w:after="0"/>
              <w:rPr>
                <w:sz w:val="20"/>
                <w:szCs w:val="20"/>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13,340</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13,340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13,340</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143,007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205</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143,212</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w w:val="92"/>
              </w:rPr>
              <w:t>Employee stock options exercised</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w w:val="93"/>
              </w:rPr>
              <w:t>247</w:t>
            </w: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14,590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14,593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14,593</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(100,021)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(100,021)</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w w:val="95"/>
              </w:rPr>
              <w:t>Cash dividends declared ($0.395</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per ordinary share)</w:t>
            </w:r>
          </w:p>
        </w:tc>
        <w:tc>
          <w:tcPr>
            <w:tcW w:w="60" w:type="dxa"/>
            <w:vAlign w:val="bottom"/>
          </w:tcPr>
          <w:p>
            <w:pPr>
              <w:spacing w:after="0"/>
              <w:rPr>
                <w:sz w:val="20"/>
                <w:szCs w:val="20"/>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(47,635)</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(47,635)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(47,635)</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Issuance of restricted stock, net of</w:t>
            </w:r>
          </w:p>
        </w:tc>
        <w:tc>
          <w:tcPr>
            <w:tcW w:w="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70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3"/>
              </w:rPr>
              <w:t>682</w:t>
            </w:r>
          </w:p>
        </w:tc>
        <w:tc>
          <w:tcPr>
            <w:tcW w:w="10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Equity-based compensation</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540" w:type="dxa"/>
            <w:vAlign w:val="bottom"/>
          </w:tcPr>
          <w:p>
            <w:pPr>
              <w:ind w:left="180"/>
              <w:spacing w:after="0"/>
              <w:rPr>
                <w:sz w:val="20"/>
                <w:szCs w:val="20"/>
                <w:color w:val="auto"/>
              </w:rPr>
            </w:pPr>
            <w:r>
              <w:rPr>
                <w:rFonts w:ascii="Arial" w:cs="Arial" w:eastAsia="Arial" w:hAnsi="Arial"/>
                <w:sz w:val="18"/>
                <w:szCs w:val="18"/>
                <w:color w:val="auto"/>
                <w:w w:val="97"/>
              </w:rPr>
              <w:t>expense related to employees</w:t>
            </w:r>
          </w:p>
        </w:tc>
        <w:tc>
          <w:tcPr>
            <w:tcW w:w="60" w:type="dxa"/>
            <w:vAlign w:val="bottom"/>
          </w:tcPr>
          <w:p>
            <w:pPr>
              <w:spacing w:after="0"/>
              <w:rPr>
                <w:sz w:val="20"/>
                <w:szCs w:val="20"/>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19,490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19,490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19,490</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 December 31,</w:t>
            </w: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120,588</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4,559</w:t>
            </w:r>
          </w:p>
        </w:tc>
        <w:tc>
          <w:tcPr>
            <w:tcW w:w="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4,139,980</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(6,831,810)</w:t>
            </w:r>
          </w:p>
        </w:tc>
        <w:tc>
          <w:tcPr>
            <w:tcW w:w="26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(59,136)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6,293,618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$ 3,547,211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42,714</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3,589,925</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Amdocs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Ordinary 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Limited</w:t>
            </w:r>
          </w:p>
        </w:tc>
        <w:tc>
          <w:tcPr>
            <w:tcW w:w="8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controlling</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Borders>
              <w:bottom w:val="single" w:sz="8" w:color="auto"/>
            </w:tcBorders>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jc w:val="right"/>
              <w:ind w:right="280"/>
              <w:spacing w:after="0" w:line="12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980" w:type="dxa"/>
            <w:vAlign w:val="bottom"/>
            <w:gridSpan w:val="2"/>
          </w:tcPr>
          <w:p>
            <w:pPr>
              <w:jc w:val="right"/>
              <w:ind w:right="260"/>
              <w:spacing w:after="0" w:line="125" w:lineRule="exact"/>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93"/>
              </w:rPr>
              <w:t>Income</w:t>
            </w:r>
          </w:p>
        </w:tc>
        <w:tc>
          <w:tcPr>
            <w:tcW w:w="960" w:type="dxa"/>
            <w:vAlign w:val="bottom"/>
            <w:gridSpan w:val="2"/>
          </w:tcPr>
          <w:p>
            <w:pPr>
              <w:jc w:val="right"/>
              <w:ind w:right="260"/>
              <w:spacing w:after="0" w:line="125" w:lineRule="exact"/>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1"/>
                <w:szCs w:val="11"/>
                <w:color w:val="auto"/>
              </w:rPr>
            </w:pPr>
          </w:p>
        </w:tc>
        <w:tc>
          <w:tcPr>
            <w:tcW w:w="98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80" w:type="dxa"/>
            <w:vAlign w:val="bottom"/>
          </w:tcPr>
          <w:p>
            <w:pPr>
              <w:spacing w:after="0"/>
              <w:rPr>
                <w:sz w:val="11"/>
                <w:szCs w:val="11"/>
                <w:color w:val="auto"/>
              </w:rPr>
            </w:pPr>
          </w:p>
        </w:tc>
        <w:tc>
          <w:tcPr>
            <w:tcW w:w="740" w:type="dxa"/>
            <w:vAlign w:val="bottom"/>
            <w:gridSpan w:val="3"/>
          </w:tcPr>
          <w:p>
            <w:pPr>
              <w:jc w:val="center"/>
              <w:ind w:right="80"/>
              <w:spacing w:after="0" w:line="125" w:lineRule="exact"/>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1"/>
                <w:szCs w:val="11"/>
                <w:color w:val="auto"/>
              </w:rPr>
            </w:pPr>
          </w:p>
        </w:tc>
        <w:tc>
          <w:tcPr>
            <w:tcW w:w="94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32"/>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25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 September 30,</w:t>
            </w:r>
          </w:p>
        </w:tc>
        <w:tc>
          <w:tcPr>
            <w:tcW w:w="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124,866</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$ 4,516</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9"/>
              </w:rPr>
              <w:t>$3,951,201</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$(6,223,317)</w:t>
            </w:r>
          </w:p>
        </w:tc>
        <w:tc>
          <w:tcPr>
            <w:tcW w:w="2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$5,850,937</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$ 3,592,675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42,509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$3,635,184</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Comprehensive income:</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133,602</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133,602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133,602</w:t>
            </w:r>
          </w:p>
        </w:tc>
        <w:tc>
          <w:tcPr>
            <w:tcW w:w="0" w:type="dxa"/>
            <w:vAlign w:val="bottom"/>
          </w:tcPr>
          <w:p>
            <w:pPr>
              <w:spacing w:after="0"/>
              <w:rPr>
                <w:sz w:val="1"/>
                <w:szCs w:val="1"/>
                <w:color w:val="auto"/>
              </w:rPr>
            </w:pPr>
          </w:p>
        </w:tc>
      </w:tr>
      <w:tr>
        <w:trPr>
          <w:trHeight w:val="216"/>
        </w:trPr>
        <w:tc>
          <w:tcPr>
            <w:tcW w:w="2540" w:type="dxa"/>
            <w:vAlign w:val="bottom"/>
          </w:tcPr>
          <w:p>
            <w:pPr>
              <w:ind w:left="360"/>
              <w:spacing w:after="0"/>
              <w:rPr>
                <w:sz w:val="20"/>
                <w:szCs w:val="20"/>
                <w:color w:val="auto"/>
              </w:rPr>
            </w:pPr>
            <w:r>
              <w:rPr>
                <w:rFonts w:ascii="Arial" w:cs="Arial" w:eastAsia="Arial" w:hAnsi="Arial"/>
                <w:sz w:val="18"/>
                <w:szCs w:val="18"/>
                <w:color w:val="auto"/>
                <w:w w:val="91"/>
              </w:rPr>
              <w:t>Other comprehensive income</w:t>
            </w:r>
          </w:p>
        </w:tc>
        <w:tc>
          <w:tcPr>
            <w:tcW w:w="6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469</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134,071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134,071</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w w:val="92"/>
              </w:rPr>
              <w:t>Employee stock options exercised</w:t>
            </w: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126</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6,114</w:t>
            </w:r>
          </w:p>
        </w:tc>
        <w:tc>
          <w:tcPr>
            <w:tcW w:w="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6,115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(2,314)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(170,904)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(170,904)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(170,904)</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w w:val="99"/>
              </w:rPr>
              <w:t>Cash dividends declared ($0.36</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per ordinary share)</w:t>
            </w:r>
          </w:p>
        </w:tc>
        <w:tc>
          <w:tcPr>
            <w:tcW w:w="60" w:type="dxa"/>
            <w:vAlign w:val="bottom"/>
          </w:tcPr>
          <w:p>
            <w:pPr>
              <w:spacing w:after="0"/>
              <w:rPr>
                <w:sz w:val="20"/>
                <w:szCs w:val="20"/>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(44,410)</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(44,410)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(44,410)</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Issuance of restricted stock, net of</w:t>
            </w:r>
          </w:p>
        </w:tc>
        <w:tc>
          <w:tcPr>
            <w:tcW w:w="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8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676</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Equity-based compensation</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w w:val="97"/>
              </w:rPr>
              <w:t>expense related to employees</w:t>
            </w:r>
          </w:p>
        </w:tc>
        <w:tc>
          <w:tcPr>
            <w:tcW w:w="60" w:type="dxa"/>
            <w:vAlign w:val="bottom"/>
          </w:tcPr>
          <w:p>
            <w:pPr>
              <w:spacing w:after="0"/>
              <w:rPr>
                <w:sz w:val="20"/>
                <w:szCs w:val="20"/>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16,741</w:t>
            </w:r>
          </w:p>
        </w:tc>
        <w:tc>
          <w:tcPr>
            <w:tcW w:w="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16,741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16,741</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Balance as of December 31, 2021</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123,354</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4,526</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3,974,056</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(6,394,221)</w:t>
            </w:r>
          </w:p>
        </w:tc>
        <w:tc>
          <w:tcPr>
            <w:tcW w:w="2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5,940,129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$ 3,534,297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42,509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3,576,806</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140" w:hanging="424"/>
        <w:spacing w:after="0" w:line="255"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December 31, 2022 and 2021, accumulated other comprehensive (loss) income is comprised of unrealized (loss) gain on derivatives, net of tax, of $(35,387) and $16,808, unrealized loss on short-term interest-bearing investments, net of tax, of $(20,650) and $(3,840), and unrealized loss on defined benefit plan, net of tax, of $(3,099) and $(3,161), respectively.</w:t>
      </w:r>
    </w:p>
    <w:p>
      <w:pPr>
        <w:spacing w:after="0" w:line="2" w:lineRule="exact"/>
        <w:rPr>
          <w:rFonts w:ascii="Arial" w:cs="Arial" w:eastAsia="Arial" w:hAnsi="Arial"/>
          <w:sz w:val="18"/>
          <w:szCs w:val="18"/>
          <w:color w:val="auto"/>
        </w:rPr>
      </w:pPr>
    </w:p>
    <w:p>
      <w:pPr>
        <w:ind w:left="540" w:right="700" w:hanging="424"/>
        <w:spacing w:after="0" w:line="26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three months ended December 31, 2021, all of the Company’s net income is attributable to Amdocs Limited as the net income attributable to the noncontrolling interests is negligible.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Three months ended</w:t>
      </w:r>
    </w:p>
    <w:p>
      <w:pPr>
        <w:jc w:val="center"/>
        <w:ind w:left="90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129,872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133,602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Depreciation, amortization and impairment</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61,071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50,876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19,490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16,741</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sale of a business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(16,973)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short-term interest-bearing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8"/>
              </w:rPr>
              <w:t>(197,381)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(84,458)</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16,069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(15,696)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(11,835)</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Lease assets and liabilities, net</w:t>
            </w: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(1,251)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82,136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(6,194)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86,049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(11,242)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16,802</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7,693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18,129</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83,226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204,118</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net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(33,703)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(57,225)</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3,734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(34,275)</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cash paid for business acquisitions</w:t>
            </w: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(23,885)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(30,804)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(110,691)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w w:val="88"/>
              </w:rPr>
              <w:t>(100,021)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(170,904)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14,589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6,012</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Payments of dividends</w:t>
            </w: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(47,735)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(44,956)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(133,620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(216,001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(81,198)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(122,574)</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573,377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709,064</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492,179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586,490</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Income taxes, net of refunds (2)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42,366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16,337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8,308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8,344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600" w:hanging="424"/>
        <w:spacing w:after="0" w:line="291"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amounts under “Purchase of property and equipment, net”, include proceeds from sale of property and equipment. There were no such proceeds in the three months ended December 31, 2022, while there was $269 for the three months ended December 31, 2021.</w:t>
      </w: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Further details, see also Note 10.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“Interest” include payments of interest to financial institution, tax authorities and other.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its open and modular cloud portfolio.</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18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and are denominated in U.S. dollars.</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2022, set forth in the Company’s Annual Report on Form 20-F filed on December 13, 2022 with the U.S. Securities and Exchange Commission, or the SEC. There have been no material changes to the Company’s significant accounting policies from its Annual Report on Form 20-F for the fiscal year ended September 30, 2022.</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In September 2022, the Financial Accounting Standards Board, or FASB, issued Accounting Standard Update, or ASU No. 2022-04,</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Liabilities—Supplier Finance Programs (Subtopic 405-50): Disclosure of Supplier Finance Program Obligations.</w:t>
      </w:r>
      <w:r>
        <w:rPr>
          <w:rFonts w:ascii="Arial" w:cs="Arial" w:eastAsia="Arial" w:hAnsi="Arial"/>
          <w:sz w:val="16"/>
          <w:szCs w:val="16"/>
          <w:color w:val="auto"/>
        </w:rPr>
        <w:t>” The ASU requires entities that use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supplier finance programs to disclose sufficient information about the program’s nature, activity during the period, changes from period to period,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potential magnitude. This ASU will be effective for the Company on October 1, 2024, and early adoption is permitted. The Company is currently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evaluating the impact of adoption of this ASU on its consolidated financial statements.</w:t>
      </w:r>
    </w:p>
    <w:p>
      <w:pPr>
        <w:spacing w:after="0" w:line="211" w:lineRule="exact"/>
        <w:rPr>
          <w:sz w:val="20"/>
          <w:szCs w:val="20"/>
          <w:color w:val="auto"/>
        </w:rPr>
      </w:pPr>
    </w:p>
    <w:p>
      <w:pPr>
        <w:ind w:left="120" w:right="80" w:firstLine="991"/>
        <w:spacing w:after="0" w:line="259" w:lineRule="auto"/>
        <w:rPr>
          <w:sz w:val="20"/>
          <w:szCs w:val="20"/>
          <w:color w:val="auto"/>
        </w:rPr>
      </w:pPr>
      <w:r>
        <w:rPr>
          <w:rFonts w:ascii="Arial" w:cs="Arial" w:eastAsia="Arial" w:hAnsi="Arial"/>
          <w:sz w:val="18"/>
          <w:szCs w:val="18"/>
          <w:color w:val="auto"/>
        </w:rPr>
        <w:t>In August 2021, the FASB, issued ASU No.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from Contracts with Customers.” </w:t>
      </w:r>
      <w:r>
        <w:rPr>
          <w:rFonts w:ascii="Arial" w:cs="Arial" w:eastAsia="Arial" w:hAnsi="Arial"/>
          <w:sz w:val="18"/>
          <w:szCs w:val="18"/>
          <w:color w:val="auto"/>
        </w:rPr>
        <w:t>The ASU requires companies to apply ASC 606 to recognize and measure contract assets and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from contracts with customers acquired in a business combination. This ASU will be effective for the Company on October 1, 2023 and early adoption is permitted.</w:t>
      </w:r>
    </w:p>
    <w:p>
      <w:pPr>
        <w:spacing w:after="0" w:line="187"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In March 2020, the FASB, issued ASU No. 2020-04, “</w:t>
      </w:r>
      <w:r>
        <w:rPr>
          <w:rFonts w:ascii="Arial" w:cs="Arial" w:eastAsia="Arial" w:hAnsi="Arial"/>
          <w:sz w:val="18"/>
          <w:szCs w:val="18"/>
          <w:i w:val="1"/>
          <w:iCs w:val="1"/>
          <w:color w:val="auto"/>
        </w:rPr>
        <w:t>Reference Rate Reform: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Reporting.” </w:t>
      </w:r>
      <w:r>
        <w:rPr>
          <w:rFonts w:ascii="Arial" w:cs="Arial" w:eastAsia="Arial" w:hAnsi="Arial"/>
          <w:sz w:val="18"/>
          <w:szCs w:val="18"/>
          <w:color w:val="auto"/>
        </w:rPr>
        <w:t>The ASU provides temporary optional expedients and exceptions on certain contract modifications, hedge relationships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that reference London Inter-Bank Offered Rate (“LIBOR”) or other reference rates expected to be discontinued due to the reference rate reform. This ASU is effective as of March 12, 2020 through December 31, 2024. The Company expects that the adoption of this ASU will not have a material impact on its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Divestiture of a Subsidiary</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November 10, 2020, the Company signed an agreement for the divestiture of OpenMarket for approximately $300,000 cash with Infobip Limited, a company in which One Equity Partners is the primary institutional investor. With this transaction, the Company divested a non-strategic asset in the mobile messaging domain, remaining laser-focused on its core strategic growth initiatives.</w:t>
      </w:r>
    </w:p>
    <w:p>
      <w:pPr>
        <w:spacing w:after="0" w:line="184"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On December 31, 2020, the Company completed the divestiture. Based on the total consideration, the Company recorded a pre-tax gain of $226,410, (net of immaterial transaction costs) in the Consolidated Statements of Income during the three months ended December 31, 2020. In connection with this divestiture, $9,194 of net assets and $61,396 of goodwill, were disposed. During the three months ended December 31, 2021 the Company recorded an additional pre-tax gain of $10,000, in the Consolidated Statements of Income as a result of achievement of certain performance metrics and received such additional consideration during the second quarter ended March 31, 2022. The divestiture did not represent a strategic shift that will have a major effect on operations and financial results and, therefore, did not qualify for presentation as a discontinued operation, see also Note 10.</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12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6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r>
      <w:tr>
        <w:trPr>
          <w:trHeight w:val="182"/>
        </w:trPr>
        <w:tc>
          <w:tcPr>
            <w:tcW w:w="6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Accounts receivable - billed (net of allowances for credit losses of $24,297</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$16,627 as of December 31, 2022 and September 30, 2022,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954,305</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789,611</w:t>
            </w:r>
          </w:p>
        </w:tc>
      </w:tr>
      <w:tr>
        <w:trPr>
          <w:trHeight w:val="324"/>
        </w:trPr>
        <w:tc>
          <w:tcPr>
            <w:tcW w:w="6120" w:type="dxa"/>
            <w:vAlign w:val="bottom"/>
          </w:tcPr>
          <w:p>
            <w:pPr>
              <w:spacing w:after="0"/>
              <w:rPr>
                <w:sz w:val="20"/>
                <w:szCs w:val="20"/>
                <w:color w:val="auto"/>
              </w:rPr>
            </w:pPr>
            <w:r>
              <w:rPr>
                <w:rFonts w:ascii="Arial" w:cs="Arial" w:eastAsia="Arial" w:hAnsi="Arial"/>
                <w:sz w:val="18"/>
                <w:szCs w:val="18"/>
                <w:color w:val="auto"/>
              </w:rPr>
              <w:t>Accounts receivable – unbilled (current)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181,895</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157,166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unbilled (non-current)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35,374</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27,417</w:t>
            </w:r>
          </w:p>
        </w:tc>
      </w:tr>
      <w:tr>
        <w:trPr>
          <w:trHeight w:val="224"/>
        </w:trPr>
        <w:tc>
          <w:tcPr>
            <w:tcW w:w="6120" w:type="dxa"/>
            <w:vAlign w:val="bottom"/>
          </w:tcPr>
          <w:p>
            <w:pPr>
              <w:spacing w:after="0"/>
              <w:rPr>
                <w:sz w:val="20"/>
                <w:szCs w:val="20"/>
                <w:color w:val="auto"/>
              </w:rPr>
            </w:pPr>
            <w:r>
              <w:rPr>
                <w:rFonts w:ascii="Arial" w:cs="Arial" w:eastAsia="Arial" w:hAnsi="Arial"/>
                <w:sz w:val="18"/>
                <w:szCs w:val="18"/>
                <w:color w:val="auto"/>
              </w:rPr>
              <w:t>Total Accounts receivable - unbilled</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217,269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184,583</w:t>
            </w:r>
          </w:p>
        </w:tc>
        <w:tc>
          <w:tcPr>
            <w:tcW w:w="100" w:type="dxa"/>
            <w:vAlign w:val="bottom"/>
          </w:tcPr>
          <w:p>
            <w:pPr>
              <w:spacing w:after="0"/>
              <w:rPr>
                <w:sz w:val="19"/>
                <w:szCs w:val="19"/>
                <w:color w:val="auto"/>
              </w:rPr>
            </w:pPr>
          </w:p>
        </w:tc>
      </w:tr>
      <w:tr>
        <w:trPr>
          <w:trHeight w:val="107"/>
        </w:trPr>
        <w:tc>
          <w:tcPr>
            <w:tcW w:w="6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(255,642)</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(253,686)</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(61,757)</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(69,907)</w:t>
            </w:r>
          </w:p>
        </w:tc>
      </w:tr>
      <w:tr>
        <w:trPr>
          <w:trHeight w:val="27"/>
        </w:trPr>
        <w:tc>
          <w:tcPr>
            <w:tcW w:w="6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(317,399)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(323,593)</w:t>
            </w:r>
          </w:p>
        </w:tc>
      </w:tr>
    </w:tbl>
    <w:p>
      <w:pPr>
        <w:spacing w:after="0" w:line="20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Revenue recognized during the three months ended December 31, 2022, which was included in deferred revenue (current) as of September 30, 2022, was $187,655. Revenue recognized during the three months ended December 31, 2021, which was included in deferred revenue (current) as of September 30, 2021, was $147,539.</w:t>
      </w:r>
    </w:p>
    <w:p>
      <w:pPr>
        <w:spacing w:after="0" w:line="184"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As of December 31, 2022, the aggregate amount of the transaction price allocated to remaining performance obligations that are unsatisfied or partially unsatisfied was approximately $6.2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provide details of revenue by nature of activities and by geography: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by nature of activities</w:t>
      </w:r>
    </w:p>
    <w:p>
      <w:pPr>
        <w:spacing w:after="0" w:line="122"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Three months ended</w:t>
      </w:r>
    </w:p>
    <w:p>
      <w:pPr>
        <w:jc w:val="center"/>
        <w:ind w:left="62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560" w:type="dxa"/>
        <w:tblCellMar>
          <w:top w:w="0" w:type="dxa"/>
          <w:left w:w="0" w:type="dxa"/>
          <w:bottom w:w="0" w:type="dxa"/>
          <w:right w:w="0" w:type="dxa"/>
        </w:tblCellMar>
      </w:tblPr>
      <w:tr>
        <w:trPr>
          <w:trHeight w:val="142"/>
        </w:trPr>
        <w:tc>
          <w:tcPr>
            <w:tcW w:w="880" w:type="dxa"/>
            <w:vAlign w:val="bottom"/>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2022_</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arrangements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Others</w:t>
            </w:r>
          </w:p>
        </w:tc>
        <w:tc>
          <w:tcPr>
            <w:tcW w:w="2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485,894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1,185,720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1,104,632</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Geographic Information</w:t>
            </w: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20" w:type="dxa"/>
            <w:vAlign w:val="bottom"/>
            <w:gridSpan w:val="2"/>
            <w:vMerge w:val="continue"/>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2022_</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Europe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168,666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142,541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204,364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216,598</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2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1,185,720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1,104,632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40" w:type="dxa"/>
            <w:vAlign w:val="bottom"/>
            <w:vMerge w:val="restart"/>
          </w:tcPr>
          <w:p>
            <w:pPr>
              <w:jc w:val="right"/>
              <w:ind w:right="197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59" w:right="7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jc w:val="both"/>
        <w:ind w:left="120" w:right="240" w:firstLine="440"/>
        <w:spacing w:after="0" w:line="301"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1500"/>
        <w:spacing w:after="0"/>
        <w:tabs>
          <w:tab w:leader="none" w:pos="22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17" w:lineRule="exact"/>
        <w:rPr>
          <w:sz w:val="20"/>
          <w:szCs w:val="20"/>
          <w:color w:val="auto"/>
        </w:rPr>
      </w:pPr>
    </w:p>
    <w:p>
      <w:pPr>
        <w:ind w:left="560" w:firstLine="952"/>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quoted prices included in Level 1, such as quoted prices for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1500"/>
        <w:spacing w:after="0"/>
        <w:tabs>
          <w:tab w:leader="none" w:pos="22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that is significant to the fair value of the assets or</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liabilities.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December 31, 2022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2022:</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4"/>
              </w:rPr>
              <w:t>As of December 31, 2022</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2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9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3</w:t>
            </w: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500" w:type="dxa"/>
            <w:vAlign w:val="bottom"/>
            <w:gridSpan w:val="3"/>
          </w:tcPr>
          <w:p>
            <w:pPr>
              <w:jc w:val="right"/>
              <w:ind w:right="340"/>
              <w:spacing w:after="0"/>
              <w:rPr>
                <w:sz w:val="20"/>
                <w:szCs w:val="20"/>
                <w:color w:val="auto"/>
              </w:rPr>
            </w:pPr>
            <w:r>
              <w:rPr>
                <w:rFonts w:ascii="Arial" w:cs="Arial" w:eastAsia="Arial" w:hAnsi="Arial"/>
                <w:sz w:val="18"/>
                <w:szCs w:val="18"/>
                <w:color w:val="auto"/>
              </w:rPr>
              <w:t>$151,082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164,563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3500" w:type="dxa"/>
            <w:vAlign w:val="bottom"/>
            <w:gridSpan w:val="3"/>
          </w:tcPr>
          <w:p>
            <w:pPr>
              <w:jc w:val="right"/>
              <w:ind w:right="340"/>
              <w:spacing w:after="0"/>
              <w:rPr>
                <w:sz w:val="20"/>
                <w:szCs w:val="20"/>
                <w:color w:val="auto"/>
              </w:rPr>
            </w:pPr>
            <w:r>
              <w:rPr>
                <w:rFonts w:ascii="Arial" w:cs="Arial" w:eastAsia="Arial" w:hAnsi="Arial"/>
                <w:sz w:val="18"/>
                <w:szCs w:val="18"/>
                <w:color w:val="auto"/>
              </w:rPr>
              <w:t>40,613</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2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15,145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Municipal bonds</w:t>
            </w:r>
          </w:p>
        </w:tc>
        <w:tc>
          <w:tcPr>
            <w:tcW w:w="24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12,901</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backed obligations</w:t>
            </w:r>
          </w:p>
        </w:tc>
        <w:tc>
          <w:tcPr>
            <w:tcW w:w="2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9,155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24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191,695</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201,764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393,459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2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44,662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24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(43,130)</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(23,063)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(23,063)</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191,695</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158,634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21,599</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371,928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80" w:type="dxa"/>
            <w:vAlign w:val="bottom"/>
            <w:vMerge w:val="restart"/>
          </w:tcPr>
          <w:p>
            <w:pPr>
              <w:jc w:val="right"/>
              <w:ind w:right="1090"/>
              <w:spacing w:after="0"/>
              <w:rPr>
                <w:sz w:val="20"/>
                <w:szCs w:val="20"/>
                <w:color w:val="auto"/>
              </w:rPr>
            </w:pPr>
            <w:r>
              <w:rPr>
                <w:rFonts w:ascii="Arial" w:cs="Arial" w:eastAsia="Arial" w:hAnsi="Arial"/>
                <w:sz w:val="18"/>
                <w:szCs w:val="18"/>
                <w:color w:val="auto"/>
              </w:rPr>
              <w:t>10</w:t>
            </w: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1"/>
              </w:rPr>
              <w:t>As of September 30, 2022</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580" w:type="dxa"/>
            <w:vAlign w:val="bottom"/>
          </w:tcPr>
          <w:p>
            <w:pPr>
              <w:spacing w:after="0"/>
              <w:rPr>
                <w:sz w:val="12"/>
                <w:szCs w:val="12"/>
                <w:color w:val="auto"/>
              </w:rPr>
            </w:pPr>
          </w:p>
        </w:tc>
        <w:tc>
          <w:tcPr>
            <w:tcW w:w="7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2"/>
              </w:rPr>
              <w:t>Level 3</w:t>
            </w:r>
          </w:p>
        </w:tc>
        <w:tc>
          <w:tcPr>
            <w:tcW w:w="80" w:type="dxa"/>
            <w:vAlign w:val="bottom"/>
          </w:tcPr>
          <w:p>
            <w:pPr>
              <w:spacing w:after="0"/>
              <w:rPr>
                <w:sz w:val="12"/>
                <w:szCs w:val="12"/>
                <w:color w:val="auto"/>
              </w:rPr>
            </w:pPr>
          </w:p>
        </w:tc>
        <w:tc>
          <w:tcPr>
            <w:tcW w:w="68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$266,362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$266,362</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168,308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168,308</w:t>
            </w: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U.S. government treasuries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40,229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40,229</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16,125</w:t>
            </w: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Supranational and sovereign debt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10,594</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10,594</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backed obligations</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9,347</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306,591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204,374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510,965</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46,015</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46,015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(48,901)</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(48,901)</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(23,390)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(23,390)</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306,591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155,473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22,625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484,689</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991"/>
        <w:spacing w:after="0" w:line="287" w:lineRule="auto"/>
        <w:rPr>
          <w:sz w:val="20"/>
          <w:szCs w:val="20"/>
          <w:color w:val="auto"/>
        </w:rPr>
      </w:pPr>
      <w:r>
        <w:rPr>
          <w:rFonts w:ascii="Arial" w:cs="Arial" w:eastAsia="Arial" w:hAnsi="Arial"/>
          <w:sz w:val="16"/>
          <w:szCs w:val="16"/>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months ended December 31 2022. Level 3 liabilities relate to certain acquisition-related liabilities, which were generally valued using a Monte-Carlo simulation model and based on estimates of potential pay-out scenarios, valued every quarter. These liabilities were included in both accrued expenses and other current liabilities and other noncurrent liabilities as of December 31 2022 and September 30, 2022. The decrease in Level 3 liabilities was immaterial and due to changes in the fair value recorded in the consolidated statement of income during the three months ended December 31 2022. Level 3 assets relate to equity investments, which were valued based on price changes in orderly transactions for similar private investments of the same issuer. The decrease in Level 3 assets is due to changes in the fair value which was recorded during the three months ended December 31 2022 in the consolidated statement of income.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other current liabilities, accrued personnel costs approximate their fair value because of the relatively short maturity of these items, for the fair value of the Senior Notes, see Note 13.</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Available-For-Sale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0"/>
                <w:szCs w:val="10"/>
                <w:color w:val="auto"/>
              </w:rPr>
            </w:pPr>
          </w:p>
        </w:tc>
        <w:tc>
          <w:tcPr>
            <w:tcW w:w="58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5"/>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20" w:type="dxa"/>
            <w:vAlign w:val="bottom"/>
          </w:tcPr>
          <w:p>
            <w:pPr>
              <w:spacing w:after="0"/>
              <w:rPr>
                <w:sz w:val="12"/>
                <w:szCs w:val="12"/>
                <w:color w:val="auto"/>
              </w:rPr>
            </w:pPr>
          </w:p>
        </w:tc>
        <w:tc>
          <w:tcPr>
            <w:tcW w:w="10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Gains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$151,082</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$151,082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Corporate bonds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177,938</w:t>
            </w: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13,375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44,707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4,094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Supranational and sovereign debt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16,864</w:t>
            </w: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1,719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13,869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tcPr>
          <w:p>
            <w:pPr>
              <w:jc w:val="right"/>
              <w:spacing w:after="0"/>
              <w:rPr>
                <w:sz w:val="20"/>
                <w:szCs w:val="20"/>
                <w:color w:val="auto"/>
              </w:rPr>
            </w:pPr>
            <w:r>
              <w:rPr>
                <w:rFonts w:ascii="Arial" w:cs="Arial" w:eastAsia="Arial" w:hAnsi="Arial"/>
                <w:sz w:val="18"/>
                <w:szCs w:val="18"/>
                <w:color w:val="auto"/>
              </w:rPr>
              <w:t>9,649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494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414,109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20,650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393,459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360" w:hanging="424"/>
        <w:spacing w:after="0" w:line="279"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December 31, 2022, $242,377 of securities were classified as short-term interest-bearing investments and $151,082 of securities were classified as cash and cash equivalents.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 of September 30, 2022</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0"/>
                <w:szCs w:val="10"/>
                <w:color w:val="auto"/>
              </w:rPr>
            </w:pPr>
          </w:p>
        </w:tc>
        <w:tc>
          <w:tcPr>
            <w:tcW w:w="58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5"/>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20" w:type="dxa"/>
            <w:vAlign w:val="bottom"/>
          </w:tcPr>
          <w:p>
            <w:pPr>
              <w:spacing w:after="0"/>
              <w:rPr>
                <w:sz w:val="12"/>
                <w:szCs w:val="12"/>
                <w:color w:val="auto"/>
              </w:rPr>
            </w:pPr>
          </w:p>
        </w:tc>
        <w:tc>
          <w:tcPr>
            <w:tcW w:w="10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Gains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$266,362</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$266,362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183,266</w:t>
            </w: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14,958</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168,308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44,658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4,429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40,229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17,759</w:t>
            </w: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1,634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16,125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11,882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10,594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tcPr>
          <w:p>
            <w:pPr>
              <w:jc w:val="right"/>
              <w:spacing w:after="0"/>
              <w:rPr>
                <w:sz w:val="20"/>
                <w:szCs w:val="20"/>
                <w:color w:val="auto"/>
              </w:rPr>
            </w:pPr>
            <w:r>
              <w:rPr>
                <w:rFonts w:ascii="Arial" w:cs="Arial" w:eastAsia="Arial" w:hAnsi="Arial"/>
                <w:sz w:val="18"/>
                <w:szCs w:val="18"/>
                <w:color w:val="auto"/>
              </w:rPr>
              <w:t>9,835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488</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9,347</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533,762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22,797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510,965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consolidated balance sheets. As of September 30, 2022, $244,603 of securities were classified as short-term interest-bearing investments and $266,362 of securities were classified as cash and cash equivalents.</w:t>
      </w:r>
    </w:p>
    <w:p>
      <w:pPr>
        <w:spacing w:after="0" w:line="187"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As of December 31, 2022, the unrealized losses attributable to the Company’s available-for-sale securities were primarily due to credit spreads and interest rate movements. The majority of the securities that have unrealized losses as of December 31, 2022 also had immaterial unrealized losses as of December 31, 2021. The Company assessed whether such unrealized losses for the investments in its portfolio were caused by expected credit losses. Based on this assessment, the Company did not recognize any credit losses in the three months ended December 31, 2022 and 2021. Realized gains and losses on short-term interest-bearing investments are included in earnings and are determined based on specific identification method.</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320" w:top="459" w:right="5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As of December 31, 2022, the Company’s available-for-sale securities had the following maturity dates: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174,712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1 to 2 years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62,713</w:t>
            </w: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100,714</w:t>
            </w:r>
          </w:p>
        </w:tc>
        <w:tc>
          <w:tcPr>
            <w:tcW w:w="4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3 to 4 years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55,320</w:t>
            </w: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6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393,459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left="120" w:right="40" w:firstLine="991"/>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as of December 31, 2022, there is no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The Company has limited its credit risk by entering into derivative transactions exclusively with investment-grade rated financial institutions and monitors the creditworthiness of these financial institutions on an ongoing basis.</w:t>
      </w:r>
    </w:p>
    <w:p>
      <w:pPr>
        <w:spacing w:after="0" w:line="166"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The Company classifies cash flows from its derivative transactions as cash flows from operating activities in the consolidated statements of cash flows.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table below presents the total volume or notional amounts of the Company’s derivative instruments as of December 31, 2022.</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Notional values are in U.S. dollars and are translated and calculated based on forward rates as of December 31, 2022 for forward contracts.</w:t>
      </w:r>
    </w:p>
    <w:p>
      <w:pPr>
        <w:spacing w:after="0" w:line="24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1,816,234</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340" w:right="140" w:hanging="224"/>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The Company records all derivative instruments on the consolidated balance sheets at fair value. For further information, please see Note 5 to the consolidated financial statements. The fair value of the open foreign exchange contracts recorded as an asset or a liability by the Company on its consolidated balance sheets as of December 31, 2022 and September 30, 2022, is as follows: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8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486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(27,309)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(35,659)</w:t>
            </w: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(11,495)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(16,413)</w:t>
            </w:r>
          </w:p>
        </w:tc>
      </w:tr>
      <w:tr>
        <w:trPr>
          <w:trHeight w:val="223"/>
        </w:trPr>
        <w:tc>
          <w:tcPr>
            <w:tcW w:w="4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(38,301)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(50,846)</w:t>
            </w:r>
          </w:p>
        </w:tc>
        <w:tc>
          <w:tcPr>
            <w:tcW w:w="100" w:type="dxa"/>
            <w:vAlign w:val="bottom"/>
          </w:tcPr>
          <w:p>
            <w:pPr>
              <w:spacing w:after="0"/>
              <w:rPr>
                <w:sz w:val="19"/>
                <w:szCs w:val="19"/>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2,343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10,808</w:t>
            </w: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(8,863)</w:t>
            </w:r>
          </w:p>
        </w:tc>
      </w:tr>
      <w:tr>
        <w:trPr>
          <w:trHeight w:val="230"/>
        </w:trPr>
        <w:tc>
          <w:tcPr>
            <w:tcW w:w="4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0"/>
                <w:szCs w:val="20"/>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3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(43,130)</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(48,901)</w:t>
            </w:r>
          </w:p>
        </w:tc>
      </w:tr>
      <w:tr>
        <w:trPr>
          <w:trHeight w:val="20"/>
        </w:trPr>
        <w:tc>
          <w:tcPr>
            <w:tcW w:w="4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120" w:right="80" w:firstLine="991"/>
        <w:spacing w:after="0" w:line="255" w:lineRule="auto"/>
        <w:rPr>
          <w:sz w:val="20"/>
          <w:szCs w:val="20"/>
          <w:color w:val="auto"/>
        </w:rPr>
      </w:pPr>
      <w:r>
        <w:rPr>
          <w:rFonts w:ascii="Arial" w:cs="Arial" w:eastAsia="Arial" w:hAnsi="Arial"/>
          <w:sz w:val="18"/>
          <w:szCs w:val="18"/>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December 31, 2022 is scheduled to mature within the next 12 months.</w:t>
      </w:r>
    </w:p>
    <w:p>
      <w:pPr>
        <w:spacing w:after="0" w:line="192" w:lineRule="exact"/>
        <w:rPr>
          <w:sz w:val="20"/>
          <w:szCs w:val="20"/>
          <w:color w:val="auto"/>
        </w:rPr>
      </w:pPr>
    </w:p>
    <w:p>
      <w:pPr>
        <w:ind w:left="120" w:right="60" w:firstLine="991"/>
        <w:spacing w:after="0" w:line="273" w:lineRule="auto"/>
        <w:rPr>
          <w:sz w:val="20"/>
          <w:szCs w:val="20"/>
          <w:color w:val="auto"/>
        </w:rPr>
      </w:pPr>
      <w:r>
        <w:rPr>
          <w:rFonts w:ascii="Arial" w:cs="Arial" w:eastAsia="Arial" w:hAnsi="Arial"/>
          <w:sz w:val="17"/>
          <w:szCs w:val="17"/>
          <w:color w:val="auto"/>
        </w:rPr>
        <w:t>The effective portion of the gain or loss on the derivative instruments is initially recorded as a component of other comprehensive income,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is recognized immediately in interest and other expense, net.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three months ended December 31, 2022 and 2021, respectively, which partially offsets the foreign currency impact from the underlying exposures, is summarized as follows:</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9"/>
              </w:rPr>
              <w:t>(Losses) Gains Reclassified from</w:t>
            </w:r>
          </w:p>
        </w:tc>
      </w:tr>
      <w:tr>
        <w:trPr>
          <w:trHeight w:val="148"/>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accumulated Other Comprehensive</w:t>
            </w:r>
          </w:p>
        </w:tc>
      </w:tr>
      <w:tr>
        <w:trPr>
          <w:trHeight w:val="162"/>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Loss (Effective Portion)</w:t>
            </w:r>
          </w:p>
        </w:tc>
      </w:tr>
      <w:tr>
        <w:trPr>
          <w:trHeight w:val="149"/>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4"/>
          </w:tcPr>
          <w:p>
            <w:pPr>
              <w:jc w:val="center"/>
              <w:ind w:left="400"/>
              <w:spacing w:after="0" w:line="149" w:lineRule="exact"/>
              <w:rPr>
                <w:sz w:val="20"/>
                <w:szCs w:val="20"/>
                <w:color w:val="auto"/>
              </w:rPr>
            </w:pPr>
            <w:r>
              <w:rPr>
                <w:rFonts w:ascii="Arial" w:cs="Arial" w:eastAsia="Arial" w:hAnsi="Arial"/>
                <w:sz w:val="14"/>
                <w:szCs w:val="14"/>
                <w:b w:val="1"/>
                <w:bCs w:val="1"/>
                <w:color w:val="auto"/>
                <w:w w:val="91"/>
              </w:rPr>
              <w:t>Three months ended</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38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CCEEFF"/>
            </w:tcBorders>
          </w:tcPr>
          <w:p>
            <w:pPr>
              <w:spacing w:after="0"/>
              <w:rPr>
                <w:sz w:val="12"/>
                <w:szCs w:val="12"/>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815</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w:t>
            </w: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4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activity related to the changes in net unrealized (losses) gains on cash flow hedges recorded in accumulated other comprehensive loss, net of tax, is as follows:</w:t>
      </w:r>
    </w:p>
    <w:p>
      <w:pPr>
        <w:spacing w:after="0" w:line="189"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Three months ended</w:t>
      </w:r>
    </w:p>
    <w:p>
      <w:pPr>
        <w:jc w:val="center"/>
        <w:ind w:left="65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 gains on cash flow hedges, net of tax, beginning of period</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$(46,580)</w:t>
            </w:r>
          </w:p>
        </w:tc>
        <w:tc>
          <w:tcPr>
            <w:tcW w:w="3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$13,773</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1,367</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4,485</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losses (gains) into earnings, net of tax</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9,826</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Net unrealized (losses) gains on cash flow hedges, net of tax, end of period</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(35,387</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16,808</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Net gains from cash flow hedges recognized in other comprehensive income were $1,387 and $4,608 , or $1,367 and $4,485 net of taxes, during the three months ended December 31, 2022 and 2021, respectively.</w:t>
      </w:r>
    </w:p>
    <w:p>
      <w:pPr>
        <w:spacing w:after="0" w:line="170"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Of the net unrealized losses related to derivatives designated as cash flow hedges and recorded in accumulated other comprehensive loss as of December 31, 2022, a net loss of $25,624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4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months ended December 31, 2022 and 2021, was not material.</w:t>
      </w:r>
    </w:p>
    <w:p>
      <w:pPr>
        <w:spacing w:after="0" w:line="170"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months ended December 31, 2022 and 2021, respectively, which partially offsets the foreign currency impact from the underlying exposure, is summarized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89"/>
              </w:rPr>
              <w:t>(Losses) Gains</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9"/>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$ 1,830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expense, net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(11,408)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6,760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0" w:type="dxa"/>
            <w:vAlign w:val="bottom"/>
            <w:gridSpan w:val="2"/>
          </w:tcPr>
          <w:p>
            <w:pPr>
              <w:ind w:left="440"/>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134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0"/>
                <w:szCs w:val="10"/>
                <w:color w:val="auto"/>
              </w:rPr>
            </w:pPr>
          </w:p>
        </w:tc>
        <w:tc>
          <w:tcPr>
            <w:tcW w:w="8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192,389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center"/>
              <w:ind w:right="22"/>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208,230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160" w:type="dxa"/>
            <w:vAlign w:val="bottom"/>
          </w:tcPr>
          <w:p>
            <w:pPr>
              <w:spacing w:after="0"/>
              <w:rPr>
                <w:sz w:val="18"/>
                <w:szCs w:val="18"/>
                <w:color w:val="auto"/>
              </w:rPr>
            </w:pPr>
          </w:p>
        </w:tc>
        <w:tc>
          <w:tcPr>
            <w:tcW w:w="1080" w:type="dxa"/>
            <w:vAlign w:val="bottom"/>
            <w:gridSpan w:val="4"/>
          </w:tcPr>
          <w:p>
            <w:pPr>
              <w:jc w:val="right"/>
              <w:ind w:right="328"/>
              <w:spacing w:after="0"/>
              <w:rPr>
                <w:sz w:val="20"/>
                <w:szCs w:val="20"/>
                <w:color w:val="auto"/>
              </w:rPr>
            </w:pPr>
            <w:r>
              <w:rPr>
                <w:rFonts w:ascii="Arial" w:cs="Arial" w:eastAsia="Arial" w:hAnsi="Arial"/>
                <w:sz w:val="18"/>
                <w:szCs w:val="18"/>
                <w:color w:val="auto"/>
              </w:rPr>
              <w:t>62,373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88,174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47,635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47,735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Taxes payable</w:t>
            </w:r>
          </w:p>
        </w:tc>
        <w:tc>
          <w:tcPr>
            <w:tcW w:w="160" w:type="dxa"/>
            <w:vAlign w:val="bottom"/>
          </w:tcPr>
          <w:p>
            <w:pPr>
              <w:spacing w:after="0"/>
              <w:rPr>
                <w:sz w:val="18"/>
                <w:szCs w:val="18"/>
                <w:color w:val="auto"/>
              </w:rPr>
            </w:pPr>
          </w:p>
        </w:tc>
        <w:tc>
          <w:tcPr>
            <w:tcW w:w="1080" w:type="dxa"/>
            <w:vAlign w:val="bottom"/>
            <w:gridSpan w:val="4"/>
          </w:tcPr>
          <w:p>
            <w:pPr>
              <w:jc w:val="right"/>
              <w:ind w:right="328"/>
              <w:spacing w:after="0"/>
              <w:rPr>
                <w:sz w:val="20"/>
                <w:szCs w:val="20"/>
                <w:color w:val="auto"/>
              </w:rPr>
            </w:pPr>
            <w:r>
              <w:rPr>
                <w:rFonts w:ascii="Arial" w:cs="Arial" w:eastAsia="Arial" w:hAnsi="Arial"/>
                <w:sz w:val="18"/>
                <w:szCs w:val="18"/>
                <w:color w:val="auto"/>
              </w:rPr>
              <w:t>37,026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34,204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34,481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44,522</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189,475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189,791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563,379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ind w:right="2"/>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612,656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Restructuring charges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December 31, 2022, the Company approved a restructuring, primarily associated with alignment of the Company’s workforce around its global site strategy, as well as the optimization of the Company’s hybrid work model. During the three months ended December 31, 2022 the Company incurred restructuring charges of $24,536 in connection with this restructuring, the majority of these charges are expected to be paid during fiscal year 2023.</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44"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Three months ended</w:t>
      </w:r>
    </w:p>
    <w:p>
      <w:pPr>
        <w:jc w:val="center"/>
        <w:ind w:left="66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2520" w:type="dxa"/>
            <w:vAlign w:val="bottom"/>
            <w:tcBorders>
              <w:bottom w:val="single" w:sz="8" w:color="CCEEFF"/>
            </w:tcBorders>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$ 32,212</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$29,839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Deferred</w:t>
            </w:r>
          </w:p>
        </w:tc>
        <w:tc>
          <w:tcPr>
            <w:tcW w:w="4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(16,973)</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$ 15,239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33,982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180" w:type="dxa"/>
            <w:vAlign w:val="bottom"/>
            <w:vMerge w:val="restart"/>
          </w:tcPr>
          <w:p>
            <w:pPr>
              <w:jc w:val="right"/>
              <w:ind w:right="2330"/>
              <w:spacing w:after="0"/>
              <w:rPr>
                <w:sz w:val="20"/>
                <w:szCs w:val="20"/>
                <w:color w:val="auto"/>
              </w:rPr>
            </w:pPr>
            <w:r>
              <w:rPr>
                <w:rFonts w:ascii="Arial" w:cs="Arial" w:eastAsia="Arial" w:hAnsi="Arial"/>
                <w:sz w:val="18"/>
                <w:szCs w:val="18"/>
                <w:color w:val="auto"/>
              </w:rPr>
              <w:t>16</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2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44"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Three months ended</w:t>
      </w:r>
    </w:p>
    <w:p>
      <w:pPr>
        <w:jc w:val="center"/>
        <w:ind w:left="63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Foreign taxes (1)</w:t>
            </w: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r>
      <w:tr>
        <w:trPr>
          <w:trHeight w:val="27"/>
        </w:trPr>
        <w:tc>
          <w:tcPr>
            <w:tcW w:w="6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r>
      <w:tr>
        <w:trPr>
          <w:trHeight w:val="20"/>
        </w:trPr>
        <w:tc>
          <w:tcPr>
            <w:tcW w:w="6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820" w:hanging="264"/>
        <w:spacing w:after="0"/>
        <w:tabs>
          <w:tab w:leader="none" w:pos="8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Foreign taxes for the three months ended December 31, 2022:</w:t>
      </w:r>
    </w:p>
    <w:p>
      <w:pPr>
        <w:spacing w:after="0" w:line="117" w:lineRule="exact"/>
        <w:rPr>
          <w:sz w:val="20"/>
          <w:szCs w:val="20"/>
          <w:color w:val="auto"/>
        </w:rPr>
      </w:pPr>
    </w:p>
    <w:p>
      <w:pPr>
        <w:ind w:left="560" w:right="240" w:firstLine="952"/>
        <w:spacing w:after="0" w:line="277" w:lineRule="auto"/>
        <w:rPr>
          <w:sz w:val="20"/>
          <w:szCs w:val="20"/>
          <w:color w:val="auto"/>
        </w:rPr>
      </w:pPr>
      <w:r>
        <w:rPr>
          <w:rFonts w:ascii="Arial" w:cs="Arial" w:eastAsia="Arial" w:hAnsi="Arial"/>
          <w:sz w:val="18"/>
          <w:szCs w:val="18"/>
          <w:color w:val="auto"/>
        </w:rPr>
        <w:t>Foreign taxes in the three months ended December 31, 2022 included a recognition of tax benefit of $8,566 resulting from internal structural changes in certain jurisdictions in which the Company operates.</w:t>
      </w:r>
    </w:p>
    <w:p>
      <w:pPr>
        <w:spacing w:after="0" w:line="62" w:lineRule="exact"/>
        <w:rPr>
          <w:sz w:val="20"/>
          <w:szCs w:val="20"/>
          <w:color w:val="auto"/>
        </w:rPr>
      </w:pPr>
    </w:p>
    <w:p>
      <w:pPr>
        <w:ind w:left="560" w:right="220" w:firstLine="952"/>
        <w:spacing w:after="0" w:line="342" w:lineRule="auto"/>
        <w:rPr>
          <w:sz w:val="20"/>
          <w:szCs w:val="20"/>
          <w:color w:val="auto"/>
        </w:rPr>
      </w:pPr>
      <w:r>
        <w:rPr>
          <w:rFonts w:ascii="Arial" w:cs="Arial" w:eastAsia="Arial" w:hAnsi="Arial"/>
          <w:sz w:val="16"/>
          <w:szCs w:val="16"/>
          <w:color w:val="auto"/>
        </w:rPr>
        <w:t>Foreign taxes in the three months ended December 31, 2022 also included a benefit of $3,747 relating to release of gross unrecognized tax benefits due to settlements of tax audits and expiration of the periods set forth in statutes of limitations in certain jurisdictions.</w:t>
      </w:r>
    </w:p>
    <w:p>
      <w:pPr>
        <w:spacing w:after="0" w:line="16" w:lineRule="exact"/>
        <w:rPr>
          <w:sz w:val="20"/>
          <w:szCs w:val="20"/>
          <w:color w:val="auto"/>
        </w:rPr>
      </w:pPr>
    </w:p>
    <w:p>
      <w:pPr>
        <w:ind w:left="560" w:firstLine="952"/>
        <w:spacing w:after="0" w:line="277" w:lineRule="auto"/>
        <w:rPr>
          <w:sz w:val="20"/>
          <w:szCs w:val="20"/>
          <w:color w:val="auto"/>
        </w:rPr>
      </w:pPr>
      <w:r>
        <w:rPr>
          <w:rFonts w:ascii="Arial" w:cs="Arial" w:eastAsia="Arial" w:hAnsi="Arial"/>
          <w:sz w:val="18"/>
          <w:szCs w:val="18"/>
          <w:color w:val="auto"/>
        </w:rPr>
        <w:t>Foreign taxes in the three months ended December 31, 2022 also included a benefit of $3,666 relating to changes in tax regulations in certain jurisdictions.</w:t>
      </w:r>
    </w:p>
    <w:p>
      <w:pPr>
        <w:spacing w:after="0" w:line="62" w:lineRule="exact"/>
        <w:rPr>
          <w:sz w:val="20"/>
          <w:szCs w:val="20"/>
          <w:color w:val="auto"/>
        </w:rPr>
      </w:pPr>
    </w:p>
    <w:p>
      <w:pPr>
        <w:ind w:left="560" w:right="180" w:firstLine="952"/>
        <w:spacing w:after="0" w:line="259" w:lineRule="auto"/>
        <w:rPr>
          <w:sz w:val="20"/>
          <w:szCs w:val="20"/>
          <w:color w:val="auto"/>
        </w:rPr>
      </w:pPr>
      <w:r>
        <w:rPr>
          <w:rFonts w:ascii="Arial" w:cs="Arial" w:eastAsia="Arial" w:hAnsi="Arial"/>
          <w:sz w:val="18"/>
          <w:szCs w:val="18"/>
          <w:color w:val="auto"/>
        </w:rPr>
        <w:t>As previously disclosed in the Company’s Annual Report on Form 20-F for fiscal year 2022, our primary Israeli subsidiary has elected, during fiscal year 2022, to pay the reduced corporate tax on all of its “previously exempt earnings” based on a temporary order of the Israeli budget law. Following this election, payment of this tax, was made during the three months ended December 31, 2022. The impact of this election on income taxes was already reflected in prior periods.</w:t>
      </w:r>
    </w:p>
    <w:p>
      <w:pPr>
        <w:spacing w:after="0" w:line="295" w:lineRule="exact"/>
        <w:rPr>
          <w:sz w:val="20"/>
          <w:szCs w:val="20"/>
          <w:color w:val="auto"/>
        </w:rPr>
      </w:pPr>
    </w:p>
    <w:p>
      <w:pPr>
        <w:ind w:left="820" w:hanging="264"/>
        <w:spacing w:after="0"/>
        <w:tabs>
          <w:tab w:leader="none" w:pos="8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Foreign taxes for the three months ended December 31, 2021:</w:t>
      </w:r>
    </w:p>
    <w:p>
      <w:pPr>
        <w:spacing w:after="0" w:line="117" w:lineRule="exact"/>
        <w:rPr>
          <w:sz w:val="20"/>
          <w:szCs w:val="20"/>
          <w:color w:val="auto"/>
        </w:rPr>
      </w:pPr>
    </w:p>
    <w:p>
      <w:pPr>
        <w:ind w:left="560" w:right="60" w:firstLine="952"/>
        <w:spacing w:after="0" w:line="277" w:lineRule="auto"/>
        <w:rPr>
          <w:sz w:val="20"/>
          <w:szCs w:val="20"/>
          <w:color w:val="auto"/>
        </w:rPr>
      </w:pPr>
      <w:r>
        <w:rPr>
          <w:rFonts w:ascii="Arial" w:cs="Arial" w:eastAsia="Arial" w:hAnsi="Arial"/>
          <w:sz w:val="18"/>
          <w:szCs w:val="18"/>
          <w:color w:val="auto"/>
        </w:rPr>
        <w:t>Foreign taxes in the three months ended December 31, 2021 included an expense of $3,193 for the estimated additional tax charge as a result of the gain from sale of a business, see also Note 3.</w:t>
      </w:r>
    </w:p>
    <w:p>
      <w:pPr>
        <w:spacing w:after="0" w:line="62" w:lineRule="exact"/>
        <w:rPr>
          <w:sz w:val="20"/>
          <w:szCs w:val="20"/>
          <w:color w:val="auto"/>
        </w:rPr>
      </w:pPr>
    </w:p>
    <w:p>
      <w:pPr>
        <w:ind w:left="560" w:right="220" w:firstLine="952"/>
        <w:spacing w:after="0" w:line="342" w:lineRule="auto"/>
        <w:rPr>
          <w:sz w:val="20"/>
          <w:szCs w:val="20"/>
          <w:color w:val="auto"/>
        </w:rPr>
      </w:pPr>
      <w:r>
        <w:rPr>
          <w:rFonts w:ascii="Arial" w:cs="Arial" w:eastAsia="Arial" w:hAnsi="Arial"/>
          <w:sz w:val="16"/>
          <w:szCs w:val="16"/>
          <w:color w:val="auto"/>
        </w:rPr>
        <w:t>Foreign taxes in the three months ended December 31, 2021 also included a benefit of $3,263 relating to release of gross unrecognized tax benefits due to settlements of tax audits and expiration of the periods set forth in statutes of limitations in certain jurisdictions.</w:t>
      </w:r>
    </w:p>
    <w:p>
      <w:pPr>
        <w:spacing w:after="0" w:line="124"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As of December 31, 2022, deferred tax assets of $59,171, derived primarily from tax credits, net capital and operating loss carry forwards related to some of the Company’s subsidiaries, were offset by valuation allowances due to the uncertainty of realizing tax benefit for such credits and losses.</w:t>
      </w:r>
    </w:p>
    <w:p>
      <w:pPr>
        <w:spacing w:after="0" w:line="12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$209,763 as of December 31, 2022, all of which would affect the effective tax rate if realized.</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As of December 31, 2022, the Company had accrued $35,733 in income taxes payable for interest and penalties relating to unrecognized tax benefits.</w:t>
      </w:r>
    </w:p>
    <w:p>
      <w:pPr>
        <w:spacing w:after="0" w:line="170"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The Company is currently under tax audit in several jurisdictions for the tax years 2007 and onwards. Timing of the resolution of audits is highly uncertain and therefore, as of December 31, 2022, the Company cannot estimate the change in unrecognized tax benefits resulting from these audits within the next 12 months.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Three months ended</w:t>
      </w:r>
    </w:p>
    <w:p>
      <w:pPr>
        <w:jc w:val="center"/>
        <w:ind w:left="64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Net income attributable to Amdocs Limited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129,667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133,602</w:t>
            </w:r>
          </w:p>
        </w:tc>
        <w:tc>
          <w:tcPr>
            <w:tcW w:w="0" w:type="dxa"/>
            <w:vAlign w:val="bottom"/>
          </w:tcPr>
          <w:p>
            <w:pPr>
              <w:spacing w:after="0"/>
              <w:rPr>
                <w:sz w:val="1"/>
                <w:szCs w:val="1"/>
                <w:color w:val="auto"/>
              </w:rPr>
            </w:pPr>
          </w:p>
        </w:tc>
      </w:tr>
      <w:tr>
        <w:trPr>
          <w:trHeight w:val="202"/>
        </w:trPr>
        <w:tc>
          <w:tcPr>
            <w:tcW w:w="6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income attributable to Amdocs Limited and dividends attributable to</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participating restricted stock</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127,653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Undistributed income allocated to participating restricted stock</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Undistributed income reallocated to participating restricted stock</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127,662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131,874</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120,652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124,502</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Weighted average number of participating restricted stock</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(1,874)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118,778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122,885</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and restricted stock units granted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119,626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123,687</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common share attributable to Amdocs Limited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 attributable to Amdocs Limited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For the three months ended December 31, 2022 and 2021, 12 and 26 shares, respectively, on a weighted average basis, were attributable to antidilutive outstanding stock options and restricted stock units. Shares attributable to antidilutive outstanding stock options and restricted stock units were not included in the calculation of diluted earnings per share.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Repurchase of Shares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From time to time, the Company’s Board of Directors can adopt share repurchase plans authorizing the repurchase of the Company’s outstanding ordinary shares. On May 12, 2021, the Company’s Board of Directors adopted a share repurchase plan for the repurchase of up to $1.0 billion of the Company’s outstanding ordinary shares with no expiration date. The May 2021 plan permits the Company to purchase our ordinary shares in the open market or through privately negotiated transactions at times and prices that the Company considers appropriate. In the three months ended December 31, 2022, the Company repurchased 1,183 ordinary shares at an average price of $84.53 per share (excluding broker and transaction fees). As of December 31, 2022, the Company had remaining authority to repurchase up to $390,106 of its outstanding ordinary shares under the May 2021 plan.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Financing Arrangements</w:t>
      </w:r>
    </w:p>
    <w:p>
      <w:pPr>
        <w:spacing w:after="0" w:line="121"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In December 2011, the Company entered into an unsecured $500,000 five-year revolving credit facility with a syndicate of banks (the “Revolving Credit Facility”). In December 2014, December 2017 and March 2021, the Revolving Credit Facility was amended and restated to, among other things, extend the maturity date of the facility to December 2019, December 2022 and March 2026, respectively. As of December 31, 2022, the Company was in compliance with the financial covenants and had no outstanding borrowings under the Revolving Credit Facility.</w:t>
      </w:r>
    </w:p>
    <w:p>
      <w:pPr>
        <w:spacing w:after="0" w:line="17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total interest expense recognized in connection with the Senior Notes for the three months ended December 31, 2022 was $4,309. The accrued interest on the Senior Notes is included in accrued expenses and other current liabilities and was immaterial as of December 31, 2022. As of December 31, 2022, the noncurrent outstanding principal portion was $650,000.</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total estimated fair value of the Senior Notes as of December 31, 2022 was $529,477. The fair value was determined based on observable data, such as quoted prices for similar liabilities in active markets of Senior Notes as of December 31, 2022 and is deemed a Level 2 liability within the fair value measurement framework.</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of December 31, 2022, the Company had additional uncommitted lines of credit available for general corporate and other specific purposes and had outstanding letters of credit and bank guarantees from various banks totaling $77,603. These were supported by a combination of the uncommitted lines of credit that the Company maintains with various banks.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Equity-based Compensation</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January 1998, the Company adopted the 1998 Stock Option and Incentive Plan, or Equity Incentive Plan, which provides for the grant of restricted stock awards, restricted stock units and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2020, the maximum number of ordinary shares authorized to be granted under the Equity Incentive Plan was increased from 67,550 to 70,550. Awards granted under the Equity Incentive Plan generally vest over a period of three to four years subject to service based conditions or a combination of service and performance-based conditions and stock options have a term of ten years. Also, in accordance with the Equity Incentive Plan, options were issued at or above the market price at the time of the grant.</w:t>
      </w:r>
    </w:p>
    <w:p>
      <w:pPr>
        <w:spacing w:after="0" w:line="17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On November 8, 2022, the Company’s Board of Directors adopted, subject to shareholder approval, the Amdocs Limited 2023 Employee Share Purchase Plan (the “ESPP”). The ESPP was subsequently approved by our shareholders at the annual general meeting of shareholders. The approved number of shares that may be issued under the ESPP will not exceed in the aggregate 2,400 ordinary shares. Under its terms, the ESPP becomes effective upon the filing of a Form S-8 Registration Statement with the U.S. Securities and Exchange Commission.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Under the ESPP, eligible employees will have the right to purchase ordinary shares at the end of each purchase period based on their accumulated payroll deductions during the purchase period of a specified percentage of eligible compensation up to 10% (subject to a limitation to accrue the right to purchase ordinary shares up to twenty-five thousand dollars in any calendar year). Unless determined otherwise, each purchase period will be six months in duration, and the purchase price per ordinary share will equal the lesser of 85% of the fair market value of our ordinary shares at either the beginning of the purchase period or the end of the purchase period. The Company expects the first purchase period under the ESPP to commence during fiscal year 2023.</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During the three months ended December 31, 2022, the Company granted 681 restricted stock and 23 restricted stock units. The weighted average fair values associated with these grants were $77.83 per restricted stock and $80.75 per restricted stock unit.</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Equity-based payments to employees, including grants of employee stock options, restricted stock and restricted stock units, are recognized in the statements of income based on their fair values.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Employee equity-based compensation pre-tax expense for the three months ended December 31, 2022 and 2021 was as follows:</w:t>
      </w:r>
    </w:p>
    <w:p>
      <w:pPr>
        <w:spacing w:after="0" w:line="24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Three months ended</w:t>
      </w:r>
    </w:p>
    <w:p>
      <w:pPr>
        <w:jc w:val="center"/>
        <w:ind w:left="66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1,484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1,223</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8,371</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19,490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16,741</w:t>
            </w:r>
          </w:p>
        </w:tc>
        <w:tc>
          <w:tcPr>
            <w:tcW w:w="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The Company recognizes compensation costs for its equity incentive grants using the graded vesting attribution method. As of December 31, 2022, there was $89,298 of unrecognized compensation expense related to unvested stock options, unvested restricted stock and unvested restricted stock units which is expected to be recognized over a weighted average period of approximately one year, based on the vesting periods of the grants.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Dividends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Board of Directors declared the following dividends during the three months ended December 31, 2022 and 2021:</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3200" w:type="dxa"/>
            <w:vAlign w:val="bottom"/>
            <w:vMerge w:val="restart"/>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18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Record Date</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13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Ordinary Share</w:t>
            </w:r>
          </w:p>
        </w:tc>
        <w:tc>
          <w:tcPr>
            <w:tcW w:w="18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November 8, 2022</w:t>
            </w: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0.395</w:t>
            </w:r>
          </w:p>
        </w:tc>
        <w:tc>
          <w:tcPr>
            <w:tcW w:w="4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December 30, 2022</w:t>
            </w: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47,635</w:t>
            </w:r>
          </w:p>
        </w:tc>
        <w:tc>
          <w:tcPr>
            <w:tcW w:w="4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January 27, 2023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November 2, 2021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0.36</w:t>
            </w:r>
          </w:p>
        </w:tc>
        <w:tc>
          <w:tcPr>
            <w:tcW w:w="1880" w:type="dxa"/>
            <w:vAlign w:val="bottom"/>
            <w:gridSpan w:val="2"/>
          </w:tcPr>
          <w:p>
            <w:pPr>
              <w:ind w:left="60"/>
              <w:spacing w:after="0"/>
              <w:rPr>
                <w:sz w:val="20"/>
                <w:szCs w:val="20"/>
                <w:color w:val="auto"/>
              </w:rPr>
            </w:pPr>
            <w:r>
              <w:rPr>
                <w:rFonts w:ascii="Arial" w:cs="Arial" w:eastAsia="Arial" w:hAnsi="Arial"/>
                <w:sz w:val="18"/>
                <w:szCs w:val="18"/>
                <w:color w:val="auto"/>
              </w:rPr>
              <w:t>December 31, 2021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44,410</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w w:val="90"/>
              </w:rPr>
              <w:t>January 28, 2022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amounts payable as a result of the November 8, 2022 and November 2, 2021 declarations were included in accrued expenses and other current liabilities as of December 31, 2022 and 2021, respectively.</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January 31, 2023 the Company’s Board of Directors approved the next quarterly dividend payment and set March 31, 2023 as the record date for determining the shareholders entitled to receive the dividend, which is payable on April 28, 2023. On January 27, 2023, at the annual general meeting of shareholders, the Company’s shareholders approved an increase in the rate of the quarterly cash dividend from $0.395 per share to $0.435 per share. As a result, the April 28, 2023 cash dividend will be paid at the increased rate of $0.435 per share.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560" w:right="9220" w:hanging="444"/>
        <w:spacing w:after="0" w:line="425" w:lineRule="auto"/>
        <w:tabs>
          <w:tab w:leader="none" w:pos="38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i w:val="1"/>
          <w:iCs w:val="1"/>
          <w:color w:val="auto"/>
        </w:rPr>
        <w:t>Legal Proceedings</w:t>
      </w:r>
    </w:p>
    <w:p>
      <w:pPr>
        <w:ind w:left="120" w:right="40" w:firstLine="991"/>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While the Company has achieved positive results in many of the procedures, a number of the procedures are still ongoing. The Company is unable to reasonably estimate the ultimate outcome of the above dispute.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85"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the effects of macro-economic conditions, prevailing level of macro-economic, business, and operational uncertainty, including as a result of geopolitical events or other global or regional events such as the COVID-19 pandemic, as well as the current inflationary environment, and the effects of these conditions on the Company’s customers’ businesses and levels of business activity; changes in competition in markets in which we operate; changes in the demand for our products and services; the loss of a significant customer; consolidation within the industries in which our customers operate; our ability to derive revenues in the future from our current research and development efforts;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and other important factors and other risks, please read the information set forth under the caption “Risk Factors” in our Annual Report on Form 20-F for fiscal year 2022, filed on December 13, 2022 with the U.S. Securities and Exchange Commission.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Amdocs is a leading provider of software and services for approximately 400 communications, Pay TV, entertainment and media industry and other service providers in developed countries and emerging markets. Amdocs also holds relationships with hundreds of content owners and distributors around the globe. Our software and services, which we develop, implement and manage, are designed to meet the business imperatives of our customers, create value for society and make our increasingly connected world more empowering by unlocking our customers’ innovative potential and enabling them to transform their boldest ideas into reality in order to provide high quality experiences. Our offerings enable service providers to efficiently and cost-effectively engage their customers, introduce new products and services, automate service and network operations, monetize connectivity and content, support new business models and generally enhance their understanding of their customers.</w:t>
      </w:r>
    </w:p>
    <w:p>
      <w:pPr>
        <w:spacing w:after="0" w:line="166"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We believe the demand for our solutions is driven by our customers’ continued migration to the cloud, deployment of 5G networks and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offerings, grouped by technology capabilities such as commerce and care, catalog management, monetization, subscription management, IoT, AI, service and network automation and network deployment and optimization, are designed to meet the challenges facing our customers as they roll out 5G networks, migrate to the cloud and transform into digital service providers within the framework of a hybrid IT environment, which requires them to rapidly introduce new cloud-native applications while still operating legacy systems. Our software is designed to enable modular expansion as a service provider evolves, and its microservices-based architecture enables the rapid deployment of complex applications as suites of independently deployable services that can be frequently upgraded via DevSecOps. Our comprehensive line of services is designed to address every stage of a service provider’s lifecycle. They include consulting, delivery, quality engineering (testing), systems integration, IT operations, mobile network services, experience design and content services. Our managed services provide multi-year, flexible and tailored IT business processes and applications management services, including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and media industry. In the three months ended December 31, 2022, customers in North America accounted for 68.6% of our revenue, while customers in Europe and the rest of the world accounted for 14.2% and 17.2%, respectively. We maintain and support development facilities in Brazil, Canada, Cyprus, India, Ireland, Israel, Mexico, the Philippines, the UK and the United States.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1080" w:right="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results of operations are affected by general economic conditions, including macro-economic conditions, and the level of economic activity in the industries and markets that we serve. In addition, the prevailing level of macro-economic, business, and operational uncertainty, as well as the current inflationary environment and foreign exchange rates fluctuation, may continue to present challenges in future periods. Although we try to mitigate the foreign currency exchange rates impact on our results through our hedging policy, we cannot assure that we will be able to effectively limit all of our exposure.</w:t>
      </w:r>
    </w:p>
    <w:p>
      <w:pPr>
        <w:spacing w:after="0" w:line="18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under the five-step methodology required under ASC 606, which requires us to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4" w:lineRule="exact"/>
        <w:rPr>
          <w:sz w:val="20"/>
          <w:szCs w:val="20"/>
          <w:color w:val="auto"/>
        </w:rPr>
      </w:pPr>
    </w:p>
    <w:p>
      <w:pPr>
        <w:jc w:val="both"/>
        <w:ind w:left="120" w:right="40" w:firstLine="440"/>
        <w:spacing w:after="0" w:line="277" w:lineRule="auto"/>
        <w:rPr>
          <w:sz w:val="20"/>
          <w:szCs w:val="20"/>
          <w:color w:val="auto"/>
        </w:rPr>
      </w:pPr>
      <w:r>
        <w:rPr>
          <w:rFonts w:ascii="Arial" w:cs="Arial" w:eastAsia="Arial" w:hAnsi="Arial"/>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For our primary revenue categories, related performance obligations, and associated recognition patterns please see Note 4 to our consolidated financial statements.</w:t>
      </w:r>
    </w:p>
    <w:p>
      <w:pPr>
        <w:spacing w:after="0" w:line="170"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$699.8 million and $659.7 million in the three months ended December 31, 2022 and 2021, respectively.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sets forth for the three months ended December 31, 2022 and 2021, certain items in our consolidated statements of income reflected as a percentage of revenue (figures may not sum because of rounding):</w:t>
      </w:r>
    </w:p>
    <w:p>
      <w:pPr>
        <w:spacing w:after="0" w:line="189"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Three months ended</w:t>
      </w:r>
    </w:p>
    <w:p>
      <w:pPr>
        <w:jc w:val="center"/>
        <w:ind w:left="63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8.1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6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of a business</w:t>
            </w:r>
          </w:p>
        </w:tc>
        <w:tc>
          <w:tcPr>
            <w:tcW w:w="1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6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11.0%</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Net income attributable to Amdocs Limited</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10.9%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372"/>
        </w:trPr>
        <w:tc>
          <w:tcPr>
            <w:tcW w:w="6580" w:type="dxa"/>
            <w:vAlign w:val="bottom"/>
          </w:tcPr>
          <w:p>
            <w:pPr>
              <w:ind w:left="4100"/>
              <w:spacing w:after="0"/>
              <w:rPr>
                <w:sz w:val="20"/>
                <w:szCs w:val="20"/>
                <w:color w:val="auto"/>
              </w:rPr>
            </w:pPr>
            <w:r>
              <w:rPr>
                <w:rFonts w:ascii="Arial" w:cs="Arial" w:eastAsia="Arial" w:hAnsi="Arial"/>
                <w:sz w:val="18"/>
                <w:szCs w:val="18"/>
                <w:color w:val="auto"/>
              </w:rPr>
              <w:t>24</w:t>
            </w:r>
          </w:p>
        </w:tc>
        <w:tc>
          <w:tcPr>
            <w:tcW w:w="4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59" w:right="7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December 31, 2022 and 2021</w:t>
      </w:r>
    </w:p>
    <w:p>
      <w:pPr>
        <w:spacing w:after="0" w:line="121"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December 31, 2022 compared to the three months ended December 31, 2021. Following the table is a discussion and analysis of our business and results of operations for such periods.</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8"/>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40" w:type="dxa"/>
            <w:vAlign w:val="bottom"/>
            <w:gridSpan w:val="7"/>
            <w:vMerge w:val="restart"/>
          </w:tcPr>
          <w:p>
            <w:pPr>
              <w:jc w:val="right"/>
              <w:ind w:right="400"/>
              <w:spacing w:after="0"/>
              <w:rPr>
                <w:sz w:val="20"/>
                <w:szCs w:val="20"/>
                <w:color w:val="auto"/>
              </w:rPr>
            </w:pPr>
            <w:r>
              <w:rPr>
                <w:rFonts w:ascii="Arial" w:cs="Arial" w:eastAsia="Arial" w:hAnsi="Arial"/>
                <w:sz w:val="14"/>
                <w:szCs w:val="14"/>
                <w:b w:val="1"/>
                <w:bCs w:val="1"/>
                <w:color w:val="auto"/>
                <w:w w:val="92"/>
              </w:rPr>
              <w:t>Increase (Decrease)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8"/>
          </w:tcPr>
          <w:p>
            <w:pPr>
              <w:ind w:lef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6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tcBorders>
            <w:gridSpan w:val="2"/>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6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Revenue (1)</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8"/>
              </w:rPr>
              <w:t>$1,185,720</w:t>
            </w:r>
          </w:p>
        </w:tc>
        <w:tc>
          <w:tcPr>
            <w:tcW w:w="1160" w:type="dxa"/>
            <w:vAlign w:val="bottom"/>
            <w:tcBorders>
              <w:left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$1,104,632</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$ 81,088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756,849</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716,718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w w:val="98"/>
              </w:rPr>
              <w:t>40,131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95,726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81,945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21"/>
              <w:spacing w:after="0"/>
              <w:rPr>
                <w:sz w:val="20"/>
                <w:szCs w:val="20"/>
                <w:color w:val="auto"/>
              </w:rPr>
            </w:pPr>
            <w:r>
              <w:rPr>
                <w:rFonts w:ascii="Arial" w:cs="Arial" w:eastAsia="Arial" w:hAnsi="Arial"/>
                <w:sz w:val="18"/>
                <w:szCs w:val="18"/>
                <w:color w:val="auto"/>
                <w:w w:val="98"/>
              </w:rPr>
              <w:t>13,781</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143,222</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128,076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w w:val="98"/>
              </w:rPr>
              <w:t>15,146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15,313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17,747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61"/>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24,536</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w w:val="98"/>
              </w:rPr>
              <w:t>24,536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1,035,646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944,486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91,160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150,074</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160,146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w w:val="89"/>
              </w:rPr>
              <w:t>(10,072)</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(4,963)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61"/>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of a business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w w:val="89"/>
              </w:rPr>
              <w:t>(10,000)</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6580" w:type="dxa"/>
            <w:vAlign w:val="bottom"/>
            <w:gridSpan w:val="2"/>
          </w:tcPr>
          <w:p>
            <w:pPr>
              <w:ind w:left="4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145,111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167,584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0"/>
              </w:rPr>
              <w:t>(22,473)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15,239</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w w:val="89"/>
              </w:rPr>
              <w:t>(18,743)</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129,872</w:t>
            </w: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133,602</w:t>
            </w:r>
          </w:p>
        </w:tc>
        <w:tc>
          <w:tcPr>
            <w:tcW w:w="1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(3,730</w:t>
            </w:r>
          </w:p>
        </w:tc>
        <w:tc>
          <w:tcPr>
            <w:tcW w:w="2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income attributable to Amdocs Limited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129,667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133,602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(3,935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(1)   Geographic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61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812,690</w:t>
            </w:r>
          </w:p>
        </w:tc>
        <w:tc>
          <w:tcPr>
            <w:tcW w:w="42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745,493</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$ 67,197</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168,666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142,541</w:t>
            </w:r>
          </w:p>
        </w:tc>
        <w:tc>
          <w:tcPr>
            <w:tcW w:w="10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26,125</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204,364</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216,598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(12,234)</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440"/>
              <w:spacing w:after="0"/>
              <w:rPr>
                <w:sz w:val="20"/>
                <w:szCs w:val="20"/>
                <w:color w:val="auto"/>
              </w:rPr>
            </w:pPr>
            <w:r>
              <w:rPr>
                <w:rFonts w:ascii="Arial" w:cs="Arial" w:eastAsia="Arial" w:hAnsi="Arial"/>
                <w:sz w:val="18"/>
                <w:szCs w:val="18"/>
                <w:color w:val="auto"/>
              </w:rPr>
              <w:t>Revenue</w:t>
            </w:r>
          </w:p>
        </w:tc>
        <w:tc>
          <w:tcPr>
            <w:tcW w:w="120" w:type="dxa"/>
            <w:vAlign w:val="bottom"/>
            <w:vMerge w:val="restart"/>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1,185,720</w:t>
            </w:r>
          </w:p>
        </w:tc>
        <w:tc>
          <w:tcPr>
            <w:tcW w:w="340" w:type="dxa"/>
            <w:vAlign w:val="bottom"/>
            <w:gridSpan w:val="2"/>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1,104,632</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$ 81,088</w:t>
            </w:r>
          </w:p>
        </w:tc>
        <w:tc>
          <w:tcPr>
            <w:tcW w:w="1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$81.1 million, or 7.3%, to $1,185.7 million in the three months ended December 31, 2022, from $1,104.6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December 31, 2021. The increase in revenue was attributable primarily to an increase in managed services arrangements and transformation activities in North America reflecting strong business activity building next-generation platforms for our customers, as well as strong business momentum in Europe and was partially offset by negative impact from foreign exchange fluctuations. Revenue for the three months ended December 31, 2022 increased by 9.5% compared to the three months ended December 31, 2021, excluding approximately 2.2% negative foreign fluctuations impact, primarily in Europe.</w:t>
      </w:r>
    </w:p>
    <w:p>
      <w:pPr>
        <w:spacing w:after="0" w:line="192"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In the three months ended December 31, 2022, revenue from customers in North America, Europe and the rest of the world accounted for 68.6%, 14.2% and 17.2%, respectively, of total revenue, compared to 67.5%, 12.9% and 19.6%, respectively, for the three months ended December 31, 2021.</w:t>
      </w:r>
    </w:p>
    <w:p>
      <w:pPr>
        <w:spacing w:after="0" w:line="12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increase in revenue from customers in North America was primarily attributable to higher revenue from managed services arrangements from key customers in North America.</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Revenue from customers in Europe increased during the three months ended December 31, 2022, despite the negative impact of foreign exchange fluctuations, as a result of an increase in transformation projects activities, as we expand our presence in this region.</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Revenue from customers in the rest of the world decreased in the three months ended December 31, 2022, mainly due to transition between transformation projects that naturally ramp down to new awarded projects that will ramp up in the second quarter of fiscal year 2023, as well as negative foreign exchange fluctuations.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consists primarily of costs associated with providing services to customers, including compensation expense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costs of third-party products, as well as fee and royalty payments to software suppliers. Cost of revenue increased by $40.1 million, or 5.6%,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$756.8 million in the three months ended December 31, 2022, from $716.7 million in the three months ended December 31, 2021. The Cost of revenue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a percentage of revenue, decreased to 63.8% in the three months ended December 31, 2022, from 64.9% in the three months ended December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2021. This decrease in cost of revenue as a percentage of revenue was primarily attributable to operational excellence and efficiency initiatives through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ongoing implementation of automation and other sophisticated tools.</w:t>
      </w:r>
    </w:p>
    <w:p>
      <w:pPr>
        <w:spacing w:after="0" w:line="21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color w:val="auto"/>
        </w:rPr>
        <w:t>. Research and development expense is primarily comprised of compensation expense. Research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increased by $13.8 million, or 16.8%, to $95.7 million in the three months ended December 31, 2022, from $81.9 million in the three months ended December 31, 2021. Research and development expense increased as a percentage of revenue from 7.4% in the three months ended December 31, 2021, to 8.1% in the three months ended December 31, 2022, as we have been accelerating our investment in our cloud offerings, 5G and network related innovation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which is primarily comprised of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$15.1 million, or 11.8%, to $143.2 million in the three months ended December 31, 2022, from $128.1 million in the three months ended December 31, 2021. Selling, general and administrative expense increased as a percentage of revenue from 11.6% in the three months ended December 31, 2021, to 12.1% in the three months ended December 31, 2022. The increase in selling expense was commensurate with the revenue growth. The increase in general and administrative expense was primarily attributable to changes in account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195"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b w:val="1"/>
          <w:bCs w:val="1"/>
          <w:i w:val="1"/>
          <w:iCs w:val="1"/>
          <w:color w:val="auto"/>
        </w:rPr>
        <w:t>Amortization of Purchased Intangible Assets and 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and other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2022, decreased by $2.4 million, or 13.7% to $15.3 million from $17.7 million in the three months ended December 31, 2021. The decrease in amortization of purchased intangible assets and other was primarily attributable to a completion of amortization of previously purchased intangible assets.</w:t>
      </w:r>
    </w:p>
    <w:p>
      <w:pPr>
        <w:spacing w:after="0" w:line="187"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b w:val="1"/>
          <w:bCs w:val="1"/>
          <w:i w:val="1"/>
          <w:iCs w:val="1"/>
          <w:color w:val="auto"/>
        </w:rPr>
        <w:t xml:space="preserve">Restructuring Charges. </w:t>
      </w:r>
      <w:r>
        <w:rPr>
          <w:rFonts w:ascii="Arial" w:cs="Arial" w:eastAsia="Arial" w:hAnsi="Arial"/>
          <w:sz w:val="16"/>
          <w:szCs w:val="16"/>
          <w:color w:val="auto"/>
        </w:rPr>
        <w:t>Restructuring charges for the three months ended December 31, 2022, were $24.5 million, with no such charges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December 31, 2021. The restructuring charges were primarily associated with alignment of our workforce around the global site strategy, as well as the optimization of our hybrid work model. Please see Note 9 to our consolidated financial statements.</w:t>
      </w:r>
    </w:p>
    <w:p>
      <w:pPr>
        <w:spacing w:after="0" w:line="14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$10.1 million, or 6.3%, in the three months ended December 31, 2022, to $150.1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12.7% of revenue, from $160.1 million, or 14.5% of revenue, in the three months ended December 31, 2021. The decrease in operating income as a percentage of revenue was attributable primarily to restructuring charges, which was partially offset by decrease in cost of revenue as a percentage of revenue and positive foreign exchange impacts.</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Interest and Other Expense,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other expense, net, changed from a net expense of $2.6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to a net expense of $5.0 million in the three months ended December 31, 2022. The increase in interest and other expense, net, was primarily attributable to changes of minority equity investments measured at fair value in the three months ended December 31, 2022, partially offset by an increase in interest income primarily due to higher interest rates.</w:t>
      </w:r>
    </w:p>
    <w:p>
      <w:pPr>
        <w:spacing w:after="0" w:line="187" w:lineRule="exact"/>
        <w:rPr>
          <w:sz w:val="20"/>
          <w:szCs w:val="20"/>
          <w:color w:val="auto"/>
        </w:rPr>
      </w:pPr>
    </w:p>
    <w:p>
      <w:pPr>
        <w:ind w:left="120" w:right="740" w:firstLine="440"/>
        <w:spacing w:after="0" w:line="342" w:lineRule="auto"/>
        <w:rPr>
          <w:sz w:val="20"/>
          <w:szCs w:val="20"/>
          <w:color w:val="auto"/>
        </w:rPr>
      </w:pPr>
      <w:r>
        <w:rPr>
          <w:rFonts w:ascii="Arial" w:cs="Arial" w:eastAsia="Arial" w:hAnsi="Arial"/>
          <w:sz w:val="16"/>
          <w:szCs w:val="16"/>
          <w:b w:val="1"/>
          <w:bCs w:val="1"/>
          <w:i w:val="1"/>
          <w:iCs w:val="1"/>
          <w:color w:val="auto"/>
        </w:rPr>
        <w:t xml:space="preserve">Gain from sale of a business. </w:t>
      </w:r>
      <w:r>
        <w:rPr>
          <w:rFonts w:ascii="Arial" w:cs="Arial" w:eastAsia="Arial" w:hAnsi="Arial"/>
          <w:sz w:val="16"/>
          <w:szCs w:val="16"/>
          <w:color w:val="auto"/>
        </w:rPr>
        <w:t>There was no gain from sale of a business, in the three months ended December 31, 2022, while there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$10.0 million of such gain in the three months ended December 31, 2021. Please see Note 3 to our consolidated financial statements.</w:t>
      </w:r>
    </w:p>
    <w:p>
      <w:pPr>
        <w:spacing w:after="0" w:line="12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December 31, 2022 were $15.2 million on pre-tax income of $145.1 million, resulting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effective tax rate of 10.5%, compared to 20.3% in the three months ended December 31, 2021. The decrease is primarily attributable to internal structural changes in certain jurisdictions in which we operate. Our effective tax rate may fluctuate between periods as a result of discrete items that may affect a particular period. Please see Note 10 to our consolidated financial statements.</w:t>
      </w:r>
    </w:p>
    <w:p>
      <w:pPr>
        <w:spacing w:after="0" w:line="17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b w:val="1"/>
          <w:bCs w:val="1"/>
          <w:i w:val="1"/>
          <w:iCs w:val="1"/>
          <w:color w:val="auto"/>
        </w:rPr>
        <w:t>Net income attributable to Amdocs Limited</w:t>
      </w:r>
      <w:r>
        <w:rPr>
          <w:rFonts w:ascii="Arial" w:cs="Arial" w:eastAsia="Arial" w:hAnsi="Arial"/>
          <w:sz w:val="16"/>
          <w:szCs w:val="16"/>
          <w:color w:val="auto"/>
        </w:rPr>
        <w:t>. Net income slightly decreased by $3.9 million, or 2.9%, to $129.7 million in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2022, from $133.6 million in the three months ended December 31, 2021. The slight decrease in net income is attributable to restructuring charges, gain from sale of a business recorded in the three months ended December 31, 2021, partially offset by decrease in income taxes.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b w:val="1"/>
          <w:bCs w:val="1"/>
          <w:i w:val="1"/>
          <w:iCs w:val="1"/>
          <w:color w:val="auto"/>
        </w:rPr>
        <w:t>Diluted Earnings Per Share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Diluted earnings per share remained stable in the three months ended December 31, 2022 and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2021. The slight decrease in the net income was offset by the decrease in the diluted weighted average number of shares outstanding, which resulted from share repurchases. Please see also Note 11 to our consolidated financial statements.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i w:val="1"/>
          <w:iCs w:val="1"/>
          <w:color w:val="auto"/>
        </w:rPr>
        <w:t xml:space="preserve">Cash, Cash Equivalents and Short-Term Interest-Bearing Investments. </w:t>
      </w:r>
      <w:r>
        <w:rPr>
          <w:rFonts w:ascii="Arial" w:cs="Arial" w:eastAsia="Arial" w:hAnsi="Arial"/>
          <w:sz w:val="17"/>
          <w:szCs w:val="17"/>
          <w:color w:val="auto"/>
        </w:rPr>
        <w:t>Cash, cash equivalents and short-term interest-bearing investments, totaled</w:t>
      </w:r>
      <w:r>
        <w:rPr>
          <w:rFonts w:ascii="Arial" w:cs="Arial" w:eastAsia="Arial" w:hAnsi="Arial"/>
          <w:sz w:val="17"/>
          <w:szCs w:val="17"/>
          <w:i w:val="1"/>
          <w:iCs w:val="1"/>
          <w:color w:val="auto"/>
        </w:rPr>
        <w:t xml:space="preserve"> </w:t>
      </w:r>
      <w:r>
        <w:rPr>
          <w:rFonts w:ascii="Arial" w:cs="Arial" w:eastAsia="Arial" w:hAnsi="Arial"/>
          <w:sz w:val="17"/>
          <w:szCs w:val="17"/>
          <w:color w:val="auto"/>
        </w:rPr>
        <w:t>$734.6 million as of December 31, 2022, compared to $818.0 million as of September 30, 2022. The decrease was mainly attributable to $100.0 million repurchase of our ordinary shares pursuant to our repurchase program, $33.7 million for capital expenditures, net, $47.7 million of cash dividend payment, partially offset by $83.2 million positive cash flow from operating activities, and $14.6 million of proceeds from stock option exercises. Net cash provided by operating activities amounted to $83.2 million and $204.1 million in the three months ended December 31, 2022 and 2021, respectively. The decrease in operating activity in the three months ended December 31, 2022 was impacted by timing of quarter-end holidays, but payments were subsequently received during the second quarter of fiscal year 2023.</w:t>
      </w:r>
    </w:p>
    <w:p>
      <w:pPr>
        <w:spacing w:after="0" w:line="17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free cash flow for the three months ended December 31, 2022 was $49.5 million and is calculated as net cash provided by operating activities of $83.2 million for the period less $33.7 million for capital expenditures, net.</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8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believe that our current cash balances, cash generated from operations, our current lines of credit, loans, Senior Notes and our ability to access capital markets will provide sufficient resources to meet our operational needs, loan and debt repayment needs, fund share repurchases and the payment of cash dividends for at least the next twelve months.</w:t>
      </w:r>
    </w:p>
    <w:p>
      <w:pPr>
        <w:spacing w:after="0" w:line="184"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U.S. government securities, supranational and sovereign debt, which are stated at market value.</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believe we have conservative investment policy guidelines. Our interest-bearing investments are stated at fair value with the unrealized gains or losses reported as a separate component of accumulated other comprehensive loss,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three months ended December 31, 2022 and 2021, we did not recognize any credit losses. Please see Notes 5 and 6 to the consolidated financial statements.</w:t>
      </w:r>
    </w:p>
    <w:p>
      <w:pPr>
        <w:spacing w:after="0" w:line="19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 xml:space="preserve">Revolving Credit Facility, Loans, Senior Notes, Letters of Credit, Guarantees and Contractual Obligations. </w:t>
      </w:r>
      <w:r>
        <w:rPr>
          <w:rFonts w:ascii="Arial" w:cs="Arial" w:eastAsia="Arial" w:hAnsi="Arial"/>
          <w:sz w:val="16"/>
          <w:szCs w:val="16"/>
          <w:color w:val="auto"/>
        </w:rPr>
        <w:t>In December 2011, we entered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$500.0 million Revolving Credit Facility. In December 2014, December 2017 and March 2021, the Revolving Credit Facility was amended and restated to, among other things, extend the maturity date of the facility to December 2019, December 2022 and March 2026, respectively. As of December 31, 2022, we were in compliance with the financial covenants and had no outstanding borrowing under the Revolving Credit Facility.</w:t>
      </w:r>
    </w:p>
    <w:p>
      <w:pPr>
        <w:spacing w:after="0" w:line="15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our senior unsecured obligations and rank equally in right of payment with all of our existing and future senior indebtedness, including any indebtedness we may incur from time to time under the Revolving Credit Facility. As of December 31, 2022, the noncurrent outstanding principal portion was $650.0 million, please see Note 13 to our consolidated financial statements.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December 31, 2022, we had additional uncommitted lines of credit available for general corporate and other specific purposes and had outstanding letters of credit and bank guarantees from various banks totaling $77.6 million. These were supported by a combination of the uncommitted lines of credit that we maintain with various banks.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320" w:top="459" w:right="5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contractual obligations for Long-term debt and accrued interests, our non-cancelable operating leases, purchase obligations, pension funding and unrecognized tax benefits, summarized in the disclosure of contractual obligations set forth in our Annual Report on Form 20-F for the fiscal year ended September 30, 2022, filed on December 13, 2022 with the SEC. Since September 30, 2022, there have been no material changes in our aggregate contractual obligations mentioned above.</w:t>
      </w:r>
    </w:p>
    <w:p>
      <w:pPr>
        <w:spacing w:after="0" w:line="18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Generally, the majority of our capital expenditures consist of purchases of computer equipment, and the remainder is</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mainly to leasehold improvements. Our capital expenditures were approximately $33.7 million in the three months ended December 31, 2022 and were mainly attributable to investments in our operating facilities and our development centers around the world.</w:t>
      </w:r>
    </w:p>
    <w:p>
      <w:pPr>
        <w:spacing w:after="0" w:line="14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From time to time, our Board of Directors can adopt share repurchase plans authorizing the repurchase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On May 12, 2021, our Board of Directors adopted a share repurchase plan authorizing the repurchase of up to $1.0 billion of our outstanding ordinary shares with no expiration date. During the three months ended December 31, 2022, we repurchased approximately 1.2 million ordinary shares at an average price of $84.53 per share (excluding broker and transaction fees). The May 2021 plan permits us to purchase our ordinary shares in the open market or through privately negotiated transactions at times and prices that we consider appropriate. As of December 31, 2022, we had remaining authority to repurchase up to $390.1 million of our outstanding ordinary shares under the May 2021 plan.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three months ended December 31, 2022 and 2021:</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3160" w:type="dxa"/>
            <w:vAlign w:val="bottom"/>
            <w:vMerge w:val="restart"/>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18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Record Date</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Amount</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14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Ordinary Share</w:t>
            </w:r>
          </w:p>
        </w:tc>
        <w:tc>
          <w:tcPr>
            <w:tcW w:w="1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in millions</w:t>
            </w: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November 8, 2022</w:t>
            </w: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0.395</w:t>
            </w:r>
          </w:p>
        </w:tc>
        <w:tc>
          <w:tcPr>
            <w:tcW w:w="4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December 30, 2022</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47.6</w:t>
            </w:r>
          </w:p>
        </w:tc>
        <w:tc>
          <w:tcPr>
            <w:tcW w:w="4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January 27, 2023</w:t>
            </w: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November 2, 2021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0.36</w:t>
            </w: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December 31, 2021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44.4</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January 28, 2022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January 31, 2023 our Board of Directors approved the next quarterly dividend payment and set March 31, 2023 as the record date for determining the shareholders entitled to receive the dividend, which is payable on April 28, 2023. On January 27, 2023, at the annual general meeting of shareholders, our shareholders approved an increase in the rate of the quarterly cash dividend from $0.395 per share to $0.435 per share. As a result, the April 28, 2023 cash dividend will be paid at the increased rate of $0.435 per share.</w:t>
      </w:r>
    </w:p>
    <w:p>
      <w:pPr>
        <w:spacing w:after="0" w:line="18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During the three months ended December 31, 2022 and 2021,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Changes in Securities, Use of Proceeds and Issuer Purchases of Equity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December 31, 2022 of equity securities that are registered by us pursuant to Section 12 of the Exchange Act:</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Total Number of</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26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of Shares that May</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2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680" w:type="dxa"/>
            <w:vAlign w:val="bottom"/>
            <w:vMerge w:val="restart"/>
          </w:tcPr>
          <w:p>
            <w:pPr>
              <w:spacing w:after="0"/>
              <w:rPr>
                <w:sz w:val="12"/>
                <w:szCs w:val="12"/>
                <w:color w:val="auto"/>
              </w:rPr>
            </w:pP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106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89"/>
              </w:rPr>
              <w:t>Purchased</w:t>
            </w:r>
          </w:p>
        </w:tc>
        <w:tc>
          <w:tcPr>
            <w:tcW w:w="480" w:type="dxa"/>
            <w:vAlign w:val="bottom"/>
          </w:tcPr>
          <w:p>
            <w:pPr>
              <w:spacing w:after="0"/>
              <w:rPr>
                <w:sz w:val="15"/>
                <w:szCs w:val="15"/>
                <w:color w:val="auto"/>
              </w:rPr>
            </w:pPr>
          </w:p>
        </w:tc>
        <w:tc>
          <w:tcPr>
            <w:tcW w:w="16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Paid per Share(1)</w:t>
            </w:r>
          </w:p>
        </w:tc>
        <w:tc>
          <w:tcPr>
            <w:tcW w:w="13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or Programs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or Programs(2)</w:t>
            </w: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10/01/22-10/31/22</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420,383</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81.40</w:t>
            </w:r>
          </w:p>
        </w:tc>
        <w:tc>
          <w:tcPr>
            <w:tcW w:w="5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420,383</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455,891,489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11/01/22-11/30/22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383,013</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83.85</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383,013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423,777,682</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12/01/22-12/31/22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379,618</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88.70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379,618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390,105,856</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1,183,014</w:t>
            </w:r>
          </w:p>
        </w:tc>
        <w:tc>
          <w:tcPr>
            <w:tcW w:w="20" w:type="dxa"/>
            <w:vAlign w:val="bottom"/>
            <w:tcBorders>
              <w:bottom w:val="single" w:sz="8" w:color="auto"/>
            </w:tcBorders>
          </w:tcPr>
          <w:p>
            <w:pPr>
              <w:spacing w:after="0"/>
              <w:rPr>
                <w:sz w:val="19"/>
                <w:szCs w:val="19"/>
                <w:color w:val="auto"/>
              </w:rPr>
            </w:pP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84.53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1,183,014</w:t>
            </w:r>
          </w:p>
        </w:tc>
        <w:tc>
          <w:tcPr>
            <w:tcW w:w="2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390,105,856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540" w:right="240" w:hanging="424"/>
        <w:spacing w:after="0" w:line="255"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May 12, 2021, our Board of Directors adopted a share repurchase plan for the repurchase of up to $1.0 billion of our outstanding ordinary shares. The authorizations have no expiration date and permit us to purchase our ordinary shares in open market or privately negotiated transactions at times and prices we consider appropriate.</w:t>
      </w:r>
    </w:p>
    <w:p>
      <w:pPr>
        <w:spacing w:after="0" w:line="334"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Reports on Form 6-K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December 31, 2022:</w:t>
      </w:r>
    </w:p>
    <w:p>
      <w:pPr>
        <w:spacing w:after="0" w:line="131"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6-K dated November 9, 2022</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6-K dated December 5, 2022</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6-K dated December 22, 2022</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320" w:top="459" w:right="6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February 13, 2023</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32</w:t>
      </w:r>
    </w:p>
    <w:sectPr>
      <w:pgSz w:w="11900" w:h="16838" w:orient="portrait"/>
      <w:cols w:equalWidth="0" w:num="1">
        <w:col w:w="10820"/>
      </w:cols>
      <w:pgMar w:left="320" w:top="459"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6"/>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2023-02-13T15:13:32Z</dcterms:created>
  <dcterms:modified xsi:type="dcterms:W3CDTF">2023-02-13T15:13:32Z</dcterms:modified>
</cp:coreProperties>
</file>