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November,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5297170</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8, 2016, Amdocs Limited (“Amdocs”) issued a press release announcing financial results for the quarter ended September 30, 2016. A copy of the press release is furnished as Exhibit 99.1 to this Report of Foreign Private Issuer on Form 6-K.</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20"/>
          </w:cols>
          <w:pgMar w:left="240" w:top="274" w:right="4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November 8, 2016.</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172085</wp:posOffset>
            </wp:positionV>
            <wp:extent cx="131191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3175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$941M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Fiscal 2017 Revenue Growth of 2.0-6.0%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Cash Dividend to be Raised From $0.195 to $0.22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Subject to Shareholder Approval at the January 2017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4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revenue of $941 million, at the midpoint of the $920-$960 million guidance range. As we anticipated, foreign currency movements negatively affected revenue by approximately $2 million relative to the third quarter of fiscal 2016</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$0.64 for the fourth fiscal quarter, below the $0.66-$0.74 guidance range due to higher acquisition-related costs in connection with the acquisitions of Pontis, Vindicia and Brite:Bill announced on September 14, 2016</w:t>
      </w:r>
    </w:p>
    <w:p>
      <w:pPr>
        <w:spacing w:after="0" w:line="75" w:lineRule="exact"/>
        <w:rPr>
          <w:rFonts w:ascii="Arial" w:cs="Arial" w:eastAsia="Arial" w:hAnsi="Arial"/>
          <w:sz w:val="18"/>
          <w:szCs w:val="18"/>
          <w:color w:val="auto"/>
        </w:rPr>
      </w:pPr>
    </w:p>
    <w:p>
      <w:pPr>
        <w:jc w:val="both"/>
        <w:ind w:left="900" w:right="40" w:hanging="325"/>
        <w:spacing w:after="0" w:line="34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fiscal quarter diluted non-GAAP EPS of $0.89, slightly above the mid-point of the $0.85-$0.91 guidance range (non-GAAP EPS excludes amortization of purchased intangible assets and other acquisition-related costs, and equity-based compensation expense, net of related tax effects)</w:t>
      </w:r>
    </w:p>
    <w:p>
      <w:pPr>
        <w:spacing w:after="0" w:line="29" w:lineRule="exact"/>
        <w:rPr>
          <w:rFonts w:ascii="Arial" w:cs="Arial" w:eastAsia="Arial" w:hAnsi="Arial"/>
          <w:sz w:val="16"/>
          <w:szCs w:val="16"/>
          <w:color w:val="auto"/>
        </w:rPr>
      </w:pPr>
    </w:p>
    <w:p>
      <w:pPr>
        <w:ind w:left="900" w:right="3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GAAP operating income of $118 million; non-GAAP operating income of $161 million; non-GAAP operating margin of 17.1%</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$125 million for the fourth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$90 million of ordinary shares during the fourth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$3.17 billion at the end of the fourth fiscal quarter, up $60 million from the end of the third quarter of fiscal 2016</w:t>
      </w:r>
    </w:p>
    <w:p>
      <w:pPr>
        <w:spacing w:after="0" w:line="142" w:lineRule="exact"/>
        <w:rPr>
          <w:rFonts w:ascii="Arial" w:cs="Arial" w:eastAsia="Arial" w:hAnsi="Arial"/>
          <w:sz w:val="17"/>
          <w:szCs w:val="17"/>
          <w:color w:val="auto"/>
        </w:rPr>
      </w:pPr>
    </w:p>
    <w:p>
      <w:pPr>
        <w:jc w:val="both"/>
        <w:ind w:left="90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$0.195 per share quarterly cash dividend to be paid on January 13, 2017, and, subject to shareholders’ approval at the January 2017 annual general meeting of shareholders, an increase in the quarterly cash dividend to $0.22 per share, anticipated to be paid in April 2017</w:t>
      </w:r>
    </w:p>
    <w:p>
      <w:pPr>
        <w:sectPr>
          <w:pgSz w:w="11900" w:h="16838" w:orient="portrait"/>
          <w:cols w:equalWidth="0" w:num="1">
            <w:col w:w="11420"/>
          </w:cols>
          <w:pgMar w:left="240" w:top="121" w:right="239" w:bottom="1440" w:gutter="0" w:footer="0" w:header="0"/>
        </w:sectPr>
      </w:pPr>
    </w:p>
    <w:bookmarkStart w:id="5" w:name="page6"/>
    <w:bookmarkEnd w:id="5"/>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fiscal 2017 guidance: Expected revenue of approximately $935-$975 million. Expected diluted GAAP EPS of approximately</w:t>
      </w:r>
    </w:p>
    <w:p>
      <w:pPr>
        <w:spacing w:after="0" w:line="34" w:lineRule="exact"/>
        <w:rPr>
          <w:rFonts w:ascii="Arial" w:cs="Arial" w:eastAsia="Arial" w:hAnsi="Arial"/>
          <w:sz w:val="17"/>
          <w:szCs w:val="17"/>
          <w:color w:val="auto"/>
        </w:rPr>
      </w:pPr>
    </w:p>
    <w:p>
      <w:pPr>
        <w:ind w:left="900" w:right="240"/>
        <w:spacing w:after="0" w:line="323" w:lineRule="auto"/>
        <w:rPr>
          <w:rFonts w:ascii="Arial" w:cs="Arial" w:eastAsia="Arial" w:hAnsi="Arial"/>
          <w:sz w:val="17"/>
          <w:szCs w:val="17"/>
          <w:color w:val="auto"/>
        </w:rPr>
      </w:pPr>
      <w:r>
        <w:rPr>
          <w:rFonts w:ascii="Arial" w:cs="Arial" w:eastAsia="Arial" w:hAnsi="Arial"/>
          <w:sz w:val="16"/>
          <w:szCs w:val="16"/>
          <w:color w:val="auto"/>
        </w:rPr>
        <w:t>$0.59-$0.67. Expected diluted non-GAAP EPS of approximately $0.87-$0.93 (which excludes amortization of purchased intangible assets and other acquisition-related costs and approximately $0.09-$0.10 per share of equity-based compensation expense, net of related tax effects)</w:t>
      </w:r>
    </w:p>
    <w:p>
      <w:pPr>
        <w:spacing w:after="0" w:line="44"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fiscal 2017 guidance: Expected revenue growth of 2.0-6.0% on a constant currency basis and reported basis. Expected non-GAAP diluted earnings per share growth of roughly 4.5-8.5%, incorporating the impact of anticipated share repurchase activity over the course of the fiscal year</w:t>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ST. LOUIS – November 8, 2016 </w:t>
      </w:r>
      <w:r>
        <w:rPr>
          <w:rFonts w:ascii="Arial" w:cs="Arial" w:eastAsia="Arial" w:hAnsi="Arial"/>
          <w:sz w:val="17"/>
          <w:szCs w:val="17"/>
          <w:color w:val="auto"/>
        </w:rPr>
        <w:t>– Amdocs Limited (NASDAQ: DOX) today reported that for its fourth fiscal quarter ended September 30, 2016,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was $940.7 million, up 1.1% or $10.5 million sequentially from the third fiscal quarter of 2016 and up 1.5% as compared to last year’s fourth fiscal quarter. Revenue for the fourth fiscal quarter of 2016 includes a negative impact from foreign currency movements of approximately $2 million relative to the third quarter of fiscal 2016. The Company’s GAAP net income for the fourth quarter of fiscal 2016 was $95.7 million, or $0.64 per diluted share, compared to GAAP net income of $91.1 million, or $0.59 per diluted share, in the prior fiscal year’s fourth quarter. Net income on a non-GAAP basis was $132.4 million, or $0.89 per diluted share, compared to non-GAAP net income of $130.4 million, or $0.84 per diluted share, in the fourth quarter of fiscal 2015. Non-GAAP net income excludes amortization of purchased intangible assets and other acquisition-related costs and equity-based compensation expenses of $36.7 million, net of related tax effects, in the fourth quarter of fiscal 2016, and excludes such amortization and other acquisition-related costs, nonrecurring restructuring charges associated with the acquisition of the Comverse BSS assets and equity-based compensation expenses of $39.2 million, net of related tax effects, in the fourth quarter of fiscal 2015.</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fourth quarter performance was solid and culminated in a stronger second half along the lines we predicted a year ago. North America showed further signs of stabilization, while Europe and Rest of World delivered strong double-digit growth for the full year</w:t>
      </w:r>
    </w:p>
    <w:p>
      <w:pPr>
        <w:sectPr>
          <w:pgSz w:w="11900" w:h="16838" w:orient="portrait"/>
          <w:cols w:equalWidth="0" w:num="1">
            <w:col w:w="11400"/>
          </w:cols>
          <w:pgMar w:left="240" w:top="274" w:right="25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normal fluctuations in customer activity in Q4. Late in the quarter, we expanded our digital capabilities with the combined acquisitions of Pontis, Brite:Bill and Vindicia for roughly $260 million in cash. We also delivered on our plan to return 100% of free cash flow to shareholders in the second half of the fiscal year, consistent with our ongoing commitment to the disciplined and proactive allocation of cash,” said Eli Gelman, president and chief executive officer of Amdocs Management Limited.</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Gelman continued, “During the fourth quarter we expanded our activities with several important customers. In Latin America, Telefónica selected the Amdocs Data Hub as the next logical step in the quad-play transformation project we are supporting at its Vivo operations in Brazil. The Amdocs solution extracts and analyzes large volumes of customer data from a wide range of operational platforms and will give Telefónica Brazil the business insights needed to react quickly to changing market dynamics. In the Philippines, Globe Telecom selected Amdocs Revenue Guard for automated, analytics-driven revenue assurance, a service that builds on the market-leading technology we secured through our acquisition of cVidya in January 2016.”</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Gelman concluded, “We enter fiscal 2017 focused on building the engines to support our customers in strategic areas such as digital modernization, the enterprise segment, Pay TV and network function virtualization. With the visibility provided by our record 12-month backlog we are targeting full year non-GAAP earnings per share growth of 4.5% to 8.5% while monitoring various macro and industry specific risks, including the impact of consolidation activity in North America. Finally, we are pleased to announce a planned increase in the quarterly cash dividend of nearly 13% to 22 cents per share, payable in April 2017 if approved by shareholders at the annual meeting in January 2017. This marks the fourth consecutive year that our Board has approved an increase in the dividend and further demonstrates our confidence in the future success of Amdocs.”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Fourth Fiscal Quarter Results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Free cash flow was $125 million for the fourth quarter of fiscal 2016, comprised of cash flow from operations of $153 million, less $28 million in net capital expenditures and other.</w:t>
      </w:r>
    </w:p>
    <w:p>
      <w:pPr>
        <w:sectPr>
          <w:pgSz w:w="11900" w:h="16838" w:orient="portrait"/>
          <w:cols w:equalWidth="0" w:num="1">
            <w:col w:w="11340"/>
          </w:cols>
          <w:pgMar w:left="240" w:top="274" w:right="319" w:bottom="1440" w:gutter="0" w:footer="0" w:header="0"/>
        </w:sectPr>
      </w:pPr>
    </w:p>
    <w:bookmarkStart w:id="7" w:name="page8"/>
    <w:bookmarkEnd w:id="7"/>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Twelve-month backlog, which includes anticipated revenue related to contracts, estimated revenue from managed services contracts, letters of intent, maintenance and estimated on-going support activities, was $3.17 billion at the end of the fourth quarter of fiscal 2016, up $60 million from the end of the prior quarter, with approximately half of the increase due to acquisitions.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2016 Results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fiscal year ended September 30, 2016, revenue increased by 2.0% to $3.7 billion. The Company’s GAAP net income in fiscal 2016 was $409.3 million, or $2.71 per diluted share, compared to GAAP net income of $446.2 million, or $2.85 per diluted share, in fiscal 2015. Fiscal 2016 net income on a non-GAAP basis was $540.1 million, or $3.57 per diluted share (excluding amortization of purchased intangible assets and other acquisition-related costs and equity-based compensation expenses of $130.8 million, net of related tax effects), compared to non-GAAP net income of $529.7 million, or $3.38 per diluted share, in fiscal 2015 (excluding amortization of purchased intangible assets and other acquisition-related costs, nonrecurring restructuring charges associated with the acquisition of the Comverse BSS assets, changes in fair value of certain acquisition-related liabilities and equity-based compensation expenses of $83.5 million, net of related tax effects).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expects that revenue for the first quarter of fiscal 2017 will be approximately $935-$975 million. Embedded within this guidance is an immaterial sequential impact from foreign currency fluctuations as compared to the fourth quarter of fiscal 2016. This outlook takes into consideration the company’s expectations regarding macro and industry specific risks and various uncertainties and certain assumptions that we will discuss on our earnings conference call. However, Amdocs notes that it cannot predict all possible outcomes, including those resulting from AT&amp;T’s proposed merger with Time Warner or from other current and potential customer consolidation activity in North America.</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Amdocs estimates GAAP diluted earnings per share for the first fiscal quarter of 2017 will be $0.59-$0.67. Diluted earnings per share on a non-GAAP basis for the first quarter of</w:t>
      </w:r>
    </w:p>
    <w:p>
      <w:pPr>
        <w:sectPr>
          <w:pgSz w:w="11900" w:h="16838" w:orient="portrait"/>
          <w:cols w:equalWidth="0" w:num="1">
            <w:col w:w="11380"/>
          </w:cols>
          <w:pgMar w:left="240" w:top="274" w:right="279" w:bottom="1440" w:gutter="0" w:footer="0" w:header="0"/>
        </w:sectPr>
      </w:pPr>
    </w:p>
    <w:bookmarkStart w:id="8" w:name="page9"/>
    <w:bookmarkEnd w:id="8"/>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2017 is expected to be $0.87-$0.93, excluding amortization of purchased intangible assets and other acquisition-related costs and approximately $0.09-$0.10 per share of equity-based compensation expense, net of related tax effects.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8, 2016, the Board approved the Company’s next quarterly cash dividend payment of $0.195 per share and set December 30, 2016 as the record date for determining the shareholders entitled to receive the dividend, which will be payable on January 13, 2017. The Board also approved an increase in the Company’s quarterly cash dividend payment to $0.22 per share, which is anticipated to be paid in April 2017, provided that the increase is approved by shareholders at the January 2017 annual general meeting of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Amdocs will host a conference call on November 8, 2016 at 5:00 p.m. Eastern Time to discuss the Company’s fourth fiscal quarter and fiscal year 2016 results. To participate, please dial +1 (844) 513-7152, or +1 (508) 637-5600 outside the United States, approximately 15 minutes before the call and enter passcode 97721633. The call will also be carried live on the Internet via the Amdocs website, www.amdocs.com.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Analyst &amp; Investor Briefing</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Amdocs will host an Analyst and Investor briefing on Wednesday, December 14 at the NASDAQ market site headquarters in New York City’s midtown. Please contact investor relations for further details and check our investor relations website several days in advance for details on how to access the live webcast.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w:t>
      </w:r>
    </w:p>
    <w:p>
      <w:pPr>
        <w:sectPr>
          <w:pgSz w:w="11900" w:h="16838" w:orient="portrait"/>
          <w:cols w:equalWidth="0" w:num="1">
            <w:col w:w="11420"/>
          </w:cols>
          <w:pgMar w:left="240" w:top="274" w:right="239" w:bottom="144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taxes, non-GAAP effective tax rate, non-GAAP net income and non-GAAP diluted earnings per share growth. These non-GAAP measures exclude the following items:</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nonrecurring restructuring charges associated with the Comverse acquisition;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nonrecurring restructuring charges</w:t>
      </w:r>
    </w:p>
    <w:p>
      <w:pPr>
        <w:sectPr>
          <w:pgSz w:w="11900" w:h="16838" w:orient="portrait"/>
          <w:cols w:equalWidth="0" w:num="1">
            <w:col w:w="11380"/>
          </w:cols>
          <w:pgMar w:left="240" w:top="274" w:right="27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associated with the acquisition of the Comverse BSS assets,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Amdocs is the market leader in customer experience software solutions and services for the world’s largest communications, entertainment and media service providers. For more than 30 years, Amdocs solutions, which include BSS, OSS, network control, optimization and network functions virtualization, coupled with professional and managed services, have accelerated business value for its customers by simplifying business complexity, reducing costs and delivering a world-class customer experience.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Amdocs portfolio enables service providers to capture the world of digital immediacy by operating across digital dimensions to engage customers with personalized, omni-channel experiences; creating a diversified business to capture new revenue streams; becoming data empowered to make business and operational decisions based on insight-based and predictive analytics; and achieving service agility to accelerate the fast rollout of new technologies and hybrid network services.</w:t>
      </w:r>
    </w:p>
    <w:p>
      <w:pPr>
        <w:sectPr>
          <w:pgSz w:w="11900" w:h="16838" w:orient="portrait"/>
          <w:cols w:equalWidth="0" w:num="1">
            <w:col w:w="11360"/>
          </w:cols>
          <w:pgMar w:left="240" w:top="274" w:right="299" w:bottom="144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and its 25,000 employees serve customers in over 90 countries. Listed on the NASDAQ Global Select Market, Amdocs had revenue of $3.7 billion in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Amdocs at www.amdocs.com.</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2015 filed on December 10, 2015 and our Form 6-K furnished for the first quarter of fiscal 2016 on February 16, 2016, for the second quarter of fiscal 2016 on May 17, 2016 and for the third quarter of fiscal 2016 on August 8,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280"/>
          </w:cols>
          <w:pgMar w:left="240" w:top="274"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ind w:left="3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ind w:lef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940,656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926,776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3,718,229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3,643,538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611,107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603,105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2,408,040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2,349,488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61,043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65,900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252,292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117,030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111,191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32,979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109,873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822,159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817,076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3,235,088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3,127,590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118,497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109,700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515,948</w:t>
            </w: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119,146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108,325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513,404</w:t>
            </w: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23,437</w:t>
            </w:r>
          </w:p>
        </w:tc>
        <w:tc>
          <w:tcPr>
            <w:tcW w:w="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17,195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75,367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95,709</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409,331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446,163</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147,281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152,601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148,984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155,201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156,809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940,656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926,776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3,718,229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3,643,538</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161,078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156,917</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635,714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618,675</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132,360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130,353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529,700</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148,984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155,201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156,809</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right"/>
        <w:ind w:right="2220"/>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-3175</wp:posOffset>
            </wp:positionV>
            <wp:extent cx="3456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jc w:val="right"/>
        <w:ind w:right="220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purchased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611,107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(4,802)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$ 606,305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117,030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(32,979)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822,159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(32,979)</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118,497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32,979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Three months ended</w:t>
      </w:r>
    </w:p>
    <w:p>
      <w:pPr>
        <w:ind w:left="7620"/>
        <w:spacing w:after="0" w:line="236" w:lineRule="auto"/>
        <w:rPr>
          <w:sz w:val="20"/>
          <w:szCs w:val="20"/>
          <w:color w:val="auto"/>
        </w:rPr>
      </w:pPr>
      <w:r>
        <w:rPr>
          <w:rFonts w:ascii="Arial" w:cs="Arial" w:eastAsia="Arial" w:hAnsi="Arial"/>
          <w:sz w:val="14"/>
          <w:szCs w:val="14"/>
          <w:b w:val="1"/>
          <w:bCs w:val="1"/>
          <w:color w:val="auto"/>
        </w:rPr>
        <w:t>September 30,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5"/>
          </w:tcPr>
          <w:p>
            <w:pPr>
              <w:ind w:left="6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Amortization of</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purchased</w:t>
            </w:r>
          </w:p>
        </w:tc>
        <w:tc>
          <w:tcPr>
            <w:tcW w:w="1140" w:type="dxa"/>
            <w:vAlign w:val="bottom"/>
            <w:gridSpan w:val="3"/>
            <w:vMerge w:val="continue"/>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GAAP</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60" w:type="dxa"/>
            <w:vAlign w:val="bottom"/>
            <w:gridSpan w:val="3"/>
            <w:vMerge w:val="continue"/>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assets and other</w:t>
            </w:r>
          </w:p>
        </w:tc>
        <w:tc>
          <w:tcPr>
            <w:tcW w:w="1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expense</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charges</w:t>
            </w:r>
          </w:p>
        </w:tc>
        <w:tc>
          <w:tcPr>
            <w:tcW w:w="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603,105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$ 599,251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111,191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(5,653)</w:t>
            </w:r>
          </w:p>
        </w:tc>
        <w:tc>
          <w:tcPr>
            <w:tcW w:w="14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(23,880)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(13,000)</w:t>
            </w:r>
          </w:p>
        </w:tc>
        <w:tc>
          <w:tcPr>
            <w:tcW w:w="12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817,076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(23,880)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(13,000)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109,700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23,880</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13,000</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25,189</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91,130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23,880</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13,000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(7,994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$ 130,353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wp:posOffset>
            </wp:positionV>
            <wp:extent cx="41421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ind w:left="744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purchased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Equity based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intangible assets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4"/>
              </w:rPr>
              <w:t>Tax effect</w:t>
            </w:r>
          </w:p>
        </w:tc>
        <w:tc>
          <w:tcPr>
            <w:tcW w:w="2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compensation expense</w:t>
            </w: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2,408,040</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(18,249)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2,389,791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252,292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464,883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(20,709)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3,235,088</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(109,873)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3,082,515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483,141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109,873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75,367</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21,788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409,331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109,873</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(21,788)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left="3520"/>
        <w:spacing w:after="0"/>
        <w:rPr>
          <w:sz w:val="20"/>
          <w:szCs w:val="20"/>
          <w:color w:val="auto"/>
        </w:rPr>
      </w:pPr>
      <w:r>
        <w:rPr>
          <w:rFonts w:ascii="Arial" w:cs="Arial" w:eastAsia="Arial" w:hAnsi="Arial"/>
          <w:sz w:val="14"/>
          <w:szCs w:val="14"/>
          <w:b w:val="1"/>
          <w:bCs w:val="1"/>
          <w:color w:val="auto"/>
        </w:rPr>
        <w:t>Fiscal year ended</w:t>
      </w:r>
    </w:p>
    <w:p>
      <w:pPr>
        <w:jc w:val="center"/>
        <w:ind w:left="3520"/>
        <w:spacing w:after="0" w:line="236" w:lineRule="auto"/>
        <w:rPr>
          <w:sz w:val="20"/>
          <w:szCs w:val="20"/>
          <w:color w:val="auto"/>
        </w:rPr>
      </w:pPr>
      <w:r>
        <w:rPr>
          <w:rFonts w:ascii="Arial" w:cs="Arial" w:eastAsia="Arial" w:hAnsi="Arial"/>
          <w:sz w:val="14"/>
          <w:szCs w:val="14"/>
          <w:b w:val="1"/>
          <w:bCs w:val="1"/>
          <w:color w:val="auto"/>
        </w:rPr>
        <w:t>September 30,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Reconciliation items</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20" w:type="dxa"/>
            <w:vAlign w:val="bottom"/>
          </w:tcPr>
          <w:p>
            <w:pPr>
              <w:spacing w:after="0"/>
              <w:rPr>
                <w:sz w:val="10"/>
                <w:szCs w:val="10"/>
                <w:color w:val="auto"/>
              </w:rPr>
            </w:pPr>
          </w:p>
        </w:tc>
        <w:tc>
          <w:tcPr>
            <w:tcW w:w="11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1"/>
              </w:rPr>
              <w:t>Equity based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Changes in 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purchased</w:t>
            </w: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Restructuring</w:t>
            </w:r>
          </w:p>
        </w:tc>
        <w:tc>
          <w:tcPr>
            <w:tcW w:w="8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value of certain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intangible assets</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Tax effect</w:t>
            </w:r>
          </w:p>
        </w:tc>
        <w:tc>
          <w:tcPr>
            <w:tcW w:w="12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expense</w:t>
            </w:r>
          </w:p>
        </w:tc>
        <w:tc>
          <w:tcPr>
            <w:tcW w:w="14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charges</w:t>
            </w:r>
          </w:p>
        </w:tc>
        <w:tc>
          <w:tcPr>
            <w:tcW w:w="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related liabilities</w:t>
            </w: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2,349,488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(15,621)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24,906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2,358,773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440,085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(25,539)</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 intangible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assets and other</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70,073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3,127,590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(44,560)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515,948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44,560</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70,073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1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1,095,723</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1,354,012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Accounts receivable, net, including unbilled of $134,122 and $80,197, respectively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818,531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186,137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2,100,391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2,378,162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40" w:type="dxa"/>
            <w:vAlign w:val="bottom"/>
            <w:gridSpan w:val="3"/>
          </w:tcPr>
          <w:p>
            <w:pPr>
              <w:spacing w:after="0"/>
              <w:rPr>
                <w:sz w:val="20"/>
                <w:szCs w:val="20"/>
                <w:color w:val="auto"/>
              </w:rPr>
            </w:pPr>
            <w:r>
              <w:rPr>
                <w:rFonts w:ascii="Arial" w:cs="Arial" w:eastAsia="Arial" w:hAnsi="Arial"/>
                <w:sz w:val="18"/>
                <w:szCs w:val="18"/>
                <w:color w:val="auto"/>
              </w:rPr>
              <w:t>Equipment and leasehold improvements, net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331,728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309,320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2,493,166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406,070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5,331,355</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992,679</w:t>
            </w:r>
          </w:p>
        </w:tc>
        <w:tc>
          <w:tcPr>
            <w:tcW w:w="2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173,331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1,366,010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511,784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3,453,561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3,406,842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5,331,355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Due to the early adoption of Accounting Standard Update 2015-17, starting the first quarter of fiscal year 2016, all deferred tax assets and liabilities are classified as noncurrent on the balance sheet. Prior balance sheets were not retrospectively adjusted.</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1"/>
              </w:rPr>
              <w:t>Fiscal 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409,331</w:t>
            </w: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211,791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(2,315)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(70,859)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(49,828)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(130,086)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361,960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(370,742)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(283,450)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(18,533)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(440,851)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(379,654)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(413,422)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Payments of dividends</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(109,304)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(446,296)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(460,664)</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(266,913)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1,035,573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1,103,269</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768,660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$ 591.8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Europe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118.9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940.7</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930.1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479.2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$ 908.1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Directory</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930.1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$ 3,110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2019-12-06T22:03:59Z</dcterms:created>
  <dcterms:modified xsi:type="dcterms:W3CDTF">2019-12-06T22:03:59Z</dcterms:modified>
</cp:coreProperties>
</file>