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jc w:val="center"/>
        <w:ind w:right="3259"/>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jc w:val="center"/>
        <w:ind w:right="3259"/>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ind w:left="2860"/>
        <w:spacing w:after="0"/>
        <w:rPr>
          <w:sz w:val="20"/>
          <w:szCs w:val="20"/>
          <w:color w:val="auto"/>
        </w:rPr>
      </w:pPr>
      <w:r>
        <w:rPr>
          <w:rFonts w:ascii="Courier New" w:cs="Courier New" w:eastAsia="Courier New" w:hAnsi="Courier New"/>
          <w:sz w:val="18"/>
          <w:szCs w:val="18"/>
          <w:color w:val="auto"/>
        </w:rPr>
        <w:t>Schedule 13G</w:t>
      </w:r>
    </w:p>
    <w:p>
      <w:pPr>
        <w:spacing w:after="0" w:line="200" w:lineRule="exact"/>
        <w:rPr>
          <w:sz w:val="24"/>
          <w:szCs w:val="24"/>
          <w:color w:val="auto"/>
        </w:rPr>
      </w:pPr>
    </w:p>
    <w:p>
      <w:pPr>
        <w:spacing w:after="0" w:line="204" w:lineRule="exact"/>
        <w:rPr>
          <w:sz w:val="24"/>
          <w:szCs w:val="24"/>
          <w:color w:val="auto"/>
        </w:rPr>
      </w:pPr>
    </w:p>
    <w:p>
      <w:pPr>
        <w:jc w:val="center"/>
        <w:ind w:right="3359"/>
        <w:spacing w:after="0"/>
        <w:rPr>
          <w:sz w:val="20"/>
          <w:szCs w:val="20"/>
          <w:color w:val="auto"/>
        </w:rPr>
      </w:pPr>
      <w:r>
        <w:rPr>
          <w:rFonts w:ascii="Courier New" w:cs="Courier New" w:eastAsia="Courier New" w:hAnsi="Courier New"/>
          <w:sz w:val="18"/>
          <w:szCs w:val="18"/>
          <w:color w:val="auto"/>
        </w:rPr>
        <w:t>Under the Securities Exchange Act of 1934</w:t>
      </w:r>
    </w:p>
    <w:p>
      <w:pPr>
        <w:jc w:val="center"/>
        <w:ind w:right="3359"/>
        <w:spacing w:after="0" w:line="238" w:lineRule="auto"/>
        <w:rPr>
          <w:sz w:val="20"/>
          <w:szCs w:val="20"/>
          <w:color w:val="auto"/>
        </w:rPr>
      </w:pPr>
      <w:r>
        <w:rPr>
          <w:rFonts w:ascii="Courier New" w:cs="Courier New" w:eastAsia="Courier New" w:hAnsi="Courier New"/>
          <w:sz w:val="18"/>
          <w:szCs w:val="18"/>
          <w:color w:val="auto"/>
        </w:rPr>
        <w:t>(Amendment No. )*</w:t>
      </w:r>
    </w:p>
    <w:p>
      <w:pPr>
        <w:spacing w:after="0" w:line="202" w:lineRule="exact"/>
        <w:rPr>
          <w:sz w:val="24"/>
          <w:szCs w:val="24"/>
          <w:color w:val="auto"/>
        </w:rPr>
      </w:pPr>
    </w:p>
    <w:p>
      <w:pPr>
        <w:jc w:val="center"/>
        <w:ind w:right="3259"/>
        <w:spacing w:after="0"/>
        <w:rPr>
          <w:sz w:val="20"/>
          <w:szCs w:val="20"/>
          <w:color w:val="auto"/>
        </w:rPr>
      </w:pPr>
      <w:r>
        <w:rPr>
          <w:rFonts w:ascii="Courier New" w:cs="Courier New" w:eastAsia="Courier New" w:hAnsi="Courier New"/>
          <w:sz w:val="18"/>
          <w:szCs w:val="18"/>
          <w:color w:val="auto"/>
        </w:rPr>
        <w:t>AMDOCS LTD</w:t>
      </w:r>
    </w:p>
    <w:p>
      <w:pPr>
        <w:ind w:left="1380"/>
        <w:spacing w:after="0" w:line="238" w:lineRule="auto"/>
        <w:rPr>
          <w:sz w:val="20"/>
          <w:szCs w:val="20"/>
          <w:color w:val="auto"/>
        </w:rPr>
      </w:pPr>
      <w:r>
        <w:rPr>
          <w:rFonts w:ascii="Courier New" w:cs="Courier New" w:eastAsia="Courier New" w:hAnsi="Courier New"/>
          <w:sz w:val="18"/>
          <w:szCs w:val="18"/>
          <w:color w:val="auto"/>
        </w:rPr>
        <w:t>_______________________________________</w:t>
      </w:r>
    </w:p>
    <w:p>
      <w:pPr>
        <w:ind w:left="2640"/>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line="203" w:lineRule="exact"/>
        <w:rPr>
          <w:sz w:val="24"/>
          <w:szCs w:val="24"/>
          <w:color w:val="auto"/>
        </w:rPr>
      </w:pPr>
    </w:p>
    <w:p>
      <w:pPr>
        <w:jc w:val="center"/>
        <w:ind w:right="3259"/>
        <w:spacing w:after="0"/>
        <w:rPr>
          <w:sz w:val="20"/>
          <w:szCs w:val="20"/>
          <w:color w:val="auto"/>
        </w:rPr>
      </w:pPr>
      <w:r>
        <w:rPr>
          <w:rFonts w:ascii="Courier New" w:cs="Courier New" w:eastAsia="Courier New" w:hAnsi="Courier New"/>
          <w:sz w:val="18"/>
          <w:szCs w:val="18"/>
          <w:color w:val="auto"/>
        </w:rPr>
        <w:t>Common Stock</w:t>
      </w:r>
    </w:p>
    <w:p>
      <w:pPr>
        <w:ind w:left="1380"/>
        <w:spacing w:after="0" w:line="238" w:lineRule="auto"/>
        <w:rPr>
          <w:sz w:val="20"/>
          <w:szCs w:val="20"/>
          <w:color w:val="auto"/>
        </w:rPr>
      </w:pPr>
      <w:r>
        <w:rPr>
          <w:rFonts w:ascii="Courier New" w:cs="Courier New" w:eastAsia="Courier New" w:hAnsi="Courier New"/>
          <w:sz w:val="18"/>
          <w:szCs w:val="18"/>
          <w:color w:val="auto"/>
        </w:rPr>
        <w:t>_______________________________________</w:t>
      </w:r>
    </w:p>
    <w:p>
      <w:pPr>
        <w:ind w:left="1900"/>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line="203" w:lineRule="exact"/>
        <w:rPr>
          <w:sz w:val="24"/>
          <w:szCs w:val="24"/>
          <w:color w:val="auto"/>
        </w:rPr>
      </w:pPr>
    </w:p>
    <w:p>
      <w:pPr>
        <w:jc w:val="center"/>
        <w:ind w:right="3359"/>
        <w:spacing w:after="0"/>
        <w:rPr>
          <w:sz w:val="20"/>
          <w:szCs w:val="20"/>
          <w:color w:val="auto"/>
        </w:rPr>
      </w:pPr>
      <w:r>
        <w:rPr>
          <w:rFonts w:ascii="Courier New" w:cs="Courier New" w:eastAsia="Courier New" w:hAnsi="Courier New"/>
          <w:sz w:val="18"/>
          <w:szCs w:val="18"/>
          <w:color w:val="auto"/>
        </w:rPr>
        <w:t>G02602103</w:t>
      </w:r>
    </w:p>
    <w:p>
      <w:pPr>
        <w:ind w:left="1380"/>
        <w:spacing w:after="0" w:line="238" w:lineRule="auto"/>
        <w:rPr>
          <w:sz w:val="20"/>
          <w:szCs w:val="20"/>
          <w:color w:val="auto"/>
        </w:rPr>
      </w:pPr>
      <w:r>
        <w:rPr>
          <w:rFonts w:ascii="Courier New" w:cs="Courier New" w:eastAsia="Courier New" w:hAnsi="Courier New"/>
          <w:sz w:val="18"/>
          <w:szCs w:val="18"/>
          <w:color w:val="auto"/>
        </w:rPr>
        <w:t>_______________________________________</w:t>
      </w:r>
    </w:p>
    <w:p>
      <w:pPr>
        <w:ind w:left="2740"/>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line="209"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Check the following box if a fee is being paid with this statement</w:t>
      </w:r>
    </w:p>
    <w:p>
      <w:pPr>
        <w:spacing w:after="0" w:line="16" w:lineRule="exact"/>
        <w:rPr>
          <w:sz w:val="24"/>
          <w:szCs w:val="24"/>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____.</w:t>
      </w:r>
      <w:r>
        <w:rPr>
          <w:sz w:val="20"/>
          <w:szCs w:val="20"/>
          <w:color w:val="auto"/>
        </w:rPr>
        <w:tab/>
      </w:r>
      <w:r>
        <w:rPr>
          <w:rFonts w:ascii="Courier New" w:cs="Courier New" w:eastAsia="Courier New" w:hAnsi="Courier New"/>
          <w:sz w:val="16"/>
          <w:szCs w:val="16"/>
          <w:color w:val="auto"/>
        </w:rPr>
        <w:t>(A fee is not required only if the filing person: (1) has a</w:t>
      </w:r>
    </w:p>
    <w:p>
      <w:pPr>
        <w:spacing w:after="0" w:line="4" w:lineRule="exact"/>
        <w:rPr>
          <w:sz w:val="24"/>
          <w:szCs w:val="24"/>
          <w:color w:val="auto"/>
        </w:rPr>
      </w:pPr>
    </w:p>
    <w:p>
      <w:pPr>
        <w:ind w:right="3259"/>
        <w:spacing w:after="0" w:line="237" w:lineRule="auto"/>
        <w:rPr>
          <w:sz w:val="20"/>
          <w:szCs w:val="20"/>
          <w:color w:val="auto"/>
        </w:rPr>
      </w:pPr>
      <w:r>
        <w:rPr>
          <w:rFonts w:ascii="Courier New" w:cs="Courier New" w:eastAsia="Courier New" w:hAnsi="Courier New"/>
          <w:sz w:val="18"/>
          <w:szCs w:val="18"/>
          <w:color w:val="auto"/>
        </w:rPr>
        <w:t>previous statement on file reporting beneficial ownership of more than five percent of the class of securities described in Item 1; and (2) has filed no amendment subsequent thereto reporting beneficial ownership of five percent or less of such class.) (See Rule 13d-7.)</w:t>
      </w:r>
    </w:p>
    <w:p>
      <w:pPr>
        <w:spacing w:after="0" w:line="209" w:lineRule="exact"/>
        <w:rPr>
          <w:sz w:val="24"/>
          <w:szCs w:val="24"/>
          <w:color w:val="auto"/>
        </w:rPr>
      </w:pPr>
    </w:p>
    <w:p>
      <w:pPr>
        <w:ind w:right="325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9" w:lineRule="exact"/>
        <w:rPr>
          <w:sz w:val="24"/>
          <w:szCs w:val="24"/>
          <w:color w:val="auto"/>
        </w:rPr>
      </w:pPr>
    </w:p>
    <w:p>
      <w:pPr>
        <w:ind w:right="3259"/>
        <w:spacing w:after="0" w:line="273"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179" w:lineRule="exact"/>
        <w:rPr>
          <w:sz w:val="24"/>
          <w:szCs w:val="24"/>
          <w:color w:val="auto"/>
        </w:rPr>
      </w:pPr>
    </w:p>
    <w:p>
      <w:pPr>
        <w:ind w:left="1800"/>
        <w:spacing w:after="0"/>
        <w:rPr>
          <w:sz w:val="20"/>
          <w:szCs w:val="20"/>
          <w:color w:val="auto"/>
        </w:rPr>
      </w:pPr>
      <w:r>
        <w:rPr>
          <w:rFonts w:ascii="Courier New" w:cs="Courier New" w:eastAsia="Courier New" w:hAnsi="Courier New"/>
          <w:sz w:val="18"/>
          <w:szCs w:val="18"/>
          <w:color w:val="auto"/>
        </w:rPr>
        <w:t>(Continued on following page(s))</w:t>
      </w:r>
    </w:p>
    <w:p>
      <w:pPr>
        <w:sectPr>
          <w:pgSz w:w="11900" w:h="16855" w:orient="portrait"/>
          <w:cols w:equalWidth="0" w:num="1">
            <w:col w:w="10219"/>
          </w:cols>
          <w:pgMar w:left="240" w:top="649" w:right="1440" w:bottom="0" w:gutter="0" w:footer="0" w:header="0"/>
        </w:sectPr>
      </w:pPr>
    </w:p>
    <w:p>
      <w:pPr>
        <w:spacing w:after="0" w:line="200" w:lineRule="exact"/>
        <w:rPr>
          <w:sz w:val="24"/>
          <w:szCs w:val="24"/>
          <w:color w:val="auto"/>
        </w:rPr>
      </w:pPr>
    </w:p>
    <w:p>
      <w:pPr>
        <w:spacing w:after="0" w:line="209"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CUSIP NO. G02602103</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Page 1 of 5 Pages</w:t>
      </w:r>
    </w:p>
    <w:p>
      <w:pPr>
        <w:spacing w:after="0" w:line="16" w:lineRule="exact"/>
        <w:rPr>
          <w:sz w:val="24"/>
          <w:szCs w:val="24"/>
          <w:color w:val="auto"/>
        </w:rPr>
      </w:pPr>
    </w:p>
    <w:p>
      <w:pPr>
        <w:ind w:left="840"/>
        <w:spacing w:after="0"/>
        <w:rPr>
          <w:sz w:val="20"/>
          <w:szCs w:val="20"/>
          <w:color w:val="auto"/>
        </w:rPr>
      </w:pPr>
      <w:r>
        <w:rPr>
          <w:rFonts w:ascii="Courier New" w:cs="Courier New" w:eastAsia="Courier New" w:hAnsi="Courier New"/>
          <w:sz w:val="18"/>
          <w:szCs w:val="18"/>
          <w:color w:val="auto"/>
        </w:rPr>
        <w:t>13G</w:t>
      </w:r>
    </w:p>
    <w:p>
      <w:pPr>
        <w:spacing w:after="0" w:line="20" w:lineRule="exact"/>
        <w:rPr>
          <w:sz w:val="24"/>
          <w:szCs w:val="24"/>
          <w:color w:val="auto"/>
        </w:rPr>
      </w:pPr>
      <w:r>
        <w:rPr>
          <w:sz w:val="24"/>
          <w:szCs w:val="24"/>
          <w:color w:val="auto"/>
        </w:rPr>
        <w:br w:type="column"/>
      </w:r>
    </w:p>
    <w:p>
      <w:pPr>
        <w:spacing w:after="0" w:line="389"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Page 2 of 5 Pages</w:t>
      </w:r>
    </w:p>
    <w:p>
      <w:pPr>
        <w:spacing w:after="0" w:line="216" w:lineRule="exact"/>
        <w:rPr>
          <w:sz w:val="24"/>
          <w:szCs w:val="24"/>
          <w:color w:val="auto"/>
        </w:rPr>
      </w:pPr>
    </w:p>
    <w:p>
      <w:pPr>
        <w:sectPr>
          <w:pgSz w:w="11900" w:h="16855" w:orient="portrait"/>
          <w:cols w:equalWidth="0" w:num="3">
            <w:col w:w="2000" w:space="540"/>
            <w:col w:w="1780" w:space="120"/>
            <w:col w:w="5779"/>
          </w:cols>
          <w:pgMar w:left="240" w:top="649" w:right="1440" w:bottom="0" w:gutter="0" w:footer="0" w:header="0"/>
          <w:type w:val="continuous"/>
        </w:sectPr>
      </w:pPr>
    </w:p>
    <w:p>
      <w:pPr>
        <w:spacing w:after="0" w:line="1" w:lineRule="exact"/>
        <w:rPr>
          <w:sz w:val="24"/>
          <w:szCs w:val="24"/>
          <w:color w:val="auto"/>
        </w:rPr>
      </w:pPr>
    </w:p>
    <w:p>
      <w:pPr>
        <w:ind w:left="320" w:hanging="312"/>
        <w:spacing w:after="0"/>
        <w:tabs>
          <w:tab w:leader="none" w:pos="3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spacing w:after="0" w:line="4" w:lineRule="exact"/>
        <w:rPr>
          <w:rFonts w:ascii="Courier New" w:cs="Courier New" w:eastAsia="Courier New" w:hAnsi="Courier New"/>
          <w:sz w:val="18"/>
          <w:szCs w:val="18"/>
          <w:color w:val="auto"/>
        </w:rPr>
      </w:pPr>
    </w:p>
    <w:p>
      <w:pPr>
        <w:ind w:left="32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S.S. or I.R.S. Identification No. of Above Person</w:t>
      </w:r>
    </w:p>
    <w:p>
      <w:pPr>
        <w:spacing w:after="0" w:line="218" w:lineRule="exact"/>
        <w:rPr>
          <w:sz w:val="24"/>
          <w:szCs w:val="24"/>
          <w:color w:val="auto"/>
        </w:rPr>
      </w:pPr>
    </w:p>
    <w:p>
      <w:pPr>
        <w:ind w:left="320"/>
        <w:spacing w:after="0"/>
        <w:rPr>
          <w:sz w:val="20"/>
          <w:szCs w:val="20"/>
          <w:color w:val="auto"/>
        </w:rPr>
      </w:pPr>
      <w:r>
        <w:rPr>
          <w:rFonts w:ascii="Courier New" w:cs="Courier New" w:eastAsia="Courier New" w:hAnsi="Courier New"/>
          <w:sz w:val="18"/>
          <w:szCs w:val="18"/>
          <w:color w:val="auto"/>
        </w:rPr>
        <w:t>T. ROWE PRICE ASSOCIATES, INC.</w:t>
      </w:r>
    </w:p>
    <w:p>
      <w:pPr>
        <w:ind w:left="320"/>
        <w:spacing w:after="0" w:line="238" w:lineRule="auto"/>
        <w:rPr>
          <w:sz w:val="20"/>
          <w:szCs w:val="20"/>
          <w:color w:val="auto"/>
        </w:rPr>
      </w:pPr>
      <w:r>
        <w:rPr>
          <w:rFonts w:ascii="Courier New" w:cs="Courier New" w:eastAsia="Courier New" w:hAnsi="Courier New"/>
          <w:sz w:val="18"/>
          <w:szCs w:val="18"/>
          <w:color w:val="auto"/>
        </w:rPr>
        <w:t>52-0556948</w:t>
      </w:r>
    </w:p>
    <w:p>
      <w:pPr>
        <w:spacing w:after="0" w:line="202" w:lineRule="exact"/>
        <w:rPr>
          <w:sz w:val="24"/>
          <w:szCs w:val="24"/>
          <w:color w:val="auto"/>
        </w:rPr>
      </w:pPr>
    </w:p>
    <w:p>
      <w:pPr>
        <w:spacing w:after="0"/>
        <w:tabs>
          <w:tab w:leader="none" w:pos="300" w:val="left"/>
        </w:tabs>
        <w:rPr>
          <w:sz w:val="20"/>
          <w:szCs w:val="20"/>
          <w:color w:val="auto"/>
        </w:rPr>
      </w:pPr>
      <w:r>
        <w:rPr>
          <w:rFonts w:ascii="Courier New" w:cs="Courier New" w:eastAsia="Courier New" w:hAnsi="Courier New"/>
          <w:sz w:val="18"/>
          <w:szCs w:val="18"/>
          <w:color w:val="auto"/>
        </w:rPr>
        <w:t>2</w:t>
      </w:r>
      <w:r>
        <w:rPr>
          <w:sz w:val="20"/>
          <w:szCs w:val="20"/>
          <w:color w:val="auto"/>
        </w:rPr>
        <w:tab/>
      </w:r>
      <w:r>
        <w:rPr>
          <w:rFonts w:ascii="Courier New" w:cs="Courier New" w:eastAsia="Courier New" w:hAnsi="Courier New"/>
          <w:sz w:val="16"/>
          <w:szCs w:val="16"/>
          <w:color w:val="auto"/>
        </w:rPr>
        <w:t>Check the Appropriate Box if a Member of a Group*</w:t>
      </w:r>
    </w:p>
    <w:p>
      <w:pPr>
        <w:sectPr>
          <w:pgSz w:w="11900" w:h="16855" w:orient="portrait"/>
          <w:cols w:equalWidth="0" w:num="1">
            <w:col w:w="10219"/>
          </w:cols>
          <w:pgMar w:left="240" w:top="649" w:right="1440" w:bottom="0" w:gutter="0" w:footer="0" w:header="0"/>
          <w:type w:val="continuous"/>
        </w:sectPr>
      </w:pPr>
    </w:p>
    <w:p>
      <w:pPr>
        <w:spacing w:after="0" w:line="200" w:lineRule="exact"/>
        <w:rPr>
          <w:sz w:val="24"/>
          <w:szCs w:val="24"/>
          <w:color w:val="auto"/>
        </w:rPr>
      </w:pPr>
    </w:p>
    <w:p>
      <w:pPr>
        <w:spacing w:after="0" w:line="209" w:lineRule="exact"/>
        <w:rPr>
          <w:sz w:val="24"/>
          <w:szCs w:val="24"/>
          <w:color w:val="auto"/>
        </w:rPr>
      </w:pPr>
    </w:p>
    <w:p>
      <w:pPr>
        <w:ind w:left="320"/>
        <w:spacing w:after="0"/>
        <w:rPr>
          <w:sz w:val="20"/>
          <w:szCs w:val="20"/>
          <w:color w:val="auto"/>
        </w:rPr>
      </w:pPr>
      <w:r>
        <w:rPr>
          <w:rFonts w:ascii="Courier New" w:cs="Courier New" w:eastAsia="Courier New" w:hAnsi="Courier New"/>
          <w:sz w:val="16"/>
          <w:szCs w:val="16"/>
          <w:color w:val="auto"/>
        </w:rPr>
        <w:t>NOT APPLICABLE</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ind w:left="100"/>
        <w:spacing w:after="0"/>
        <w:rPr>
          <w:sz w:val="20"/>
          <w:szCs w:val="20"/>
          <w:color w:val="auto"/>
        </w:rPr>
      </w:pPr>
      <w:r>
        <w:rPr>
          <w:rFonts w:ascii="Courier New" w:cs="Courier New" w:eastAsia="Courier New" w:hAnsi="Courier New"/>
          <w:sz w:val="16"/>
          <w:szCs w:val="16"/>
          <w:color w:val="auto"/>
        </w:rPr>
        <w:t>(a) ____</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(b) ____</w:t>
      </w:r>
    </w:p>
    <w:p>
      <w:pPr>
        <w:spacing w:after="0" w:line="200" w:lineRule="exact"/>
        <w:rPr>
          <w:sz w:val="24"/>
          <w:szCs w:val="24"/>
          <w:color w:val="auto"/>
        </w:rPr>
      </w:pPr>
    </w:p>
    <w:p>
      <w:pPr>
        <w:sectPr>
          <w:pgSz w:w="11900" w:h="16855" w:orient="portrait"/>
          <w:cols w:equalWidth="0" w:num="2">
            <w:col w:w="4980" w:space="720"/>
            <w:col w:w="4519"/>
          </w:cols>
          <w:pgMar w:left="240" w:top="649" w:right="1440" w:bottom="0" w:gutter="0" w:footer="0" w:header="0"/>
          <w:type w:val="continuous"/>
        </w:sectPr>
      </w:pPr>
    </w:p>
    <w:p>
      <w:pPr>
        <w:spacing w:after="0" w:line="1" w:lineRule="exact"/>
        <w:rPr>
          <w:sz w:val="24"/>
          <w:szCs w:val="24"/>
          <w:color w:val="auto"/>
        </w:rPr>
      </w:pPr>
    </w:p>
    <w:p>
      <w:pPr>
        <w:ind w:left="320" w:hanging="312"/>
        <w:spacing w:after="0"/>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3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______________________________</w:t>
      </w:r>
    </w:p>
    <w:p>
      <w:pPr>
        <w:spacing w:after="0" w:line="201" w:lineRule="exact"/>
        <w:rPr>
          <w:sz w:val="24"/>
          <w:szCs w:val="24"/>
          <w:color w:val="auto"/>
        </w:rPr>
      </w:pPr>
    </w:p>
    <w:p>
      <w:pPr>
        <w:ind w:left="320" w:hanging="312"/>
        <w:spacing w:after="0"/>
        <w:tabs>
          <w:tab w:leader="none" w:pos="3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rFonts w:ascii="Courier New" w:cs="Courier New" w:eastAsia="Courier New" w:hAnsi="Courier New"/>
          <w:sz w:val="18"/>
          <w:szCs w:val="18"/>
          <w:color w:val="auto"/>
        </w:rPr>
      </w:pPr>
    </w:p>
    <w:p>
      <w:pPr>
        <w:ind w:left="3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MARYLAND</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1480" w:type="dxa"/>
            <w:vAlign w:val="bottom"/>
          </w:tcPr>
          <w:p>
            <w:pPr>
              <w:spacing w:after="0"/>
              <w:rPr>
                <w:sz w:val="20"/>
                <w:szCs w:val="20"/>
                <w:color w:val="auto"/>
              </w:rPr>
            </w:pPr>
            <w:r>
              <w:rPr>
                <w:rFonts w:ascii="Courier New" w:cs="Courier New" w:eastAsia="Courier New" w:hAnsi="Courier New"/>
                <w:sz w:val="18"/>
                <w:szCs w:val="18"/>
                <w:color w:val="auto"/>
              </w:rPr>
              <w:t>Number of</w:t>
            </w:r>
          </w:p>
        </w:tc>
        <w:tc>
          <w:tcPr>
            <w:tcW w:w="380" w:type="dxa"/>
            <w:vAlign w:val="bottom"/>
          </w:tcPr>
          <w:p>
            <w:pPr>
              <w:ind w:left="100"/>
              <w:spacing w:after="0"/>
              <w:rPr>
                <w:sz w:val="20"/>
                <w:szCs w:val="20"/>
                <w:color w:val="auto"/>
              </w:rPr>
            </w:pPr>
            <w:r>
              <w:rPr>
                <w:rFonts w:ascii="Courier New" w:cs="Courier New" w:eastAsia="Courier New" w:hAnsi="Courier New"/>
                <w:sz w:val="18"/>
                <w:szCs w:val="18"/>
                <w:color w:val="auto"/>
              </w:rPr>
              <w:t>5</w:t>
            </w:r>
          </w:p>
        </w:tc>
        <w:tc>
          <w:tcPr>
            <w:tcW w:w="2360" w:type="dxa"/>
            <w:vAlign w:val="bottom"/>
          </w:tcPr>
          <w:p>
            <w:pPr>
              <w:ind w:left="40"/>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480" w:type="dxa"/>
            <w:vAlign w:val="bottom"/>
          </w:tcPr>
          <w:p>
            <w:pPr>
              <w:spacing w:after="0"/>
              <w:rPr>
                <w:sz w:val="17"/>
                <w:szCs w:val="17"/>
                <w:color w:val="auto"/>
              </w:rPr>
            </w:pPr>
          </w:p>
        </w:tc>
        <w:tc>
          <w:tcPr>
            <w:tcW w:w="3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t>
            </w:r>
          </w:p>
        </w:tc>
        <w:tc>
          <w:tcPr>
            <w:tcW w:w="2360" w:type="dxa"/>
            <w:vAlign w:val="bottom"/>
          </w:tcPr>
          <w:p>
            <w:pPr>
              <w:spacing w:after="0"/>
              <w:rPr>
                <w:sz w:val="17"/>
                <w:szCs w:val="17"/>
                <w:color w:val="auto"/>
              </w:rPr>
            </w:pP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380" w:type="dxa"/>
            <w:vAlign w:val="bottom"/>
          </w:tcPr>
          <w:p>
            <w:pPr>
              <w:spacing w:after="0"/>
              <w:rPr>
                <w:sz w:val="17"/>
                <w:szCs w:val="17"/>
                <w:color w:val="auto"/>
              </w:rPr>
            </w:pPr>
          </w:p>
        </w:tc>
        <w:tc>
          <w:tcPr>
            <w:tcW w:w="2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1,677,400</w:t>
            </w:r>
          </w:p>
        </w:tc>
      </w:tr>
      <w:tr>
        <w:trPr>
          <w:trHeight w:val="405"/>
        </w:trPr>
        <w:tc>
          <w:tcPr>
            <w:tcW w:w="1480" w:type="dxa"/>
            <w:vAlign w:val="bottom"/>
          </w:tcPr>
          <w:p>
            <w:pPr>
              <w:spacing w:after="0"/>
              <w:rPr>
                <w:sz w:val="20"/>
                <w:szCs w:val="20"/>
                <w:color w:val="auto"/>
              </w:rPr>
            </w:pPr>
            <w:r>
              <w:rPr>
                <w:rFonts w:ascii="Courier New" w:cs="Courier New" w:eastAsia="Courier New" w:hAnsi="Courier New"/>
                <w:sz w:val="18"/>
                <w:szCs w:val="18"/>
                <w:color w:val="auto"/>
              </w:rPr>
              <w:t>Beneficially</w:t>
            </w:r>
          </w:p>
        </w:tc>
        <w:tc>
          <w:tcPr>
            <w:tcW w:w="380" w:type="dxa"/>
            <w:vAlign w:val="bottom"/>
          </w:tcPr>
          <w:p>
            <w:pPr>
              <w:ind w:left="100"/>
              <w:spacing w:after="0"/>
              <w:rPr>
                <w:sz w:val="20"/>
                <w:szCs w:val="20"/>
                <w:color w:val="auto"/>
              </w:rPr>
            </w:pPr>
            <w:r>
              <w:rPr>
                <w:rFonts w:ascii="Courier New" w:cs="Courier New" w:eastAsia="Courier New" w:hAnsi="Courier New"/>
                <w:sz w:val="18"/>
                <w:szCs w:val="18"/>
                <w:color w:val="auto"/>
              </w:rPr>
              <w:t>6</w:t>
            </w:r>
          </w:p>
        </w:tc>
        <w:tc>
          <w:tcPr>
            <w:tcW w:w="2360" w:type="dxa"/>
            <w:vAlign w:val="bottom"/>
          </w:tcPr>
          <w:p>
            <w:pPr>
              <w:ind w:left="40"/>
              <w:spacing w:after="0"/>
              <w:rPr>
                <w:sz w:val="20"/>
                <w:szCs w:val="20"/>
                <w:color w:val="auto"/>
              </w:rPr>
            </w:pPr>
            <w:r>
              <w:rPr>
                <w:rFonts w:ascii="Courier New" w:cs="Courier New" w:eastAsia="Courier New" w:hAnsi="Courier New"/>
                <w:sz w:val="18"/>
                <w:szCs w:val="18"/>
                <w:color w:val="auto"/>
              </w:rPr>
              <w:t>Shared Voting Power</w:t>
            </w:r>
          </w:p>
        </w:tc>
      </w:tr>
      <w:tr>
        <w:trPr>
          <w:trHeight w:val="203"/>
        </w:trPr>
        <w:tc>
          <w:tcPr>
            <w:tcW w:w="1480" w:type="dxa"/>
            <w:vAlign w:val="bottom"/>
          </w:tcPr>
          <w:p>
            <w:pPr>
              <w:spacing w:after="0"/>
              <w:rPr>
                <w:sz w:val="17"/>
                <w:szCs w:val="17"/>
                <w:color w:val="auto"/>
              </w:rPr>
            </w:pPr>
          </w:p>
        </w:tc>
        <w:tc>
          <w:tcPr>
            <w:tcW w:w="3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t>
            </w:r>
          </w:p>
        </w:tc>
        <w:tc>
          <w:tcPr>
            <w:tcW w:w="2360" w:type="dxa"/>
            <w:vAlign w:val="bottom"/>
          </w:tcPr>
          <w:p>
            <w:pPr>
              <w:spacing w:after="0"/>
              <w:rPr>
                <w:sz w:val="17"/>
                <w:szCs w:val="17"/>
                <w:color w:val="auto"/>
              </w:rPr>
            </w:pP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 Each</w:t>
            </w:r>
          </w:p>
        </w:tc>
        <w:tc>
          <w:tcPr>
            <w:tcW w:w="380" w:type="dxa"/>
            <w:vAlign w:val="bottom"/>
          </w:tcPr>
          <w:p>
            <w:pPr>
              <w:spacing w:after="0"/>
              <w:rPr>
                <w:sz w:val="17"/>
                <w:szCs w:val="17"/>
                <w:color w:val="auto"/>
              </w:rPr>
            </w:pPr>
          </w:p>
        </w:tc>
        <w:tc>
          <w:tcPr>
            <w:tcW w:w="236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rPr>
              <w:t>-0-</w:t>
            </w:r>
          </w:p>
        </w:tc>
      </w:tr>
      <w:tr>
        <w:trPr>
          <w:trHeight w:val="405"/>
        </w:trPr>
        <w:tc>
          <w:tcPr>
            <w:tcW w:w="1480" w:type="dxa"/>
            <w:vAlign w:val="bottom"/>
          </w:tcPr>
          <w:p>
            <w:pPr>
              <w:spacing w:after="0"/>
              <w:rPr>
                <w:sz w:val="20"/>
                <w:szCs w:val="20"/>
                <w:color w:val="auto"/>
              </w:rPr>
            </w:pPr>
            <w:r>
              <w:rPr>
                <w:rFonts w:ascii="Courier New" w:cs="Courier New" w:eastAsia="Courier New" w:hAnsi="Courier New"/>
                <w:sz w:val="18"/>
                <w:szCs w:val="18"/>
                <w:color w:val="auto"/>
              </w:rPr>
              <w:t>Reporting</w:t>
            </w:r>
          </w:p>
        </w:tc>
        <w:tc>
          <w:tcPr>
            <w:tcW w:w="380" w:type="dxa"/>
            <w:vAlign w:val="bottom"/>
          </w:tcPr>
          <w:p>
            <w:pPr>
              <w:ind w:left="100"/>
              <w:spacing w:after="0"/>
              <w:rPr>
                <w:sz w:val="20"/>
                <w:szCs w:val="20"/>
                <w:color w:val="auto"/>
              </w:rPr>
            </w:pPr>
            <w:r>
              <w:rPr>
                <w:rFonts w:ascii="Courier New" w:cs="Courier New" w:eastAsia="Courier New" w:hAnsi="Courier New"/>
                <w:sz w:val="18"/>
                <w:szCs w:val="18"/>
                <w:color w:val="auto"/>
              </w:rPr>
              <w:t>7</w:t>
            </w:r>
          </w:p>
        </w:tc>
        <w:tc>
          <w:tcPr>
            <w:tcW w:w="2360" w:type="dxa"/>
            <w:vAlign w:val="bottom"/>
          </w:tcPr>
          <w:p>
            <w:pPr>
              <w:ind w:left="40"/>
              <w:spacing w:after="0"/>
              <w:rPr>
                <w:sz w:val="20"/>
                <w:szCs w:val="20"/>
                <w:color w:val="auto"/>
              </w:rPr>
            </w:pPr>
            <w:r>
              <w:rPr>
                <w:rFonts w:ascii="Courier New" w:cs="Courier New" w:eastAsia="Courier New" w:hAnsi="Courier New"/>
                <w:sz w:val="18"/>
                <w:szCs w:val="18"/>
                <w:color w:val="auto"/>
                <w:w w:val="96"/>
              </w:rPr>
              <w:t>Sole Dispositive Power</w:t>
            </w:r>
          </w:p>
        </w:tc>
      </w:tr>
      <w:tr>
        <w:trPr>
          <w:trHeight w:val="203"/>
        </w:trPr>
        <w:tc>
          <w:tcPr>
            <w:tcW w:w="1480" w:type="dxa"/>
            <w:vAlign w:val="bottom"/>
          </w:tcPr>
          <w:p>
            <w:pPr>
              <w:spacing w:after="0"/>
              <w:rPr>
                <w:sz w:val="17"/>
                <w:szCs w:val="17"/>
                <w:color w:val="auto"/>
              </w:rPr>
            </w:pPr>
          </w:p>
        </w:tc>
        <w:tc>
          <w:tcPr>
            <w:tcW w:w="3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t>
            </w:r>
          </w:p>
        </w:tc>
        <w:tc>
          <w:tcPr>
            <w:tcW w:w="2360" w:type="dxa"/>
            <w:vAlign w:val="bottom"/>
          </w:tcPr>
          <w:p>
            <w:pPr>
              <w:spacing w:after="0"/>
              <w:rPr>
                <w:sz w:val="17"/>
                <w:szCs w:val="17"/>
                <w:color w:val="auto"/>
              </w:rPr>
            </w:pPr>
          </w:p>
        </w:tc>
      </w:tr>
    </w:tbl>
    <w:p>
      <w:pPr>
        <w:sectPr>
          <w:pgSz w:w="11900" w:h="16855" w:orient="portrait"/>
          <w:cols w:equalWidth="0" w:num="1">
            <w:col w:w="10219"/>
          </w:cols>
          <w:pgMar w:left="240" w:top="649" w:right="1440" w:bottom="0" w:gutter="0" w:footer="0" w:header="0"/>
          <w:type w:val="continuous"/>
        </w:sectPr>
      </w:pPr>
    </w:p>
    <w:bookmarkStart w:id="1" w:name="page2"/>
    <w:bookmarkEnd w:id="1"/>
    <w:p>
      <w:pPr>
        <w:spacing w:after="0"/>
        <w:tabs>
          <w:tab w:leader="none" w:pos="1880" w:val="left"/>
        </w:tabs>
        <w:rPr>
          <w:sz w:val="20"/>
          <w:szCs w:val="20"/>
          <w:color w:val="auto"/>
        </w:rPr>
      </w:pPr>
      <w:r>
        <w:rPr>
          <w:rFonts w:ascii="Courier New" w:cs="Courier New" w:eastAsia="Courier New" w:hAnsi="Courier New"/>
          <w:sz w:val="18"/>
          <w:szCs w:val="18"/>
          <w:color w:val="auto"/>
        </w:rPr>
        <w:t>Person</w:t>
      </w:r>
      <w:r>
        <w:rPr>
          <w:sz w:val="20"/>
          <w:szCs w:val="20"/>
          <w:color w:val="auto"/>
        </w:rPr>
        <w:tab/>
      </w:r>
      <w:r>
        <w:rPr>
          <w:rFonts w:ascii="Courier New" w:cs="Courier New" w:eastAsia="Courier New" w:hAnsi="Courier New"/>
          <w:sz w:val="18"/>
          <w:szCs w:val="18"/>
          <w:color w:val="auto"/>
        </w:rPr>
        <w:t>11,263,600</w:t>
      </w:r>
    </w:p>
    <w:p>
      <w:pPr>
        <w:spacing w:after="0" w:line="201" w:lineRule="exact"/>
        <w:rPr>
          <w:sz w:val="20"/>
          <w:szCs w:val="20"/>
          <w:color w:val="auto"/>
        </w:rPr>
      </w:pPr>
    </w:p>
    <w:p>
      <w:pPr>
        <w:spacing w:after="0"/>
        <w:tabs>
          <w:tab w:leader="none" w:pos="1560" w:val="left"/>
          <w:tab w:leader="none" w:pos="1880" w:val="left"/>
        </w:tabs>
        <w:rPr>
          <w:sz w:val="20"/>
          <w:szCs w:val="20"/>
          <w:color w:val="auto"/>
        </w:rPr>
      </w:pPr>
      <w:r>
        <w:rPr>
          <w:rFonts w:ascii="Courier New" w:cs="Courier New" w:eastAsia="Courier New" w:hAnsi="Courier New"/>
          <w:sz w:val="18"/>
          <w:szCs w:val="18"/>
          <w:color w:val="auto"/>
        </w:rPr>
        <w:t>With</w:t>
      </w:r>
      <w:r>
        <w:rPr>
          <w:sz w:val="20"/>
          <w:szCs w:val="20"/>
          <w:color w:val="auto"/>
        </w:rPr>
        <w:tab/>
      </w:r>
      <w:r>
        <w:rPr>
          <w:rFonts w:ascii="Courier New" w:cs="Courier New" w:eastAsia="Courier New" w:hAnsi="Courier New"/>
          <w:sz w:val="18"/>
          <w:szCs w:val="18"/>
          <w:color w:val="auto"/>
        </w:rPr>
        <w:t>8</w:t>
      </w:r>
      <w:r>
        <w:rPr>
          <w:sz w:val="20"/>
          <w:szCs w:val="20"/>
          <w:color w:val="auto"/>
        </w:rPr>
        <w:tab/>
      </w:r>
      <w:r>
        <w:rPr>
          <w:rFonts w:ascii="Courier New" w:cs="Courier New" w:eastAsia="Courier New" w:hAnsi="Courier New"/>
          <w:sz w:val="16"/>
          <w:szCs w:val="16"/>
          <w:color w:val="auto"/>
        </w:rPr>
        <w:t>Shared Dispositive Power</w:t>
      </w:r>
    </w:p>
    <w:p>
      <w:pPr>
        <w:spacing w:after="0" w:line="201"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-0-</w:t>
      </w:r>
    </w:p>
    <w:p>
      <w:pPr>
        <w:spacing w:after="0" w:line="207" w:lineRule="exact"/>
        <w:rPr>
          <w:sz w:val="20"/>
          <w:szCs w:val="20"/>
          <w:color w:val="auto"/>
        </w:rPr>
      </w:pPr>
    </w:p>
    <w:p>
      <w:pPr>
        <w:ind w:left="320" w:hanging="312"/>
        <w:spacing w:after="0"/>
        <w:tabs>
          <w:tab w:leader="none" w:pos="3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Aggregate Amount Beneficially Owned by Each Reporting Person</w:t>
      </w:r>
    </w:p>
    <w:p>
      <w:pPr>
        <w:spacing w:after="0" w:line="218"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11,263,600</w:t>
      </w:r>
    </w:p>
    <w:p>
      <w:pPr>
        <w:spacing w:after="0" w:line="207" w:lineRule="exact"/>
        <w:rPr>
          <w:sz w:val="20"/>
          <w:szCs w:val="20"/>
          <w:color w:val="auto"/>
        </w:rPr>
      </w:pPr>
    </w:p>
    <w:p>
      <w:pPr>
        <w:ind w:left="320" w:right="3479" w:hanging="315"/>
        <w:spacing w:after="0" w:line="235" w:lineRule="auto"/>
        <w:rPr>
          <w:sz w:val="20"/>
          <w:szCs w:val="20"/>
          <w:color w:val="auto"/>
        </w:rPr>
      </w:pPr>
      <w:r>
        <w:rPr>
          <w:rFonts w:ascii="Courier New" w:cs="Courier New" w:eastAsia="Courier New" w:hAnsi="Courier New"/>
          <w:sz w:val="18"/>
          <w:szCs w:val="18"/>
          <w:color w:val="auto"/>
        </w:rPr>
        <w:t>10 Check Box if the Aggregate Amount in Row (9) Excludes Certain Shares*</w:t>
      </w:r>
    </w:p>
    <w:p>
      <w:pPr>
        <w:spacing w:after="0" w:line="203"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11 Percent of Class Represented by Amount in Row 9</w:t>
      </w:r>
    </w:p>
    <w:p>
      <w:pPr>
        <w:spacing w:after="0" w:line="20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5.4%</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12 Type of Reporting Person*</w:t>
      </w:r>
    </w:p>
    <w:p>
      <w:pPr>
        <w:spacing w:after="0" w:line="20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IA</w:t>
      </w:r>
    </w:p>
    <w:p>
      <w:pPr>
        <w:spacing w:after="0" w:line="201"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*SEE INSTRUCTION BEFORE FILLING OUT!</w:t>
      </w:r>
    </w:p>
    <w:p>
      <w:pPr>
        <w:ind w:left="960"/>
        <w:spacing w:after="0" w:line="238" w:lineRule="auto"/>
        <w:rPr>
          <w:sz w:val="20"/>
          <w:szCs w:val="20"/>
          <w:color w:val="auto"/>
        </w:rPr>
      </w:pPr>
      <w:r>
        <w:rPr>
          <w:rFonts w:ascii="Courier New" w:cs="Courier New" w:eastAsia="Courier New" w:hAnsi="Courier New"/>
          <w:sz w:val="18"/>
          <w:szCs w:val="18"/>
          <w:color w:val="auto"/>
        </w:rPr>
        <w:t>**Any shares reported in Items 5 and 6 are also</w:t>
      </w:r>
    </w:p>
    <w:p>
      <w:pPr>
        <w:ind w:left="2440"/>
        <w:spacing w:after="0"/>
        <w:rPr>
          <w:sz w:val="20"/>
          <w:szCs w:val="20"/>
          <w:color w:val="auto"/>
        </w:rPr>
      </w:pPr>
      <w:r>
        <w:rPr>
          <w:rFonts w:ascii="Courier New" w:cs="Courier New" w:eastAsia="Courier New" w:hAnsi="Courier New"/>
          <w:sz w:val="18"/>
          <w:szCs w:val="18"/>
          <w:color w:val="auto"/>
        </w:rPr>
        <w:t>reported in Item 7.</w:t>
      </w:r>
    </w:p>
    <w:p>
      <w:pPr>
        <w:spacing w:after="0" w:line="237" w:lineRule="auto"/>
        <w:rPr>
          <w:sz w:val="20"/>
          <w:szCs w:val="20"/>
          <w:color w:val="auto"/>
        </w:rPr>
      </w:pPr>
      <w:r>
        <w:rPr>
          <w:rFonts w:ascii="Courier New" w:cs="Courier New" w:eastAsia="Courier New" w:hAnsi="Courier New"/>
          <w:sz w:val="18"/>
          <w:szCs w:val="18"/>
          <w:color w:val="auto"/>
        </w:rPr>
        <w:t>SCHEDULE 13G</w:t>
      </w:r>
    </w:p>
    <w:p>
      <w:pPr>
        <w:spacing w:after="0"/>
        <w:tabs>
          <w:tab w:leader="none" w:pos="620" w:val="left"/>
          <w:tab w:leader="none" w:pos="940" w:val="left"/>
          <w:tab w:leader="none" w:pos="1460" w:val="left"/>
        </w:tabs>
        <w:rPr>
          <w:sz w:val="20"/>
          <w:szCs w:val="20"/>
          <w:color w:val="auto"/>
        </w:rPr>
      </w:pPr>
      <w:r>
        <w:rPr>
          <w:rFonts w:ascii="Courier New" w:cs="Courier New" w:eastAsia="Courier New" w:hAnsi="Courier New"/>
          <w:sz w:val="18"/>
          <w:szCs w:val="18"/>
          <w:color w:val="auto"/>
        </w:rPr>
        <w:t>PAGE</w:t>
        <w:tab/>
        <w:t>3</w:t>
        <w:tab/>
        <w:t>OF</w:t>
      </w:r>
      <w:r>
        <w:rPr>
          <w:sz w:val="20"/>
          <w:szCs w:val="20"/>
          <w:color w:val="auto"/>
        </w:rPr>
        <w:tab/>
      </w:r>
      <w:r>
        <w:rPr>
          <w:rFonts w:ascii="Courier New" w:cs="Courier New" w:eastAsia="Courier New" w:hAnsi="Courier New"/>
          <w:sz w:val="16"/>
          <w:szCs w:val="16"/>
          <w:color w:val="auto"/>
        </w:rPr>
        <w:t>5</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Reference is made to page 1 of this Schedule 13G</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07" w:lineRule="exact"/>
        <w:rPr>
          <w:sz w:val="20"/>
          <w:szCs w:val="20"/>
          <w:color w:val="auto"/>
        </w:rPr>
      </w:pPr>
    </w:p>
    <w:p>
      <w:pPr>
        <w:ind w:right="3779" w:firstLine="1580"/>
        <w:spacing w:after="0" w:line="235" w:lineRule="auto"/>
        <w:rPr>
          <w:sz w:val="20"/>
          <w:szCs w:val="20"/>
          <w:color w:val="auto"/>
        </w:rPr>
      </w:pPr>
      <w:r>
        <w:rPr>
          <w:rFonts w:ascii="Courier New" w:cs="Courier New" w:eastAsia="Courier New" w:hAnsi="Courier New"/>
          <w:sz w:val="18"/>
          <w:szCs w:val="18"/>
          <w:color w:val="auto"/>
        </w:rPr>
        <w:t>Ste. 5, Tower Hill House Le Bordage, St. Peter Port, Island of Guernsey X0 GV1 3QT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2(a) Name of Person(s) Filing:</w:t>
      </w:r>
    </w:p>
    <w:p>
      <w:pPr>
        <w:spacing w:after="0" w:line="207" w:lineRule="exact"/>
        <w:rPr>
          <w:sz w:val="20"/>
          <w:szCs w:val="20"/>
          <w:color w:val="auto"/>
        </w:rPr>
      </w:pPr>
    </w:p>
    <w:p>
      <w:pPr>
        <w:ind w:left="1580" w:right="4619" w:hanging="519"/>
        <w:spacing w:after="0" w:line="235" w:lineRule="auto"/>
        <w:tabs>
          <w:tab w:leader="none" w:pos="158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 Rowe Price Associates, Inc. ("Price Associates")</w:t>
      </w:r>
    </w:p>
    <w:p>
      <w:pPr>
        <w:spacing w:after="0" w:line="202" w:lineRule="exact"/>
        <w:rPr>
          <w:rFonts w:ascii="Courier New" w:cs="Courier New" w:eastAsia="Courier New" w:hAnsi="Courier New"/>
          <w:sz w:val="18"/>
          <w:szCs w:val="18"/>
          <w:color w:val="auto"/>
        </w:rPr>
      </w:pPr>
    </w:p>
    <w:p>
      <w:pPr>
        <w:ind w:left="1580" w:hanging="519"/>
        <w:spacing w:after="0"/>
        <w:tabs>
          <w:tab w:leader="none" w:pos="158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_______________________________________</w:t>
      </w:r>
    </w:p>
    <w:p>
      <w:pPr>
        <w:sectPr>
          <w:pgSz w:w="11900" w:h="16838" w:orient="portrait"/>
          <w:cols w:equalWidth="0" w:num="1">
            <w:col w:w="10219"/>
          </w:cols>
          <w:pgMar w:left="240" w:top="136" w:right="1440" w:bottom="0" w:gutter="0" w:footer="0" w:header="0"/>
        </w:sect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jc w:val="both"/>
        <w:ind w:right="3359"/>
        <w:spacing w:after="0" w:line="279" w:lineRule="auto"/>
        <w:rPr>
          <w:sz w:val="20"/>
          <w:szCs w:val="20"/>
          <w:color w:val="auto"/>
        </w:rPr>
      </w:pPr>
      <w:r>
        <w:rPr>
          <w:rFonts w:ascii="Courier New" w:cs="Courier New" w:eastAsia="Courier New" w:hAnsi="Courier New"/>
          <w:sz w:val="16"/>
          <w:szCs w:val="16"/>
          <w:color w:val="auto"/>
        </w:rPr>
        <w:t>Attached as Exhibit A is a copy of an agreement between the Persons Filing (as specified hereinabove) that this Schedule 13G is being filed on behalf of each of them.</w:t>
      </w:r>
    </w:p>
    <w:p>
      <w:pPr>
        <w:spacing w:after="0" w:line="173" w:lineRule="exact"/>
        <w:rPr>
          <w:sz w:val="20"/>
          <w:szCs w:val="20"/>
          <w:color w:val="auto"/>
        </w:rPr>
      </w:pPr>
    </w:p>
    <w:p>
      <w:pPr>
        <w:sectPr>
          <w:pgSz w:w="11900" w:h="16838" w:orient="portrait"/>
          <w:cols w:equalWidth="0" w:num="2">
            <w:col w:w="540" w:space="520"/>
            <w:col w:w="9159"/>
          </w:cols>
          <w:pgMar w:left="240" w:top="136" w:right="1440" w:bottom="0" w:gutter="0" w:footer="0" w:header="0"/>
          <w:type w:val="continuous"/>
        </w:sectPr>
      </w:pPr>
    </w:p>
    <w:p>
      <w:pPr>
        <w:spacing w:after="0"/>
        <w:rPr>
          <w:sz w:val="20"/>
          <w:szCs w:val="20"/>
          <w:color w:val="auto"/>
        </w:rPr>
      </w:pPr>
      <w:r>
        <w:rPr>
          <w:rFonts w:ascii="Courier New" w:cs="Courier New" w:eastAsia="Courier New" w:hAnsi="Courier New"/>
          <w:sz w:val="18"/>
          <w:szCs w:val="18"/>
          <w:color w:val="auto"/>
        </w:rPr>
        <w:t>Item 2(b) Address of Principal Business Office:</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100 E. Pratt Street, Baltimore, Maryland 21202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2(c) Citizenship or Place of Organization:</w:t>
      </w:r>
    </w:p>
    <w:p>
      <w:pPr>
        <w:spacing w:after="0" w:line="201" w:lineRule="exact"/>
        <w:rPr>
          <w:sz w:val="20"/>
          <w:szCs w:val="20"/>
          <w:color w:val="auto"/>
        </w:rPr>
      </w:pPr>
    </w:p>
    <w:p>
      <w:pPr>
        <w:ind w:left="1480" w:hanging="419"/>
        <w:spacing w:after="0"/>
        <w:tabs>
          <w:tab w:leader="none" w:pos="148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Maryland</w:t>
      </w:r>
    </w:p>
    <w:p>
      <w:pPr>
        <w:spacing w:after="0" w:line="201" w:lineRule="exact"/>
        <w:rPr>
          <w:rFonts w:ascii="Courier New" w:cs="Courier New" w:eastAsia="Courier New" w:hAnsi="Courier New"/>
          <w:sz w:val="18"/>
          <w:szCs w:val="18"/>
          <w:color w:val="auto"/>
        </w:rPr>
      </w:pPr>
    </w:p>
    <w:p>
      <w:pPr>
        <w:ind w:left="1580" w:hanging="519"/>
        <w:spacing w:after="0"/>
        <w:tabs>
          <w:tab w:leader="none" w:pos="158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________</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2(d) Title of Class of Securities:</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Reference is made to page 1 of this Schedule 13G</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2(e) CUSIP Number: G02602103</w:t>
      </w:r>
    </w:p>
    <w:p>
      <w:pPr>
        <w:spacing w:after="0" w:line="200" w:lineRule="exact"/>
        <w:rPr>
          <w:sz w:val="20"/>
          <w:szCs w:val="20"/>
          <w:color w:val="auto"/>
        </w:rPr>
      </w:pPr>
    </w:p>
    <w:p>
      <w:pPr>
        <w:spacing w:after="0" w:line="204"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The person filing this Schedule 13G is an:</w:t>
      </w:r>
    </w:p>
    <w:p>
      <w:pPr>
        <w:spacing w:after="0" w:line="207" w:lineRule="exact"/>
        <w:rPr>
          <w:sz w:val="20"/>
          <w:szCs w:val="20"/>
          <w:color w:val="auto"/>
        </w:rPr>
      </w:pPr>
    </w:p>
    <w:p>
      <w:pPr>
        <w:ind w:left="1060" w:right="3479" w:hanging="841"/>
        <w:spacing w:after="0" w:line="235" w:lineRule="auto"/>
        <w:tabs>
          <w:tab w:leader="none" w:pos="10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Investment Adviser registered under Section 203 of the Investment Advisers Act of 1940</w:t>
      </w:r>
    </w:p>
    <w:p>
      <w:pPr>
        <w:sectPr>
          <w:pgSz w:w="11900" w:h="16838" w:orient="portrait"/>
          <w:cols w:equalWidth="0" w:num="1">
            <w:col w:w="10219"/>
          </w:cols>
          <w:pgMar w:left="240" w:top="136" w:right="1440" w:bottom="0" w:gutter="0" w:footer="0" w:header="0"/>
          <w:type w:val="continuous"/>
        </w:sect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ind w:right="3679"/>
        <w:spacing w:after="0" w:line="235" w:lineRule="auto"/>
        <w:rPr>
          <w:sz w:val="20"/>
          <w:szCs w:val="20"/>
          <w:color w:val="auto"/>
        </w:rPr>
      </w:pPr>
      <w:r>
        <w:rPr>
          <w:rFonts w:ascii="Courier New" w:cs="Courier New" w:eastAsia="Courier New" w:hAnsi="Courier New"/>
          <w:sz w:val="18"/>
          <w:szCs w:val="18"/>
          <w:color w:val="auto"/>
        </w:rPr>
        <w:t>Investment Company registered under Section 8 of the Investment Company Act of 1940</w:t>
      </w:r>
    </w:p>
    <w:p>
      <w:pPr>
        <w:spacing w:after="0" w:line="200" w:lineRule="exact"/>
        <w:rPr>
          <w:sz w:val="20"/>
          <w:szCs w:val="20"/>
          <w:color w:val="auto"/>
        </w:rPr>
      </w:pPr>
    </w:p>
    <w:p>
      <w:pPr>
        <w:sectPr>
          <w:pgSz w:w="11900" w:h="16838" w:orient="portrait"/>
          <w:cols w:equalWidth="0" w:num="2">
            <w:col w:w="540" w:space="520"/>
            <w:col w:w="9159"/>
          </w:cols>
          <w:pgMar w:left="240" w:top="136" w:right="1440" w:bottom="0" w:gutter="0" w:footer="0" w:header="0"/>
          <w:type w:val="continuous"/>
        </w:sectPr>
      </w:pPr>
    </w:p>
    <w:p>
      <w:pPr>
        <w:spacing w:after="0" w:line="205"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Reference is made to Items 5-11 on page 2 of this</w:t>
      </w:r>
    </w:p>
    <w:p>
      <w:pPr>
        <w:ind w:left="1060"/>
        <w:spacing w:after="0" w:line="238" w:lineRule="auto"/>
        <w:rPr>
          <w:sz w:val="20"/>
          <w:szCs w:val="20"/>
          <w:color w:val="auto"/>
        </w:rPr>
      </w:pPr>
      <w:r>
        <w:rPr>
          <w:rFonts w:ascii="Courier New" w:cs="Courier New" w:eastAsia="Courier New" w:hAnsi="Courier New"/>
          <w:sz w:val="18"/>
          <w:szCs w:val="18"/>
          <w:color w:val="auto"/>
        </w:rPr>
        <w:t>Schedule 13G.</w:t>
      </w:r>
    </w:p>
    <w:p>
      <w:pPr>
        <w:spacing w:after="0"/>
        <w:rPr>
          <w:sz w:val="20"/>
          <w:szCs w:val="20"/>
          <w:color w:val="auto"/>
        </w:rPr>
      </w:pPr>
      <w:r>
        <w:rPr>
          <w:rFonts w:ascii="Courier New" w:cs="Courier New" w:eastAsia="Courier New" w:hAnsi="Courier New"/>
          <w:sz w:val="18"/>
          <w:szCs w:val="18"/>
          <w:color w:val="auto"/>
        </w:rPr>
        <w:t>SCHEDULE 13G</w:t>
      </w:r>
    </w:p>
    <w:p>
      <w:pPr>
        <w:spacing w:after="0"/>
        <w:tabs>
          <w:tab w:leader="none" w:pos="720" w:val="left"/>
          <w:tab w:leader="none" w:pos="1140" w:val="left"/>
          <w:tab w:leader="none" w:pos="1680" w:val="left"/>
        </w:tabs>
        <w:rPr>
          <w:sz w:val="20"/>
          <w:szCs w:val="20"/>
          <w:color w:val="auto"/>
        </w:rPr>
      </w:pPr>
      <w:r>
        <w:rPr>
          <w:rFonts w:ascii="Courier New" w:cs="Courier New" w:eastAsia="Courier New" w:hAnsi="Courier New"/>
          <w:sz w:val="18"/>
          <w:szCs w:val="18"/>
          <w:color w:val="auto"/>
        </w:rPr>
        <w:t>PAGE</w:t>
      </w:r>
      <w:r>
        <w:rPr>
          <w:sz w:val="20"/>
          <w:szCs w:val="20"/>
          <w:color w:val="auto"/>
        </w:rPr>
        <w:tab/>
      </w:r>
      <w:r>
        <w:rPr>
          <w:rFonts w:ascii="Courier New" w:cs="Courier New" w:eastAsia="Courier New" w:hAnsi="Courier New"/>
          <w:sz w:val="18"/>
          <w:szCs w:val="18"/>
          <w:color w:val="auto"/>
        </w:rPr>
        <w:t>4</w:t>
        <w:tab/>
        <w:t>OF</w:t>
      </w:r>
      <w:r>
        <w:rPr>
          <w:sz w:val="20"/>
          <w:szCs w:val="20"/>
          <w:color w:val="auto"/>
        </w:rPr>
        <w:tab/>
      </w:r>
      <w:r>
        <w:rPr>
          <w:rFonts w:ascii="Courier New" w:cs="Courier New" w:eastAsia="Courier New" w:hAnsi="Courier New"/>
          <w:sz w:val="16"/>
          <w:szCs w:val="16"/>
          <w:color w:val="auto"/>
        </w:rPr>
        <w:t>5</w:t>
      </w:r>
    </w:p>
    <w:p>
      <w:pPr>
        <w:sectPr>
          <w:pgSz w:w="11900" w:h="16838" w:orient="portrait"/>
          <w:cols w:equalWidth="0" w:num="1">
            <w:col w:w="10219"/>
          </w:cols>
          <w:pgMar w:left="240" w:top="136" w:right="1440" w:bottom="0" w:gutter="0" w:footer="0" w:header="0"/>
          <w:type w:val="continuous"/>
        </w:sect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5 Ownership of Five Percent or Less of a Class.</w:t>
      </w:r>
    </w:p>
    <w:p>
      <w:pPr>
        <w:sectPr>
          <w:pgSz w:w="11900" w:h="16838" w:orient="portrait"/>
          <w:cols w:equalWidth="0" w:num="1">
            <w:col w:w="10219"/>
          </w:cols>
          <w:pgMar w:left="240" w:top="136" w:right="1440" w:bottom="0" w:gutter="0" w:footer="0" w:header="0"/>
          <w:type w:val="continuous"/>
        </w:sectPr>
      </w:pPr>
    </w:p>
    <w:bookmarkStart w:id="2" w:name="page3"/>
    <w:bookmarkEnd w:id="2"/>
    <w:p>
      <w:pPr>
        <w:ind w:left="740" w:hanging="521"/>
        <w:spacing w:after="0"/>
        <w:tabs>
          <w:tab w:leader="none" w:pos="7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28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6"/>
              </w:rPr>
              <w:t>____   This statement</w:t>
            </w:r>
          </w:p>
        </w:tc>
        <w:tc>
          <w:tcPr>
            <w:tcW w:w="940" w:type="dxa"/>
            <w:vAlign w:val="bottom"/>
          </w:tcPr>
          <w:p>
            <w:pPr>
              <w:jc w:val="right"/>
              <w:spacing w:after="0"/>
              <w:rPr>
                <w:sz w:val="20"/>
                <w:szCs w:val="20"/>
                <w:color w:val="auto"/>
              </w:rPr>
            </w:pPr>
            <w:r>
              <w:rPr>
                <w:rFonts w:ascii="Courier New" w:cs="Courier New" w:eastAsia="Courier New" w:hAnsi="Courier New"/>
                <w:sz w:val="18"/>
                <w:szCs w:val="18"/>
                <w:color w:val="auto"/>
                <w:w w:val="99"/>
              </w:rPr>
              <w:t>is being</w:t>
            </w:r>
          </w:p>
        </w:tc>
        <w:tc>
          <w:tcPr>
            <w:tcW w:w="3640" w:type="dxa"/>
            <w:vAlign w:val="bottom"/>
          </w:tcPr>
          <w:p>
            <w:pPr>
              <w:ind w:left="60"/>
              <w:spacing w:after="0"/>
              <w:rPr>
                <w:sz w:val="20"/>
                <w:szCs w:val="20"/>
                <w:color w:val="auto"/>
              </w:rPr>
            </w:pPr>
            <w:r>
              <w:rPr>
                <w:rFonts w:ascii="Courier New" w:cs="Courier New" w:eastAsia="Courier New" w:hAnsi="Courier New"/>
                <w:sz w:val="18"/>
                <w:szCs w:val="18"/>
                <w:color w:val="auto"/>
                <w:w w:val="99"/>
              </w:rPr>
              <w:t>filed to report the fact that, as</w:t>
            </w:r>
          </w:p>
        </w:tc>
      </w:tr>
      <w:tr>
        <w:trPr>
          <w:trHeight w:val="203"/>
        </w:trPr>
        <w:tc>
          <w:tcPr>
            <w:tcW w:w="144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of the</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date of</w:t>
            </w:r>
          </w:p>
        </w:tc>
        <w:tc>
          <w:tcPr>
            <w:tcW w:w="45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this report, the reporting person(s) has</w:t>
            </w:r>
          </w:p>
        </w:tc>
      </w:tr>
      <w:tr>
        <w:trPr>
          <w:trHeight w:val="203"/>
        </w:trPr>
        <w:tc>
          <w:tcPr>
            <w:tcW w:w="144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(have)</w:t>
            </w:r>
          </w:p>
        </w:tc>
        <w:tc>
          <w:tcPr>
            <w:tcW w:w="17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8"/>
              </w:rPr>
              <w:t>ceased to be the</w:t>
            </w:r>
          </w:p>
        </w:tc>
        <w:tc>
          <w:tcPr>
            <w:tcW w:w="3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6"/>
              </w:rPr>
              <w:t>beneficial owner of more than five</w:t>
            </w:r>
          </w:p>
        </w:tc>
      </w:tr>
      <w:tr>
        <w:trPr>
          <w:trHeight w:val="203"/>
        </w:trPr>
        <w:tc>
          <w:tcPr>
            <w:tcW w:w="22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percent of the</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class of</w:t>
            </w:r>
          </w:p>
        </w:tc>
        <w:tc>
          <w:tcPr>
            <w:tcW w:w="3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securities.</w:t>
            </w:r>
          </w:p>
        </w:tc>
      </w:tr>
    </w:tbl>
    <w:p>
      <w:pPr>
        <w:spacing w:after="0" w:line="207" w:lineRule="exact"/>
        <w:rPr>
          <w:sz w:val="20"/>
          <w:szCs w:val="20"/>
          <w:color w:val="auto"/>
        </w:rPr>
      </w:pPr>
    </w:p>
    <w:p>
      <w:pPr>
        <w:ind w:left="740" w:right="3579" w:hanging="736"/>
        <w:spacing w:after="0" w:line="235" w:lineRule="auto"/>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8" w:lineRule="exact"/>
        <w:rPr>
          <w:sz w:val="20"/>
          <w:szCs w:val="20"/>
          <w:color w:val="auto"/>
        </w:rPr>
      </w:pPr>
    </w:p>
    <w:p>
      <w:pPr>
        <w:ind w:left="1160" w:right="3479" w:hanging="415"/>
        <w:spacing w:after="0" w:line="237" w:lineRule="auto"/>
        <w:tabs>
          <w:tab w:leader="none" w:pos="11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Price Associates does not serve as custodian of the assets of any of its clients; accordingly, in each instance only the client or the client's custodian or trustee bank has the right to receive dividends paid with respect to, and proceeds from the sale of, such securities.</w:t>
      </w:r>
    </w:p>
    <w:p>
      <w:pPr>
        <w:spacing w:after="0" w:line="209" w:lineRule="exact"/>
        <w:rPr>
          <w:rFonts w:ascii="Courier New" w:cs="Courier New" w:eastAsia="Courier New" w:hAnsi="Courier New"/>
          <w:sz w:val="18"/>
          <w:szCs w:val="18"/>
          <w:color w:val="auto"/>
        </w:rPr>
      </w:pPr>
    </w:p>
    <w:p>
      <w:pPr>
        <w:ind w:left="1160" w:right="3359"/>
        <w:spacing w:after="0" w:line="271"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The ultimate power to direct the receipt of dividends paid with respect to, and the proceeds from the sale of, such securities, is vested in the individual and institutional clients which Price Associates serves as investment adviser. Any and all discretionary authority which has been delegated to Price Associates may be revoked in whole or in part at any time.</w:t>
      </w:r>
    </w:p>
    <w:p>
      <w:pPr>
        <w:spacing w:after="0" w:line="187" w:lineRule="exact"/>
        <w:rPr>
          <w:rFonts w:ascii="Courier New" w:cs="Courier New" w:eastAsia="Courier New" w:hAnsi="Courier New"/>
          <w:sz w:val="18"/>
          <w:szCs w:val="18"/>
          <w:color w:val="auto"/>
        </w:rPr>
      </w:pPr>
    </w:p>
    <w:p>
      <w:pPr>
        <w:ind w:left="1160" w:right="34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may be indicated if this is a joint filing with one of the registered investment companies sponsored by Price Associates which it also serves as investment adviser ("T. Rowe Price Funds"), not more than 5% of the class of such securities is owned by any one client subject to the investment advice of Price Associates.</w:t>
      </w:r>
    </w:p>
    <w:p>
      <w:pPr>
        <w:spacing w:after="0" w:line="211" w:lineRule="exact"/>
        <w:rPr>
          <w:rFonts w:ascii="Courier New" w:cs="Courier New" w:eastAsia="Courier New" w:hAnsi="Courier New"/>
          <w:sz w:val="18"/>
          <w:szCs w:val="18"/>
          <w:color w:val="auto"/>
        </w:rPr>
      </w:pPr>
    </w:p>
    <w:p>
      <w:pPr>
        <w:ind w:left="1160" w:right="3479" w:hanging="415"/>
        <w:spacing w:after="0" w:line="237" w:lineRule="auto"/>
        <w:tabs>
          <w:tab w:leader="none" w:pos="11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 respect to securities owned by any one of the T. Rowe Price Funds, only State Street Bank and Trust Company, as custodian for each of such Funds, has the right to receive dividends paid with respect to, and proceeds from the sale of, such securities. No other person is known to have such right, except that the shareholders of each such Fund participate proportionately in any dividends and distributions so paid.</w:t>
      </w:r>
    </w:p>
    <w:p>
      <w:pPr>
        <w:spacing w:after="0" w:line="214" w:lineRule="exact"/>
        <w:rPr>
          <w:sz w:val="20"/>
          <w:szCs w:val="20"/>
          <w:color w:val="auto"/>
        </w:rPr>
      </w:pPr>
    </w:p>
    <w:p>
      <w:pPr>
        <w:ind w:left="740" w:right="3479" w:hanging="736"/>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3"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8 Identification and Classification of Members of the Group.</w:t>
      </w:r>
    </w:p>
    <w:p>
      <w:pPr>
        <w:spacing w:after="0" w:line="218"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Not Applicable.</w:t>
      </w:r>
    </w:p>
    <w:p>
      <w:pPr>
        <w:spacing w:after="0" w:line="238" w:lineRule="auto"/>
        <w:rPr>
          <w:sz w:val="20"/>
          <w:szCs w:val="20"/>
          <w:color w:val="auto"/>
        </w:rPr>
      </w:pPr>
      <w:r>
        <w:rPr>
          <w:rFonts w:ascii="Courier New" w:cs="Courier New" w:eastAsia="Courier New" w:hAnsi="Courier New"/>
          <w:sz w:val="18"/>
          <w:szCs w:val="18"/>
          <w:color w:val="auto"/>
        </w:rPr>
        <w:t>SCHEDULE 13G</w:t>
      </w:r>
    </w:p>
    <w:p>
      <w:pPr>
        <w:spacing w:after="0"/>
        <w:tabs>
          <w:tab w:leader="none" w:pos="720" w:val="left"/>
          <w:tab w:leader="none" w:pos="1140" w:val="left"/>
          <w:tab w:leader="none" w:pos="1680" w:val="left"/>
        </w:tabs>
        <w:rPr>
          <w:sz w:val="20"/>
          <w:szCs w:val="20"/>
          <w:color w:val="auto"/>
        </w:rPr>
      </w:pPr>
      <w:r>
        <w:rPr>
          <w:rFonts w:ascii="Courier New" w:cs="Courier New" w:eastAsia="Courier New" w:hAnsi="Courier New"/>
          <w:sz w:val="18"/>
          <w:szCs w:val="18"/>
          <w:color w:val="auto"/>
        </w:rPr>
        <w:t>PAGE</w:t>
      </w:r>
      <w:r>
        <w:rPr>
          <w:sz w:val="20"/>
          <w:szCs w:val="20"/>
          <w:color w:val="auto"/>
        </w:rPr>
        <w:tab/>
      </w:r>
      <w:r>
        <w:rPr>
          <w:rFonts w:ascii="Courier New" w:cs="Courier New" w:eastAsia="Courier New" w:hAnsi="Courier New"/>
          <w:sz w:val="18"/>
          <w:szCs w:val="18"/>
          <w:color w:val="auto"/>
        </w:rPr>
        <w:t>5</w:t>
        <w:tab/>
        <w:t>OF</w:t>
      </w:r>
      <w:r>
        <w:rPr>
          <w:sz w:val="20"/>
          <w:szCs w:val="20"/>
          <w:color w:val="auto"/>
        </w:rPr>
        <w:tab/>
      </w:r>
      <w:r>
        <w:rPr>
          <w:rFonts w:ascii="Courier New" w:cs="Courier New" w:eastAsia="Courier New" w:hAnsi="Courier New"/>
          <w:sz w:val="16"/>
          <w:szCs w:val="16"/>
          <w:color w:val="auto"/>
        </w:rPr>
        <w:t>5</w:t>
      </w:r>
    </w:p>
    <w:p>
      <w:pPr>
        <w:spacing w:after="0" w:line="200"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left="960" w:right="3359"/>
        <w:spacing w:after="0" w:line="238" w:lineRule="auto"/>
        <w:rPr>
          <w:sz w:val="20"/>
          <w:szCs w:val="20"/>
          <w:color w:val="auto"/>
        </w:rPr>
      </w:pPr>
      <w:r>
        <w:rPr>
          <w:rFonts w:ascii="Courier New" w:cs="Courier New" w:eastAsia="Courier New" w:hAnsi="Courier New"/>
          <w:sz w:val="18"/>
          <w:szCs w:val="18"/>
          <w:color w:val="auto"/>
        </w:rPr>
        <w:t>By signing below I (we) certify that, to the best of my (our)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 T. Rowe Price Associates, Inc. hereby declares and affirms that the filing of Schedule 13G shall not be construed as an admission that Price Associates is the beneficial owner of the securities referred to, which beneficial ownership is expressly denied.</w:t>
      </w:r>
    </w:p>
    <w:p>
      <w:pPr>
        <w:spacing w:after="0" w:line="202"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left="960" w:right="3779"/>
        <w:spacing w:after="0" w:line="279" w:lineRule="auto"/>
        <w:rPr>
          <w:sz w:val="20"/>
          <w:szCs w:val="20"/>
          <w:color w:val="auto"/>
        </w:rPr>
      </w:pPr>
      <w:r>
        <w:rPr>
          <w:rFonts w:ascii="Courier New" w:cs="Courier New" w:eastAsia="Courier New" w:hAnsi="Courier New"/>
          <w:sz w:val="16"/>
          <w:szCs w:val="16"/>
          <w:color w:val="auto"/>
        </w:rPr>
        <w:t>After reasonable inquiry and to the best of my (our) knowledge and belief, I (we) certify that the information set forth in this statement is true,</w:t>
      </w:r>
    </w:p>
    <w:p>
      <w:pPr>
        <w:sectPr>
          <w:pgSz w:w="11900" w:h="16838" w:orient="portrait"/>
          <w:cols w:equalWidth="0" w:num="1">
            <w:col w:w="10219"/>
          </w:cols>
          <w:pgMar w:left="240" w:top="339" w:right="1440" w:bottom="0" w:gutter="0" w:footer="0" w:header="0"/>
        </w:sectPr>
      </w:pPr>
    </w:p>
    <w:bookmarkStart w:id="3" w:name="page4"/>
    <w:bookmarkEnd w:id="3"/>
    <w:p>
      <w:pPr>
        <w:ind w:left="960"/>
        <w:spacing w:after="0"/>
        <w:rPr>
          <w:sz w:val="20"/>
          <w:szCs w:val="20"/>
          <w:color w:val="auto"/>
        </w:rPr>
      </w:pPr>
      <w:r>
        <w:rPr>
          <w:rFonts w:ascii="Courier New" w:cs="Courier New" w:eastAsia="Courier New" w:hAnsi="Courier New"/>
          <w:sz w:val="18"/>
          <w:szCs w:val="18"/>
          <w:color w:val="auto"/>
        </w:rPr>
        <w:t>complete and correct.</w:t>
      </w:r>
    </w:p>
    <w:p>
      <w:pPr>
        <w:spacing w:after="0" w:line="200" w:lineRule="exact"/>
        <w:rPr>
          <w:sz w:val="20"/>
          <w:szCs w:val="20"/>
          <w:color w:val="auto"/>
        </w:rPr>
      </w:pPr>
    </w:p>
    <w:p>
      <w:pPr>
        <w:spacing w:after="0" w:line="204"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Dated: February 14, 2007</w:t>
      </w:r>
    </w:p>
    <w:p>
      <w:pPr>
        <w:spacing w:after="0" w:line="200" w:lineRule="exact"/>
        <w:rPr>
          <w:sz w:val="20"/>
          <w:szCs w:val="20"/>
          <w:color w:val="auto"/>
        </w:rPr>
      </w:pPr>
    </w:p>
    <w:p>
      <w:pPr>
        <w:spacing w:after="0" w:line="204"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T. ROWE PRICE ASSOCIATES, INC.</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960"/>
        <w:spacing w:after="0"/>
        <w:tabs>
          <w:tab w:leader="none" w:pos="146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/s/ Henry H. Hopkins</w:t>
      </w:r>
    </w:p>
    <w:p>
      <w:pPr>
        <w:ind w:left="1480"/>
        <w:spacing w:after="0" w:line="238" w:lineRule="auto"/>
        <w:rPr>
          <w:sz w:val="20"/>
          <w:szCs w:val="20"/>
          <w:color w:val="auto"/>
        </w:rPr>
      </w:pPr>
      <w:r>
        <w:rPr>
          <w:rFonts w:ascii="Courier New" w:cs="Courier New" w:eastAsia="Courier New" w:hAnsi="Courier New"/>
          <w:sz w:val="18"/>
          <w:szCs w:val="18"/>
          <w:color w:val="auto"/>
        </w:rPr>
        <w:t>Henry H. Hopkins, Vice President</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960" w:right="3359" w:hanging="959"/>
        <w:spacing w:after="0" w:line="272" w:lineRule="auto"/>
        <w:tabs>
          <w:tab w:leader="none" w:pos="940" w:val="left"/>
        </w:tabs>
        <w:rPr>
          <w:sz w:val="20"/>
          <w:szCs w:val="20"/>
          <w:color w:val="auto"/>
        </w:rPr>
      </w:pPr>
      <w:r>
        <w:rPr>
          <w:rFonts w:ascii="Courier New" w:cs="Courier New" w:eastAsia="Courier New" w:hAnsi="Courier New"/>
          <w:sz w:val="16"/>
          <w:szCs w:val="16"/>
          <w:color w:val="auto"/>
        </w:rPr>
        <w:t>Note:</w:t>
      </w:r>
      <w:r>
        <w:rPr>
          <w:sz w:val="20"/>
          <w:szCs w:val="20"/>
          <w:color w:val="auto"/>
        </w:rPr>
        <w:tab/>
      </w:r>
      <w:r>
        <w:rPr>
          <w:rFonts w:ascii="Courier New" w:cs="Courier New" w:eastAsia="Courier New" w:hAnsi="Courier New"/>
          <w:sz w:val="16"/>
          <w:szCs w:val="16"/>
          <w:color w:val="auto"/>
        </w:rPr>
        <w:t>This Schedule 13G, including all exhibits, must be filed with the Securities and Exchange Commission, and a copy hereof must be sent to the issuer by registered or certified mail not later than February 14th following the calendar year covered by the statement or within the time specified in Rule 13d-1(b)(2), if applicable.</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12/31/2006</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1"/>
      <w:numFmt w:val="bullet"/>
      <w:start w:val="1"/>
    </w:lvl>
  </w:abstractNum>
  <w:abstractNum w:abstractNumId="1">
    <w:nsid w:val="3D1B58BA"/>
    <w:multiLevelType w:val="hybridMultilevel"/>
    <w:lvl w:ilvl="0">
      <w:lvlJc w:val="left"/>
      <w:lvlText w:val="3"/>
      <w:numFmt w:val="bullet"/>
      <w:start w:val="1"/>
    </w:lvl>
  </w:abstractNum>
  <w:abstractNum w:abstractNumId="2">
    <w:nsid w:val="507ED7AB"/>
    <w:multiLevelType w:val="hybridMultilevel"/>
    <w:lvl w:ilvl="0">
      <w:lvlJc w:val="left"/>
      <w:lvlText w:val="4"/>
      <w:numFmt w:val="bullet"/>
      <w:start w:val="1"/>
    </w:lvl>
  </w:abstractNum>
  <w:abstractNum w:abstractNumId="3">
    <w:nsid w:val="2EB141F2"/>
    <w:multiLevelType w:val="hybridMultilevel"/>
    <w:lvl w:ilvl="0">
      <w:lvlJc w:val="left"/>
      <w:lvlText w:val="9"/>
      <w:numFmt w:val="bullet"/>
      <w:start w:val="1"/>
    </w:lvl>
  </w:abstractNum>
  <w:abstractNum w:abstractNumId="4">
    <w:nsid w:val="41B71EFB"/>
    <w:multiLevelType w:val="hybridMultilevel"/>
    <w:lvl w:ilvl="0">
      <w:lvlJc w:val="left"/>
      <w:lvlText w:val="(%1)"/>
      <w:numFmt w:val="decimal"/>
      <w:start w:val="1"/>
    </w:lvl>
  </w:abstractNum>
  <w:abstractNum w:abstractNumId="5">
    <w:nsid w:val="79E2A9E3"/>
    <w:multiLevelType w:val="hybridMultilevel"/>
    <w:lvl w:ilvl="0">
      <w:lvlJc w:val="left"/>
      <w:lvlText w:val="(%1)"/>
      <w:numFmt w:val="decimal"/>
      <w:start w:val="1"/>
    </w:lvl>
  </w:abstractNum>
  <w:abstractNum w:abstractNumId="6">
    <w:nsid w:val="7545E146"/>
    <w:multiLevelType w:val="hybridMultilevel"/>
    <w:lvl w:ilvl="0">
      <w:lvlJc w:val="left"/>
      <w:lvlText w:val="X"/>
      <w:numFmt w:val="bullet"/>
      <w:start w:val="1"/>
    </w:lvl>
  </w:abstractNum>
  <w:abstractNum w:abstractNumId="7">
    <w:nsid w:val="515F007C"/>
    <w:multiLevelType w:val="hybridMultilevel"/>
    <w:lvl w:ilvl="0">
      <w:lvlJc w:val="left"/>
      <w:lvlText w:val="X"/>
      <w:numFmt w:val="bullet"/>
      <w:start w:val="1"/>
    </w:lvl>
  </w:abstractNum>
  <w:abstractNum w:abstractNumId="8">
    <w:nsid w:val="5BD062C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2019-12-14T19:38:41Z</dcterms:created>
  <dcterms:modified xsi:type="dcterms:W3CDTF">2019-12-14T19:38:41Z</dcterms:modified>
</cp:coreProperties>
</file>