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WASHINGTON, D.C. 20549</w:t>
      </w:r>
    </w:p>
    <w:p>
      <w:pPr>
        <w:spacing w:after="0" w:line="15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FORM 6-K</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3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6"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54" w:lineRule="exact"/>
        <w:rPr>
          <w:sz w:val="24"/>
          <w:szCs w:val="24"/>
          <w:color w:val="auto"/>
        </w:rPr>
      </w:pPr>
    </w:p>
    <w:p>
      <w:pPr>
        <w:ind w:left="1920"/>
        <w:spacing w:after="0"/>
        <w:rPr>
          <w:sz w:val="20"/>
          <w:szCs w:val="20"/>
          <w:color w:val="auto"/>
        </w:rPr>
      </w:pPr>
      <w:r>
        <w:rPr>
          <w:rFonts w:ascii="Courier New" w:cs="Courier New" w:eastAsia="Courier New" w:hAnsi="Courier New"/>
          <w:sz w:val="15"/>
          <w:szCs w:val="15"/>
          <w:color w:val="auto"/>
        </w:rPr>
        <w:t>For the Quarter Ended December 31, 2004</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Commission File Number 1-14840</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34"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5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Inc.</w:t>
      </w:r>
    </w:p>
    <w:p>
      <w:pPr>
        <w:spacing w:after="0" w:line="34"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5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2" w:lineRule="exact"/>
        <w:rPr>
          <w:sz w:val="24"/>
          <w:szCs w:val="24"/>
          <w:color w:val="auto"/>
        </w:rPr>
      </w:pPr>
    </w:p>
    <w:p>
      <w:pPr>
        <w:ind w:right="2979"/>
        <w:spacing w:after="0" w:line="372"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ectPr>
          <w:pgSz w:w="11900" w:h="16838" w:orient="portrait"/>
          <w:cols w:equalWidth="0" w:num="1">
            <w:col w:w="10219"/>
          </w:cols>
          <w:pgMar w:left="240" w:top="560" w:right="1440" w:bottom="1440" w:gutter="0" w:footer="0" w:header="0"/>
        </w:sectPr>
      </w:pPr>
    </w:p>
    <w:p>
      <w:pPr>
        <w:spacing w:after="0" w:line="2" w:lineRule="exact"/>
        <w:rPr>
          <w:sz w:val="24"/>
          <w:szCs w:val="24"/>
          <w:color w:val="auto"/>
        </w:rPr>
      </w:pPr>
    </w:p>
    <w:p>
      <w:pPr>
        <w:ind w:left="1280"/>
        <w:spacing w:after="0"/>
        <w:rPr>
          <w:sz w:val="20"/>
          <w:szCs w:val="20"/>
          <w:color w:val="auto"/>
        </w:rPr>
      </w:pPr>
      <w:r>
        <w:rPr>
          <w:rFonts w:ascii="Courier New" w:cs="Courier New" w:eastAsia="Courier New" w:hAnsi="Courier New"/>
          <w:sz w:val="15"/>
          <w:szCs w:val="15"/>
          <w:color w:val="auto"/>
        </w:rPr>
        <w:t>FORM 20-F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FORM 40-F</w:t>
      </w:r>
    </w:p>
    <w:p>
      <w:pPr>
        <w:spacing w:after="0" w:line="87" w:lineRule="exact"/>
        <w:rPr>
          <w:sz w:val="24"/>
          <w:szCs w:val="24"/>
          <w:color w:val="auto"/>
        </w:rPr>
      </w:pPr>
    </w:p>
    <w:p>
      <w:pPr>
        <w:sectPr>
          <w:pgSz w:w="11900" w:h="16838" w:orient="portrait"/>
          <w:cols w:equalWidth="0" w:num="3">
            <w:col w:w="2100" w:space="460"/>
            <w:col w:w="1200" w:space="720"/>
            <w:col w:w="5739"/>
          </w:cols>
          <w:pgMar w:left="240" w:top="560"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01" w:lineRule="exact"/>
        <w:rPr>
          <w:sz w:val="24"/>
          <w:szCs w:val="24"/>
          <w:color w:val="auto"/>
        </w:rPr>
      </w:pPr>
    </w:p>
    <w:p>
      <w:pPr>
        <w:sectPr>
          <w:pgSz w:w="11900" w:h="16838" w:orient="portrait"/>
          <w:cols w:equalWidth="0" w:num="2">
            <w:col w:w="4680" w:space="720"/>
            <w:col w:w="4819"/>
          </w:cols>
          <w:pgMar w:left="240" w:top="560" w:right="1440" w:bottom="1440" w:gutter="0" w:footer="0" w:header="0"/>
          <w:type w:val="continuous"/>
        </w:sectPr>
      </w:pPr>
    </w:p>
    <w:p>
      <w:pPr>
        <w:ind w:right="2899"/>
        <w:spacing w:after="0" w:line="310"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560" w:right="1440" w:bottom="1440" w:gutter="0" w:footer="0" w:header="0"/>
          <w:type w:val="continuous"/>
        </w:sectPr>
      </w:pPr>
    </w:p>
    <w:p>
      <w:pPr>
        <w:spacing w:after="0" w:line="46"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5559"/>
        <w:spacing w:after="0"/>
        <w:rPr>
          <w:sz w:val="20"/>
          <w:szCs w:val="20"/>
          <w:color w:val="auto"/>
        </w:rPr>
      </w:pPr>
      <w:r>
        <w:rPr>
          <w:rFonts w:ascii="Courier New" w:cs="Courier New" w:eastAsia="Courier New" w:hAnsi="Courier New"/>
          <w:sz w:val="15"/>
          <w:szCs w:val="15"/>
          <w:color w:val="auto"/>
        </w:rPr>
        <w:t>X</w:t>
      </w:r>
    </w:p>
    <w:p>
      <w:pPr>
        <w:spacing w:after="0" w:line="34" w:lineRule="exact"/>
        <w:rPr>
          <w:sz w:val="24"/>
          <w:szCs w:val="24"/>
          <w:color w:val="auto"/>
        </w:rPr>
      </w:pPr>
    </w:p>
    <w:p>
      <w:pPr>
        <w:jc w:val="center"/>
        <w:ind w:right="555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4">
            <w:col w:w="1640" w:space="180"/>
            <w:col w:w="1120" w:space="720"/>
            <w:col w:w="180" w:space="180"/>
            <w:col w:w="6199"/>
          </w:cols>
          <w:pgMar w:left="240" w:top="560" w:right="1440" w:bottom="1440" w:gutter="0" w:footer="0" w:header="0"/>
          <w:type w:val="continuous"/>
        </w:sectPr>
      </w:pPr>
    </w:p>
    <w:bookmarkStart w:id="1" w:name="page2"/>
    <w:bookmarkEnd w:id="1"/>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FORM 6-K</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FOR THE QUARTER ENDED DECEMBER 31, 2004</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INDEX</w:t>
      </w:r>
    </w:p>
    <w:p>
      <w:pPr>
        <w:spacing w:after="0" w:line="35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2" w:lineRule="exact"/>
        <w:rPr>
          <w:sz w:val="20"/>
          <w:szCs w:val="20"/>
          <w:color w:val="auto"/>
        </w:rPr>
      </w:pPr>
    </w:p>
    <w:p>
      <w:pPr>
        <w:ind w:left="1100"/>
        <w:spacing w:after="0"/>
        <w:tabs>
          <w:tab w:leader="none" w:pos="1900" w:val="left"/>
        </w:tabs>
        <w:rPr>
          <w:sz w:val="20"/>
          <w:szCs w:val="20"/>
          <w:color w:val="auto"/>
        </w:rPr>
      </w:pPr>
      <w:r>
        <w:rPr>
          <w:rFonts w:ascii="Courier New" w:cs="Courier New" w:eastAsia="Courier New" w:hAnsi="Courier New"/>
          <w:sz w:val="15"/>
          <w:szCs w:val="15"/>
          <w:color w:val="auto"/>
        </w:rPr>
        <w:t>Item 1.</w:t>
        <w:tab/>
        <w:t>Financial Statements</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Statement of Changes in Shareholders'</w:t>
      </w:r>
    </w:p>
    <w:p>
      <w:pPr>
        <w:spacing w:after="0" w:line="3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Equity</w:t>
      </w:r>
    </w:p>
    <w:p>
      <w:pPr>
        <w:spacing w:after="0" w:line="15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2" w:lineRule="exact"/>
        <w:rPr>
          <w:sz w:val="20"/>
          <w:szCs w:val="20"/>
          <w:color w:val="auto"/>
        </w:rPr>
      </w:pPr>
    </w:p>
    <w:p>
      <w:pPr>
        <w:ind w:left="1100"/>
        <w:spacing w:after="0"/>
        <w:tabs>
          <w:tab w:leader="none" w:pos="1900" w:val="left"/>
        </w:tabs>
        <w:rPr>
          <w:sz w:val="20"/>
          <w:szCs w:val="20"/>
          <w:color w:val="auto"/>
        </w:rPr>
      </w:pPr>
      <w:r>
        <w:rPr>
          <w:rFonts w:ascii="Courier New" w:cs="Courier New" w:eastAsia="Courier New" w:hAnsi="Courier New"/>
          <w:sz w:val="15"/>
          <w:szCs w:val="15"/>
          <w:color w:val="auto"/>
        </w:rPr>
        <w:t>Item 2.</w:t>
        <w:tab/>
        <w:t>Operating and Financial Review and Prospects</w:t>
      </w:r>
    </w:p>
    <w:p>
      <w:pPr>
        <w:spacing w:after="0" w:line="18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2" w:lineRule="exact"/>
        <w:rPr>
          <w:sz w:val="20"/>
          <w:szCs w:val="20"/>
          <w:color w:val="auto"/>
        </w:rPr>
      </w:pPr>
    </w:p>
    <w:p>
      <w:pPr>
        <w:ind w:left="1100"/>
        <w:spacing w:after="0"/>
        <w:tabs>
          <w:tab w:leader="none" w:pos="1980" w:val="left"/>
        </w:tabs>
        <w:rPr>
          <w:sz w:val="20"/>
          <w:szCs w:val="20"/>
          <w:color w:val="auto"/>
        </w:rPr>
      </w:pPr>
      <w:r>
        <w:rPr>
          <w:rFonts w:ascii="Courier New" w:cs="Courier New" w:eastAsia="Courier New" w:hAnsi="Courier New"/>
          <w:sz w:val="15"/>
          <w:szCs w:val="15"/>
          <w:color w:val="auto"/>
        </w:rPr>
        <w:t>Item 1.</w:t>
        <w:tab/>
        <w:t>Changes in Securities, Use of Proceeds and Issuer</w:t>
      </w:r>
    </w:p>
    <w:p>
      <w:pPr>
        <w:spacing w:after="0" w:line="3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Purchases of Equity Securities</w:t>
      </w:r>
    </w:p>
    <w:p>
      <w:pPr>
        <w:spacing w:after="0" w:line="154" w:lineRule="exact"/>
        <w:rPr>
          <w:sz w:val="20"/>
          <w:szCs w:val="20"/>
          <w:color w:val="auto"/>
        </w:rPr>
      </w:pPr>
    </w:p>
    <w:p>
      <w:pPr>
        <w:ind w:left="1100"/>
        <w:spacing w:after="0"/>
        <w:tabs>
          <w:tab w:leader="none" w:pos="1980" w:val="left"/>
        </w:tabs>
        <w:rPr>
          <w:sz w:val="20"/>
          <w:szCs w:val="20"/>
          <w:color w:val="auto"/>
        </w:rPr>
      </w:pPr>
      <w:r>
        <w:rPr>
          <w:rFonts w:ascii="Courier New" w:cs="Courier New" w:eastAsia="Courier New" w:hAnsi="Courier New"/>
          <w:sz w:val="15"/>
          <w:szCs w:val="15"/>
          <w:color w:val="auto"/>
        </w:rPr>
        <w:t>Item 2.</w:t>
        <w:tab/>
        <w:t>Reports on Form 6-K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This report on Form 6-K shall be incorporated by reference into the Registration Statements on Form F-3 (File Nos. 333-114079 and 333-114344) and any other Registration Statement filed by the Registrant which by its terms automatically incorporates the Registrant's filings and submissions with the SEC under Sections 13(a), 13(c) or 15(d) of the Securities Exchange Act of 1934.</w:t>
      </w:r>
    </w:p>
    <w:p>
      <w:pPr>
        <w:spacing w:after="0" w:line="2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359"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AMDOCS LIMITED</w:t>
      </w:r>
    </w:p>
    <w:p>
      <w:pPr>
        <w:spacing w:after="0" w:line="3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20" w:type="dxa"/>
            <w:vAlign w:val="bottom"/>
          </w:tcPr>
          <w:p>
            <w:pPr>
              <w:ind w:left="2000"/>
              <w:spacing w:after="0"/>
              <w:rPr>
                <w:sz w:val="20"/>
                <w:szCs w:val="20"/>
                <w:color w:val="auto"/>
              </w:rPr>
            </w:pPr>
            <w:r>
              <w:rPr>
                <w:rFonts w:ascii="Courier New" w:cs="Courier New" w:eastAsia="Courier New" w:hAnsi="Courier New"/>
                <w:sz w:val="15"/>
                <w:szCs w:val="15"/>
                <w:color w:val="auto"/>
              </w:rPr>
              <w:t>(in thousands, except per share data)</w:t>
            </w: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7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320" w:type="dxa"/>
            <w:vAlign w:val="bottom"/>
          </w:tcPr>
          <w:p>
            <w:pPr>
              <w:spacing w:after="0"/>
              <w:rPr>
                <w:sz w:val="15"/>
                <w:szCs w:val="15"/>
                <w:color w:val="auto"/>
              </w:rPr>
            </w:pPr>
          </w:p>
        </w:tc>
        <w:tc>
          <w:tcPr>
            <w:tcW w:w="340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18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2004</w:t>
            </w:r>
          </w:p>
        </w:tc>
        <w:tc>
          <w:tcPr>
            <w:tcW w:w="82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15"/>
                <w:szCs w:val="15"/>
                <w:color w:val="auto"/>
              </w:rPr>
            </w:pP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2"/>
                <w:szCs w:val="22"/>
                <w:color w:val="auto"/>
              </w:rPr>
            </w:pP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590,592</w:t>
            </w:r>
          </w:p>
        </w:tc>
        <w:tc>
          <w:tcPr>
            <w:tcW w:w="820" w:type="dxa"/>
            <w:vAlign w:val="bottom"/>
            <w:vMerge w:val="restart"/>
          </w:tcPr>
          <w:p>
            <w:pPr>
              <w:ind w:left="68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550,352</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5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666,794</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640,347</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282,465</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254,779</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70,634</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62,284</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98,242</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80,229</w:t>
            </w:r>
          </w:p>
        </w:tc>
        <w:tc>
          <w:tcPr>
            <w:tcW w:w="0" w:type="dxa"/>
            <w:vAlign w:val="bottom"/>
          </w:tcPr>
          <w:p>
            <w:pPr>
              <w:spacing w:after="0"/>
              <w:rPr>
                <w:sz w:val="1"/>
                <w:szCs w:val="1"/>
                <w:color w:val="auto"/>
              </w:rPr>
            </w:pPr>
          </w:p>
        </w:tc>
      </w:tr>
      <w:tr>
        <w:trPr>
          <w:trHeight w:val="176"/>
        </w:trPr>
        <w:tc>
          <w:tcPr>
            <w:tcW w:w="732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current assets</w:t>
            </w: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73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1,708,727</w:t>
            </w:r>
          </w:p>
        </w:tc>
        <w:tc>
          <w:tcPr>
            <w:tcW w:w="820" w:type="dxa"/>
            <w:vAlign w:val="bottom"/>
          </w:tcPr>
          <w:p>
            <w:pPr>
              <w:spacing w:after="0"/>
              <w:rPr>
                <w:sz w:val="22"/>
                <w:szCs w:val="22"/>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1,587,991</w:t>
            </w:r>
          </w:p>
        </w:tc>
        <w:tc>
          <w:tcPr>
            <w:tcW w:w="0" w:type="dxa"/>
            <w:vAlign w:val="bottom"/>
          </w:tcPr>
          <w:p>
            <w:pPr>
              <w:spacing w:after="0"/>
              <w:rPr>
                <w:sz w:val="1"/>
                <w:szCs w:val="1"/>
                <w:color w:val="auto"/>
              </w:rPr>
            </w:pPr>
          </w:p>
        </w:tc>
      </w:tr>
      <w:tr>
        <w:trPr>
          <w:trHeight w:val="271"/>
        </w:trPr>
        <w:tc>
          <w:tcPr>
            <w:tcW w:w="732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500" w:type="dxa"/>
            <w:vAlign w:val="bottom"/>
          </w:tcPr>
          <w:p>
            <w:pPr>
              <w:spacing w:after="0"/>
              <w:rPr>
                <w:sz w:val="23"/>
                <w:szCs w:val="23"/>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174,582</w:t>
            </w:r>
          </w:p>
        </w:tc>
        <w:tc>
          <w:tcPr>
            <w:tcW w:w="820" w:type="dxa"/>
            <w:vAlign w:val="bottom"/>
          </w:tcPr>
          <w:p>
            <w:pPr>
              <w:spacing w:after="0"/>
              <w:rPr>
                <w:sz w:val="23"/>
                <w:szCs w:val="23"/>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181,121</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119,859</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113,589</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802,805</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806,874</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43,139</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47,512</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132,125</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126,797</w:t>
            </w:r>
          </w:p>
        </w:tc>
        <w:tc>
          <w:tcPr>
            <w:tcW w:w="0" w:type="dxa"/>
            <w:vAlign w:val="bottom"/>
          </w:tcPr>
          <w:p>
            <w:pPr>
              <w:spacing w:after="0"/>
              <w:rPr>
                <w:sz w:val="1"/>
                <w:szCs w:val="1"/>
                <w:color w:val="auto"/>
              </w:rPr>
            </w:pPr>
          </w:p>
        </w:tc>
      </w:tr>
      <w:tr>
        <w:trPr>
          <w:trHeight w:val="176"/>
        </w:trPr>
        <w:tc>
          <w:tcPr>
            <w:tcW w:w="732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assets</w:t>
            </w: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320" w:type="dxa"/>
            <w:vAlign w:val="bottom"/>
            <w:vMerge w:val="continue"/>
          </w:tcPr>
          <w:p>
            <w:pPr>
              <w:spacing w:after="0"/>
              <w:rPr>
                <w:sz w:val="15"/>
                <w:szCs w:val="15"/>
                <w:color w:val="auto"/>
              </w:rPr>
            </w:pP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$ 2,981,237</w:t>
            </w:r>
          </w:p>
        </w:tc>
        <w:tc>
          <w:tcPr>
            <w:tcW w:w="18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$ 2,863,884</w:t>
            </w: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2"/>
                <w:szCs w:val="22"/>
                <w:color w:val="auto"/>
              </w:rPr>
            </w:pP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73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90,892</w:t>
            </w:r>
          </w:p>
        </w:tc>
        <w:tc>
          <w:tcPr>
            <w:tcW w:w="82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104,415</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137,811</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137,664</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132,303</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124,284</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financing arrangements</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989</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1,604</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235,923</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223,122</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16,194</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19,706</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167,989</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163,648</w:t>
            </w:r>
          </w:p>
        </w:tc>
        <w:tc>
          <w:tcPr>
            <w:tcW w:w="0" w:type="dxa"/>
            <w:vAlign w:val="bottom"/>
          </w:tcPr>
          <w:p>
            <w:pPr>
              <w:spacing w:after="0"/>
              <w:rPr>
                <w:sz w:val="1"/>
                <w:szCs w:val="1"/>
                <w:color w:val="auto"/>
              </w:rPr>
            </w:pPr>
          </w:p>
        </w:tc>
      </w:tr>
      <w:tr>
        <w:trPr>
          <w:trHeight w:val="176"/>
        </w:trPr>
        <w:tc>
          <w:tcPr>
            <w:tcW w:w="732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current liabilities</w:t>
            </w: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73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782,101</w:t>
            </w:r>
          </w:p>
        </w:tc>
        <w:tc>
          <w:tcPr>
            <w:tcW w:w="820" w:type="dxa"/>
            <w:vAlign w:val="bottom"/>
          </w:tcPr>
          <w:p>
            <w:pPr>
              <w:spacing w:after="0"/>
              <w:rPr>
                <w:sz w:val="22"/>
                <w:szCs w:val="22"/>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774,443</w:t>
            </w:r>
          </w:p>
        </w:tc>
        <w:tc>
          <w:tcPr>
            <w:tcW w:w="0" w:type="dxa"/>
            <w:vAlign w:val="bottom"/>
          </w:tcPr>
          <w:p>
            <w:pPr>
              <w:spacing w:after="0"/>
              <w:rPr>
                <w:sz w:val="1"/>
                <w:szCs w:val="1"/>
                <w:color w:val="auto"/>
              </w:rPr>
            </w:pPr>
          </w:p>
        </w:tc>
      </w:tr>
      <w:tr>
        <w:trPr>
          <w:trHeight w:val="271"/>
        </w:trPr>
        <w:tc>
          <w:tcPr>
            <w:tcW w:w="73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500" w:type="dxa"/>
            <w:vAlign w:val="bottom"/>
          </w:tcPr>
          <w:p>
            <w:pPr>
              <w:spacing w:after="0"/>
              <w:rPr>
                <w:sz w:val="23"/>
                <w:szCs w:val="23"/>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42,445</w:t>
            </w:r>
          </w:p>
        </w:tc>
        <w:tc>
          <w:tcPr>
            <w:tcW w:w="820" w:type="dxa"/>
            <w:vAlign w:val="bottom"/>
          </w:tcPr>
          <w:p>
            <w:pPr>
              <w:spacing w:after="0"/>
              <w:rPr>
                <w:sz w:val="23"/>
                <w:szCs w:val="23"/>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40,530</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0.50% Convertible notes</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450,000</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450,000</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187,163</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154,721</w:t>
            </w:r>
          </w:p>
        </w:tc>
        <w:tc>
          <w:tcPr>
            <w:tcW w:w="0" w:type="dxa"/>
            <w:vAlign w:val="bottom"/>
          </w:tcPr>
          <w:p>
            <w:pPr>
              <w:spacing w:after="0"/>
              <w:rPr>
                <w:sz w:val="1"/>
                <w:szCs w:val="1"/>
                <w:color w:val="auto"/>
              </w:rPr>
            </w:pPr>
          </w:p>
        </w:tc>
      </w:tr>
      <w:tr>
        <w:trPr>
          <w:trHeight w:val="176"/>
        </w:trPr>
        <w:tc>
          <w:tcPr>
            <w:tcW w:w="732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liabilities</w:t>
            </w: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3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1,461,709</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1,419,694</w:t>
            </w:r>
          </w:p>
        </w:tc>
        <w:tc>
          <w:tcPr>
            <w:tcW w:w="0" w:type="dxa"/>
            <w:vAlign w:val="bottom"/>
          </w:tcPr>
          <w:p>
            <w:pPr>
              <w:spacing w:after="0"/>
              <w:rPr>
                <w:sz w:val="1"/>
                <w:szCs w:val="1"/>
                <w:color w:val="auto"/>
              </w:rPr>
            </w:pPr>
          </w:p>
        </w:tc>
      </w:tr>
      <w:tr>
        <w:trPr>
          <w:trHeight w:val="257"/>
        </w:trPr>
        <w:tc>
          <w:tcPr>
            <w:tcW w:w="7320" w:type="dxa"/>
            <w:vAlign w:val="bottom"/>
            <w:vMerge w:val="restart"/>
          </w:tcPr>
          <w:p>
            <w:pPr>
              <w:spacing w:after="0"/>
              <w:rPr>
                <w:sz w:val="20"/>
                <w:szCs w:val="20"/>
                <w:color w:val="auto"/>
              </w:rPr>
            </w:pPr>
            <w:r>
              <w:rPr>
                <w:rFonts w:ascii="Courier New" w:cs="Courier New" w:eastAsia="Courier New" w:hAnsi="Courier New"/>
                <w:sz w:val="15"/>
                <w:szCs w:val="15"/>
                <w:color w:val="auto"/>
              </w:rPr>
              <w:t>Shareholders' equity:</w:t>
            </w: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7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 Authorized 25,000 shares; L0.01 par value; 0 shares</w:t>
            </w:r>
          </w:p>
        </w:tc>
        <w:tc>
          <w:tcPr>
            <w:tcW w:w="500" w:type="dxa"/>
            <w:vAlign w:val="bottom"/>
          </w:tcPr>
          <w:p>
            <w:pPr>
              <w:spacing w:after="0"/>
              <w:rPr>
                <w:sz w:val="15"/>
                <w:szCs w:val="15"/>
                <w:color w:val="auto"/>
              </w:rPr>
            </w:pPr>
          </w:p>
        </w:tc>
        <w:tc>
          <w:tcPr>
            <w:tcW w:w="10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0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issued and outstanding</w:t>
            </w:r>
          </w:p>
        </w:tc>
        <w:tc>
          <w:tcPr>
            <w:tcW w:w="5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 L0.01 par value; 225,619 and</w:t>
            </w:r>
          </w:p>
        </w:tc>
        <w:tc>
          <w:tcPr>
            <w:tcW w:w="500" w:type="dxa"/>
            <w:vAlign w:val="bottom"/>
          </w:tcPr>
          <w:p>
            <w:pPr>
              <w:spacing w:after="0"/>
              <w:rPr>
                <w:sz w:val="15"/>
                <w:szCs w:val="15"/>
                <w:color w:val="auto"/>
              </w:rPr>
            </w:pPr>
          </w:p>
        </w:tc>
        <w:tc>
          <w:tcPr>
            <w:tcW w:w="10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3,613</w:t>
            </w:r>
          </w:p>
        </w:tc>
        <w:tc>
          <w:tcPr>
            <w:tcW w:w="820" w:type="dxa"/>
            <w:vAlign w:val="bottom"/>
          </w:tcPr>
          <w:p>
            <w:pPr>
              <w:spacing w:after="0"/>
              <w:rPr>
                <w:sz w:val="15"/>
                <w:szCs w:val="15"/>
                <w:color w:val="auto"/>
              </w:rPr>
            </w:pPr>
          </w:p>
        </w:tc>
        <w:tc>
          <w:tcPr>
            <w:tcW w:w="10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3,601</w:t>
            </w:r>
          </w:p>
        </w:tc>
        <w:tc>
          <w:tcPr>
            <w:tcW w:w="0" w:type="dxa"/>
            <w:vAlign w:val="bottom"/>
          </w:tcPr>
          <w:p>
            <w:pPr>
              <w:spacing w:after="0"/>
              <w:rPr>
                <w:sz w:val="1"/>
                <w:szCs w:val="1"/>
                <w:color w:val="auto"/>
              </w:rPr>
            </w:pP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224,947 issued and 202,006 and 201,334 outstanding, respectively</w:t>
            </w:r>
          </w:p>
        </w:tc>
        <w:tc>
          <w:tcPr>
            <w:tcW w:w="5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1,843,628</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1,837,608</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at cost - 23,613 Ordinary Shares</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(502,416)</w:t>
            </w:r>
          </w:p>
        </w:tc>
        <w:tc>
          <w:tcPr>
            <w:tcW w:w="8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(502,416)</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loss</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(2,101)</w:t>
            </w:r>
          </w:p>
        </w:tc>
        <w:tc>
          <w:tcPr>
            <w:tcW w:w="8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(1,919)</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c>
          <w:tcPr>
            <w:tcW w:w="8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176,933</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107,490</w:t>
            </w:r>
          </w:p>
        </w:tc>
        <w:tc>
          <w:tcPr>
            <w:tcW w:w="0" w:type="dxa"/>
            <w:vAlign w:val="bottom"/>
          </w:tcPr>
          <w:p>
            <w:pPr>
              <w:spacing w:after="0"/>
              <w:rPr>
                <w:sz w:val="1"/>
                <w:szCs w:val="1"/>
                <w:color w:val="auto"/>
              </w:rPr>
            </w:pPr>
          </w:p>
        </w:tc>
      </w:tr>
      <w:tr>
        <w:trPr>
          <w:trHeight w:val="176"/>
        </w:trPr>
        <w:tc>
          <w:tcPr>
            <w:tcW w:w="732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shareholders' equity</w:t>
            </w: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3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1,519,528</w:t>
            </w:r>
          </w:p>
        </w:tc>
        <w:tc>
          <w:tcPr>
            <w:tcW w:w="8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1,444,190</w:t>
            </w:r>
          </w:p>
        </w:tc>
        <w:tc>
          <w:tcPr>
            <w:tcW w:w="0" w:type="dxa"/>
            <w:vAlign w:val="bottom"/>
          </w:tcPr>
          <w:p>
            <w:pPr>
              <w:spacing w:after="0"/>
              <w:rPr>
                <w:sz w:val="1"/>
                <w:szCs w:val="1"/>
                <w:color w:val="auto"/>
              </w:rPr>
            </w:pPr>
          </w:p>
        </w:tc>
      </w:tr>
      <w:tr>
        <w:trPr>
          <w:trHeight w:val="176"/>
        </w:trPr>
        <w:tc>
          <w:tcPr>
            <w:tcW w:w="732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320" w:type="dxa"/>
            <w:vAlign w:val="bottom"/>
            <w:vMerge w:val="continue"/>
          </w:tcPr>
          <w:p>
            <w:pPr>
              <w:spacing w:after="0"/>
              <w:rPr>
                <w:sz w:val="15"/>
                <w:szCs w:val="15"/>
                <w:color w:val="auto"/>
              </w:rPr>
            </w:pP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$ 2,981,237</w:t>
            </w:r>
          </w:p>
        </w:tc>
        <w:tc>
          <w:tcPr>
            <w:tcW w:w="18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$ 2,863,884</w:t>
            </w: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2"/>
                <w:szCs w:val="22"/>
                <w:color w:val="auto"/>
              </w:rPr>
            </w:pP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34"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3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720"/>
          </w:cols>
          <w:pgMar w:left="240" w:top="442" w:right="939" w:bottom="1440" w:gutter="0" w:footer="0" w:header="0"/>
        </w:sectPr>
      </w:pPr>
    </w:p>
    <w:bookmarkStart w:id="3" w:name="page4"/>
    <w:bookmarkEnd w:id="3"/>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3160" w:type="dxa"/>
            <w:vAlign w:val="bottom"/>
            <w:gridSpan w:val="4"/>
          </w:tcPr>
          <w:p>
            <w:pPr>
              <w:ind w:left="320"/>
              <w:spacing w:after="0"/>
              <w:rPr>
                <w:sz w:val="20"/>
                <w:szCs w:val="20"/>
                <w:color w:val="auto"/>
              </w:rPr>
            </w:pPr>
            <w:r>
              <w:rPr>
                <w:rFonts w:ascii="Courier New" w:cs="Courier New" w:eastAsia="Courier New" w:hAnsi="Courier New"/>
                <w:sz w:val="15"/>
                <w:szCs w:val="15"/>
                <w:color w:val="auto"/>
              </w:rPr>
              <w:t>THREE MONTHS ENDED DECEMBER 31,</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3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904"/>
              <w:spacing w:after="0"/>
              <w:rPr>
                <w:sz w:val="20"/>
                <w:szCs w:val="20"/>
                <w:color w:val="auto"/>
              </w:rPr>
            </w:pPr>
            <w:r>
              <w:rPr>
                <w:rFonts w:ascii="Courier New" w:cs="Courier New" w:eastAsia="Courier New" w:hAnsi="Courier New"/>
                <w:sz w:val="15"/>
                <w:szCs w:val="15"/>
                <w:color w:val="auto"/>
                <w:w w:val="94"/>
              </w:rPr>
              <w:t>2004</w:t>
            </w:r>
          </w:p>
        </w:tc>
        <w:tc>
          <w:tcPr>
            <w:tcW w:w="760" w:type="dxa"/>
            <w:vAlign w:val="bottom"/>
          </w:tcPr>
          <w:p>
            <w:pPr>
              <w:spacing w:after="0"/>
              <w:rPr>
                <w:sz w:val="15"/>
                <w:szCs w:val="15"/>
                <w:color w:val="auto"/>
              </w:rPr>
            </w:pPr>
          </w:p>
        </w:tc>
        <w:tc>
          <w:tcPr>
            <w:tcW w:w="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2"/>
                <w:szCs w:val="22"/>
                <w:color w:val="auto"/>
              </w:rPr>
            </w:pPr>
          </w:p>
        </w:tc>
        <w:tc>
          <w:tcPr>
            <w:tcW w:w="17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740" w:type="dxa"/>
            <w:vAlign w:val="bottom"/>
            <w:gridSpan w:val="2"/>
            <w:vMerge w:val="restart"/>
          </w:tcPr>
          <w:p>
            <w:pPr>
              <w:jc w:val="right"/>
              <w:ind w:right="624"/>
              <w:spacing w:after="0"/>
              <w:rPr>
                <w:sz w:val="20"/>
                <w:szCs w:val="20"/>
                <w:color w:val="auto"/>
              </w:rPr>
            </w:pPr>
            <w:r>
              <w:rPr>
                <w:rFonts w:ascii="Courier New" w:cs="Courier New" w:eastAsia="Courier New" w:hAnsi="Courier New"/>
                <w:sz w:val="15"/>
                <w:szCs w:val="15"/>
                <w:color w:val="auto"/>
              </w:rPr>
              <w:t>$ 20,366</w:t>
            </w:r>
          </w:p>
        </w:tc>
        <w:tc>
          <w:tcPr>
            <w:tcW w:w="14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$ 16,621</w:t>
            </w:r>
          </w:p>
        </w:tc>
        <w:tc>
          <w:tcPr>
            <w:tcW w:w="0" w:type="dxa"/>
            <w:vAlign w:val="bottom"/>
          </w:tcPr>
          <w:p>
            <w:pPr>
              <w:spacing w:after="0"/>
              <w:rPr>
                <w:sz w:val="1"/>
                <w:szCs w:val="1"/>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License</w:t>
            </w:r>
          </w:p>
        </w:tc>
        <w:tc>
          <w:tcPr>
            <w:tcW w:w="174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Service</w:t>
            </w:r>
          </w:p>
        </w:tc>
        <w:tc>
          <w:tcPr>
            <w:tcW w:w="400" w:type="dxa"/>
            <w:vAlign w:val="bottom"/>
          </w:tcPr>
          <w:p>
            <w:pPr>
              <w:spacing w:after="0"/>
              <w:rPr>
                <w:sz w:val="15"/>
                <w:szCs w:val="15"/>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449,166</w:t>
            </w:r>
          </w:p>
        </w:tc>
        <w:tc>
          <w:tcPr>
            <w:tcW w:w="7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411,674</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17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469,532</w:t>
            </w:r>
          </w:p>
        </w:tc>
        <w:tc>
          <w:tcPr>
            <w:tcW w:w="7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428,295</w:t>
            </w:r>
          </w:p>
        </w:tc>
        <w:tc>
          <w:tcPr>
            <w:tcW w:w="0" w:type="dxa"/>
            <w:vAlign w:val="bottom"/>
          </w:tcPr>
          <w:p>
            <w:pPr>
              <w:spacing w:after="0"/>
              <w:rPr>
                <w:sz w:val="1"/>
                <w:szCs w:val="1"/>
                <w:color w:val="auto"/>
              </w:rPr>
            </w:pPr>
          </w:p>
        </w:tc>
      </w:tr>
      <w:tr>
        <w:trPr>
          <w:trHeight w:val="257"/>
        </w:trPr>
        <w:tc>
          <w:tcPr>
            <w:tcW w:w="51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17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51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vMerge w:val="restart"/>
          </w:tcPr>
          <w:p>
            <w:pPr>
              <w:jc w:val="right"/>
              <w:ind w:right="624"/>
              <w:spacing w:after="0"/>
              <w:rPr>
                <w:sz w:val="20"/>
                <w:szCs w:val="20"/>
                <w:color w:val="auto"/>
              </w:rPr>
            </w:pPr>
            <w:r>
              <w:rPr>
                <w:rFonts w:ascii="Courier New" w:cs="Courier New" w:eastAsia="Courier New" w:hAnsi="Courier New"/>
                <w:sz w:val="15"/>
                <w:szCs w:val="15"/>
                <w:color w:val="auto"/>
              </w:rPr>
              <w:t>1,155</w:t>
            </w:r>
          </w:p>
        </w:tc>
        <w:tc>
          <w:tcPr>
            <w:tcW w:w="76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1,132</w:t>
            </w:r>
          </w:p>
        </w:tc>
        <w:tc>
          <w:tcPr>
            <w:tcW w:w="0" w:type="dxa"/>
            <w:vAlign w:val="bottom"/>
          </w:tcPr>
          <w:p>
            <w:pPr>
              <w:spacing w:after="0"/>
              <w:rPr>
                <w:sz w:val="1"/>
                <w:szCs w:val="1"/>
                <w:color w:val="auto"/>
              </w:rPr>
            </w:pPr>
          </w:p>
        </w:tc>
      </w:tr>
      <w:tr>
        <w:trPr>
          <w:trHeight w:val="176"/>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Cost of license</w:t>
            </w:r>
          </w:p>
        </w:tc>
        <w:tc>
          <w:tcPr>
            <w:tcW w:w="4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Cost of service</w:t>
            </w:r>
          </w:p>
        </w:tc>
        <w:tc>
          <w:tcPr>
            <w:tcW w:w="400" w:type="dxa"/>
            <w:vAlign w:val="bottom"/>
          </w:tcPr>
          <w:p>
            <w:pPr>
              <w:spacing w:after="0"/>
              <w:rPr>
                <w:sz w:val="15"/>
                <w:szCs w:val="15"/>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294,947</w:t>
            </w:r>
          </w:p>
        </w:tc>
        <w:tc>
          <w:tcPr>
            <w:tcW w:w="7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272,103</w:t>
            </w:r>
          </w:p>
        </w:tc>
        <w:tc>
          <w:tcPr>
            <w:tcW w:w="0" w:type="dxa"/>
            <w:vAlign w:val="bottom"/>
          </w:tcPr>
          <w:p>
            <w:pPr>
              <w:spacing w:after="0"/>
              <w:rPr>
                <w:sz w:val="1"/>
                <w:szCs w:val="1"/>
                <w:color w:val="auto"/>
              </w:rPr>
            </w:pPr>
          </w:p>
        </w:tc>
      </w:tr>
      <w:tr>
        <w:trPr>
          <w:trHeight w:val="176"/>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Research and development</w:t>
            </w:r>
          </w:p>
        </w:tc>
        <w:tc>
          <w:tcPr>
            <w:tcW w:w="400" w:type="dxa"/>
            <w:vAlign w:val="bottom"/>
          </w:tcPr>
          <w:p>
            <w:pPr>
              <w:spacing w:after="0"/>
              <w:rPr>
                <w:sz w:val="15"/>
                <w:szCs w:val="15"/>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32,911</w:t>
            </w:r>
          </w:p>
        </w:tc>
        <w:tc>
          <w:tcPr>
            <w:tcW w:w="7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30,498</w:t>
            </w:r>
          </w:p>
        </w:tc>
        <w:tc>
          <w:tcPr>
            <w:tcW w:w="0" w:type="dxa"/>
            <w:vAlign w:val="bottom"/>
          </w:tcPr>
          <w:p>
            <w:pPr>
              <w:spacing w:after="0"/>
              <w:rPr>
                <w:sz w:val="1"/>
                <w:szCs w:val="1"/>
                <w:color w:val="auto"/>
              </w:rPr>
            </w:pPr>
          </w:p>
        </w:tc>
      </w:tr>
      <w:tr>
        <w:trPr>
          <w:trHeight w:val="176"/>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Selling, general and administrative</w:t>
            </w:r>
          </w:p>
        </w:tc>
        <w:tc>
          <w:tcPr>
            <w:tcW w:w="400" w:type="dxa"/>
            <w:vAlign w:val="bottom"/>
          </w:tcPr>
          <w:p>
            <w:pPr>
              <w:spacing w:after="0"/>
              <w:rPr>
                <w:sz w:val="15"/>
                <w:szCs w:val="15"/>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54,960</w:t>
            </w:r>
          </w:p>
        </w:tc>
        <w:tc>
          <w:tcPr>
            <w:tcW w:w="7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52,497</w:t>
            </w:r>
          </w:p>
        </w:tc>
        <w:tc>
          <w:tcPr>
            <w:tcW w:w="0" w:type="dxa"/>
            <w:vAlign w:val="bottom"/>
          </w:tcPr>
          <w:p>
            <w:pPr>
              <w:spacing w:after="0"/>
              <w:rPr>
                <w:sz w:val="1"/>
                <w:szCs w:val="1"/>
                <w:color w:val="auto"/>
              </w:rPr>
            </w:pPr>
          </w:p>
        </w:tc>
      </w:tr>
      <w:tr>
        <w:trPr>
          <w:trHeight w:val="176"/>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400" w:type="dxa"/>
            <w:vAlign w:val="bottom"/>
          </w:tcPr>
          <w:p>
            <w:pPr>
              <w:spacing w:after="0"/>
              <w:rPr>
                <w:sz w:val="15"/>
                <w:szCs w:val="15"/>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3,718</w:t>
            </w:r>
          </w:p>
        </w:tc>
        <w:tc>
          <w:tcPr>
            <w:tcW w:w="7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5,096</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17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387,691</w:t>
            </w:r>
          </w:p>
        </w:tc>
        <w:tc>
          <w:tcPr>
            <w:tcW w:w="7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361,326</w:t>
            </w: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2"/>
                <w:szCs w:val="22"/>
                <w:color w:val="auto"/>
              </w:rPr>
            </w:pPr>
          </w:p>
        </w:tc>
        <w:tc>
          <w:tcPr>
            <w:tcW w:w="17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00" w:type="dxa"/>
            <w:vAlign w:val="bottom"/>
          </w:tcPr>
          <w:p>
            <w:pPr>
              <w:spacing w:after="0"/>
              <w:rPr>
                <w:sz w:val="23"/>
                <w:szCs w:val="23"/>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81,841</w:t>
            </w:r>
          </w:p>
        </w:tc>
        <w:tc>
          <w:tcPr>
            <w:tcW w:w="7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66,969</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400" w:type="dxa"/>
            <w:vAlign w:val="bottom"/>
          </w:tcPr>
          <w:p>
            <w:pPr>
              <w:spacing w:after="0"/>
              <w:rPr>
                <w:sz w:val="15"/>
                <w:szCs w:val="15"/>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4,959</w:t>
            </w:r>
          </w:p>
        </w:tc>
        <w:tc>
          <w:tcPr>
            <w:tcW w:w="7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1,067</w:t>
            </w: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2"/>
                <w:szCs w:val="22"/>
                <w:color w:val="auto"/>
              </w:rPr>
            </w:pPr>
          </w:p>
        </w:tc>
        <w:tc>
          <w:tcPr>
            <w:tcW w:w="17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00" w:type="dxa"/>
            <w:vAlign w:val="bottom"/>
          </w:tcPr>
          <w:p>
            <w:pPr>
              <w:spacing w:after="0"/>
              <w:rPr>
                <w:sz w:val="23"/>
                <w:szCs w:val="23"/>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86,800</w:t>
            </w:r>
          </w:p>
        </w:tc>
        <w:tc>
          <w:tcPr>
            <w:tcW w:w="7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68,036</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00" w:type="dxa"/>
            <w:vAlign w:val="bottom"/>
          </w:tcPr>
          <w:p>
            <w:pPr>
              <w:spacing w:after="0"/>
              <w:rPr>
                <w:sz w:val="15"/>
                <w:szCs w:val="15"/>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17,357</w:t>
            </w:r>
          </w:p>
        </w:tc>
        <w:tc>
          <w:tcPr>
            <w:tcW w:w="7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14,968</w:t>
            </w: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2"/>
                <w:szCs w:val="22"/>
                <w:color w:val="auto"/>
              </w:rPr>
            </w:pPr>
          </w:p>
        </w:tc>
        <w:tc>
          <w:tcPr>
            <w:tcW w:w="17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$ 69,443</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$ 53,068</w:t>
            </w: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2"/>
                <w:szCs w:val="22"/>
                <w:color w:val="auto"/>
              </w:rPr>
            </w:pPr>
          </w:p>
        </w:tc>
        <w:tc>
          <w:tcPr>
            <w:tcW w:w="17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0.34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2"/>
                <w:szCs w:val="22"/>
                <w:color w:val="auto"/>
              </w:rPr>
            </w:pPr>
          </w:p>
        </w:tc>
        <w:tc>
          <w:tcPr>
            <w:tcW w:w="17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0.32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0.24</w:t>
            </w: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2"/>
                <w:szCs w:val="22"/>
                <w:color w:val="auto"/>
              </w:rPr>
            </w:pPr>
          </w:p>
        </w:tc>
        <w:tc>
          <w:tcPr>
            <w:tcW w:w="17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400" w:type="dxa"/>
            <w:vAlign w:val="bottom"/>
          </w:tcPr>
          <w:p>
            <w:pPr>
              <w:spacing w:after="0"/>
              <w:rPr>
                <w:sz w:val="23"/>
                <w:szCs w:val="23"/>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201,703</w:t>
            </w:r>
          </w:p>
        </w:tc>
        <w:tc>
          <w:tcPr>
            <w:tcW w:w="7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215,106</w:t>
            </w: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2"/>
                <w:szCs w:val="22"/>
                <w:color w:val="auto"/>
              </w:rPr>
            </w:pPr>
          </w:p>
        </w:tc>
        <w:tc>
          <w:tcPr>
            <w:tcW w:w="17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400" w:type="dxa"/>
            <w:vAlign w:val="bottom"/>
          </w:tcPr>
          <w:p>
            <w:pPr>
              <w:spacing w:after="0"/>
              <w:rPr>
                <w:sz w:val="23"/>
                <w:szCs w:val="23"/>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217,448</w:t>
            </w:r>
          </w:p>
        </w:tc>
        <w:tc>
          <w:tcPr>
            <w:tcW w:w="7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220,594</w:t>
            </w: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2"/>
                <w:szCs w:val="22"/>
                <w:color w:val="auto"/>
              </w:rPr>
            </w:pPr>
          </w:p>
        </w:tc>
        <w:tc>
          <w:tcPr>
            <w:tcW w:w="17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3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3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42" w:right="1440" w:bottom="1440" w:gutter="0" w:footer="0" w:header="0"/>
        </w:sectPr>
      </w:pPr>
    </w:p>
    <w:bookmarkStart w:id="4" w:name="page5"/>
    <w:bookmarkEnd w:id="4"/>
    <w:p>
      <w:pPr>
        <w:jc w:val="center"/>
        <w:ind w:right="420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460" w:type="dxa"/>
            <w:vAlign w:val="bottom"/>
          </w:tcPr>
          <w:p>
            <w:pPr>
              <w:spacing w:after="0"/>
              <w:rPr>
                <w:sz w:val="22"/>
                <w:szCs w:val="22"/>
                <w:color w:val="auto"/>
              </w:rPr>
            </w:pPr>
          </w:p>
        </w:tc>
        <w:tc>
          <w:tcPr>
            <w:tcW w:w="19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2460" w:type="dxa"/>
            <w:vAlign w:val="bottom"/>
          </w:tcPr>
          <w:p>
            <w:pPr>
              <w:spacing w:after="0"/>
              <w:rPr>
                <w:sz w:val="24"/>
                <w:szCs w:val="24"/>
                <w:color w:val="auto"/>
              </w:rPr>
            </w:pPr>
          </w:p>
        </w:tc>
        <w:tc>
          <w:tcPr>
            <w:tcW w:w="1940" w:type="dxa"/>
            <w:vAlign w:val="bottom"/>
            <w:gridSpan w:val="2"/>
            <w:vMerge w:val="restart"/>
          </w:tcPr>
          <w:p>
            <w:pPr>
              <w:jc w:val="right"/>
              <w:ind w:right="204"/>
              <w:spacing w:after="0"/>
              <w:rPr>
                <w:sz w:val="20"/>
                <w:szCs w:val="20"/>
                <w:color w:val="auto"/>
              </w:rPr>
            </w:pPr>
            <w:r>
              <w:rPr>
                <w:rFonts w:ascii="Courier New" w:cs="Courier New" w:eastAsia="Courier New" w:hAnsi="Courier New"/>
                <w:sz w:val="15"/>
                <w:szCs w:val="15"/>
                <w:color w:val="auto"/>
              </w:rPr>
              <w:t>Ordinary Shares</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Additional</w:t>
            </w:r>
          </w:p>
        </w:tc>
        <w:tc>
          <w:tcPr>
            <w:tcW w:w="1100" w:type="dxa"/>
            <w:vAlign w:val="bottom"/>
          </w:tcPr>
          <w:p>
            <w:pPr>
              <w:spacing w:after="0"/>
              <w:rPr>
                <w:sz w:val="24"/>
                <w:szCs w:val="24"/>
                <w:color w:val="auto"/>
              </w:rPr>
            </w:pP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Treasury</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Unearned</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Retained</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9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Paid-in</w:t>
            </w:r>
          </w:p>
        </w:tc>
        <w:tc>
          <w:tcPr>
            <w:tcW w:w="1100" w:type="dxa"/>
            <w:vAlign w:val="bottom"/>
            <w:vMerge w:val="continue"/>
          </w:tcPr>
          <w:p>
            <w:pPr>
              <w:spacing w:after="0"/>
              <w:rPr>
                <w:sz w:val="15"/>
                <w:szCs w:val="15"/>
                <w:color w:val="auto"/>
              </w:rPr>
            </w:pP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Comprehensive</w:t>
            </w:r>
          </w:p>
        </w:tc>
        <w:tc>
          <w:tcPr>
            <w:tcW w:w="1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Amount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Capital</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Stock</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Loss</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Compensation</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Earnings</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0" w:type="dxa"/>
            <w:vAlign w:val="bottom"/>
          </w:tcPr>
          <w:p>
            <w:pPr>
              <w:spacing w:after="0"/>
              <w:rPr>
                <w:sz w:val="1"/>
                <w:szCs w:val="1"/>
                <w:color w:val="auto"/>
              </w:rPr>
            </w:pPr>
          </w:p>
        </w:tc>
      </w:tr>
      <w:tr>
        <w:trPr>
          <w:trHeight w:val="257"/>
        </w:trPr>
        <w:tc>
          <w:tcPr>
            <w:tcW w:w="2460" w:type="dxa"/>
            <w:vAlign w:val="bottom"/>
          </w:tcPr>
          <w:p>
            <w:pPr>
              <w:spacing w:after="0"/>
              <w:rPr>
                <w:sz w:val="22"/>
                <w:szCs w:val="22"/>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201,334</w:t>
            </w:r>
          </w:p>
        </w:tc>
        <w:tc>
          <w:tcPr>
            <w:tcW w:w="9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$3,601</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$1,837,608</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$(502,416)</w:t>
            </w:r>
          </w:p>
        </w:tc>
        <w:tc>
          <w:tcPr>
            <w:tcW w:w="13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$(1,919)</w:t>
            </w:r>
          </w:p>
        </w:tc>
        <w:tc>
          <w:tcPr>
            <w:tcW w:w="128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$(174)</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$107,490</w:t>
            </w:r>
          </w:p>
        </w:tc>
        <w:tc>
          <w:tcPr>
            <w:tcW w:w="126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$1,444,190</w:t>
            </w:r>
          </w:p>
        </w:tc>
        <w:tc>
          <w:tcPr>
            <w:tcW w:w="0" w:type="dxa"/>
            <w:vAlign w:val="bottom"/>
          </w:tcPr>
          <w:p>
            <w:pPr>
              <w:spacing w:after="0"/>
              <w:rPr>
                <w:sz w:val="1"/>
                <w:szCs w:val="1"/>
                <w:color w:val="auto"/>
              </w:rPr>
            </w:pPr>
          </w:p>
        </w:tc>
      </w:tr>
      <w:tr>
        <w:trPr>
          <w:trHeight w:val="176"/>
        </w:trPr>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30, 2004</w:t>
            </w:r>
          </w:p>
        </w:tc>
        <w:tc>
          <w:tcPr>
            <w:tcW w:w="9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69,443</w:t>
            </w:r>
          </w:p>
        </w:tc>
        <w:tc>
          <w:tcPr>
            <w:tcW w:w="126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69,443</w:t>
            </w:r>
          </w:p>
        </w:tc>
        <w:tc>
          <w:tcPr>
            <w:tcW w:w="0" w:type="dxa"/>
            <w:vAlign w:val="bottom"/>
          </w:tcPr>
          <w:p>
            <w:pPr>
              <w:spacing w:after="0"/>
              <w:rPr>
                <w:sz w:val="1"/>
                <w:szCs w:val="1"/>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 on</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460"/>
              <w:spacing w:after="0"/>
              <w:rPr>
                <w:sz w:val="20"/>
                <w:szCs w:val="20"/>
                <w:color w:val="auto"/>
              </w:rPr>
            </w:pPr>
            <w:r>
              <w:rPr>
                <w:rFonts w:ascii="Courier New" w:cs="Courier New" w:eastAsia="Courier New" w:hAnsi="Courier New"/>
                <w:sz w:val="15"/>
                <w:szCs w:val="15"/>
                <w:color w:val="auto"/>
              </w:rPr>
              <w:t>hedging contracts,</w:t>
            </w: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502</w:t>
            </w:r>
          </w:p>
        </w:tc>
        <w:tc>
          <w:tcPr>
            <w:tcW w:w="12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502</w:t>
            </w:r>
          </w:p>
        </w:tc>
        <w:tc>
          <w:tcPr>
            <w:tcW w:w="0" w:type="dxa"/>
            <w:vAlign w:val="bottom"/>
          </w:tcPr>
          <w:p>
            <w:pPr>
              <w:spacing w:after="0"/>
              <w:rPr>
                <w:sz w:val="1"/>
                <w:szCs w:val="1"/>
                <w:color w:val="auto"/>
              </w:rPr>
            </w:pPr>
          </w:p>
        </w:tc>
      </w:tr>
      <w:tr>
        <w:trPr>
          <w:trHeight w:val="176"/>
        </w:trPr>
        <w:tc>
          <w:tcPr>
            <w:tcW w:w="2460" w:type="dxa"/>
            <w:vAlign w:val="bottom"/>
          </w:tcPr>
          <w:p>
            <w:pPr>
              <w:ind w:left="460"/>
              <w:spacing w:after="0"/>
              <w:rPr>
                <w:sz w:val="20"/>
                <w:szCs w:val="20"/>
                <w:color w:val="auto"/>
              </w:rPr>
            </w:pPr>
            <w:r>
              <w:rPr>
                <w:rFonts w:ascii="Courier New" w:cs="Courier New" w:eastAsia="Courier New" w:hAnsi="Courier New"/>
                <w:sz w:val="15"/>
                <w:szCs w:val="15"/>
                <w:color w:val="auto"/>
              </w:rPr>
              <w:t>net of $165 tax</w:t>
            </w:r>
          </w:p>
        </w:tc>
        <w:tc>
          <w:tcPr>
            <w:tcW w:w="9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 on</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460"/>
              <w:spacing w:after="0"/>
              <w:rPr>
                <w:sz w:val="20"/>
                <w:szCs w:val="20"/>
                <w:color w:val="auto"/>
              </w:rPr>
            </w:pPr>
            <w:r>
              <w:rPr>
                <w:rFonts w:ascii="Courier New" w:cs="Courier New" w:eastAsia="Courier New" w:hAnsi="Courier New"/>
                <w:sz w:val="15"/>
                <w:szCs w:val="15"/>
                <w:color w:val="auto"/>
              </w:rPr>
              <w:t>short-term</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460"/>
              <w:spacing w:after="0"/>
              <w:rPr>
                <w:sz w:val="20"/>
                <w:szCs w:val="20"/>
                <w:color w:val="auto"/>
              </w:rPr>
            </w:pPr>
            <w:r>
              <w:rPr>
                <w:rFonts w:ascii="Courier New" w:cs="Courier New" w:eastAsia="Courier New" w:hAnsi="Courier New"/>
                <w:sz w:val="15"/>
                <w:szCs w:val="15"/>
                <w:color w:val="auto"/>
              </w:rPr>
              <w:t>interest-bearing</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460"/>
              <w:spacing w:after="0"/>
              <w:rPr>
                <w:sz w:val="20"/>
                <w:szCs w:val="20"/>
                <w:color w:val="auto"/>
              </w:rPr>
            </w:pPr>
            <w:r>
              <w:rPr>
                <w:rFonts w:ascii="Courier New" w:cs="Courier New" w:eastAsia="Courier New" w:hAnsi="Courier New"/>
                <w:sz w:val="15"/>
                <w:szCs w:val="15"/>
                <w:color w:val="auto"/>
              </w:rPr>
              <w:t>investments, net of</w:t>
            </w: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(684)</w:t>
            </w:r>
          </w:p>
        </w:tc>
        <w:tc>
          <w:tcPr>
            <w:tcW w:w="12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(684)</w:t>
            </w:r>
          </w:p>
        </w:tc>
        <w:tc>
          <w:tcPr>
            <w:tcW w:w="0" w:type="dxa"/>
            <w:vAlign w:val="bottom"/>
          </w:tcPr>
          <w:p>
            <w:pPr>
              <w:spacing w:after="0"/>
              <w:rPr>
                <w:sz w:val="1"/>
                <w:szCs w:val="1"/>
                <w:color w:val="auto"/>
              </w:rPr>
            </w:pPr>
          </w:p>
        </w:tc>
      </w:tr>
      <w:tr>
        <w:trPr>
          <w:trHeight w:val="176"/>
        </w:trPr>
        <w:tc>
          <w:tcPr>
            <w:tcW w:w="2460" w:type="dxa"/>
            <w:vAlign w:val="bottom"/>
          </w:tcPr>
          <w:p>
            <w:pPr>
              <w:ind w:left="460"/>
              <w:spacing w:after="0"/>
              <w:rPr>
                <w:sz w:val="20"/>
                <w:szCs w:val="20"/>
                <w:color w:val="auto"/>
              </w:rPr>
            </w:pPr>
            <w:r>
              <w:rPr>
                <w:rFonts w:ascii="Courier New" w:cs="Courier New" w:eastAsia="Courier New" w:hAnsi="Courier New"/>
                <w:sz w:val="15"/>
                <w:szCs w:val="15"/>
                <w:color w:val="auto"/>
              </w:rPr>
              <w:t>$(149) tax</w:t>
            </w:r>
          </w:p>
        </w:tc>
        <w:tc>
          <w:tcPr>
            <w:tcW w:w="9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4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jc w:val="right"/>
              <w:ind w:right="84"/>
              <w:spacing w:after="0"/>
              <w:rPr>
                <w:sz w:val="20"/>
                <w:szCs w:val="20"/>
                <w:color w:val="auto"/>
              </w:rPr>
            </w:pPr>
            <w:r>
              <w:rPr>
                <w:rFonts w:ascii="Courier New" w:cs="Courier New" w:eastAsia="Courier New" w:hAnsi="Courier New"/>
                <w:sz w:val="15"/>
                <w:szCs w:val="15"/>
                <w:color w:val="auto"/>
              </w:rPr>
              <w:t>69,261</w:t>
            </w:r>
          </w:p>
        </w:tc>
        <w:tc>
          <w:tcPr>
            <w:tcW w:w="0" w:type="dxa"/>
            <w:vAlign w:val="bottom"/>
          </w:tcPr>
          <w:p>
            <w:pPr>
              <w:spacing w:after="0"/>
              <w:rPr>
                <w:sz w:val="1"/>
                <w:szCs w:val="1"/>
                <w:color w:val="auto"/>
              </w:rPr>
            </w:pPr>
          </w:p>
        </w:tc>
      </w:tr>
      <w:tr>
        <w:trPr>
          <w:trHeight w:val="257"/>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Employee stock options</w:t>
            </w: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672</w:t>
            </w:r>
          </w:p>
        </w:tc>
        <w:tc>
          <w:tcPr>
            <w:tcW w:w="9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12</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5,129</w:t>
            </w:r>
          </w:p>
        </w:tc>
        <w:tc>
          <w:tcPr>
            <w:tcW w:w="11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5,141</w:t>
            </w:r>
          </w:p>
        </w:tc>
        <w:tc>
          <w:tcPr>
            <w:tcW w:w="0" w:type="dxa"/>
            <w:vAlign w:val="bottom"/>
          </w:tcPr>
          <w:p>
            <w:pPr>
              <w:spacing w:after="0"/>
              <w:rPr>
                <w:sz w:val="1"/>
                <w:szCs w:val="1"/>
                <w:color w:val="auto"/>
              </w:rPr>
            </w:pPr>
          </w:p>
        </w:tc>
      </w:tr>
      <w:tr>
        <w:trPr>
          <w:trHeight w:val="176"/>
        </w:trPr>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9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864</w:t>
            </w:r>
          </w:p>
        </w:tc>
        <w:tc>
          <w:tcPr>
            <w:tcW w:w="11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864</w:t>
            </w:r>
          </w:p>
        </w:tc>
        <w:tc>
          <w:tcPr>
            <w:tcW w:w="0" w:type="dxa"/>
            <w:vAlign w:val="bottom"/>
          </w:tcPr>
          <w:p>
            <w:pPr>
              <w:spacing w:after="0"/>
              <w:rPr>
                <w:sz w:val="1"/>
                <w:szCs w:val="1"/>
                <w:color w:val="auto"/>
              </w:rPr>
            </w:pPr>
          </w:p>
        </w:tc>
      </w:tr>
      <w:tr>
        <w:trPr>
          <w:trHeight w:val="176"/>
        </w:trPr>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9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Expense related to vesting</w:t>
            </w: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27</w:t>
            </w:r>
          </w:p>
        </w:tc>
        <w:tc>
          <w:tcPr>
            <w:tcW w:w="11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6"/>
        </w:trPr>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of stock options</w:t>
            </w:r>
          </w:p>
        </w:tc>
        <w:tc>
          <w:tcPr>
            <w:tcW w:w="9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45</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76"/>
        </w:trPr>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9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AS OF</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202,006</w:t>
            </w:r>
          </w:p>
        </w:tc>
        <w:tc>
          <w:tcPr>
            <w:tcW w:w="9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$3,613</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$1,843,628</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$(502,416)</w:t>
            </w:r>
          </w:p>
        </w:tc>
        <w:tc>
          <w:tcPr>
            <w:tcW w:w="13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$(2,101)</w:t>
            </w:r>
          </w:p>
        </w:tc>
        <w:tc>
          <w:tcPr>
            <w:tcW w:w="128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$(129)</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$176,933</w:t>
            </w:r>
          </w:p>
        </w:tc>
        <w:tc>
          <w:tcPr>
            <w:tcW w:w="126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$1,519,528</w:t>
            </w:r>
          </w:p>
        </w:tc>
        <w:tc>
          <w:tcPr>
            <w:tcW w:w="0" w:type="dxa"/>
            <w:vAlign w:val="bottom"/>
          </w:tcPr>
          <w:p>
            <w:pPr>
              <w:spacing w:after="0"/>
              <w:rPr>
                <w:sz w:val="1"/>
                <w:szCs w:val="1"/>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DECEMBER 31, 2004</w:t>
            </w:r>
          </w:p>
        </w:tc>
        <w:tc>
          <w:tcPr>
            <w:tcW w:w="9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460" w:type="dxa"/>
            <w:vAlign w:val="bottom"/>
          </w:tcPr>
          <w:p>
            <w:pPr>
              <w:spacing w:after="0"/>
              <w:rPr>
                <w:sz w:val="22"/>
                <w:szCs w:val="22"/>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both"/>
        <w:ind w:right="4280"/>
        <w:spacing w:after="0" w:line="289" w:lineRule="auto"/>
        <w:rPr>
          <w:sz w:val="20"/>
          <w:szCs w:val="20"/>
          <w:color w:val="auto"/>
        </w:rPr>
      </w:pPr>
      <w:r>
        <w:rPr>
          <w:rFonts w:ascii="Courier New" w:cs="Courier New" w:eastAsia="Courier New" w:hAnsi="Courier New"/>
          <w:sz w:val="15"/>
          <w:szCs w:val="15"/>
          <w:color w:val="auto"/>
        </w:rPr>
        <w:t>As of December 31, 2004 and September 30, 2004, accumulated other comprehensive loss is comprised of unrealized loss on foreign currency hedging contracts, net of tax, of $(730) and $(1,232), respectively, and unrealized loss on short-term interest-bearing investments, net of tax, of $(1,371) and $(687), respectively.</w:t>
      </w:r>
    </w:p>
    <w:p>
      <w:pPr>
        <w:spacing w:after="0" w:line="62"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34"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3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442" w:right="139" w:bottom="1440" w:gutter="0" w:footer="0" w:header="0"/>
        </w:sectPr>
      </w:pPr>
    </w:p>
    <w:bookmarkStart w:id="5" w:name="page6"/>
    <w:bookmarkEnd w:id="5"/>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00" w:type="dxa"/>
            <w:vAlign w:val="bottom"/>
          </w:tcPr>
          <w:p>
            <w:pPr>
              <w:ind w:left="3020"/>
              <w:spacing w:after="0"/>
              <w:rPr>
                <w:sz w:val="20"/>
                <w:szCs w:val="20"/>
                <w:color w:val="auto"/>
              </w:rPr>
            </w:pPr>
            <w:r>
              <w:rPr>
                <w:rFonts w:ascii="Courier New" w:cs="Courier New" w:eastAsia="Courier New" w:hAnsi="Courier New"/>
                <w:sz w:val="15"/>
                <w:szCs w:val="15"/>
                <w:color w:val="auto"/>
              </w:rPr>
              <w:t>(in thousands)</w:t>
            </w:r>
          </w:p>
        </w:tc>
        <w:tc>
          <w:tcPr>
            <w:tcW w:w="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5400" w:type="dxa"/>
            <w:vAlign w:val="bottom"/>
          </w:tcPr>
          <w:p>
            <w:pPr>
              <w:spacing w:after="0"/>
              <w:rPr>
                <w:sz w:val="24"/>
                <w:szCs w:val="24"/>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320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2004</w:t>
            </w:r>
          </w:p>
        </w:tc>
        <w:tc>
          <w:tcPr>
            <w:tcW w:w="60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2"/>
                <w:szCs w:val="22"/>
                <w:color w:val="auto"/>
              </w:rPr>
            </w:pP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4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69,443</w:t>
            </w:r>
          </w:p>
        </w:tc>
        <w:tc>
          <w:tcPr>
            <w:tcW w:w="600" w:type="dxa"/>
            <w:vAlign w:val="bottom"/>
            <w:vMerge w:val="restart"/>
          </w:tcPr>
          <w:p>
            <w:pPr>
              <w:ind w:left="50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53,068</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operating activities:</w:t>
            </w:r>
          </w:p>
        </w:tc>
        <w:tc>
          <w:tcPr>
            <w:tcW w:w="460" w:type="dxa"/>
            <w:vAlign w:val="bottom"/>
          </w:tcPr>
          <w:p>
            <w:pPr>
              <w:spacing w:after="0"/>
              <w:rPr>
                <w:sz w:val="15"/>
                <w:szCs w:val="15"/>
                <w:color w:val="auto"/>
              </w:rPr>
            </w:pPr>
          </w:p>
        </w:tc>
        <w:tc>
          <w:tcPr>
            <w:tcW w:w="132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22,755</w:t>
            </w:r>
          </w:p>
        </w:tc>
        <w:tc>
          <w:tcPr>
            <w:tcW w:w="60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25,402</w:t>
            </w: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4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Gain on sale of equipment</w:t>
            </w:r>
          </w:p>
        </w:tc>
        <w:tc>
          <w:tcPr>
            <w:tcW w:w="4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(392)</w:t>
            </w:r>
          </w:p>
        </w:tc>
        <w:tc>
          <w:tcPr>
            <w:tcW w:w="6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Gain on repurchase of 2% convertible notes</w:t>
            </w:r>
          </w:p>
        </w:tc>
        <w:tc>
          <w:tcPr>
            <w:tcW w:w="46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4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(2,534)</w:t>
            </w:r>
          </w:p>
        </w:tc>
        <w:tc>
          <w:tcPr>
            <w:tcW w:w="6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(1,654)</w:t>
            </w: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Tax benefit of stock options exercised</w:t>
            </w:r>
          </w:p>
        </w:tc>
        <w:tc>
          <w:tcPr>
            <w:tcW w:w="46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864</w:t>
            </w:r>
          </w:p>
        </w:tc>
        <w:tc>
          <w:tcPr>
            <w:tcW w:w="6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1,672</w:t>
            </w: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Realized gain from short-term interest-bearing</w:t>
            </w:r>
          </w:p>
        </w:tc>
        <w:tc>
          <w:tcPr>
            <w:tcW w:w="460" w:type="dxa"/>
            <w:vAlign w:val="bottom"/>
          </w:tcPr>
          <w:p>
            <w:pPr>
              <w:spacing w:after="0"/>
              <w:rPr>
                <w:sz w:val="15"/>
                <w:szCs w:val="15"/>
                <w:color w:val="auto"/>
              </w:rPr>
            </w:pP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(39)</w:t>
            </w:r>
          </w:p>
        </w:tc>
        <w:tc>
          <w:tcPr>
            <w:tcW w:w="6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(388)</w:t>
            </w:r>
          </w:p>
        </w:tc>
        <w:tc>
          <w:tcPr>
            <w:tcW w:w="0" w:type="dxa"/>
            <w:vAlign w:val="bottom"/>
          </w:tcPr>
          <w:p>
            <w:pPr>
              <w:spacing w:after="0"/>
              <w:rPr>
                <w:sz w:val="1"/>
                <w:szCs w:val="1"/>
                <w:color w:val="auto"/>
              </w:rPr>
            </w:pPr>
          </w:p>
        </w:tc>
      </w:tr>
      <w:tr>
        <w:trPr>
          <w:trHeight w:val="176"/>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investments</w:t>
            </w:r>
          </w:p>
        </w:tc>
        <w:tc>
          <w:tcPr>
            <w:tcW w:w="4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 of</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amounts acquired:</w:t>
            </w:r>
          </w:p>
        </w:tc>
        <w:tc>
          <w:tcPr>
            <w:tcW w:w="460" w:type="dxa"/>
            <w:vAlign w:val="bottom"/>
          </w:tcPr>
          <w:p>
            <w:pPr>
              <w:spacing w:after="0"/>
              <w:rPr>
                <w:sz w:val="15"/>
                <w:szCs w:val="15"/>
                <w:color w:val="auto"/>
              </w:rPr>
            </w:pP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(27,684)</w:t>
            </w:r>
          </w:p>
        </w:tc>
        <w:tc>
          <w:tcPr>
            <w:tcW w:w="6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(11,747)</w:t>
            </w: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4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4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(14,025)</w:t>
            </w:r>
          </w:p>
        </w:tc>
        <w:tc>
          <w:tcPr>
            <w:tcW w:w="6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10,515</w:t>
            </w: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4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(5,731)</w:t>
            </w:r>
          </w:p>
        </w:tc>
        <w:tc>
          <w:tcPr>
            <w:tcW w:w="6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(12,059)</w:t>
            </w: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4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(4,715)</w:t>
            </w:r>
          </w:p>
        </w:tc>
        <w:tc>
          <w:tcPr>
            <w:tcW w:w="6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3,202</w:t>
            </w: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46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12,801</w:t>
            </w:r>
          </w:p>
        </w:tc>
        <w:tc>
          <w:tcPr>
            <w:tcW w:w="6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8,309</w:t>
            </w: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4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(1,779)</w:t>
            </w:r>
          </w:p>
        </w:tc>
        <w:tc>
          <w:tcPr>
            <w:tcW w:w="6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2,178</w:t>
            </w: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Noncurrent liabilities and other</w:t>
            </w:r>
          </w:p>
        </w:tc>
        <w:tc>
          <w:tcPr>
            <w:tcW w:w="46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34,079</w:t>
            </w:r>
          </w:p>
        </w:tc>
        <w:tc>
          <w:tcPr>
            <w:tcW w:w="6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4,211</w:t>
            </w:r>
          </w:p>
        </w:tc>
        <w:tc>
          <w:tcPr>
            <w:tcW w:w="0" w:type="dxa"/>
            <w:vAlign w:val="bottom"/>
          </w:tcPr>
          <w:p>
            <w:pPr>
              <w:spacing w:after="0"/>
              <w:rPr>
                <w:sz w:val="1"/>
                <w:szCs w:val="1"/>
                <w:color w:val="auto"/>
              </w:rPr>
            </w:pPr>
          </w:p>
        </w:tc>
      </w:tr>
      <w:tr>
        <w:trPr>
          <w:trHeight w:val="176"/>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83,043</w:t>
            </w:r>
          </w:p>
        </w:tc>
        <w:tc>
          <w:tcPr>
            <w:tcW w:w="6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82,651</w:t>
            </w: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2"/>
                <w:szCs w:val="22"/>
                <w:color w:val="auto"/>
              </w:rPr>
            </w:pP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4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460" w:type="dxa"/>
            <w:vAlign w:val="bottom"/>
          </w:tcPr>
          <w:p>
            <w:pPr>
              <w:spacing w:after="0"/>
              <w:rPr>
                <w:sz w:val="15"/>
                <w:szCs w:val="15"/>
                <w:color w:val="auto"/>
              </w:rPr>
            </w:pPr>
          </w:p>
        </w:tc>
        <w:tc>
          <w:tcPr>
            <w:tcW w:w="132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1,503</w:t>
            </w:r>
          </w:p>
        </w:tc>
        <w:tc>
          <w:tcPr>
            <w:tcW w:w="60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220</w:t>
            </w:r>
          </w:p>
        </w:tc>
        <w:tc>
          <w:tcPr>
            <w:tcW w:w="0" w:type="dxa"/>
            <w:vAlign w:val="bottom"/>
          </w:tcPr>
          <w:p>
            <w:pPr>
              <w:spacing w:after="0"/>
              <w:rPr>
                <w:sz w:val="1"/>
                <w:szCs w:val="1"/>
                <w:color w:val="auto"/>
              </w:rPr>
            </w:pPr>
          </w:p>
        </w:tc>
      </w:tr>
      <w:tr>
        <w:trPr>
          <w:trHeight w:val="176"/>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improvements</w:t>
            </w:r>
          </w:p>
        </w:tc>
        <w:tc>
          <w:tcPr>
            <w:tcW w:w="4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w:t>
            </w:r>
          </w:p>
        </w:tc>
        <w:tc>
          <w:tcPr>
            <w:tcW w:w="460" w:type="dxa"/>
            <w:vAlign w:val="bottom"/>
          </w:tcPr>
          <w:p>
            <w:pPr>
              <w:spacing w:after="0"/>
              <w:rPr>
                <w:sz w:val="15"/>
                <w:szCs w:val="15"/>
                <w:color w:val="auto"/>
              </w:rPr>
            </w:pP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(15,657)</w:t>
            </w:r>
          </w:p>
        </w:tc>
        <w:tc>
          <w:tcPr>
            <w:tcW w:w="6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(14,049)</w:t>
            </w:r>
          </w:p>
        </w:tc>
        <w:tc>
          <w:tcPr>
            <w:tcW w:w="0" w:type="dxa"/>
            <w:vAlign w:val="bottom"/>
          </w:tcPr>
          <w:p>
            <w:pPr>
              <w:spacing w:after="0"/>
              <w:rPr>
                <w:sz w:val="1"/>
                <w:szCs w:val="1"/>
                <w:color w:val="auto"/>
              </w:rPr>
            </w:pPr>
          </w:p>
        </w:tc>
      </w:tr>
      <w:tr>
        <w:trPr>
          <w:trHeight w:val="176"/>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improvements</w:t>
            </w:r>
          </w:p>
        </w:tc>
        <w:tc>
          <w:tcPr>
            <w:tcW w:w="4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 interest-bearing</w:t>
            </w:r>
          </w:p>
        </w:tc>
        <w:tc>
          <w:tcPr>
            <w:tcW w:w="460" w:type="dxa"/>
            <w:vAlign w:val="bottom"/>
          </w:tcPr>
          <w:p>
            <w:pPr>
              <w:spacing w:after="0"/>
              <w:rPr>
                <w:sz w:val="15"/>
                <w:szCs w:val="15"/>
                <w:color w:val="auto"/>
              </w:rPr>
            </w:pPr>
          </w:p>
        </w:tc>
        <w:tc>
          <w:tcPr>
            <w:tcW w:w="132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132,891</w:t>
            </w:r>
          </w:p>
        </w:tc>
        <w:tc>
          <w:tcPr>
            <w:tcW w:w="60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311,995</w:t>
            </w:r>
          </w:p>
        </w:tc>
        <w:tc>
          <w:tcPr>
            <w:tcW w:w="0" w:type="dxa"/>
            <w:vAlign w:val="bottom"/>
          </w:tcPr>
          <w:p>
            <w:pPr>
              <w:spacing w:after="0"/>
              <w:rPr>
                <w:sz w:val="1"/>
                <w:szCs w:val="1"/>
                <w:color w:val="auto"/>
              </w:rPr>
            </w:pPr>
          </w:p>
        </w:tc>
      </w:tr>
      <w:tr>
        <w:trPr>
          <w:trHeight w:val="176"/>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investments</w:t>
            </w:r>
          </w:p>
        </w:tc>
        <w:tc>
          <w:tcPr>
            <w:tcW w:w="4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w:t>
            </w:r>
          </w:p>
        </w:tc>
        <w:tc>
          <w:tcPr>
            <w:tcW w:w="4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(160,134)</w:t>
            </w:r>
          </w:p>
        </w:tc>
        <w:tc>
          <w:tcPr>
            <w:tcW w:w="6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(545,442)</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cash paid for in acquisition</w:t>
            </w:r>
          </w:p>
        </w:tc>
        <w:tc>
          <w:tcPr>
            <w:tcW w:w="4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w:t>
            </w:r>
          </w:p>
        </w:tc>
        <w:tc>
          <w:tcPr>
            <w:tcW w:w="6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(41,415)</w:t>
            </w:r>
          </w:p>
        </w:tc>
        <w:tc>
          <w:tcPr>
            <w:tcW w:w="6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(247,276)</w:t>
            </w: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2"/>
                <w:szCs w:val="22"/>
                <w:color w:val="auto"/>
              </w:rPr>
            </w:pP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460" w:type="dxa"/>
            <w:vAlign w:val="bottom"/>
          </w:tcPr>
          <w:p>
            <w:pPr>
              <w:spacing w:after="0"/>
              <w:rPr>
                <w:sz w:val="23"/>
                <w:szCs w:val="23"/>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5,141</w:t>
            </w:r>
          </w:p>
        </w:tc>
        <w:tc>
          <w:tcPr>
            <w:tcW w:w="600" w:type="dxa"/>
            <w:vAlign w:val="bottom"/>
          </w:tcPr>
          <w:p>
            <w:pPr>
              <w:spacing w:after="0"/>
              <w:rPr>
                <w:sz w:val="23"/>
                <w:szCs w:val="23"/>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4,846</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Repurchase of ordinary shares</w:t>
            </w:r>
          </w:p>
        </w:tc>
        <w:tc>
          <w:tcPr>
            <w:tcW w:w="46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(123,993)</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Repurchase of 2% convertible notes</w:t>
            </w:r>
          </w:p>
        </w:tc>
        <w:tc>
          <w:tcPr>
            <w:tcW w:w="46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(4,987)</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Principal payments under financing arrangements</w:t>
            </w:r>
          </w:p>
        </w:tc>
        <w:tc>
          <w:tcPr>
            <w:tcW w:w="4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(615)</w:t>
            </w:r>
          </w:p>
        </w:tc>
        <w:tc>
          <w:tcPr>
            <w:tcW w:w="6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(546)</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Borrowings under financing arrangements</w:t>
            </w:r>
          </w:p>
        </w:tc>
        <w:tc>
          <w:tcPr>
            <w:tcW w:w="46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w:t>
            </w:r>
          </w:p>
        </w:tc>
        <w:tc>
          <w:tcPr>
            <w:tcW w:w="6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4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(5,916)</w:t>
            </w:r>
          </w:p>
        </w:tc>
        <w:tc>
          <w:tcPr>
            <w:tcW w:w="6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(6,082)</w:t>
            </w:r>
          </w:p>
        </w:tc>
        <w:tc>
          <w:tcPr>
            <w:tcW w:w="0" w:type="dxa"/>
            <w:vAlign w:val="bottom"/>
          </w:tcPr>
          <w:p>
            <w:pPr>
              <w:spacing w:after="0"/>
              <w:rPr>
                <w:sz w:val="1"/>
                <w:szCs w:val="1"/>
                <w:color w:val="auto"/>
              </w:rPr>
            </w:pPr>
          </w:p>
        </w:tc>
      </w:tr>
      <w:tr>
        <w:trPr>
          <w:trHeight w:val="176"/>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(1,388)</w:t>
            </w:r>
          </w:p>
        </w:tc>
        <w:tc>
          <w:tcPr>
            <w:tcW w:w="6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(130,762)</w:t>
            </w: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2"/>
                <w:szCs w:val="22"/>
                <w:color w:val="auto"/>
              </w:rPr>
            </w:pP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460" w:type="dxa"/>
            <w:vAlign w:val="bottom"/>
          </w:tcPr>
          <w:p>
            <w:pPr>
              <w:spacing w:after="0"/>
              <w:rPr>
                <w:sz w:val="23"/>
                <w:szCs w:val="23"/>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40,240</w:t>
            </w:r>
          </w:p>
        </w:tc>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(295,387)</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46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550,352</w:t>
            </w:r>
          </w:p>
        </w:tc>
        <w:tc>
          <w:tcPr>
            <w:tcW w:w="6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847,600</w:t>
            </w:r>
          </w:p>
        </w:tc>
        <w:tc>
          <w:tcPr>
            <w:tcW w:w="0" w:type="dxa"/>
            <w:vAlign w:val="bottom"/>
          </w:tcPr>
          <w:p>
            <w:pPr>
              <w:spacing w:after="0"/>
              <w:rPr>
                <w:sz w:val="1"/>
                <w:szCs w:val="1"/>
                <w:color w:val="auto"/>
              </w:rPr>
            </w:pPr>
          </w:p>
        </w:tc>
      </w:tr>
      <w:tr>
        <w:trPr>
          <w:trHeight w:val="176"/>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$ 590,592</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$ 552,213</w:t>
            </w: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2"/>
                <w:szCs w:val="22"/>
                <w:color w:val="auto"/>
              </w:rPr>
            </w:pP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4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21,802</w:t>
            </w:r>
          </w:p>
        </w:tc>
        <w:tc>
          <w:tcPr>
            <w:tcW w:w="600" w:type="dxa"/>
            <w:vAlign w:val="bottom"/>
          </w:tcPr>
          <w:p>
            <w:pPr>
              <w:ind w:left="50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9,125</w:t>
            </w:r>
          </w:p>
        </w:tc>
        <w:tc>
          <w:tcPr>
            <w:tcW w:w="0" w:type="dxa"/>
            <w:vAlign w:val="bottom"/>
          </w:tcPr>
          <w:p>
            <w:pPr>
              <w:spacing w:after="0"/>
              <w:rPr>
                <w:sz w:val="1"/>
                <w:szCs w:val="1"/>
                <w:color w:val="auto"/>
              </w:rPr>
            </w:pPr>
          </w:p>
        </w:tc>
      </w:tr>
      <w:tr>
        <w:trPr>
          <w:trHeight w:val="257"/>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460" w:type="dxa"/>
            <w:vAlign w:val="bottom"/>
          </w:tcPr>
          <w:p>
            <w:pPr>
              <w:spacing w:after="0"/>
              <w:rPr>
                <w:sz w:val="22"/>
                <w:szCs w:val="22"/>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1,388</w:t>
            </w:r>
          </w:p>
        </w:tc>
        <w:tc>
          <w:tcPr>
            <w:tcW w:w="600" w:type="dxa"/>
            <w:vAlign w:val="bottom"/>
          </w:tcPr>
          <w:p>
            <w:pPr>
              <w:spacing w:after="0"/>
              <w:rPr>
                <w:sz w:val="22"/>
                <w:szCs w:val="22"/>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The accompanying notes are an integral of these</w:t>
      </w:r>
    </w:p>
    <w:p>
      <w:pPr>
        <w:spacing w:after="0" w:line="3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3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42" w:right="1440" w:bottom="1440" w:gutter="0" w:footer="0" w:header="0"/>
        </w:sectPr>
      </w:pPr>
    </w:p>
    <w:bookmarkStart w:id="6" w:name="page7"/>
    <w:bookmarkEnd w:id="6"/>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82" w:lineRule="exact"/>
        <w:rPr>
          <w:sz w:val="20"/>
          <w:szCs w:val="20"/>
          <w:color w:val="auto"/>
        </w:rPr>
      </w:pPr>
    </w:p>
    <w:p>
      <w:pPr>
        <w:ind w:left="360" w:right="3179" w:firstLine="458"/>
        <w:spacing w:after="0" w:line="269" w:lineRule="auto"/>
        <w:rPr>
          <w:sz w:val="20"/>
          <w:szCs w:val="20"/>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and its subsidiaries operate in one operating segment so as to help its customers move toward an integrated approach to customer management. The Company designs, develops, markets, supports and operates, and provides Managed Services for, information system solutions primarily to leading communications companies throughout the world.</w:t>
      </w:r>
    </w:p>
    <w:p>
      <w:pPr>
        <w:spacing w:after="0" w:line="76" w:lineRule="exact"/>
        <w:rPr>
          <w:sz w:val="20"/>
          <w:szCs w:val="20"/>
          <w:color w:val="auto"/>
        </w:rPr>
      </w:pPr>
    </w:p>
    <w:p>
      <w:pPr>
        <w:ind w:left="360" w:right="2979" w:firstLine="458"/>
        <w:spacing w:after="0" w:line="273"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U.S. generally accepted accounting principles ("GAAP"). In the opinion of the Company's management, all adjustments considered necessary for a fair presentation of the unaudited interim consolidated financial statements have been included herein and are of a normal recurring nature.</w:t>
      </w:r>
    </w:p>
    <w:p>
      <w:pPr>
        <w:spacing w:after="0" w:line="74" w:lineRule="exact"/>
        <w:rPr>
          <w:sz w:val="20"/>
          <w:szCs w:val="20"/>
          <w:color w:val="auto"/>
        </w:rPr>
      </w:pPr>
    </w:p>
    <w:p>
      <w:pPr>
        <w:ind w:left="360" w:right="2899" w:firstLine="458"/>
        <w:spacing w:after="0" w:line="273" w:lineRule="auto"/>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74" w:lineRule="exact"/>
        <w:rPr>
          <w:sz w:val="20"/>
          <w:szCs w:val="20"/>
          <w:color w:val="auto"/>
        </w:rPr>
      </w:pPr>
    </w:p>
    <w:p>
      <w:pPr>
        <w:ind w:left="360" w:right="2899" w:firstLine="458"/>
        <w:spacing w:after="0" w:line="264" w:lineRule="auto"/>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2004, set forth in the Company's Annual Report on Form 20-F filed on December 30, 2004 with the Securities and Exchange Commission.</w:t>
      </w:r>
    </w:p>
    <w:p>
      <w:pPr>
        <w:spacing w:after="0" w:line="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Reclassification</w:t>
      </w:r>
    </w:p>
    <w:p>
      <w:pPr>
        <w:spacing w:after="0" w:line="182" w:lineRule="exact"/>
        <w:rPr>
          <w:sz w:val="20"/>
          <w:szCs w:val="20"/>
          <w:color w:val="auto"/>
        </w:rPr>
      </w:pPr>
    </w:p>
    <w:p>
      <w:pPr>
        <w:ind w:right="3259" w:firstLine="824"/>
        <w:spacing w:after="0" w:line="372" w:lineRule="auto"/>
        <w:rPr>
          <w:sz w:val="20"/>
          <w:szCs w:val="20"/>
          <w:color w:val="auto"/>
        </w:rPr>
      </w:pPr>
      <w:r>
        <w:rPr>
          <w:rFonts w:ascii="Courier New" w:cs="Courier New" w:eastAsia="Courier New" w:hAnsi="Courier New"/>
          <w:sz w:val="15"/>
          <w:szCs w:val="15"/>
          <w:color w:val="auto"/>
        </w:rPr>
        <w:t>Certain prior year amounts have been reclassified to conform to the current year presentation.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POLICY</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82" w:lineRule="exact"/>
        <w:rPr>
          <w:sz w:val="20"/>
          <w:szCs w:val="20"/>
          <w:color w:val="auto"/>
        </w:rPr>
      </w:pPr>
    </w:p>
    <w:p>
      <w:pPr>
        <w:ind w:left="360" w:right="2899" w:firstLine="458"/>
        <w:spacing w:after="0" w:line="264" w:lineRule="auto"/>
        <w:rPr>
          <w:sz w:val="20"/>
          <w:szCs w:val="20"/>
          <w:color w:val="auto"/>
        </w:rPr>
      </w:pPr>
      <w:r>
        <w:rPr>
          <w:rFonts w:ascii="Courier New" w:cs="Courier New" w:eastAsia="Courier New" w:hAnsi="Courier New"/>
          <w:sz w:val="15"/>
          <w:szCs w:val="15"/>
          <w:color w:val="auto"/>
        </w:rPr>
        <w:t>The Company follows Accounting Principles Board ("APB") Opinion No. 25, "Accounting for Stock Issued to Employees" ("APB No. 25") and related Interpretations in accounting for its employee stock options. Pursuant to these accounting standards,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in accordance with the accelerated expense attribution method.</w:t>
      </w:r>
    </w:p>
    <w:p>
      <w:pPr>
        <w:spacing w:after="0" w:line="80" w:lineRule="exact"/>
        <w:rPr>
          <w:sz w:val="20"/>
          <w:szCs w:val="20"/>
          <w:color w:val="auto"/>
        </w:rPr>
      </w:pPr>
    </w:p>
    <w:p>
      <w:pPr>
        <w:ind w:left="460" w:right="2979" w:firstLine="366"/>
        <w:spacing w:after="0" w:line="266" w:lineRule="auto"/>
        <w:rPr>
          <w:sz w:val="20"/>
          <w:szCs w:val="20"/>
          <w:color w:val="auto"/>
        </w:rPr>
      </w:pPr>
      <w:r>
        <w:rPr>
          <w:rFonts w:ascii="Courier New" w:cs="Courier New" w:eastAsia="Courier New" w:hAnsi="Courier New"/>
          <w:sz w:val="15"/>
          <w:szCs w:val="15"/>
          <w:color w:val="auto"/>
        </w:rPr>
        <w:t>As presented below, the Company determined pro forma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w:t>
      </w:r>
    </w:p>
    <w:p>
      <w:pPr>
        <w:spacing w:after="0" w:line="25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42" w:right="1440" w:bottom="1440" w:gutter="0" w:footer="0" w:header="0"/>
        </w:sectPr>
      </w:pPr>
    </w:p>
    <w:bookmarkStart w:id="7" w:name="page8"/>
    <w:bookmarkEnd w:id="7"/>
    <w:p>
      <w:pPr>
        <w:jc w:val="center"/>
        <w:ind w:right="335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right="2979"/>
        <w:spacing w:after="0" w:line="266" w:lineRule="auto"/>
        <w:rPr>
          <w:sz w:val="20"/>
          <w:szCs w:val="20"/>
          <w:color w:val="auto"/>
        </w:rPr>
      </w:pPr>
      <w:r>
        <w:rPr>
          <w:rFonts w:ascii="Courier New" w:cs="Courier New" w:eastAsia="Courier New" w:hAnsi="Courier New"/>
          <w:sz w:val="15"/>
          <w:szCs w:val="15"/>
          <w:color w:val="auto"/>
        </w:rPr>
        <w:t>which is one of several methods that can be used under SFAS No. 123. The Black-Scholes option valuation model was developed for use 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79" w:lineRule="exact"/>
        <w:rPr>
          <w:sz w:val="20"/>
          <w:szCs w:val="20"/>
          <w:color w:val="auto"/>
        </w:rPr>
      </w:pPr>
    </w:p>
    <w:p>
      <w:pPr>
        <w:jc w:val="both"/>
        <w:ind w:right="3179" w:firstLine="366"/>
        <w:spacing w:after="0" w:line="310" w:lineRule="auto"/>
        <w:rPr>
          <w:sz w:val="20"/>
          <w:szCs w:val="20"/>
          <w:color w:val="auto"/>
        </w:rPr>
      </w:pPr>
      <w:r>
        <w:rPr>
          <w:rFonts w:ascii="Courier New" w:cs="Courier New" w:eastAsia="Courier New" w:hAnsi="Courier New"/>
          <w:sz w:val="15"/>
          <w:szCs w:val="15"/>
          <w:color w:val="auto"/>
        </w:rPr>
        <w:t>The fair value of options granted was estimated at the date of grant using the Black-Scholes pricing model with the following assumptions for the presented periods (all in weighted averages):</w:t>
      </w:r>
    </w:p>
    <w:p>
      <w:pPr>
        <w:spacing w:after="0" w:line="399" w:lineRule="exact"/>
        <w:rPr>
          <w:sz w:val="20"/>
          <w:szCs w:val="20"/>
          <w:color w:val="auto"/>
        </w:rPr>
      </w:pPr>
    </w:p>
    <w:tbl>
      <w:tblPr>
        <w:tblLayout w:type="fixed"/>
        <w:tblInd w:w="180" w:type="dxa"/>
        <w:tblCellMar>
          <w:top w:w="0" w:type="dxa"/>
          <w:left w:w="0" w:type="dxa"/>
          <w:bottom w:w="0" w:type="dxa"/>
          <w:right w:w="0" w:type="dxa"/>
        </w:tblCellMar>
      </w:tblPr>
      <w:tr>
        <w:trPr>
          <w:trHeight w:val="176"/>
        </w:trPr>
        <w:tc>
          <w:tcPr>
            <w:tcW w:w="3340" w:type="dxa"/>
            <w:vAlign w:val="bottom"/>
          </w:tcPr>
          <w:p>
            <w:pPr>
              <w:spacing w:after="0"/>
              <w:rPr>
                <w:sz w:val="15"/>
                <w:szCs w:val="15"/>
                <w:color w:val="auto"/>
              </w:rPr>
            </w:pPr>
          </w:p>
        </w:tc>
        <w:tc>
          <w:tcPr>
            <w:tcW w:w="31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3340" w:type="dxa"/>
            <w:vAlign w:val="bottom"/>
          </w:tcPr>
          <w:p>
            <w:pPr>
              <w:spacing w:after="0"/>
              <w:rPr>
                <w:sz w:val="15"/>
                <w:szCs w:val="15"/>
                <w:color w:val="auto"/>
              </w:rPr>
            </w:pPr>
          </w:p>
        </w:tc>
        <w:tc>
          <w:tcPr>
            <w:tcW w:w="31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3340" w:type="dxa"/>
            <w:vAlign w:val="bottom"/>
          </w:tcPr>
          <w:p>
            <w:pPr>
              <w:spacing w:after="0"/>
              <w:rPr>
                <w:sz w:val="15"/>
                <w:szCs w:val="15"/>
                <w:color w:val="auto"/>
              </w:rPr>
            </w:pPr>
          </w:p>
        </w:tc>
        <w:tc>
          <w:tcPr>
            <w:tcW w:w="31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40" w:type="dxa"/>
            <w:vAlign w:val="bottom"/>
          </w:tcPr>
          <w:p>
            <w:pPr>
              <w:spacing w:after="0"/>
              <w:rPr>
                <w:sz w:val="15"/>
                <w:szCs w:val="15"/>
                <w:color w:val="auto"/>
              </w:rPr>
            </w:pP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2003</w:t>
            </w:r>
          </w:p>
        </w:tc>
      </w:tr>
      <w:tr>
        <w:trPr>
          <w:trHeight w:val="257"/>
        </w:trPr>
        <w:tc>
          <w:tcPr>
            <w:tcW w:w="3340" w:type="dxa"/>
            <w:vAlign w:val="bottom"/>
          </w:tcPr>
          <w:p>
            <w:pPr>
              <w:spacing w:after="0"/>
              <w:rPr>
                <w:sz w:val="22"/>
                <w:szCs w:val="22"/>
                <w:color w:val="auto"/>
              </w:rPr>
            </w:pPr>
          </w:p>
        </w:tc>
        <w:tc>
          <w:tcPr>
            <w:tcW w:w="20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2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2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3.08%</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20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4.50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4.50</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20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0.638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0.691</w:t>
            </w:r>
          </w:p>
        </w:tc>
      </w:tr>
      <w:tr>
        <w:trPr>
          <w:trHeight w:val="257"/>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20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None</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None</w:t>
            </w:r>
          </w:p>
        </w:tc>
      </w:tr>
      <w:tr>
        <w:trPr>
          <w:trHeight w:val="352"/>
        </w:trPr>
        <w:tc>
          <w:tcPr>
            <w:tcW w:w="3340" w:type="dxa"/>
            <w:vAlign w:val="bottom"/>
          </w:tcPr>
          <w:p>
            <w:pPr>
              <w:spacing w:after="0"/>
              <w:rPr>
                <w:sz w:val="20"/>
                <w:szCs w:val="20"/>
                <w:color w:val="auto"/>
              </w:rPr>
            </w:pPr>
            <w:r>
              <w:rPr>
                <w:rFonts w:ascii="Courier New" w:cs="Courier New" w:eastAsia="Courier New" w:hAnsi="Courier New"/>
                <w:sz w:val="15"/>
                <w:szCs w:val="15"/>
                <w:color w:val="auto"/>
              </w:rPr>
              <w:t>Fair value per option</w:t>
            </w:r>
          </w:p>
        </w:tc>
        <w:tc>
          <w:tcPr>
            <w:tcW w:w="20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$12.47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$12.43</w:t>
            </w:r>
          </w:p>
        </w:tc>
      </w:tr>
    </w:tbl>
    <w:p>
      <w:pPr>
        <w:spacing w:after="0" w:line="271" w:lineRule="exact"/>
        <w:rPr>
          <w:sz w:val="20"/>
          <w:szCs w:val="20"/>
          <w:color w:val="auto"/>
        </w:rPr>
      </w:pPr>
    </w:p>
    <w:p>
      <w:pPr>
        <w:jc w:val="both"/>
        <w:ind w:right="3179" w:firstLine="366"/>
        <w:spacing w:after="0" w:line="310" w:lineRule="auto"/>
        <w:rPr>
          <w:sz w:val="20"/>
          <w:szCs w:val="20"/>
          <w:color w:val="auto"/>
        </w:rPr>
      </w:pPr>
      <w:r>
        <w:rPr>
          <w:rFonts w:ascii="Courier New" w:cs="Courier New" w:eastAsia="Courier New" w:hAnsi="Courier New"/>
          <w:sz w:val="15"/>
          <w:szCs w:val="15"/>
          <w:color w:val="auto"/>
        </w:rPr>
        <w:t>The following table sets forth the pro forma effect of applying SFAS No. 123 on net income and earnings per share for the three months ended December 31, 2004 and 2003:</w:t>
      </w:r>
    </w:p>
    <w:p>
      <w:pPr>
        <w:spacing w:after="0" w:line="399" w:lineRule="exact"/>
        <w:rPr>
          <w:sz w:val="20"/>
          <w:szCs w:val="20"/>
          <w:color w:val="auto"/>
        </w:rPr>
      </w:pPr>
    </w:p>
    <w:tbl>
      <w:tblPr>
        <w:tblLayout w:type="fixed"/>
        <w:tblInd w:w="18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270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4"/>
              </w:rPr>
              <w:t>2004</w:t>
            </w:r>
          </w:p>
        </w:tc>
        <w:tc>
          <w:tcPr>
            <w:tcW w:w="580" w:type="dxa"/>
            <w:vAlign w:val="bottom"/>
          </w:tcPr>
          <w:p>
            <w:pPr>
              <w:spacing w:after="0"/>
              <w:rPr>
                <w:sz w:val="15"/>
                <w:szCs w:val="15"/>
                <w:color w:val="auto"/>
              </w:rPr>
            </w:pP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2003</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56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156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$69,443</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$53,068</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Add: Stock-based employee</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540"/>
              <w:spacing w:after="0"/>
              <w:rPr>
                <w:sz w:val="20"/>
                <w:szCs w:val="20"/>
                <w:color w:val="auto"/>
              </w:rPr>
            </w:pPr>
            <w:r>
              <w:rPr>
                <w:rFonts w:ascii="Courier New" w:cs="Courier New" w:eastAsia="Courier New" w:hAnsi="Courier New"/>
                <w:sz w:val="15"/>
                <w:szCs w:val="15"/>
                <w:color w:val="auto"/>
              </w:rPr>
              <w:t>compensation expense included</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540"/>
              <w:spacing w:after="0"/>
              <w:rPr>
                <w:sz w:val="20"/>
                <w:szCs w:val="20"/>
                <w:color w:val="auto"/>
              </w:rPr>
            </w:pPr>
            <w:r>
              <w:rPr>
                <w:rFonts w:ascii="Courier New" w:cs="Courier New" w:eastAsia="Courier New" w:hAnsi="Courier New"/>
                <w:sz w:val="15"/>
                <w:szCs w:val="15"/>
                <w:color w:val="auto"/>
              </w:rPr>
              <w:t>in net income, net of related</w:t>
            </w:r>
          </w:p>
        </w:tc>
        <w:tc>
          <w:tcPr>
            <w:tcW w:w="500" w:type="dxa"/>
            <w:vAlign w:val="bottom"/>
          </w:tcPr>
          <w:p>
            <w:pPr>
              <w:spacing w:after="0"/>
              <w:rPr>
                <w:sz w:val="15"/>
                <w:szCs w:val="15"/>
                <w:color w:val="auto"/>
              </w:rPr>
            </w:pPr>
          </w:p>
        </w:tc>
        <w:tc>
          <w:tcPr>
            <w:tcW w:w="1060" w:type="dxa"/>
            <w:vAlign w:val="bottom"/>
            <w:vMerge w:val="restart"/>
          </w:tcPr>
          <w:p>
            <w:pPr>
              <w:jc w:val="right"/>
              <w:ind w:right="444"/>
              <w:spacing w:after="0"/>
              <w:rPr>
                <w:sz w:val="20"/>
                <w:szCs w:val="20"/>
                <w:color w:val="auto"/>
              </w:rPr>
            </w:pPr>
            <w:r>
              <w:rPr>
                <w:rFonts w:ascii="Courier New" w:cs="Courier New" w:eastAsia="Courier New" w:hAnsi="Courier New"/>
                <w:sz w:val="15"/>
                <w:szCs w:val="15"/>
                <w:color w:val="auto"/>
              </w:rPr>
              <w:t>58</w:t>
            </w:r>
          </w:p>
        </w:tc>
        <w:tc>
          <w:tcPr>
            <w:tcW w:w="580" w:type="dxa"/>
            <w:vAlign w:val="bottom"/>
          </w:tcPr>
          <w:p>
            <w:pPr>
              <w:spacing w:after="0"/>
              <w:rPr>
                <w:sz w:val="15"/>
                <w:szCs w:val="15"/>
                <w:color w:val="auto"/>
              </w:rPr>
            </w:pPr>
          </w:p>
        </w:tc>
        <w:tc>
          <w:tcPr>
            <w:tcW w:w="5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6"/>
        </w:trPr>
        <w:tc>
          <w:tcPr>
            <w:tcW w:w="3620" w:type="dxa"/>
            <w:vAlign w:val="bottom"/>
          </w:tcPr>
          <w:p>
            <w:pPr>
              <w:ind w:left="540"/>
              <w:spacing w:after="0"/>
              <w:rPr>
                <w:sz w:val="20"/>
                <w:szCs w:val="20"/>
                <w:color w:val="auto"/>
              </w:rPr>
            </w:pPr>
            <w:r>
              <w:rPr>
                <w:rFonts w:ascii="Courier New" w:cs="Courier New" w:eastAsia="Courier New" w:hAnsi="Courier New"/>
                <w:sz w:val="15"/>
                <w:szCs w:val="15"/>
                <w:color w:val="auto"/>
              </w:rPr>
              <w:t>tax effects</w:t>
            </w:r>
          </w:p>
        </w:tc>
        <w:tc>
          <w:tcPr>
            <w:tcW w:w="5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Less: Total stock-based employee</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540"/>
              <w:spacing w:after="0"/>
              <w:rPr>
                <w:sz w:val="20"/>
                <w:szCs w:val="20"/>
                <w:color w:val="auto"/>
              </w:rPr>
            </w:pPr>
            <w:r>
              <w:rPr>
                <w:rFonts w:ascii="Courier New" w:cs="Courier New" w:eastAsia="Courier New" w:hAnsi="Courier New"/>
                <w:sz w:val="15"/>
                <w:szCs w:val="15"/>
                <w:color w:val="auto"/>
              </w:rPr>
              <w:t>compensation expense</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540"/>
              <w:spacing w:after="0"/>
              <w:rPr>
                <w:sz w:val="20"/>
                <w:szCs w:val="20"/>
                <w:color w:val="auto"/>
              </w:rPr>
            </w:pPr>
            <w:r>
              <w:rPr>
                <w:rFonts w:ascii="Courier New" w:cs="Courier New" w:eastAsia="Courier New" w:hAnsi="Courier New"/>
                <w:sz w:val="15"/>
                <w:szCs w:val="15"/>
                <w:color w:val="auto"/>
              </w:rPr>
              <w:t>determined under fair value</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540"/>
              <w:spacing w:after="0"/>
              <w:rPr>
                <w:sz w:val="20"/>
                <w:szCs w:val="20"/>
                <w:color w:val="auto"/>
              </w:rPr>
            </w:pPr>
            <w:r>
              <w:rPr>
                <w:rFonts w:ascii="Courier New" w:cs="Courier New" w:eastAsia="Courier New" w:hAnsi="Courier New"/>
                <w:sz w:val="15"/>
                <w:szCs w:val="15"/>
                <w:color w:val="auto"/>
              </w:rPr>
              <w:t>method for all awards, net of</w:t>
            </w:r>
          </w:p>
        </w:tc>
        <w:tc>
          <w:tcPr>
            <w:tcW w:w="500" w:type="dxa"/>
            <w:vAlign w:val="bottom"/>
          </w:tcPr>
          <w:p>
            <w:pPr>
              <w:spacing w:after="0"/>
              <w:rPr>
                <w:sz w:val="15"/>
                <w:szCs w:val="15"/>
                <w:color w:val="auto"/>
              </w:rPr>
            </w:pPr>
          </w:p>
        </w:tc>
        <w:tc>
          <w:tcPr>
            <w:tcW w:w="10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w w:val="98"/>
              </w:rPr>
              <w:t>(7,540)</w:t>
            </w:r>
          </w:p>
        </w:tc>
        <w:tc>
          <w:tcPr>
            <w:tcW w:w="11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(10,847)</w:t>
            </w:r>
          </w:p>
        </w:tc>
        <w:tc>
          <w:tcPr>
            <w:tcW w:w="0" w:type="dxa"/>
            <w:vAlign w:val="bottom"/>
          </w:tcPr>
          <w:p>
            <w:pPr>
              <w:spacing w:after="0"/>
              <w:rPr>
                <w:sz w:val="1"/>
                <w:szCs w:val="1"/>
                <w:color w:val="auto"/>
              </w:rPr>
            </w:pPr>
          </w:p>
        </w:tc>
      </w:tr>
      <w:tr>
        <w:trPr>
          <w:trHeight w:val="176"/>
        </w:trPr>
        <w:tc>
          <w:tcPr>
            <w:tcW w:w="3620" w:type="dxa"/>
            <w:vAlign w:val="bottom"/>
          </w:tcPr>
          <w:p>
            <w:pPr>
              <w:ind w:left="540"/>
              <w:spacing w:after="0"/>
              <w:rPr>
                <w:sz w:val="20"/>
                <w:szCs w:val="20"/>
                <w:color w:val="auto"/>
              </w:rPr>
            </w:pPr>
            <w:r>
              <w:rPr>
                <w:rFonts w:ascii="Courier New" w:cs="Courier New" w:eastAsia="Courier New" w:hAnsi="Courier New"/>
                <w:sz w:val="15"/>
                <w:szCs w:val="15"/>
                <w:color w:val="auto"/>
              </w:rPr>
              <w:t>related tax effects</w:t>
            </w:r>
          </w:p>
        </w:tc>
        <w:tc>
          <w:tcPr>
            <w:tcW w:w="5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 net income</w:t>
            </w:r>
          </w:p>
        </w:tc>
        <w:tc>
          <w:tcPr>
            <w:tcW w:w="156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5"/>
                <w:szCs w:val="15"/>
                <w:color w:val="auto"/>
              </w:rPr>
            </w:pPr>
          </w:p>
        </w:tc>
        <w:tc>
          <w:tcPr>
            <w:tcW w:w="156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$61,961</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$42,226</w:t>
            </w:r>
          </w:p>
        </w:tc>
        <w:tc>
          <w:tcPr>
            <w:tcW w:w="0" w:type="dxa"/>
            <w:vAlign w:val="bottom"/>
          </w:tcPr>
          <w:p>
            <w:pPr>
              <w:spacing w:after="0"/>
              <w:rPr>
                <w:sz w:val="1"/>
                <w:szCs w:val="1"/>
                <w:color w:val="auto"/>
              </w:rPr>
            </w:pPr>
          </w:p>
        </w:tc>
      </w:tr>
      <w:tr>
        <w:trPr>
          <w:trHeight w:val="257"/>
        </w:trPr>
        <w:tc>
          <w:tcPr>
            <w:tcW w:w="362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156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620" w:type="dxa"/>
            <w:vAlign w:val="bottom"/>
            <w:vMerge w:val="continue"/>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444"/>
              <w:spacing w:after="0"/>
              <w:rPr>
                <w:sz w:val="20"/>
                <w:szCs w:val="20"/>
                <w:color w:val="auto"/>
              </w:rPr>
            </w:pPr>
            <w:r>
              <w:rPr>
                <w:rFonts w:ascii="Courier New" w:cs="Courier New" w:eastAsia="Courier New" w:hAnsi="Courier New"/>
                <w:sz w:val="15"/>
                <w:szCs w:val="15"/>
                <w:color w:val="auto"/>
              </w:rPr>
              <w:t>0.34</w:t>
            </w:r>
          </w:p>
        </w:tc>
        <w:tc>
          <w:tcPr>
            <w:tcW w:w="5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0.25</w:t>
            </w:r>
          </w:p>
        </w:tc>
        <w:tc>
          <w:tcPr>
            <w:tcW w:w="0" w:type="dxa"/>
            <w:vAlign w:val="bottom"/>
          </w:tcPr>
          <w:p>
            <w:pPr>
              <w:spacing w:after="0"/>
              <w:rPr>
                <w:sz w:val="1"/>
                <w:szCs w:val="1"/>
                <w:color w:val="auto"/>
              </w:rPr>
            </w:pPr>
          </w:p>
        </w:tc>
      </w:tr>
      <w:tr>
        <w:trPr>
          <w:trHeight w:val="176"/>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Pro forma</w:t>
            </w:r>
          </w:p>
        </w:tc>
        <w:tc>
          <w:tcPr>
            <w:tcW w:w="156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0.31</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0.20</w:t>
            </w:r>
          </w:p>
        </w:tc>
        <w:tc>
          <w:tcPr>
            <w:tcW w:w="0" w:type="dxa"/>
            <w:vAlign w:val="bottom"/>
          </w:tcPr>
          <w:p>
            <w:pPr>
              <w:spacing w:after="0"/>
              <w:rPr>
                <w:sz w:val="1"/>
                <w:szCs w:val="1"/>
                <w:color w:val="auto"/>
              </w:rPr>
            </w:pPr>
          </w:p>
        </w:tc>
      </w:tr>
      <w:tr>
        <w:trPr>
          <w:trHeight w:val="257"/>
        </w:trPr>
        <w:tc>
          <w:tcPr>
            <w:tcW w:w="362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156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620" w:type="dxa"/>
            <w:vAlign w:val="bottom"/>
            <w:vMerge w:val="continue"/>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444"/>
              <w:spacing w:after="0"/>
              <w:rPr>
                <w:sz w:val="20"/>
                <w:szCs w:val="20"/>
                <w:color w:val="auto"/>
              </w:rPr>
            </w:pPr>
            <w:r>
              <w:rPr>
                <w:rFonts w:ascii="Courier New" w:cs="Courier New" w:eastAsia="Courier New" w:hAnsi="Courier New"/>
                <w:sz w:val="15"/>
                <w:szCs w:val="15"/>
                <w:color w:val="auto"/>
              </w:rPr>
              <w:t>0.32</w:t>
            </w:r>
          </w:p>
        </w:tc>
        <w:tc>
          <w:tcPr>
            <w:tcW w:w="5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0.24</w:t>
            </w:r>
          </w:p>
        </w:tc>
        <w:tc>
          <w:tcPr>
            <w:tcW w:w="0" w:type="dxa"/>
            <w:vAlign w:val="bottom"/>
          </w:tcPr>
          <w:p>
            <w:pPr>
              <w:spacing w:after="0"/>
              <w:rPr>
                <w:sz w:val="1"/>
                <w:szCs w:val="1"/>
                <w:color w:val="auto"/>
              </w:rPr>
            </w:pPr>
          </w:p>
        </w:tc>
      </w:tr>
      <w:tr>
        <w:trPr>
          <w:trHeight w:val="176"/>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Pro forma</w:t>
            </w:r>
          </w:p>
        </w:tc>
        <w:tc>
          <w:tcPr>
            <w:tcW w:w="156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0.29</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0.19</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56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right="2899" w:firstLine="366"/>
        <w:spacing w:after="0" w:line="279" w:lineRule="auto"/>
        <w:rPr>
          <w:sz w:val="20"/>
          <w:szCs w:val="20"/>
          <w:color w:val="auto"/>
        </w:rPr>
      </w:pPr>
      <w:r>
        <w:rPr>
          <w:rFonts w:ascii="Courier New" w:cs="Courier New" w:eastAsia="Courier New" w:hAnsi="Courier New"/>
          <w:sz w:val="15"/>
          <w:szCs w:val="15"/>
          <w:color w:val="auto"/>
        </w:rPr>
        <w:t>The pro forma results for the three months ended December 31, 2003 have been revised due to the correction of the stock-based compensation amount for such period made during fiscal 2004. The correction resulted in a decrease in pro forma net income of $4,135 and a decrease in pro forma diluted earnings per share of $0.02 for such period.</w:t>
      </w:r>
    </w:p>
    <w:p>
      <w:pPr>
        <w:spacing w:after="0" w:line="24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59"/>
          </w:cols>
          <w:pgMar w:left="700" w:top="442" w:right="1440" w:bottom="1440" w:gutter="0" w:footer="0" w:header="0"/>
        </w:sectPr>
      </w:pPr>
    </w:p>
    <w:bookmarkStart w:id="8" w:name="page9"/>
    <w:bookmarkEnd w:id="8"/>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ADOPTION OF NEW ACCOUNTING STANDARDS</w:t>
      </w:r>
    </w:p>
    <w:p>
      <w:pPr>
        <w:spacing w:after="0" w:line="182" w:lineRule="exact"/>
        <w:rPr>
          <w:sz w:val="20"/>
          <w:szCs w:val="20"/>
          <w:color w:val="auto"/>
        </w:rPr>
      </w:pPr>
    </w:p>
    <w:p>
      <w:pPr>
        <w:ind w:left="460" w:right="2979" w:firstLine="366"/>
        <w:spacing w:after="0" w:line="372" w:lineRule="auto"/>
        <w:rPr>
          <w:sz w:val="20"/>
          <w:szCs w:val="20"/>
          <w:color w:val="auto"/>
        </w:rPr>
      </w:pPr>
      <w:r>
        <w:rPr>
          <w:rFonts w:ascii="Courier New" w:cs="Courier New" w:eastAsia="Courier New" w:hAnsi="Courier New"/>
          <w:sz w:val="15"/>
          <w:szCs w:val="15"/>
          <w:color w:val="auto"/>
        </w:rPr>
        <w:t>The Effect of Contingently Convertible Instruments on Diluted Earnings Per Share</w:t>
      </w:r>
    </w:p>
    <w:p>
      <w:pPr>
        <w:spacing w:after="0" w:line="2" w:lineRule="exact"/>
        <w:rPr>
          <w:sz w:val="20"/>
          <w:szCs w:val="20"/>
          <w:color w:val="auto"/>
        </w:rPr>
      </w:pPr>
    </w:p>
    <w:p>
      <w:pPr>
        <w:ind w:left="460" w:right="2899" w:firstLine="366"/>
        <w:spacing w:after="0" w:line="256" w:lineRule="auto"/>
        <w:rPr>
          <w:sz w:val="20"/>
          <w:szCs w:val="20"/>
          <w:color w:val="auto"/>
        </w:rPr>
      </w:pPr>
      <w:r>
        <w:rPr>
          <w:rFonts w:ascii="Courier New" w:cs="Courier New" w:eastAsia="Courier New" w:hAnsi="Courier New"/>
          <w:sz w:val="15"/>
          <w:szCs w:val="15"/>
          <w:color w:val="auto"/>
        </w:rPr>
        <w:t>In September 2004, the Emerging Issues Task Force ("EITF") reached a consensus on EITF Issue No. 04-8, "The Effect of Contingently Convertible Instruments on Diluted Earnings Per Share" ("Issue 04-8"). Issue 04-8 relates to contingently convertible debt instruments, which are generally convertible into common shares of the issuer after the common stock price has exceeded a predetermined threshold for a specified time period (market price trigger). According to the accounting treatment in effect prior to this quarter, the potential dilutive effect of the conversion feature was excluded from diluted earnings per share until the market price contingency was met. Under Issue 04-8, all instruments that have embedded conversion features that are contingent on market conditions indexed to an issuer's share price are required to be included in diluted earnings per share computations, if dilutive, regardless of whether the market conditions have been met. The effective date of Issue 04-8 is for reporting periods ending after December 15, 2004. The consensus is required to be applied retroactively to instruments outstanding at the date of adoption. Diluted earnings per share of all prior periods presented for comparative purposes are required to be restated to conform to the consensus guidance.</w:t>
      </w:r>
    </w:p>
    <w:p>
      <w:pPr>
        <w:spacing w:after="0" w:line="85" w:lineRule="exact"/>
        <w:rPr>
          <w:sz w:val="20"/>
          <w:szCs w:val="20"/>
          <w:color w:val="auto"/>
        </w:rPr>
      </w:pPr>
    </w:p>
    <w:p>
      <w:pPr>
        <w:ind w:left="460" w:right="2899" w:firstLine="366"/>
        <w:spacing w:after="0" w:line="266" w:lineRule="auto"/>
        <w:rPr>
          <w:sz w:val="20"/>
          <w:szCs w:val="20"/>
          <w:color w:val="auto"/>
        </w:rPr>
      </w:pPr>
      <w:r>
        <w:rPr>
          <w:rFonts w:ascii="Courier New" w:cs="Courier New" w:eastAsia="Courier New" w:hAnsi="Courier New"/>
          <w:sz w:val="15"/>
          <w:szCs w:val="15"/>
          <w:color w:val="auto"/>
        </w:rPr>
        <w:t>The Company adopted Issue 04-8 in the first quarter of fiscal 2005, which required the addition of 10,436 ordinary shares issuable upon conversion of the Company's 0.50% Convertible Senior Notes due 2024 (the "0.50% Notes"), to the diluted earnings per share calculation. The adoption of Issue 04-8 has no effect on the Company's previously reported quarterly diluted earnings per share for the three months ended December 31, 2003 as the Company had no outstanding contingently convertible debt instruments during that period.</w:t>
      </w:r>
    </w:p>
    <w:p>
      <w:pPr>
        <w:spacing w:after="0" w:line="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New Accounting Standard for Stock-Based Compensation</w:t>
      </w:r>
    </w:p>
    <w:p>
      <w:pPr>
        <w:spacing w:after="0" w:line="182" w:lineRule="exact"/>
        <w:rPr>
          <w:sz w:val="20"/>
          <w:szCs w:val="20"/>
          <w:color w:val="auto"/>
        </w:rPr>
      </w:pPr>
    </w:p>
    <w:p>
      <w:pPr>
        <w:ind w:left="460" w:right="2899" w:firstLine="366"/>
        <w:spacing w:after="0" w:line="264" w:lineRule="auto"/>
        <w:rPr>
          <w:sz w:val="20"/>
          <w:szCs w:val="20"/>
          <w:color w:val="auto"/>
        </w:rPr>
      </w:pPr>
      <w:r>
        <w:rPr>
          <w:rFonts w:ascii="Courier New" w:cs="Courier New" w:eastAsia="Courier New" w:hAnsi="Courier New"/>
          <w:sz w:val="15"/>
          <w:szCs w:val="15"/>
          <w:color w:val="auto"/>
        </w:rPr>
        <w:t>On December 16, 2004, the Financial Accounting Standards Board (FASB) issued FASB Statement No. 123 (revised 2004), "Share-Based Payment", which is a revision of SFAS No. 123. SFAS 123(R) supersedes APB No. 25, and amends FASB Statement No. 95, "Statement of Cash Flows". Generally, the approach in Statement 123(R) is similar to the approach described in Statement 123. However, SFAS 123(R) requires all share-based payments to employees, including grants of employee stock options, to be recognized in the income statement based on their fair values. Pro forma disclosure is no longer an alternative.</w:t>
      </w:r>
    </w:p>
    <w:p>
      <w:pPr>
        <w:spacing w:after="0" w:line="80" w:lineRule="exact"/>
        <w:rPr>
          <w:sz w:val="20"/>
          <w:szCs w:val="20"/>
          <w:color w:val="auto"/>
        </w:rPr>
      </w:pPr>
    </w:p>
    <w:p>
      <w:pPr>
        <w:ind w:left="460" w:right="3079" w:firstLine="366"/>
        <w:spacing w:after="0" w:line="310" w:lineRule="auto"/>
        <w:rPr>
          <w:sz w:val="20"/>
          <w:szCs w:val="20"/>
          <w:color w:val="auto"/>
        </w:rPr>
      </w:pPr>
      <w:r>
        <w:rPr>
          <w:rFonts w:ascii="Courier New" w:cs="Courier New" w:eastAsia="Courier New" w:hAnsi="Courier New"/>
          <w:sz w:val="15"/>
          <w:szCs w:val="15"/>
          <w:color w:val="auto"/>
        </w:rPr>
        <w:t>The Company must adopt SFAS 123(R) no later than the first interim period beginning after June 15, 2005. Early adoption will be permitted in periods in which financial statements have not yet been issued.</w:t>
      </w:r>
    </w:p>
    <w:p>
      <w:pPr>
        <w:spacing w:after="0" w:line="46" w:lineRule="exact"/>
        <w:rPr>
          <w:sz w:val="20"/>
          <w:szCs w:val="20"/>
          <w:color w:val="auto"/>
        </w:rPr>
      </w:pPr>
    </w:p>
    <w:p>
      <w:pPr>
        <w:ind w:left="540" w:right="3179" w:firstLine="275"/>
        <w:spacing w:after="0" w:line="372" w:lineRule="auto"/>
        <w:rPr>
          <w:sz w:val="20"/>
          <w:szCs w:val="20"/>
          <w:color w:val="auto"/>
        </w:rPr>
      </w:pPr>
      <w:r>
        <w:rPr>
          <w:rFonts w:ascii="Courier New" w:cs="Courier New" w:eastAsia="Courier New" w:hAnsi="Courier New"/>
          <w:sz w:val="15"/>
          <w:szCs w:val="15"/>
          <w:color w:val="auto"/>
        </w:rPr>
        <w:t>SFAS 123(R) permits public companies to adopt its requirements using one of two methods:</w:t>
      </w:r>
    </w:p>
    <w:p>
      <w:pPr>
        <w:spacing w:after="0" w:line="2" w:lineRule="exact"/>
        <w:rPr>
          <w:sz w:val="20"/>
          <w:szCs w:val="20"/>
          <w:color w:val="auto"/>
        </w:rPr>
      </w:pPr>
    </w:p>
    <w:p>
      <w:pPr>
        <w:ind w:left="1360" w:right="3259" w:hanging="542"/>
        <w:spacing w:after="0" w:line="269" w:lineRule="auto"/>
        <w:tabs>
          <w:tab w:leader="none" w:pos="1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"modified prospective" method in which compensation cost is recognized beginning with the effective date (a) based on the requirements of SFAS 123(R) for all share-based payments granted after the effective date and (b) based on the requirements of SFAS No. 123 for all awards granted to employees prior to the effective date of SFAS 123(R) that remain unvested on the effective date.</w:t>
      </w:r>
    </w:p>
    <w:p>
      <w:pPr>
        <w:spacing w:after="0" w:line="76" w:lineRule="exact"/>
        <w:rPr>
          <w:rFonts w:ascii="Courier New" w:cs="Courier New" w:eastAsia="Courier New" w:hAnsi="Courier New"/>
          <w:sz w:val="15"/>
          <w:szCs w:val="15"/>
          <w:color w:val="auto"/>
        </w:rPr>
      </w:pPr>
    </w:p>
    <w:p>
      <w:pPr>
        <w:ind w:left="1360" w:right="3259" w:hanging="542"/>
        <w:spacing w:after="0" w:line="269" w:lineRule="auto"/>
        <w:tabs>
          <w:tab w:leader="none" w:pos="1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"modified retrospective" method which includes the requirements of the modified prospective method described above, but also permits entities to restate based on the amounts previously recognized under SFAS No. 123 for purposes of pro forma disclosures either (a) all prior periods presented or (b) prior interim periods of the year of adoption.</w:t>
      </w:r>
    </w:p>
    <w:p>
      <w:pPr>
        <w:spacing w:after="0" w:line="2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42" w:right="1440" w:bottom="1440" w:gutter="0" w:footer="0" w:header="0"/>
        </w:sectPr>
      </w:pPr>
    </w:p>
    <w:bookmarkStart w:id="9" w:name="page10"/>
    <w:bookmarkEnd w:id="9"/>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0" w:right="2899" w:firstLine="366"/>
        <w:spacing w:after="0" w:line="255" w:lineRule="auto"/>
        <w:rPr>
          <w:sz w:val="20"/>
          <w:szCs w:val="20"/>
          <w:color w:val="auto"/>
        </w:rPr>
      </w:pPr>
      <w:r>
        <w:rPr>
          <w:rFonts w:ascii="Courier New" w:cs="Courier New" w:eastAsia="Courier New" w:hAnsi="Courier New"/>
          <w:sz w:val="15"/>
          <w:szCs w:val="15"/>
          <w:color w:val="auto"/>
        </w:rPr>
        <w:t>As permitted by SFAS No.123, the Company currently accounts for share-based payments to employees using APB No. 25's intrinsic value method and, as such, generally recognizes no compensation cost for employee stock options. Accordingly, the adoption of the SFAS 123(R) fair value method will have a significant impact on the Company's results of operations, although it will have no impact on its overall financial position. The impact of adoption of SFAS 123(R) cannot be predicted at this time because it will depend on levels of share-based payments granted in the future. However, had the Company adopted SFAS 123(R) in prior periods, the impact of that standard would have approximated the impact of SFAS No. 123 as described in the disclosure of pro forma net income and earnings per share in Note 2 above. SFAS 123(R) also requires the benefits of tax deductions in excess of recognized compensation cost to be reported as a financing cash flow, rather than as an operating cash flow as required under current literature. This requirement will reduce net operating cash flows and increase net financing cash flows in periods after adoption. While the Company cannot estimate what those amounts will be in the future (because they depend on, among other things, when employees exercise stock options), the amount of operating cash flows recognized in prior periods for such excess tax deductions were $3,094, $262, and $6,808 in fiscal years 2004, 2003 and 2002, respectively.</w:t>
      </w: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ACCOUNTS RECEIVABLE, NET</w:t>
      </w:r>
    </w:p>
    <w:p>
      <w:pPr>
        <w:spacing w:after="0" w:line="182" w:lineRule="exact"/>
        <w:rPr>
          <w:sz w:val="20"/>
          <w:szCs w:val="20"/>
          <w:color w:val="auto"/>
        </w:rPr>
      </w:pPr>
    </w:p>
    <w:tbl>
      <w:tblPr>
        <w:tblLayout w:type="fixed"/>
        <w:tblInd w:w="820" w:type="dxa"/>
        <w:tblCellMar>
          <w:top w:w="0" w:type="dxa"/>
          <w:left w:w="0" w:type="dxa"/>
          <w:bottom w:w="0" w:type="dxa"/>
          <w:right w:w="0" w:type="dxa"/>
        </w:tblCellMar>
      </w:tblPr>
      <w:tr>
        <w:trPr>
          <w:trHeight w:val="257"/>
        </w:trPr>
        <w:tc>
          <w:tcPr>
            <w:tcW w:w="47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Accounts receivable, net consists of the following:</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2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00" w:type="dxa"/>
            <w:vAlign w:val="bottom"/>
          </w:tcPr>
          <w:p>
            <w:pPr>
              <w:jc w:val="right"/>
              <w:ind w:right="1464"/>
              <w:spacing w:after="0"/>
              <w:rPr>
                <w:sz w:val="20"/>
                <w:szCs w:val="20"/>
                <w:color w:val="auto"/>
              </w:rPr>
            </w:pPr>
            <w:r>
              <w:rPr>
                <w:rFonts w:ascii="Courier New" w:cs="Courier New" w:eastAsia="Courier New" w:hAnsi="Courier New"/>
                <w:sz w:val="15"/>
                <w:szCs w:val="15"/>
                <w:color w:val="auto"/>
              </w:rPr>
              <w:t>AS OF</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4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2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DECEMBER 31,</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20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2004</w:t>
            </w:r>
          </w:p>
        </w:tc>
        <w:tc>
          <w:tcPr>
            <w:tcW w:w="21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2004</w:t>
            </w: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2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8"/>
        </w:trPr>
        <w:tc>
          <w:tcPr>
            <w:tcW w:w="2740" w:type="dxa"/>
            <w:vAlign w:val="bottom"/>
          </w:tcPr>
          <w:p>
            <w:pPr>
              <w:ind w:left="100"/>
              <w:spacing w:after="0"/>
              <w:rPr>
                <w:sz w:val="20"/>
                <w:szCs w:val="20"/>
                <w:color w:val="auto"/>
              </w:rPr>
            </w:pPr>
            <w:r>
              <w:rPr>
                <w:rFonts w:ascii="Courier New" w:cs="Courier New" w:eastAsia="Courier New" w:hAnsi="Courier New"/>
                <w:sz w:val="15"/>
                <w:szCs w:val="15"/>
                <w:color w:val="auto"/>
              </w:rPr>
              <w:t>Accounts receivable -billed</w:t>
            </w:r>
          </w:p>
        </w:tc>
        <w:tc>
          <w:tcPr>
            <w:tcW w:w="2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$272,839</w:t>
            </w:r>
          </w:p>
        </w:tc>
        <w:tc>
          <w:tcPr>
            <w:tcW w:w="2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$242,254</w:t>
            </w:r>
          </w:p>
        </w:tc>
        <w:tc>
          <w:tcPr>
            <w:tcW w:w="0" w:type="dxa"/>
            <w:vAlign w:val="bottom"/>
          </w:tcPr>
          <w:p>
            <w:pPr>
              <w:spacing w:after="0"/>
              <w:rPr>
                <w:sz w:val="1"/>
                <w:szCs w:val="1"/>
                <w:color w:val="auto"/>
              </w:rPr>
            </w:pPr>
          </w:p>
        </w:tc>
      </w:tr>
      <w:tr>
        <w:trPr>
          <w:trHeight w:val="176"/>
        </w:trPr>
        <w:tc>
          <w:tcPr>
            <w:tcW w:w="2740" w:type="dxa"/>
            <w:vAlign w:val="bottom"/>
          </w:tcPr>
          <w:p>
            <w:pPr>
              <w:ind w:left="100"/>
              <w:spacing w:after="0"/>
              <w:rPr>
                <w:sz w:val="20"/>
                <w:szCs w:val="20"/>
                <w:color w:val="auto"/>
              </w:rPr>
            </w:pPr>
            <w:r>
              <w:rPr>
                <w:rFonts w:ascii="Courier New" w:cs="Courier New" w:eastAsia="Courier New" w:hAnsi="Courier New"/>
                <w:sz w:val="15"/>
                <w:szCs w:val="15"/>
                <w:color w:val="auto"/>
              </w:rPr>
              <w:t>Accounts receivable -unbilled</w:t>
            </w:r>
          </w:p>
        </w:tc>
        <w:tc>
          <w:tcPr>
            <w:tcW w:w="2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23,411</w:t>
            </w:r>
          </w:p>
        </w:tc>
        <w:tc>
          <w:tcPr>
            <w:tcW w:w="2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24,696</w:t>
            </w:r>
          </w:p>
        </w:tc>
        <w:tc>
          <w:tcPr>
            <w:tcW w:w="0" w:type="dxa"/>
            <w:vAlign w:val="bottom"/>
          </w:tcPr>
          <w:p>
            <w:pPr>
              <w:spacing w:after="0"/>
              <w:rPr>
                <w:sz w:val="1"/>
                <w:szCs w:val="1"/>
                <w:color w:val="auto"/>
              </w:rPr>
            </w:pPr>
          </w:p>
        </w:tc>
      </w:tr>
      <w:tr>
        <w:trPr>
          <w:trHeight w:val="176"/>
        </w:trPr>
        <w:tc>
          <w:tcPr>
            <w:tcW w:w="2740" w:type="dxa"/>
            <w:vAlign w:val="bottom"/>
          </w:tcPr>
          <w:p>
            <w:pPr>
              <w:ind w:left="100"/>
              <w:spacing w:after="0"/>
              <w:rPr>
                <w:sz w:val="20"/>
                <w:szCs w:val="20"/>
                <w:color w:val="auto"/>
              </w:rPr>
            </w:pPr>
            <w:r>
              <w:rPr>
                <w:rFonts w:ascii="Courier New" w:cs="Courier New" w:eastAsia="Courier New" w:hAnsi="Courier New"/>
                <w:sz w:val="15"/>
                <w:szCs w:val="15"/>
                <w:color w:val="auto"/>
              </w:rPr>
              <w:t>Less - allowances</w:t>
            </w:r>
          </w:p>
        </w:tc>
        <w:tc>
          <w:tcPr>
            <w:tcW w:w="2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(13,785)</w:t>
            </w:r>
          </w:p>
        </w:tc>
        <w:tc>
          <w:tcPr>
            <w:tcW w:w="2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(12,171)</w:t>
            </w:r>
          </w:p>
        </w:tc>
        <w:tc>
          <w:tcPr>
            <w:tcW w:w="0" w:type="dxa"/>
            <w:vAlign w:val="bottom"/>
          </w:tcPr>
          <w:p>
            <w:pPr>
              <w:spacing w:after="0"/>
              <w:rPr>
                <w:sz w:val="1"/>
                <w:szCs w:val="1"/>
                <w:color w:val="auto"/>
              </w:rPr>
            </w:pPr>
          </w:p>
        </w:tc>
      </w:tr>
      <w:tr>
        <w:trPr>
          <w:trHeight w:val="176"/>
        </w:trPr>
        <w:tc>
          <w:tcPr>
            <w:tcW w:w="27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Accounts receivable, net</w:t>
            </w:r>
          </w:p>
        </w:tc>
        <w:tc>
          <w:tcPr>
            <w:tcW w:w="20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7"/>
              </w:rPr>
              <w:t>$</w:t>
            </w:r>
            <w:r>
              <w:rPr>
                <w:rFonts w:ascii="Courier New" w:cs="Courier New" w:eastAsia="Courier New" w:hAnsi="Courier New"/>
                <w:sz w:val="30"/>
                <w:szCs w:val="30"/>
                <w:color w:val="auto"/>
                <w:w w:val="97"/>
                <w:vertAlign w:val="superscript"/>
              </w:rPr>
              <w:t>--------</w:t>
            </w:r>
            <w:r>
              <w:rPr>
                <w:rFonts w:ascii="Courier New" w:cs="Courier New" w:eastAsia="Courier New" w:hAnsi="Courier New"/>
                <w:sz w:val="15"/>
                <w:szCs w:val="15"/>
                <w:color w:val="auto"/>
                <w:w w:val="97"/>
              </w:rPr>
              <w:t>282,465</w:t>
            </w:r>
          </w:p>
        </w:tc>
        <w:tc>
          <w:tcPr>
            <w:tcW w:w="2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74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2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$254,779</w:t>
            </w: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2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05"/>
        </w:trPr>
        <w:tc>
          <w:tcPr>
            <w:tcW w:w="2740" w:type="dxa"/>
            <w:vAlign w:val="bottom"/>
          </w:tcPr>
          <w:p>
            <w:pPr>
              <w:spacing w:after="0"/>
              <w:rPr>
                <w:sz w:val="24"/>
                <w:szCs w:val="24"/>
                <w:color w:val="auto"/>
              </w:rPr>
            </w:pPr>
          </w:p>
        </w:tc>
        <w:tc>
          <w:tcPr>
            <w:tcW w:w="2020" w:type="dxa"/>
            <w:vAlign w:val="bottom"/>
          </w:tcPr>
          <w:p>
            <w:pPr>
              <w:jc w:val="right"/>
              <w:ind w:right="1844"/>
              <w:spacing w:after="0"/>
              <w:rPr>
                <w:sz w:val="20"/>
                <w:szCs w:val="20"/>
                <w:color w:val="auto"/>
              </w:rPr>
            </w:pPr>
            <w:r>
              <w:rPr>
                <w:rFonts w:ascii="Courier New" w:cs="Courier New" w:eastAsia="Courier New" w:hAnsi="Courier New"/>
                <w:sz w:val="15"/>
                <w:szCs w:val="15"/>
                <w:color w:val="auto"/>
                <w:w w:val="88"/>
              </w:rPr>
              <w:t>9</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42" w:right="1440" w:bottom="1440" w:gutter="0" w:footer="0" w:header="0"/>
        </w:sectPr>
      </w:pPr>
    </w:p>
    <w:bookmarkStart w:id="10" w:name="page11"/>
    <w:bookmarkEnd w:id="10"/>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left="826" w:hanging="826"/>
        <w:spacing w:after="0"/>
        <w:tabs>
          <w:tab w:leader="none" w:pos="82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82" w:lineRule="exact"/>
        <w:rPr>
          <w:sz w:val="20"/>
          <w:szCs w:val="20"/>
          <w:color w:val="auto"/>
        </w:rPr>
      </w:pPr>
    </w:p>
    <w:p>
      <w:pPr>
        <w:ind w:left="466" w:right="2979" w:firstLine="366"/>
        <w:spacing w:after="0" w:line="289"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62" w:lineRule="exact"/>
        <w:rPr>
          <w:sz w:val="20"/>
          <w:szCs w:val="20"/>
          <w:color w:val="auto"/>
        </w:rPr>
      </w:pPr>
    </w:p>
    <w:p>
      <w:pPr>
        <w:ind w:left="6" w:right="3179" w:firstLine="824"/>
        <w:spacing w:after="0" w:line="372"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354" w:lineRule="exact"/>
        <w:rPr>
          <w:sz w:val="20"/>
          <w:szCs w:val="20"/>
          <w:color w:val="auto"/>
        </w:rPr>
      </w:pPr>
    </w:p>
    <w:tbl>
      <w:tblPr>
        <w:tblLayout w:type="fixed"/>
        <w:tblInd w:w="646"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30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DECEMBER 31,</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30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2004</w:t>
            </w:r>
          </w:p>
        </w:tc>
        <w:tc>
          <w:tcPr>
            <w:tcW w:w="1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$69,443</w:t>
            </w: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$53,068</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1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360"/>
              <w:spacing w:after="0"/>
              <w:rPr>
                <w:sz w:val="20"/>
                <w:szCs w:val="20"/>
                <w:color w:val="auto"/>
              </w:rPr>
            </w:pPr>
            <w:r>
              <w:rPr>
                <w:rFonts w:ascii="Courier New" w:cs="Courier New" w:eastAsia="Courier New" w:hAnsi="Courier New"/>
                <w:sz w:val="15"/>
                <w:szCs w:val="15"/>
                <w:color w:val="auto"/>
              </w:rPr>
              <w:t>Unrealized gain (loss) on</w:t>
            </w:r>
          </w:p>
        </w:tc>
        <w:tc>
          <w:tcPr>
            <w:tcW w:w="1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 hedging</w:t>
            </w: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502</w:t>
            </w:r>
          </w:p>
        </w:tc>
        <w:tc>
          <w:tcPr>
            <w:tcW w:w="1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(3,199)</w:t>
            </w:r>
          </w:p>
        </w:tc>
        <w:tc>
          <w:tcPr>
            <w:tcW w:w="0" w:type="dxa"/>
            <w:vAlign w:val="bottom"/>
          </w:tcPr>
          <w:p>
            <w:pPr>
              <w:spacing w:after="0"/>
              <w:rPr>
                <w:sz w:val="1"/>
                <w:szCs w:val="1"/>
                <w:color w:val="auto"/>
              </w:rPr>
            </w:pPr>
          </w:p>
        </w:tc>
      </w:tr>
      <w:tr>
        <w:trPr>
          <w:trHeight w:val="176"/>
        </w:trPr>
        <w:tc>
          <w:tcPr>
            <w:tcW w:w="3660" w:type="dxa"/>
            <w:vAlign w:val="bottom"/>
          </w:tcPr>
          <w:p>
            <w:pPr>
              <w:ind w:left="460"/>
              <w:spacing w:after="0"/>
              <w:rPr>
                <w:sz w:val="20"/>
                <w:szCs w:val="20"/>
                <w:color w:val="auto"/>
              </w:rPr>
            </w:pPr>
            <w:r>
              <w:rPr>
                <w:rFonts w:ascii="Courier New" w:cs="Courier New" w:eastAsia="Courier New" w:hAnsi="Courier New"/>
                <w:sz w:val="15"/>
                <w:szCs w:val="15"/>
                <w:color w:val="auto"/>
              </w:rPr>
              <w:t>contracts, net of tax</w:t>
            </w:r>
          </w:p>
        </w:tc>
        <w:tc>
          <w:tcPr>
            <w:tcW w:w="128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80"/>
              <w:spacing w:after="0"/>
              <w:rPr>
                <w:sz w:val="20"/>
                <w:szCs w:val="20"/>
                <w:color w:val="auto"/>
              </w:rPr>
            </w:pPr>
            <w:r>
              <w:rPr>
                <w:rFonts w:ascii="Courier New" w:cs="Courier New" w:eastAsia="Courier New" w:hAnsi="Courier New"/>
                <w:sz w:val="15"/>
                <w:szCs w:val="15"/>
                <w:color w:val="auto"/>
              </w:rPr>
              <w:t>Unrealized loss on short-term</w:t>
            </w:r>
          </w:p>
        </w:tc>
        <w:tc>
          <w:tcPr>
            <w:tcW w:w="1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460"/>
              <w:spacing w:after="0"/>
              <w:rPr>
                <w:sz w:val="20"/>
                <w:szCs w:val="20"/>
                <w:color w:val="auto"/>
              </w:rPr>
            </w:pPr>
            <w:r>
              <w:rPr>
                <w:rFonts w:ascii="Courier New" w:cs="Courier New" w:eastAsia="Courier New" w:hAnsi="Courier New"/>
                <w:sz w:val="15"/>
                <w:szCs w:val="15"/>
                <w:color w:val="auto"/>
              </w:rPr>
              <w:t>interest-bearing investments,</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(684)</w:t>
            </w:r>
          </w:p>
        </w:tc>
        <w:tc>
          <w:tcPr>
            <w:tcW w:w="1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(465)</w:t>
            </w:r>
          </w:p>
        </w:tc>
        <w:tc>
          <w:tcPr>
            <w:tcW w:w="0" w:type="dxa"/>
            <w:vAlign w:val="bottom"/>
          </w:tcPr>
          <w:p>
            <w:pPr>
              <w:spacing w:after="0"/>
              <w:rPr>
                <w:sz w:val="1"/>
                <w:szCs w:val="1"/>
                <w:color w:val="auto"/>
              </w:rPr>
            </w:pPr>
          </w:p>
        </w:tc>
      </w:tr>
      <w:tr>
        <w:trPr>
          <w:trHeight w:val="176"/>
        </w:trPr>
        <w:tc>
          <w:tcPr>
            <w:tcW w:w="3660" w:type="dxa"/>
            <w:vAlign w:val="bottom"/>
          </w:tcPr>
          <w:p>
            <w:pPr>
              <w:ind w:left="460"/>
              <w:spacing w:after="0"/>
              <w:rPr>
                <w:sz w:val="20"/>
                <w:szCs w:val="20"/>
                <w:color w:val="auto"/>
              </w:rPr>
            </w:pPr>
            <w:r>
              <w:rPr>
                <w:rFonts w:ascii="Courier New" w:cs="Courier New" w:eastAsia="Courier New" w:hAnsi="Courier New"/>
                <w:sz w:val="15"/>
                <w:szCs w:val="15"/>
                <w:color w:val="auto"/>
              </w:rPr>
              <w:t>net of tax</w:t>
            </w:r>
          </w:p>
        </w:tc>
        <w:tc>
          <w:tcPr>
            <w:tcW w:w="128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income</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660" w:type="dxa"/>
            <w:vAlign w:val="bottom"/>
            <w:vMerge w:val="continue"/>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$69,261</w:t>
            </w: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$49,404</w:t>
            </w: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466" w:hanging="466"/>
        <w:spacing w:after="0"/>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The provision for income taxes for the following periods consisted of:</w:t>
      </w:r>
    </w:p>
    <w:p>
      <w:pPr>
        <w:spacing w:after="0" w:line="200" w:lineRule="exact"/>
        <w:rPr>
          <w:sz w:val="20"/>
          <w:szCs w:val="20"/>
          <w:color w:val="auto"/>
        </w:rPr>
      </w:pPr>
    </w:p>
    <w:p>
      <w:pPr>
        <w:spacing w:after="0" w:line="335" w:lineRule="exact"/>
        <w:rPr>
          <w:sz w:val="20"/>
          <w:szCs w:val="20"/>
          <w:color w:val="auto"/>
        </w:rPr>
      </w:pPr>
    </w:p>
    <w:tbl>
      <w:tblPr>
        <w:tblLayout w:type="fixed"/>
        <w:tblInd w:w="646"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41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41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4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29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2004</w:t>
            </w:r>
          </w:p>
        </w:tc>
        <w:tc>
          <w:tcPr>
            <w:tcW w:w="1200" w:type="dxa"/>
            <w:vAlign w:val="bottom"/>
          </w:tcPr>
          <w:p>
            <w:pPr>
              <w:ind w:left="560"/>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7"/>
        </w:trPr>
        <w:tc>
          <w:tcPr>
            <w:tcW w:w="2460" w:type="dxa"/>
            <w:vAlign w:val="bottom"/>
          </w:tcPr>
          <w:p>
            <w:pPr>
              <w:spacing w:after="0"/>
              <w:rPr>
                <w:sz w:val="22"/>
                <w:szCs w:val="22"/>
                <w:color w:val="auto"/>
              </w:rPr>
            </w:pPr>
          </w:p>
        </w:tc>
        <w:tc>
          <w:tcPr>
            <w:tcW w:w="29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6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71"/>
        </w:trPr>
        <w:tc>
          <w:tcPr>
            <w:tcW w:w="24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9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$19,891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$16,622</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9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(2,534)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(1,654)</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294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30"/>
                <w:szCs w:val="30"/>
                <w:color w:val="auto"/>
                <w:vertAlign w:val="superscript"/>
              </w:rPr>
              <w:t>-------</w:t>
            </w:r>
            <w:r>
              <w:rPr>
                <w:rFonts w:ascii="Courier New" w:cs="Courier New" w:eastAsia="Courier New" w:hAnsi="Courier New"/>
                <w:sz w:val="15"/>
                <w:szCs w:val="15"/>
                <w:color w:val="auto"/>
              </w:rPr>
              <w:t>17,357</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2940" w:type="dxa"/>
            <w:vAlign w:val="bottom"/>
            <w:vMerge w:val="continue"/>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$14,968</w:t>
            </w:r>
          </w:p>
        </w:tc>
        <w:tc>
          <w:tcPr>
            <w:tcW w:w="0" w:type="dxa"/>
            <w:vAlign w:val="bottom"/>
          </w:tcPr>
          <w:p>
            <w:pPr>
              <w:spacing w:after="0"/>
              <w:rPr>
                <w:sz w:val="1"/>
                <w:szCs w:val="1"/>
                <w:color w:val="auto"/>
              </w:rPr>
            </w:pPr>
          </w:p>
        </w:tc>
      </w:tr>
      <w:tr>
        <w:trPr>
          <w:trHeight w:val="257"/>
        </w:trPr>
        <w:tc>
          <w:tcPr>
            <w:tcW w:w="2460" w:type="dxa"/>
            <w:vAlign w:val="bottom"/>
          </w:tcPr>
          <w:p>
            <w:pPr>
              <w:spacing w:after="0"/>
              <w:rPr>
                <w:sz w:val="22"/>
                <w:szCs w:val="22"/>
                <w:color w:val="auto"/>
              </w:rPr>
            </w:pPr>
          </w:p>
        </w:tc>
        <w:tc>
          <w:tcPr>
            <w:tcW w:w="29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6" w:right="3179" w:firstLine="824"/>
        <w:spacing w:after="0" w:line="372"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354" w:lineRule="exact"/>
        <w:rPr>
          <w:sz w:val="20"/>
          <w:szCs w:val="20"/>
          <w:color w:val="auto"/>
        </w:rPr>
      </w:pPr>
    </w:p>
    <w:tbl>
      <w:tblPr>
        <w:tblLayout w:type="fixed"/>
        <w:tblInd w:w="646" w:type="dxa"/>
        <w:tblCellMar>
          <w:top w:w="0" w:type="dxa"/>
          <w:left w:w="0" w:type="dxa"/>
          <w:bottom w:w="0" w:type="dxa"/>
          <w:right w:w="0" w:type="dxa"/>
        </w:tblCellMar>
      </w:tblPr>
      <w:tr>
        <w:trPr>
          <w:trHeight w:val="176"/>
        </w:trPr>
        <w:tc>
          <w:tcPr>
            <w:tcW w:w="3380" w:type="dxa"/>
            <w:vAlign w:val="bottom"/>
          </w:tcPr>
          <w:p>
            <w:pPr>
              <w:spacing w:after="0"/>
              <w:rPr>
                <w:sz w:val="15"/>
                <w:szCs w:val="15"/>
                <w:color w:val="auto"/>
              </w:rPr>
            </w:pPr>
          </w:p>
        </w:tc>
        <w:tc>
          <w:tcPr>
            <w:tcW w:w="28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38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6"/>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Effective income tax rate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80" w:type="dxa"/>
            <w:vAlign w:val="bottom"/>
            <w:vMerge w:val="continue"/>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466" w:right="2899" w:firstLine="366"/>
        <w:spacing w:after="0" w:line="310" w:lineRule="auto"/>
        <w:rPr>
          <w:sz w:val="20"/>
          <w:szCs w:val="20"/>
          <w:color w:val="auto"/>
        </w:rPr>
      </w:pPr>
      <w:r>
        <w:rPr>
          <w:rFonts w:ascii="Courier New" w:cs="Courier New" w:eastAsia="Courier New" w:hAnsi="Courier New"/>
          <w:sz w:val="15"/>
          <w:szCs w:val="15"/>
          <w:color w:val="auto"/>
        </w:rPr>
        <w:t>As a Guernsey corporation with tax-exempt status, the Company's overall effective tax rate is attributable solely to foreign taxes and for fiscal year 2005 is expected to approximate 20%.</w:t>
      </w:r>
    </w:p>
    <w:p>
      <w:pPr>
        <w:spacing w:after="0" w:line="46" w:lineRule="exact"/>
        <w:rPr>
          <w:sz w:val="20"/>
          <w:szCs w:val="20"/>
          <w:color w:val="auto"/>
        </w:rPr>
      </w:pPr>
    </w:p>
    <w:p>
      <w:pPr>
        <w:ind w:left="466" w:right="2979" w:firstLine="366"/>
        <w:spacing w:after="0" w:line="279" w:lineRule="auto"/>
        <w:rPr>
          <w:sz w:val="20"/>
          <w:szCs w:val="20"/>
          <w:color w:val="auto"/>
        </w:rPr>
      </w:pPr>
      <w:r>
        <w:rPr>
          <w:rFonts w:ascii="Courier New" w:cs="Courier New" w:eastAsia="Courier New" w:hAnsi="Courier New"/>
          <w:sz w:val="15"/>
          <w:szCs w:val="15"/>
          <w:color w:val="auto"/>
        </w:rPr>
        <w:t>As of December 31, 2004, deferred tax assets of $12,141, derived from net capital and operating loss carry forwards related to some of the Company's subsidiaries, were offset by valuation allowances related to the uncertainty of realizing tax benefit for such losses. When realization of such tax benefits associated</w:t>
      </w:r>
    </w:p>
    <w:p>
      <w:pPr>
        <w:spacing w:after="0" w:line="24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4" w:top="442" w:right="1440" w:bottom="509" w:gutter="0" w:footer="0" w:header="0"/>
        </w:sectPr>
      </w:pPr>
    </w:p>
    <w:bookmarkStart w:id="11" w:name="page12"/>
    <w:bookmarkEnd w:id="11"/>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left="546" w:right="2899"/>
        <w:spacing w:after="0" w:line="372" w:lineRule="auto"/>
        <w:rPr>
          <w:sz w:val="20"/>
          <w:szCs w:val="20"/>
          <w:color w:val="auto"/>
        </w:rPr>
      </w:pPr>
      <w:r>
        <w:rPr>
          <w:rFonts w:ascii="Courier New" w:cs="Courier New" w:eastAsia="Courier New" w:hAnsi="Courier New"/>
          <w:sz w:val="15"/>
          <w:szCs w:val="15"/>
          <w:color w:val="auto"/>
        </w:rPr>
        <w:t>with such net capital and operating losses is deemed more likely than not, the valuation allowance will be released through income taxes.</w:t>
      </w:r>
    </w:p>
    <w:p>
      <w:pPr>
        <w:spacing w:after="0" w:line="2" w:lineRule="exact"/>
        <w:rPr>
          <w:sz w:val="20"/>
          <w:szCs w:val="20"/>
          <w:color w:val="auto"/>
        </w:rPr>
      </w:pPr>
    </w:p>
    <w:p>
      <w:pPr>
        <w:ind w:left="466" w:hanging="466"/>
        <w:spacing w:after="0"/>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82" w:lineRule="exact"/>
        <w:rPr>
          <w:sz w:val="20"/>
          <w:szCs w:val="20"/>
          <w:color w:val="auto"/>
        </w:rPr>
      </w:pPr>
    </w:p>
    <w:p>
      <w:pPr>
        <w:ind w:left="546" w:right="3259" w:firstLine="275"/>
        <w:spacing w:after="0" w:line="372"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354" w:lineRule="exact"/>
        <w:rPr>
          <w:sz w:val="20"/>
          <w:szCs w:val="20"/>
          <w:color w:val="auto"/>
        </w:rPr>
      </w:pPr>
    </w:p>
    <w:tbl>
      <w:tblPr>
        <w:tblLayout w:type="fixed"/>
        <w:tblInd w:w="826"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3"/>
          </w:tcPr>
          <w:p>
            <w:pPr>
              <w:jc w:val="right"/>
              <w:ind w:right="76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DECEMBER 31,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3080" w:type="dxa"/>
            <w:vAlign w:val="bottom"/>
            <w:gridSpan w:val="4"/>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2004</w:t>
            </w:r>
          </w:p>
        </w:tc>
        <w:tc>
          <w:tcPr>
            <w:tcW w:w="120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280"/>
              <w:spacing w:after="0"/>
              <w:rPr>
                <w:sz w:val="20"/>
                <w:szCs w:val="20"/>
                <w:color w:val="auto"/>
              </w:rPr>
            </w:pPr>
            <w:r>
              <w:rPr>
                <w:rFonts w:ascii="Courier New" w:cs="Courier New" w:eastAsia="Courier New" w:hAnsi="Courier New"/>
                <w:sz w:val="15"/>
                <w:szCs w:val="15"/>
                <w:color w:val="auto"/>
              </w:rPr>
              <w:t>Numerator for basic earnings per share -</w:t>
            </w:r>
          </w:p>
        </w:tc>
        <w:tc>
          <w:tcPr>
            <w:tcW w:w="9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$ 69,443</w:t>
            </w:r>
          </w:p>
        </w:tc>
        <w:tc>
          <w:tcPr>
            <w:tcW w:w="2120" w:type="dxa"/>
            <w:vAlign w:val="bottom"/>
            <w:gridSpan w:val="2"/>
            <w:vMerge w:val="restart"/>
          </w:tcPr>
          <w:p>
            <w:pPr>
              <w:jc w:val="right"/>
              <w:ind w:right="204"/>
              <w:spacing w:after="0"/>
              <w:rPr>
                <w:sz w:val="20"/>
                <w:szCs w:val="20"/>
                <w:color w:val="auto"/>
              </w:rPr>
            </w:pPr>
            <w:r>
              <w:rPr>
                <w:rFonts w:ascii="Courier New" w:cs="Courier New" w:eastAsia="Courier New" w:hAnsi="Courier New"/>
                <w:sz w:val="15"/>
                <w:szCs w:val="15"/>
                <w:color w:val="auto"/>
              </w:rPr>
              <w:t>$ 53,068</w:t>
            </w:r>
          </w:p>
        </w:tc>
        <w:tc>
          <w:tcPr>
            <w:tcW w:w="0" w:type="dxa"/>
            <w:vAlign w:val="bottom"/>
          </w:tcPr>
          <w:p>
            <w:pPr>
              <w:spacing w:after="0"/>
              <w:rPr>
                <w:sz w:val="1"/>
                <w:szCs w:val="1"/>
                <w:color w:val="auto"/>
              </w:rPr>
            </w:pPr>
          </w:p>
        </w:tc>
      </w:tr>
      <w:tr>
        <w:trPr>
          <w:trHeight w:val="176"/>
        </w:trPr>
        <w:tc>
          <w:tcPr>
            <w:tcW w:w="4440" w:type="dxa"/>
            <w:vAlign w:val="bottom"/>
          </w:tcPr>
          <w:p>
            <w:pPr>
              <w:ind w:left="460"/>
              <w:spacing w:after="0"/>
              <w:rPr>
                <w:sz w:val="20"/>
                <w:szCs w:val="20"/>
                <w:color w:val="auto"/>
              </w:rPr>
            </w:pPr>
            <w:r>
              <w:rPr>
                <w:rFonts w:ascii="Courier New" w:cs="Courier New" w:eastAsia="Courier New" w:hAnsi="Courier New"/>
                <w:sz w:val="15"/>
                <w:szCs w:val="15"/>
                <w:color w:val="auto"/>
              </w:rPr>
              <w:t>net income available to shareholders</w:t>
            </w:r>
          </w:p>
        </w:tc>
        <w:tc>
          <w:tcPr>
            <w:tcW w:w="960" w:type="dxa"/>
            <w:vAlign w:val="bottom"/>
            <w:gridSpan w:val="2"/>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280"/>
              <w:spacing w:after="0"/>
              <w:rPr>
                <w:sz w:val="20"/>
                <w:szCs w:val="20"/>
                <w:color w:val="auto"/>
              </w:rPr>
            </w:pPr>
            <w:r>
              <w:rPr>
                <w:rFonts w:ascii="Courier New" w:cs="Courier New" w:eastAsia="Courier New" w:hAnsi="Courier New"/>
                <w:sz w:val="15"/>
                <w:szCs w:val="15"/>
                <w:color w:val="auto"/>
              </w:rPr>
              <w:t>Effect of assumed conversion of 0.50%</w:t>
            </w:r>
          </w:p>
        </w:tc>
        <w:tc>
          <w:tcPr>
            <w:tcW w:w="3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984</w:t>
            </w:r>
          </w:p>
        </w:tc>
        <w:tc>
          <w:tcPr>
            <w:tcW w:w="1200" w:type="dxa"/>
            <w:vAlign w:val="bottom"/>
          </w:tcPr>
          <w:p>
            <w:pPr>
              <w:spacing w:after="0"/>
              <w:rPr>
                <w:sz w:val="15"/>
                <w:szCs w:val="15"/>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440" w:type="dxa"/>
            <w:vAlign w:val="bottom"/>
          </w:tcPr>
          <w:p>
            <w:pPr>
              <w:ind w:left="460"/>
              <w:spacing w:after="0"/>
              <w:rPr>
                <w:sz w:val="20"/>
                <w:szCs w:val="20"/>
                <w:color w:val="auto"/>
              </w:rPr>
            </w:pPr>
            <w:r>
              <w:rPr>
                <w:rFonts w:ascii="Courier New" w:cs="Courier New" w:eastAsia="Courier New" w:hAnsi="Courier New"/>
                <w:sz w:val="15"/>
                <w:szCs w:val="15"/>
                <w:color w:val="auto"/>
              </w:rPr>
              <w:t>convertible notes</w:t>
            </w: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4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Numerator for diluted earnings per share</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4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460"/>
              <w:spacing w:after="0"/>
              <w:rPr>
                <w:sz w:val="20"/>
                <w:szCs w:val="20"/>
                <w:color w:val="auto"/>
              </w:rPr>
            </w:pPr>
            <w:r>
              <w:rPr>
                <w:rFonts w:ascii="Courier New" w:cs="Courier New" w:eastAsia="Courier New" w:hAnsi="Courier New"/>
                <w:sz w:val="15"/>
                <w:szCs w:val="15"/>
                <w:color w:val="auto"/>
              </w:rPr>
              <w:t>- net income available to shareholders</w:t>
            </w:r>
          </w:p>
        </w:tc>
        <w:tc>
          <w:tcPr>
            <w:tcW w:w="9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$ 70,427</w:t>
            </w:r>
          </w:p>
        </w:tc>
        <w:tc>
          <w:tcPr>
            <w:tcW w:w="2120" w:type="dxa"/>
            <w:vAlign w:val="bottom"/>
            <w:gridSpan w:val="2"/>
            <w:vMerge w:val="restart"/>
          </w:tcPr>
          <w:p>
            <w:pPr>
              <w:jc w:val="right"/>
              <w:ind w:right="204"/>
              <w:spacing w:after="0"/>
              <w:rPr>
                <w:sz w:val="20"/>
                <w:szCs w:val="20"/>
                <w:color w:val="auto"/>
              </w:rPr>
            </w:pPr>
            <w:r>
              <w:rPr>
                <w:rFonts w:ascii="Courier New" w:cs="Courier New" w:eastAsia="Courier New" w:hAnsi="Courier New"/>
                <w:sz w:val="15"/>
                <w:szCs w:val="15"/>
                <w:color w:val="auto"/>
              </w:rPr>
              <w:t>$ 53,068</w:t>
            </w:r>
          </w:p>
        </w:tc>
        <w:tc>
          <w:tcPr>
            <w:tcW w:w="0" w:type="dxa"/>
            <w:vAlign w:val="bottom"/>
          </w:tcPr>
          <w:p>
            <w:pPr>
              <w:spacing w:after="0"/>
              <w:rPr>
                <w:sz w:val="1"/>
                <w:szCs w:val="1"/>
                <w:color w:val="auto"/>
              </w:rPr>
            </w:pPr>
          </w:p>
        </w:tc>
      </w:tr>
      <w:tr>
        <w:trPr>
          <w:trHeight w:val="176"/>
        </w:trPr>
        <w:tc>
          <w:tcPr>
            <w:tcW w:w="4440" w:type="dxa"/>
            <w:vAlign w:val="bottom"/>
          </w:tcPr>
          <w:p>
            <w:pPr>
              <w:ind w:left="460"/>
              <w:spacing w:after="0"/>
              <w:rPr>
                <w:sz w:val="20"/>
                <w:szCs w:val="20"/>
                <w:color w:val="auto"/>
              </w:rPr>
            </w:pPr>
            <w:r>
              <w:rPr>
                <w:rFonts w:ascii="Courier New" w:cs="Courier New" w:eastAsia="Courier New" w:hAnsi="Courier New"/>
                <w:sz w:val="15"/>
                <w:szCs w:val="15"/>
                <w:color w:val="auto"/>
              </w:rPr>
              <w:t>and assumed conversions</w:t>
            </w:r>
          </w:p>
        </w:tc>
        <w:tc>
          <w:tcPr>
            <w:tcW w:w="960" w:type="dxa"/>
            <w:vAlign w:val="bottom"/>
            <w:gridSpan w:val="2"/>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earnings per share -</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number of shares</w:t>
            </w:r>
          </w:p>
        </w:tc>
        <w:tc>
          <w:tcPr>
            <w:tcW w:w="3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201,703</w:t>
            </w:r>
          </w:p>
        </w:tc>
        <w:tc>
          <w:tcPr>
            <w:tcW w:w="1200" w:type="dxa"/>
            <w:vAlign w:val="bottom"/>
          </w:tcPr>
          <w:p>
            <w:pPr>
              <w:spacing w:after="0"/>
              <w:rPr>
                <w:sz w:val="15"/>
                <w:szCs w:val="15"/>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8"/>
              </w:rPr>
              <w:t>215,106</w:t>
            </w:r>
          </w:p>
        </w:tc>
        <w:tc>
          <w:tcPr>
            <w:tcW w:w="0" w:type="dxa"/>
            <w:vAlign w:val="bottom"/>
          </w:tcPr>
          <w:p>
            <w:pPr>
              <w:spacing w:after="0"/>
              <w:rPr>
                <w:sz w:val="1"/>
                <w:szCs w:val="1"/>
                <w:color w:val="auto"/>
              </w:rPr>
            </w:pPr>
          </w:p>
        </w:tc>
      </w:tr>
      <w:tr>
        <w:trPr>
          <w:trHeight w:val="176"/>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Effect of assumed conversion of 0.50%</w:t>
            </w:r>
          </w:p>
        </w:tc>
        <w:tc>
          <w:tcPr>
            <w:tcW w:w="3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10,436</w:t>
            </w:r>
          </w:p>
        </w:tc>
        <w:tc>
          <w:tcPr>
            <w:tcW w:w="1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w:t>
            </w:r>
          </w:p>
        </w:tc>
        <w:tc>
          <w:tcPr>
            <w:tcW w:w="0" w:type="dxa"/>
            <w:vAlign w:val="bottom"/>
          </w:tcPr>
          <w:p>
            <w:pPr>
              <w:spacing w:after="0"/>
              <w:rPr>
                <w:sz w:val="1"/>
                <w:szCs w:val="1"/>
                <w:color w:val="auto"/>
              </w:rPr>
            </w:pPr>
          </w:p>
        </w:tc>
      </w:tr>
      <w:tr>
        <w:trPr>
          <w:trHeight w:val="176"/>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convertible notes</w:t>
            </w: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Effect of dilutive stock options granted</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5,309</w:t>
            </w:r>
          </w:p>
        </w:tc>
        <w:tc>
          <w:tcPr>
            <w:tcW w:w="12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5,488</w:t>
            </w:r>
          </w:p>
        </w:tc>
        <w:tc>
          <w:tcPr>
            <w:tcW w:w="0" w:type="dxa"/>
            <w:vAlign w:val="bottom"/>
          </w:tcPr>
          <w:p>
            <w:pPr>
              <w:spacing w:after="0"/>
              <w:rPr>
                <w:sz w:val="1"/>
                <w:szCs w:val="1"/>
                <w:color w:val="auto"/>
              </w:rPr>
            </w:pPr>
          </w:p>
        </w:tc>
      </w:tr>
      <w:tr>
        <w:trPr>
          <w:trHeight w:val="257"/>
        </w:trPr>
        <w:tc>
          <w:tcPr>
            <w:tcW w:w="44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Denominator for diluted earnings per share -</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4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adjusted weighted average shares and assumed</w:t>
            </w:r>
          </w:p>
        </w:tc>
        <w:tc>
          <w:tcPr>
            <w:tcW w:w="3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217,448</w:t>
            </w:r>
          </w:p>
        </w:tc>
        <w:tc>
          <w:tcPr>
            <w:tcW w:w="1200" w:type="dxa"/>
            <w:vAlign w:val="bottom"/>
          </w:tcPr>
          <w:p>
            <w:pPr>
              <w:spacing w:after="0"/>
              <w:rPr>
                <w:sz w:val="15"/>
                <w:szCs w:val="15"/>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8"/>
              </w:rPr>
              <w:t>220,594</w:t>
            </w:r>
          </w:p>
        </w:tc>
        <w:tc>
          <w:tcPr>
            <w:tcW w:w="0" w:type="dxa"/>
            <w:vAlign w:val="bottom"/>
          </w:tcPr>
          <w:p>
            <w:pPr>
              <w:spacing w:after="0"/>
              <w:rPr>
                <w:sz w:val="1"/>
                <w:szCs w:val="1"/>
                <w:color w:val="auto"/>
              </w:rPr>
            </w:pPr>
          </w:p>
        </w:tc>
      </w:tr>
      <w:tr>
        <w:trPr>
          <w:trHeight w:val="176"/>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conversions</w:t>
            </w: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Basic earnings per share</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440" w:type="dxa"/>
            <w:vAlign w:val="bottom"/>
            <w:vMerge w:val="continue"/>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0.34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0.25</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Diluted earnings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0.24</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1106" w:right="3079" w:hanging="556"/>
        <w:spacing w:after="0" w:line="310" w:lineRule="auto"/>
        <w:tabs>
          <w:tab w:leader="none" w:pos="110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Issue 04-8 had no impact on the reported diluted earnings per share for the three months ended December 31, 2003 as the 0.50% Notes were not outstanding during that period.</w:t>
      </w:r>
    </w:p>
    <w:p>
      <w:pPr>
        <w:spacing w:after="0" w:line="46" w:lineRule="exact"/>
        <w:rPr>
          <w:sz w:val="20"/>
          <w:szCs w:val="20"/>
          <w:color w:val="auto"/>
        </w:rPr>
      </w:pPr>
    </w:p>
    <w:p>
      <w:pPr>
        <w:ind w:left="466" w:right="2899" w:firstLine="366"/>
        <w:spacing w:after="0" w:line="372" w:lineRule="auto"/>
        <w:rPr>
          <w:sz w:val="20"/>
          <w:szCs w:val="20"/>
          <w:color w:val="auto"/>
        </w:rPr>
      </w:pPr>
      <w:r>
        <w:rPr>
          <w:rFonts w:ascii="Courier New" w:cs="Courier New" w:eastAsia="Courier New" w:hAnsi="Courier New"/>
          <w:sz w:val="15"/>
          <w:szCs w:val="15"/>
          <w:color w:val="auto"/>
        </w:rPr>
        <w:t>The weighted average effect of the repurchase of ordinary shares by the Company has been included in the calculation of basic earnings per share.</w:t>
      </w:r>
    </w:p>
    <w:p>
      <w:pPr>
        <w:spacing w:after="0" w:line="2" w:lineRule="exact"/>
        <w:rPr>
          <w:sz w:val="20"/>
          <w:szCs w:val="20"/>
          <w:color w:val="auto"/>
        </w:rPr>
      </w:pPr>
    </w:p>
    <w:p>
      <w:pPr>
        <w:ind w:left="466" w:right="3079" w:firstLine="366"/>
        <w:spacing w:after="0" w:line="289"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"2% Notes") on diluted earnings per share was anti-dilutive for the three months ended December 31, 2003 and 2004, and, therefore, was not included in the above calculation.</w:t>
      </w:r>
    </w:p>
    <w:p>
      <w:pPr>
        <w:spacing w:after="0" w:line="62" w:lineRule="exact"/>
        <w:rPr>
          <w:sz w:val="20"/>
          <w:szCs w:val="20"/>
          <w:color w:val="auto"/>
        </w:rPr>
      </w:pPr>
    </w:p>
    <w:p>
      <w:pPr>
        <w:ind w:left="466" w:right="3079" w:firstLine="366"/>
        <w:spacing w:after="0" w:line="310" w:lineRule="auto"/>
        <w:rPr>
          <w:sz w:val="20"/>
          <w:szCs w:val="20"/>
          <w:color w:val="auto"/>
        </w:rPr>
      </w:pPr>
      <w:r>
        <w:rPr>
          <w:rFonts w:ascii="Courier New" w:cs="Courier New" w:eastAsia="Courier New" w:hAnsi="Courier New"/>
          <w:sz w:val="15"/>
          <w:szCs w:val="15"/>
          <w:color w:val="auto"/>
        </w:rPr>
        <w:t>The effect of the 0.50% Notes on diluted earnings per share was included in the above calculation for the three months ended December 31, 2004 following the adoption of Issue 04-8. See Note 3.</w:t>
      </w:r>
    </w:p>
    <w:p>
      <w:pPr>
        <w:spacing w:after="0" w:line="22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4" w:top="442" w:right="1440" w:bottom="1440" w:gutter="0" w:footer="0" w:header="0"/>
        </w:sectPr>
      </w:pPr>
    </w:p>
    <w:bookmarkStart w:id="12" w:name="page13"/>
    <w:bookmarkEnd w:id="12"/>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REPURCHASE OF SECURITIES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Ordinary Shares</w:t>
      </w:r>
    </w:p>
    <w:p>
      <w:pPr>
        <w:spacing w:after="0" w:line="182" w:lineRule="exact"/>
        <w:rPr>
          <w:sz w:val="20"/>
          <w:szCs w:val="20"/>
          <w:color w:val="auto"/>
        </w:rPr>
      </w:pPr>
    </w:p>
    <w:p>
      <w:pPr>
        <w:ind w:left="460" w:right="2899" w:firstLine="366"/>
        <w:spacing w:after="0" w:line="273" w:lineRule="auto"/>
        <w:rPr>
          <w:sz w:val="20"/>
          <w:szCs w:val="20"/>
          <w:color w:val="auto"/>
        </w:rPr>
      </w:pPr>
      <w:r>
        <w:rPr>
          <w:rFonts w:ascii="Courier New" w:cs="Courier New" w:eastAsia="Courier New" w:hAnsi="Courier New"/>
          <w:sz w:val="15"/>
          <w:szCs w:val="15"/>
          <w:color w:val="auto"/>
        </w:rPr>
        <w:t>On December 20, 2004, the Company announced that its Board of Directors had extended the share repurchase program for the additional repurchase of up to $100,000 of the Company's ordinary shares in the open market or privately negotiated transactions and at times and prices the Company deems appropriate. No share repurchases under this program were made in the three months ended December 31, 2004.</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ACQUISITION</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CERTEN INC.</w:t>
      </w:r>
    </w:p>
    <w:p>
      <w:pPr>
        <w:spacing w:after="0" w:line="182" w:lineRule="exact"/>
        <w:rPr>
          <w:sz w:val="20"/>
          <w:szCs w:val="20"/>
          <w:color w:val="auto"/>
        </w:rPr>
      </w:pPr>
    </w:p>
    <w:p>
      <w:pPr>
        <w:ind w:left="460" w:right="2899" w:firstLine="366"/>
        <w:spacing w:after="0" w:line="266" w:lineRule="auto"/>
        <w:rPr>
          <w:sz w:val="20"/>
          <w:szCs w:val="20"/>
          <w:color w:val="auto"/>
        </w:rPr>
      </w:pPr>
      <w:r>
        <w:rPr>
          <w:rFonts w:ascii="Courier New" w:cs="Courier New" w:eastAsia="Courier New" w:hAnsi="Courier New"/>
          <w:sz w:val="15"/>
          <w:szCs w:val="15"/>
          <w:color w:val="auto"/>
        </w:rPr>
        <w:t>On July 2, 2003, the Company acquired from Bell Canada ("Bell") its 90% ownership interest in Certen (renamed Amdocs Canada Managed Services, Inc.) for approximately $66,000 in cash. In addition, the Company had related transaction costs of approximately $3,000. In the three months ended December 31, 2004, the Company corrected the allocation of the purchase price and recalculated a deferred tax asset related to the fair value of an acquired pension liability. The corrected purchase price allocation resulted in a decrease of $4,069 in goodwill.</w:t>
      </w:r>
    </w:p>
    <w:p>
      <w:pPr>
        <w:spacing w:after="0" w:line="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following is the corrected allocation of the purchase price and</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736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7360" w:type="dxa"/>
            <w:vAlign w:val="bottom"/>
          </w:tcPr>
          <w:p>
            <w:pPr>
              <w:ind w:left="540"/>
              <w:spacing w:after="0"/>
              <w:rPr>
                <w:sz w:val="20"/>
                <w:szCs w:val="20"/>
                <w:color w:val="auto"/>
              </w:rPr>
            </w:pPr>
            <w:r>
              <w:rPr>
                <w:rFonts w:ascii="Courier New" w:cs="Courier New" w:eastAsia="Courier New" w:hAnsi="Courier New"/>
                <w:sz w:val="15"/>
                <w:szCs w:val="15"/>
                <w:color w:val="auto"/>
              </w:rPr>
              <w:t>Purchase price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65,887</w:t>
            </w:r>
          </w:p>
        </w:tc>
        <w:tc>
          <w:tcPr>
            <w:tcW w:w="0" w:type="dxa"/>
            <w:vAlign w:val="bottom"/>
          </w:tcPr>
          <w:p>
            <w:pPr>
              <w:spacing w:after="0"/>
              <w:rPr>
                <w:sz w:val="1"/>
                <w:szCs w:val="1"/>
                <w:color w:val="auto"/>
              </w:rPr>
            </w:pPr>
          </w:p>
        </w:tc>
      </w:tr>
      <w:tr>
        <w:trPr>
          <w:trHeight w:val="176"/>
        </w:trPr>
        <w:tc>
          <w:tcPr>
            <w:tcW w:w="7360" w:type="dxa"/>
            <w:vAlign w:val="bottom"/>
          </w:tcPr>
          <w:p>
            <w:pPr>
              <w:ind w:left="820"/>
              <w:spacing w:after="0"/>
              <w:rPr>
                <w:sz w:val="20"/>
                <w:szCs w:val="20"/>
                <w:color w:val="auto"/>
              </w:rPr>
            </w:pPr>
            <w:r>
              <w:rPr>
                <w:rFonts w:ascii="Courier New" w:cs="Courier New" w:eastAsia="Courier New" w:hAnsi="Courier New"/>
                <w:sz w:val="15"/>
                <w:szCs w:val="15"/>
                <w:color w:val="auto"/>
              </w:rPr>
              <w:t>Estimated transaction costs</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2,925</w:t>
            </w:r>
          </w:p>
        </w:tc>
        <w:tc>
          <w:tcPr>
            <w:tcW w:w="0" w:type="dxa"/>
            <w:vAlign w:val="bottom"/>
          </w:tcPr>
          <w:p>
            <w:pPr>
              <w:spacing w:after="0"/>
              <w:rPr>
                <w:sz w:val="1"/>
                <w:szCs w:val="1"/>
                <w:color w:val="auto"/>
              </w:rPr>
            </w:pPr>
          </w:p>
        </w:tc>
      </w:tr>
      <w:tr>
        <w:trPr>
          <w:trHeight w:val="176"/>
        </w:trPr>
        <w:tc>
          <w:tcPr>
            <w:tcW w:w="736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purchase price</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6"/>
        </w:trPr>
        <w:tc>
          <w:tcPr>
            <w:tcW w:w="7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68,812</w:t>
            </w:r>
          </w:p>
        </w:tc>
        <w:tc>
          <w:tcPr>
            <w:tcW w:w="0" w:type="dxa"/>
            <w:vAlign w:val="bottom"/>
          </w:tcPr>
          <w:p>
            <w:pPr>
              <w:spacing w:after="0"/>
              <w:rPr>
                <w:sz w:val="1"/>
                <w:szCs w:val="1"/>
                <w:color w:val="auto"/>
              </w:rPr>
            </w:pPr>
          </w:p>
        </w:tc>
      </w:tr>
      <w:tr>
        <w:trPr>
          <w:trHeight w:val="176"/>
        </w:trPr>
        <w:tc>
          <w:tcPr>
            <w:tcW w:w="7360" w:type="dxa"/>
            <w:vAlign w:val="bottom"/>
          </w:tcPr>
          <w:p>
            <w:pPr>
              <w:ind w:left="820"/>
              <w:spacing w:after="0"/>
              <w:rPr>
                <w:sz w:val="20"/>
                <w:szCs w:val="20"/>
                <w:color w:val="auto"/>
              </w:rPr>
            </w:pPr>
            <w:r>
              <w:rPr>
                <w:rFonts w:ascii="Courier New" w:cs="Courier New" w:eastAsia="Courier New" w:hAnsi="Courier New"/>
                <w:sz w:val="15"/>
                <w:szCs w:val="15"/>
                <w:color w:val="auto"/>
              </w:rPr>
              <w:t>Write-off of deferred revenue and allowance on Amdocs books, net of</w:t>
            </w: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(33,666)</w:t>
            </w:r>
          </w:p>
        </w:tc>
        <w:tc>
          <w:tcPr>
            <w:tcW w:w="0" w:type="dxa"/>
            <w:vAlign w:val="bottom"/>
          </w:tcPr>
          <w:p>
            <w:pPr>
              <w:spacing w:after="0"/>
              <w:rPr>
                <w:sz w:val="1"/>
                <w:szCs w:val="1"/>
                <w:color w:val="auto"/>
              </w:rPr>
            </w:pPr>
          </w:p>
        </w:tc>
      </w:tr>
      <w:tr>
        <w:trPr>
          <w:trHeight w:val="176"/>
        </w:trPr>
        <w:tc>
          <w:tcPr>
            <w:tcW w:w="7360" w:type="dxa"/>
            <w:vAlign w:val="bottom"/>
          </w:tcPr>
          <w:p>
            <w:pPr>
              <w:ind w:left="1000"/>
              <w:spacing w:after="0"/>
              <w:rPr>
                <w:sz w:val="20"/>
                <w:szCs w:val="20"/>
                <w:color w:val="auto"/>
              </w:rPr>
            </w:pPr>
            <w:r>
              <w:rPr>
                <w:rFonts w:ascii="Courier New" w:cs="Courier New" w:eastAsia="Courier New" w:hAnsi="Courier New"/>
                <w:sz w:val="15"/>
                <w:szCs w:val="15"/>
                <w:color w:val="auto"/>
              </w:rPr>
              <w:t>tax</w:t>
            </w: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6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Net amount for purchase price allocation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6"/>
        </w:trPr>
        <w:tc>
          <w:tcPr>
            <w:tcW w:w="73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35,146</w:t>
            </w:r>
          </w:p>
        </w:tc>
        <w:tc>
          <w:tcPr>
            <w:tcW w:w="0" w:type="dxa"/>
            <w:vAlign w:val="bottom"/>
          </w:tcPr>
          <w:p>
            <w:pPr>
              <w:spacing w:after="0"/>
              <w:rPr>
                <w:sz w:val="1"/>
                <w:szCs w:val="1"/>
                <w:color w:val="auto"/>
              </w:rPr>
            </w:pPr>
          </w:p>
        </w:tc>
      </w:tr>
      <w:tr>
        <w:trPr>
          <w:trHeight w:val="257"/>
        </w:trPr>
        <w:tc>
          <w:tcPr>
            <w:tcW w:w="7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71"/>
        </w:trPr>
        <w:tc>
          <w:tcPr>
            <w:tcW w:w="7360" w:type="dxa"/>
            <w:vAlign w:val="bottom"/>
          </w:tcPr>
          <w:p>
            <w:pPr>
              <w:ind w:left="540"/>
              <w:spacing w:after="0"/>
              <w:rPr>
                <w:sz w:val="20"/>
                <w:szCs w:val="20"/>
                <w:color w:val="auto"/>
              </w:rPr>
            </w:pPr>
            <w:r>
              <w:rPr>
                <w:rFonts w:ascii="Courier New" w:cs="Courier New" w:eastAsia="Courier New" w:hAnsi="Courier New"/>
                <w:sz w:val="15"/>
                <w:szCs w:val="15"/>
                <w:color w:val="auto"/>
              </w:rPr>
              <w:t>Allocation of purchase price:</w:t>
            </w: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7360" w:type="dxa"/>
            <w:vAlign w:val="bottom"/>
          </w:tcPr>
          <w:p>
            <w:pPr>
              <w:ind w:left="820"/>
              <w:spacing w:after="0"/>
              <w:rPr>
                <w:sz w:val="20"/>
                <w:szCs w:val="20"/>
                <w:color w:val="auto"/>
              </w:rPr>
            </w:pPr>
            <w:r>
              <w:rPr>
                <w:rFonts w:ascii="Courier New" w:cs="Courier New" w:eastAsia="Courier New" w:hAnsi="Courier New"/>
                <w:sz w:val="15"/>
                <w:szCs w:val="15"/>
                <w:color w:val="auto"/>
              </w:rPr>
              <w:t>90% tangible assets acquired, net of capitalized Amdocs system on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80,929</w:t>
            </w:r>
          </w:p>
        </w:tc>
        <w:tc>
          <w:tcPr>
            <w:tcW w:w="0" w:type="dxa"/>
            <w:vAlign w:val="bottom"/>
          </w:tcPr>
          <w:p>
            <w:pPr>
              <w:spacing w:after="0"/>
              <w:rPr>
                <w:sz w:val="1"/>
                <w:szCs w:val="1"/>
                <w:color w:val="auto"/>
              </w:rPr>
            </w:pPr>
          </w:p>
        </w:tc>
      </w:tr>
      <w:tr>
        <w:trPr>
          <w:trHeight w:val="176"/>
        </w:trPr>
        <w:tc>
          <w:tcPr>
            <w:tcW w:w="7360" w:type="dxa"/>
            <w:vAlign w:val="bottom"/>
          </w:tcPr>
          <w:p>
            <w:pPr>
              <w:ind w:left="1000"/>
              <w:spacing w:after="0"/>
              <w:rPr>
                <w:sz w:val="20"/>
                <w:szCs w:val="20"/>
                <w:color w:val="auto"/>
              </w:rPr>
            </w:pPr>
            <w:r>
              <w:rPr>
                <w:rFonts w:ascii="Courier New" w:cs="Courier New" w:eastAsia="Courier New" w:hAnsi="Courier New"/>
                <w:sz w:val="15"/>
                <w:szCs w:val="15"/>
                <w:color w:val="auto"/>
              </w:rPr>
              <w:t>Certen's books</w:t>
            </w:r>
          </w:p>
        </w:tc>
        <w:tc>
          <w:tcPr>
            <w:tcW w:w="3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60" w:type="dxa"/>
            <w:vAlign w:val="bottom"/>
          </w:tcPr>
          <w:p>
            <w:pPr>
              <w:ind w:left="820"/>
              <w:spacing w:after="0"/>
              <w:rPr>
                <w:sz w:val="20"/>
                <w:szCs w:val="20"/>
                <w:color w:val="auto"/>
              </w:rPr>
            </w:pPr>
            <w:r>
              <w:rPr>
                <w:rFonts w:ascii="Courier New" w:cs="Courier New" w:eastAsia="Courier New" w:hAnsi="Courier New"/>
                <w:sz w:val="15"/>
                <w:szCs w:val="15"/>
                <w:color w:val="auto"/>
              </w:rPr>
              <w:t>90% liabilities assumed</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{241,460)</w:t>
            </w:r>
          </w:p>
        </w:tc>
        <w:tc>
          <w:tcPr>
            <w:tcW w:w="0" w:type="dxa"/>
            <w:vAlign w:val="bottom"/>
          </w:tcPr>
          <w:p>
            <w:pPr>
              <w:spacing w:after="0"/>
              <w:rPr>
                <w:sz w:val="1"/>
                <w:szCs w:val="1"/>
                <w:color w:val="auto"/>
              </w:rPr>
            </w:pPr>
          </w:p>
        </w:tc>
      </w:tr>
      <w:tr>
        <w:trPr>
          <w:trHeight w:val="176"/>
        </w:trPr>
        <w:tc>
          <w:tcPr>
            <w:tcW w:w="736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Net liabilities acquired</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7"/>
        </w:trPr>
        <w:tc>
          <w:tcPr>
            <w:tcW w:w="73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160,531)</w:t>
            </w:r>
          </w:p>
        </w:tc>
        <w:tc>
          <w:tcPr>
            <w:tcW w:w="0" w:type="dxa"/>
            <w:vAlign w:val="bottom"/>
          </w:tcPr>
          <w:p>
            <w:pPr>
              <w:spacing w:after="0"/>
              <w:rPr>
                <w:sz w:val="1"/>
                <w:szCs w:val="1"/>
                <w:color w:val="auto"/>
              </w:rPr>
            </w:pPr>
          </w:p>
        </w:tc>
      </w:tr>
      <w:tr>
        <w:trPr>
          <w:trHeight w:val="271"/>
        </w:trPr>
        <w:tc>
          <w:tcPr>
            <w:tcW w:w="7360" w:type="dxa"/>
            <w:vAlign w:val="bottom"/>
          </w:tcPr>
          <w:p>
            <w:pPr>
              <w:ind w:left="820"/>
              <w:spacing w:after="0"/>
              <w:rPr>
                <w:sz w:val="20"/>
                <w:szCs w:val="20"/>
                <w:color w:val="auto"/>
              </w:rPr>
            </w:pPr>
            <w:r>
              <w:rPr>
                <w:rFonts w:ascii="Courier New" w:cs="Courier New" w:eastAsia="Courier New" w:hAnsi="Courier New"/>
                <w:sz w:val="15"/>
                <w:szCs w:val="15"/>
                <w:color w:val="auto"/>
              </w:rPr>
              <w:t>Customer arrangement</w:t>
            </w:r>
          </w:p>
        </w:tc>
        <w:tc>
          <w:tcPr>
            <w:tcW w:w="32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36,385</w:t>
            </w:r>
          </w:p>
        </w:tc>
        <w:tc>
          <w:tcPr>
            <w:tcW w:w="0" w:type="dxa"/>
            <w:vAlign w:val="bottom"/>
          </w:tcPr>
          <w:p>
            <w:pPr>
              <w:spacing w:after="0"/>
              <w:rPr>
                <w:sz w:val="1"/>
                <w:szCs w:val="1"/>
                <w:color w:val="auto"/>
              </w:rPr>
            </w:pPr>
          </w:p>
        </w:tc>
      </w:tr>
      <w:tr>
        <w:trPr>
          <w:trHeight w:val="176"/>
        </w:trPr>
        <w:tc>
          <w:tcPr>
            <w:tcW w:w="7360" w:type="dxa"/>
            <w:vAlign w:val="bottom"/>
          </w:tcPr>
          <w:p>
            <w:pPr>
              <w:ind w:left="820"/>
              <w:spacing w:after="0"/>
              <w:rPr>
                <w:sz w:val="20"/>
                <w:szCs w:val="20"/>
                <w:color w:val="auto"/>
              </w:rPr>
            </w:pPr>
            <w:r>
              <w:rPr>
                <w:rFonts w:ascii="Courier New" w:cs="Courier New" w:eastAsia="Courier New" w:hAnsi="Courier New"/>
                <w:sz w:val="15"/>
                <w:szCs w:val="15"/>
                <w:color w:val="auto"/>
              </w:rPr>
              <w:t>Adjustment to fair value of pension and other post-employment benefit</w:t>
            </w: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(12,605)</w:t>
            </w:r>
          </w:p>
        </w:tc>
        <w:tc>
          <w:tcPr>
            <w:tcW w:w="0" w:type="dxa"/>
            <w:vAlign w:val="bottom"/>
          </w:tcPr>
          <w:p>
            <w:pPr>
              <w:spacing w:after="0"/>
              <w:rPr>
                <w:sz w:val="1"/>
                <w:szCs w:val="1"/>
                <w:color w:val="auto"/>
              </w:rPr>
            </w:pPr>
          </w:p>
        </w:tc>
      </w:tr>
      <w:tr>
        <w:trPr>
          <w:trHeight w:val="176"/>
        </w:trPr>
        <w:tc>
          <w:tcPr>
            <w:tcW w:w="7360" w:type="dxa"/>
            <w:vAlign w:val="bottom"/>
          </w:tcPr>
          <w:p>
            <w:pPr>
              <w:ind w:left="1000"/>
              <w:spacing w:after="0"/>
              <w:rPr>
                <w:sz w:val="20"/>
                <w:szCs w:val="20"/>
                <w:color w:val="auto"/>
              </w:rPr>
            </w:pPr>
            <w:r>
              <w:rPr>
                <w:rFonts w:ascii="Courier New" w:cs="Courier New" w:eastAsia="Courier New" w:hAnsi="Courier New"/>
                <w:sz w:val="15"/>
                <w:szCs w:val="15"/>
                <w:color w:val="auto"/>
              </w:rPr>
              <w:t>liabilities</w:t>
            </w: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60" w:type="dxa"/>
            <w:vAlign w:val="bottom"/>
          </w:tcPr>
          <w:p>
            <w:pPr>
              <w:ind w:left="820"/>
              <w:spacing w:after="0"/>
              <w:rPr>
                <w:sz w:val="20"/>
                <w:szCs w:val="20"/>
                <w:color w:val="auto"/>
              </w:rPr>
            </w:pPr>
            <w:r>
              <w:rPr>
                <w:rFonts w:ascii="Courier New" w:cs="Courier New" w:eastAsia="Courier New" w:hAnsi="Courier New"/>
                <w:sz w:val="15"/>
                <w:szCs w:val="15"/>
                <w:color w:val="auto"/>
              </w:rPr>
              <w:t>EITF 95-3 and other liabilities</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(2,857)</w:t>
            </w:r>
          </w:p>
        </w:tc>
        <w:tc>
          <w:tcPr>
            <w:tcW w:w="0" w:type="dxa"/>
            <w:vAlign w:val="bottom"/>
          </w:tcPr>
          <w:p>
            <w:pPr>
              <w:spacing w:after="0"/>
              <w:rPr>
                <w:sz w:val="1"/>
                <w:szCs w:val="1"/>
                <w:color w:val="auto"/>
              </w:rPr>
            </w:pPr>
          </w:p>
        </w:tc>
      </w:tr>
      <w:tr>
        <w:trPr>
          <w:trHeight w:val="176"/>
        </w:trPr>
        <w:tc>
          <w:tcPr>
            <w:tcW w:w="7360" w:type="dxa"/>
            <w:vAlign w:val="bottom"/>
          </w:tcPr>
          <w:p>
            <w:pPr>
              <w:ind w:left="820"/>
              <w:spacing w:after="0"/>
              <w:rPr>
                <w:sz w:val="20"/>
                <w:szCs w:val="20"/>
                <w:color w:val="auto"/>
              </w:rPr>
            </w:pPr>
            <w:r>
              <w:rPr>
                <w:rFonts w:ascii="Courier New" w:cs="Courier New" w:eastAsia="Courier New" w:hAnsi="Courier New"/>
                <w:sz w:val="15"/>
                <w:szCs w:val="15"/>
                <w:color w:val="auto"/>
              </w:rPr>
              <w:t>Deferred taxes resulting from the difference between the assigned</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60" w:type="dxa"/>
            <w:vAlign w:val="bottom"/>
          </w:tcPr>
          <w:p>
            <w:pPr>
              <w:ind w:left="1000"/>
              <w:spacing w:after="0"/>
              <w:rPr>
                <w:sz w:val="20"/>
                <w:szCs w:val="20"/>
                <w:color w:val="auto"/>
              </w:rPr>
            </w:pPr>
            <w:r>
              <w:rPr>
                <w:rFonts w:ascii="Courier New" w:cs="Courier New" w:eastAsia="Courier New" w:hAnsi="Courier New"/>
                <w:sz w:val="15"/>
                <w:szCs w:val="15"/>
                <w:color w:val="auto"/>
              </w:rPr>
              <w:t>value of certain assets and liabilities and their respective tax</w:t>
            </w:r>
          </w:p>
        </w:tc>
        <w:tc>
          <w:tcPr>
            <w:tcW w:w="320" w:type="dxa"/>
            <w:vAlign w:val="bottom"/>
          </w:tcPr>
          <w:p>
            <w:pPr>
              <w:spacing w:after="0"/>
              <w:rPr>
                <w:sz w:val="15"/>
                <w:szCs w:val="15"/>
                <w:color w:val="auto"/>
              </w:rPr>
            </w:pPr>
          </w:p>
        </w:tc>
        <w:tc>
          <w:tcPr>
            <w:tcW w:w="8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77,742</w:t>
            </w:r>
          </w:p>
        </w:tc>
        <w:tc>
          <w:tcPr>
            <w:tcW w:w="0" w:type="dxa"/>
            <w:vAlign w:val="bottom"/>
          </w:tcPr>
          <w:p>
            <w:pPr>
              <w:spacing w:after="0"/>
              <w:rPr>
                <w:sz w:val="1"/>
                <w:szCs w:val="1"/>
                <w:color w:val="auto"/>
              </w:rPr>
            </w:pPr>
          </w:p>
        </w:tc>
      </w:tr>
      <w:tr>
        <w:trPr>
          <w:trHeight w:val="176"/>
        </w:trPr>
        <w:tc>
          <w:tcPr>
            <w:tcW w:w="7360" w:type="dxa"/>
            <w:vAlign w:val="bottom"/>
          </w:tcPr>
          <w:p>
            <w:pPr>
              <w:ind w:left="1000"/>
              <w:spacing w:after="0"/>
              <w:rPr>
                <w:sz w:val="20"/>
                <w:szCs w:val="20"/>
                <w:color w:val="auto"/>
              </w:rPr>
            </w:pPr>
            <w:r>
              <w:rPr>
                <w:rFonts w:ascii="Courier New" w:cs="Courier New" w:eastAsia="Courier New" w:hAnsi="Courier New"/>
                <w:sz w:val="15"/>
                <w:szCs w:val="15"/>
                <w:color w:val="auto"/>
              </w:rPr>
              <w:t>bases</w:t>
            </w: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6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Net fair value of liabilities acquired</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6"/>
        </w:trPr>
        <w:tc>
          <w:tcPr>
            <w:tcW w:w="7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(61,866)</w:t>
            </w:r>
          </w:p>
        </w:tc>
        <w:tc>
          <w:tcPr>
            <w:tcW w:w="0" w:type="dxa"/>
            <w:vAlign w:val="bottom"/>
          </w:tcPr>
          <w:p>
            <w:pPr>
              <w:spacing w:after="0"/>
              <w:rPr>
                <w:sz w:val="1"/>
                <w:szCs w:val="1"/>
                <w:color w:val="auto"/>
              </w:rPr>
            </w:pPr>
          </w:p>
        </w:tc>
      </w:tr>
      <w:tr>
        <w:trPr>
          <w:trHeight w:val="176"/>
        </w:trPr>
        <w:tc>
          <w:tcPr>
            <w:tcW w:w="7360" w:type="dxa"/>
            <w:vAlign w:val="bottom"/>
          </w:tcPr>
          <w:p>
            <w:pPr>
              <w:ind w:left="820"/>
              <w:spacing w:after="0"/>
              <w:rPr>
                <w:sz w:val="20"/>
                <w:szCs w:val="20"/>
                <w:color w:val="auto"/>
              </w:rPr>
            </w:pPr>
            <w:r>
              <w:rPr>
                <w:rFonts w:ascii="Courier New" w:cs="Courier New" w:eastAsia="Courier New" w:hAnsi="Courier New"/>
                <w:sz w:val="15"/>
                <w:szCs w:val="15"/>
                <w:color w:val="auto"/>
              </w:rPr>
              <w:t>Goodwill</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97,012</w:t>
            </w:r>
          </w:p>
        </w:tc>
        <w:tc>
          <w:tcPr>
            <w:tcW w:w="0" w:type="dxa"/>
            <w:vAlign w:val="bottom"/>
          </w:tcPr>
          <w:p>
            <w:pPr>
              <w:spacing w:after="0"/>
              <w:rPr>
                <w:sz w:val="1"/>
                <w:szCs w:val="1"/>
                <w:color w:val="auto"/>
              </w:rPr>
            </w:pPr>
          </w:p>
        </w:tc>
      </w:tr>
      <w:tr>
        <w:trPr>
          <w:trHeight w:val="176"/>
        </w:trPr>
        <w:tc>
          <w:tcPr>
            <w:tcW w:w="736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6"/>
        </w:trPr>
        <w:tc>
          <w:tcPr>
            <w:tcW w:w="7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35,146</w:t>
            </w:r>
          </w:p>
        </w:tc>
        <w:tc>
          <w:tcPr>
            <w:tcW w:w="0" w:type="dxa"/>
            <w:vAlign w:val="bottom"/>
          </w:tcPr>
          <w:p>
            <w:pPr>
              <w:spacing w:after="0"/>
              <w:rPr>
                <w:sz w:val="1"/>
                <w:szCs w:val="1"/>
                <w:color w:val="auto"/>
              </w:rPr>
            </w:pPr>
          </w:p>
        </w:tc>
      </w:tr>
      <w:tr>
        <w:trPr>
          <w:trHeight w:val="257"/>
        </w:trPr>
        <w:tc>
          <w:tcPr>
            <w:tcW w:w="7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705"/>
        </w:trPr>
        <w:tc>
          <w:tcPr>
            <w:tcW w:w="7360" w:type="dxa"/>
            <w:vAlign w:val="bottom"/>
          </w:tcPr>
          <w:p>
            <w:pPr>
              <w:ind w:left="3100"/>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42" w:right="1440" w:bottom="1440" w:gutter="0" w:footer="0" w:header="0"/>
        </w:sectPr>
      </w:pPr>
    </w:p>
    <w:bookmarkStart w:id="13" w:name="page14"/>
    <w:bookmarkEnd w:id="13"/>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left="466" w:hanging="466"/>
        <w:spacing w:after="0"/>
        <w:tabs>
          <w:tab w:leader="none" w:pos="4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EFFICIENCY AND COST REDUCTION PROGRAMS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Fiscal Year Ended September 30, 2003</w:t>
      </w:r>
    </w:p>
    <w:p>
      <w:pPr>
        <w:spacing w:after="0" w:line="182" w:lineRule="exact"/>
        <w:rPr>
          <w:sz w:val="20"/>
          <w:szCs w:val="20"/>
          <w:color w:val="auto"/>
        </w:rPr>
      </w:pPr>
    </w:p>
    <w:p>
      <w:pPr>
        <w:ind w:left="466" w:right="2899" w:firstLine="366"/>
        <w:spacing w:after="0" w:line="266" w:lineRule="auto"/>
        <w:rPr>
          <w:sz w:val="20"/>
          <w:szCs w:val="20"/>
          <w:color w:val="auto"/>
        </w:rPr>
      </w:pPr>
      <w:r>
        <w:rPr>
          <w:rFonts w:ascii="Courier New" w:cs="Courier New" w:eastAsia="Courier New" w:hAnsi="Courier New"/>
          <w:sz w:val="15"/>
          <w:szCs w:val="15"/>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79" w:lineRule="exact"/>
        <w:rPr>
          <w:sz w:val="20"/>
          <w:szCs w:val="20"/>
          <w:color w:val="auto"/>
        </w:rPr>
      </w:pPr>
    </w:p>
    <w:p>
      <w:pPr>
        <w:ind w:left="466" w:right="2899" w:firstLine="366"/>
        <w:spacing w:after="0" w:line="279" w:lineRule="auto"/>
        <w:rPr>
          <w:sz w:val="20"/>
          <w:szCs w:val="20"/>
          <w:color w:val="auto"/>
        </w:rPr>
      </w:pPr>
      <w:r>
        <w:rPr>
          <w:rFonts w:ascii="Courier New" w:cs="Courier New" w:eastAsia="Courier New" w:hAnsi="Courier New"/>
          <w:sz w:val="15"/>
          <w:szCs w:val="15"/>
          <w:color w:val="auto"/>
        </w:rPr>
        <w:t>The restructuring charge associated with these actions and recorded in the first quarter of fiscal 2003 was $9,956. Approximately $6,029 of the total charge was paid in cash as of December 31, 2004. The remainder of the charge, comprised of facility related costs, is expected to be paid out through June 2008.</w:t>
      </w:r>
    </w:p>
    <w:p>
      <w:pPr>
        <w:spacing w:after="0" w:line="69"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Details of $9,956 Restructuring Charge:</w:t>
      </w:r>
    </w:p>
    <w:p>
      <w:pPr>
        <w:spacing w:after="0" w:line="182" w:lineRule="exact"/>
        <w:rPr>
          <w:sz w:val="20"/>
          <w:szCs w:val="20"/>
          <w:color w:val="auto"/>
        </w:rPr>
      </w:pPr>
    </w:p>
    <w:p>
      <w:pPr>
        <w:ind w:left="466" w:right="2899" w:firstLine="366"/>
        <w:spacing w:after="0" w:line="264" w:lineRule="auto"/>
        <w:rPr>
          <w:sz w:val="20"/>
          <w:szCs w:val="20"/>
          <w:color w:val="auto"/>
        </w:rPr>
      </w:pPr>
      <w:r>
        <w:rPr>
          <w:rFonts w:ascii="Courier New" w:cs="Courier New" w:eastAsia="Courier New" w:hAnsi="Courier New"/>
          <w:sz w:val="15"/>
          <w:szCs w:val="15"/>
          <w:color w:val="auto"/>
        </w:rPr>
        <w:t>In the first quarter of fiscal 2003,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 Missouri. The Company also recorded a provision of $1,829 for asset write-offs, principally for leasehold improvements in Raanana, Israel and St. Louis, Missouri that were abandoned.</w:t>
      </w:r>
    </w:p>
    <w:p>
      <w:pPr>
        <w:spacing w:after="0" w:line="80" w:lineRule="exact"/>
        <w:rPr>
          <w:sz w:val="20"/>
          <w:szCs w:val="20"/>
          <w:color w:val="auto"/>
        </w:rPr>
      </w:pPr>
    </w:p>
    <w:p>
      <w:pPr>
        <w:ind w:left="466" w:right="3079" w:firstLine="366"/>
        <w:spacing w:after="0" w:line="372" w:lineRule="auto"/>
        <w:rPr>
          <w:sz w:val="20"/>
          <w:szCs w:val="20"/>
          <w:color w:val="auto"/>
        </w:rPr>
      </w:pPr>
      <w:r>
        <w:rPr>
          <w:rFonts w:ascii="Courier New" w:cs="Courier New" w:eastAsia="Courier New" w:hAnsi="Courier New"/>
          <w:sz w:val="15"/>
          <w:szCs w:val="15"/>
          <w:color w:val="auto"/>
        </w:rPr>
        <w:t>The restructuring charge is comprised of the following as of December 31, 2004:</w:t>
      </w:r>
    </w:p>
    <w:p>
      <w:pPr>
        <w:spacing w:after="0" w:line="354" w:lineRule="exact"/>
        <w:rPr>
          <w:sz w:val="20"/>
          <w:szCs w:val="20"/>
          <w:color w:val="auto"/>
        </w:rPr>
      </w:pPr>
    </w:p>
    <w:tbl>
      <w:tblPr>
        <w:tblLayout w:type="fixed"/>
        <w:tblInd w:w="646" w:type="dxa"/>
        <w:tblCellMar>
          <w:top w:w="0" w:type="dxa"/>
          <w:left w:w="0" w:type="dxa"/>
          <w:bottom w:w="0" w:type="dxa"/>
          <w:right w:w="0" w:type="dxa"/>
        </w:tblCellMar>
      </w:tblPr>
      <w:tr>
        <w:trPr>
          <w:trHeight w:val="176"/>
        </w:trPr>
        <w:tc>
          <w:tcPr>
            <w:tcW w:w="3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FACILITIES</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Balance as of September 30, 2004</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$1,797</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76"/>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as of December 31, 2004</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80" w:type="dxa"/>
            <w:vAlign w:val="bottom"/>
            <w:vMerge w:val="continue"/>
          </w:tcPr>
          <w:p>
            <w:pPr>
              <w:spacing w:after="0"/>
              <w:rPr>
                <w:sz w:val="15"/>
                <w:szCs w:val="15"/>
                <w:color w:val="auto"/>
              </w:rPr>
            </w:pP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$1,691</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466" w:right="2979" w:firstLine="366"/>
        <w:spacing w:after="0" w:line="273" w:lineRule="auto"/>
        <w:rPr>
          <w:sz w:val="20"/>
          <w:szCs w:val="20"/>
          <w:color w:val="auto"/>
        </w:rPr>
      </w:pPr>
      <w:r>
        <w:rPr>
          <w:rFonts w:ascii="Courier New" w:cs="Courier New" w:eastAsia="Courier New" w:hAnsi="Courier New"/>
          <w:sz w:val="15"/>
          <w:szCs w:val="15"/>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new Managed Services agreements and increased revenue, may require an increase in headcount and other increased spending.</w:t>
      </w:r>
    </w:p>
    <w:p>
      <w:pPr>
        <w:spacing w:after="0" w:line="74"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Fiscal Year Ended September 30, 2002</w:t>
      </w:r>
    </w:p>
    <w:p>
      <w:pPr>
        <w:spacing w:after="0" w:line="182" w:lineRule="exact"/>
        <w:rPr>
          <w:sz w:val="20"/>
          <w:szCs w:val="20"/>
          <w:color w:val="auto"/>
        </w:rPr>
      </w:pPr>
    </w:p>
    <w:p>
      <w:pPr>
        <w:ind w:left="466" w:right="2979" w:firstLine="366"/>
        <w:spacing w:after="0" w:line="262" w:lineRule="auto"/>
        <w:rPr>
          <w:sz w:val="20"/>
          <w:szCs w:val="20"/>
          <w:color w:val="auto"/>
        </w:rPr>
      </w:pPr>
      <w:r>
        <w:rPr>
          <w:rFonts w:ascii="Courier New" w:cs="Courier New" w:eastAsia="Courier New" w:hAnsi="Courier New"/>
          <w:sz w:val="15"/>
          <w:szCs w:val="15"/>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2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4" w:top="442" w:right="1440" w:bottom="1440" w:gutter="0" w:footer="0" w:header="0"/>
        </w:sectPr>
      </w:pPr>
    </w:p>
    <w:bookmarkStart w:id="14" w:name="page15"/>
    <w:bookmarkEnd w:id="14"/>
    <w:p>
      <w:pPr>
        <w:jc w:val="center"/>
        <w:ind w:right="335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right="2899" w:firstLine="366"/>
        <w:spacing w:after="0" w:line="279" w:lineRule="auto"/>
        <w:rPr>
          <w:sz w:val="20"/>
          <w:szCs w:val="20"/>
          <w:color w:val="auto"/>
        </w:rPr>
      </w:pPr>
      <w:r>
        <w:rPr>
          <w:rFonts w:ascii="Courier New" w:cs="Courier New" w:eastAsia="Courier New" w:hAnsi="Courier New"/>
          <w:sz w:val="15"/>
          <w:szCs w:val="15"/>
          <w:color w:val="auto"/>
        </w:rPr>
        <w:t>The restructuring charge associated with these actions and recorded in the fourth quarter of fiscal 2002 was $20,919. Approximately $17,139 of the total charge was paid in cash as of December 31, 2004. The remainder of the charge, comprised of facility related costs, is expected to be paid out through April 2012.</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Details of $20,919 Restructuring Charge:</w:t>
      </w:r>
    </w:p>
    <w:p>
      <w:pPr>
        <w:spacing w:after="0" w:line="182" w:lineRule="exact"/>
        <w:rPr>
          <w:sz w:val="20"/>
          <w:szCs w:val="20"/>
          <w:color w:val="auto"/>
        </w:rPr>
      </w:pPr>
    </w:p>
    <w:p>
      <w:pPr>
        <w:ind w:right="2899" w:firstLine="366"/>
        <w:spacing w:after="0" w:line="258" w:lineRule="auto"/>
        <w:rPr>
          <w:sz w:val="20"/>
          <w:szCs w:val="20"/>
          <w:color w:val="auto"/>
        </w:rPr>
      </w:pPr>
      <w:r>
        <w:rPr>
          <w:rFonts w:ascii="Courier New" w:cs="Courier New" w:eastAsia="Courier New" w:hAnsi="Courier New"/>
          <w:sz w:val="15"/>
          <w:szCs w:val="15"/>
          <w:color w:val="auto"/>
        </w:rPr>
        <w:t>In the fourth quarter of fiscal 2002, 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 relating to vacated facilities in various locations in Canada, Israel and the United States. The Company also recorded a provision of $1,584 for asset write-offs, principally for leasehold improvements in Canada, Israel and the United States that were abandoned.</w:t>
      </w:r>
    </w:p>
    <w:p>
      <w:pPr>
        <w:spacing w:after="0" w:line="85" w:lineRule="exact"/>
        <w:rPr>
          <w:sz w:val="20"/>
          <w:szCs w:val="20"/>
          <w:color w:val="auto"/>
        </w:rPr>
      </w:pPr>
    </w:p>
    <w:p>
      <w:pPr>
        <w:ind w:right="3079" w:firstLine="366"/>
        <w:spacing w:after="0" w:line="372" w:lineRule="auto"/>
        <w:rPr>
          <w:sz w:val="20"/>
          <w:szCs w:val="20"/>
          <w:color w:val="auto"/>
        </w:rPr>
      </w:pPr>
      <w:r>
        <w:rPr>
          <w:rFonts w:ascii="Courier New" w:cs="Courier New" w:eastAsia="Courier New" w:hAnsi="Courier New"/>
          <w:sz w:val="15"/>
          <w:szCs w:val="15"/>
          <w:color w:val="auto"/>
        </w:rPr>
        <w:t>The restructuring charge is comprised of the following as of December 31, 2004:</w:t>
      </w:r>
    </w:p>
    <w:p>
      <w:pPr>
        <w:spacing w:after="0" w:line="354" w:lineRule="exact"/>
        <w:rPr>
          <w:sz w:val="20"/>
          <w:szCs w:val="20"/>
          <w:color w:val="auto"/>
        </w:rPr>
      </w:pPr>
    </w:p>
    <w:tbl>
      <w:tblPr>
        <w:tblLayout w:type="fixed"/>
        <w:tblInd w:w="180" w:type="dxa"/>
        <w:tblCellMar>
          <w:top w:w="0" w:type="dxa"/>
          <w:left w:w="0" w:type="dxa"/>
          <w:bottom w:w="0" w:type="dxa"/>
          <w:right w:w="0" w:type="dxa"/>
        </w:tblCellMar>
      </w:tblPr>
      <w:tr>
        <w:trPr>
          <w:trHeight w:val="176"/>
        </w:trPr>
        <w:tc>
          <w:tcPr>
            <w:tcW w:w="3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FACILITIES</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Balance as of September 30, 2004</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$ 2,665</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Adjustments (1)</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(1,675)</w:t>
            </w:r>
          </w:p>
        </w:tc>
        <w:tc>
          <w:tcPr>
            <w:tcW w:w="0" w:type="dxa"/>
            <w:vAlign w:val="bottom"/>
          </w:tcPr>
          <w:p>
            <w:pPr>
              <w:spacing w:after="0"/>
              <w:rPr>
                <w:sz w:val="1"/>
                <w:szCs w:val="1"/>
                <w:color w:val="auto"/>
              </w:rPr>
            </w:pPr>
          </w:p>
        </w:tc>
      </w:tr>
      <w:tr>
        <w:trPr>
          <w:trHeight w:val="176"/>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as of December 31, 2004</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80" w:type="dxa"/>
            <w:vAlign w:val="bottom"/>
            <w:vMerge w:val="continue"/>
          </w:tcPr>
          <w:p>
            <w:pPr>
              <w:spacing w:after="0"/>
              <w:rPr>
                <w:sz w:val="15"/>
                <w:szCs w:val="15"/>
                <w:color w:val="auto"/>
              </w:rPr>
            </w:pP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914</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640" w:right="2899" w:hanging="556"/>
        <w:spacing w:after="0" w:line="279" w:lineRule="auto"/>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adjustments of $1,675 due to changes in previous estimates. These adjustments resulted in a decrease of restructuring liabilities related to facilities of $1,675, which was credited to "cost of service" and "selling, general and administrative" expenses in the three months ended December 31, 2004.</w:t>
      </w:r>
    </w:p>
    <w:p>
      <w:pPr>
        <w:spacing w:after="0" w:line="69" w:lineRule="exact"/>
        <w:rPr>
          <w:sz w:val="20"/>
          <w:szCs w:val="20"/>
          <w:color w:val="auto"/>
        </w:rPr>
      </w:pPr>
    </w:p>
    <w:p>
      <w:pPr>
        <w:ind w:right="2899" w:firstLine="366"/>
        <w:spacing w:after="0" w:line="273" w:lineRule="auto"/>
        <w:rPr>
          <w:sz w:val="20"/>
          <w:szCs w:val="20"/>
          <w:color w:val="auto"/>
        </w:rPr>
      </w:pPr>
      <w:r>
        <w:rPr>
          <w:rFonts w:ascii="Courier New" w:cs="Courier New" w:eastAsia="Courier New" w:hAnsi="Courier New"/>
          <w:sz w:val="15"/>
          <w:szCs w:val="15"/>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74" w:lineRule="exact"/>
        <w:rPr>
          <w:sz w:val="20"/>
          <w:szCs w:val="20"/>
          <w:color w:val="auto"/>
        </w:rPr>
      </w:pPr>
    </w:p>
    <w:p>
      <w:pPr>
        <w:ind w:right="2979" w:firstLine="366"/>
        <w:spacing w:after="0" w:line="289" w:lineRule="auto"/>
        <w:rPr>
          <w:sz w:val="20"/>
          <w:szCs w:val="20"/>
          <w:color w:val="auto"/>
        </w:rPr>
      </w:pPr>
      <w:r>
        <w:rPr>
          <w:rFonts w:ascii="Courier New" w:cs="Courier New" w:eastAsia="Courier New" w:hAnsi="Courier New"/>
          <w:sz w:val="15"/>
          <w:szCs w:val="15"/>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62" w:lineRule="exact"/>
        <w:rPr>
          <w:sz w:val="20"/>
          <w:szCs w:val="20"/>
          <w:color w:val="auto"/>
        </w:rPr>
      </w:pPr>
    </w:p>
    <w:p>
      <w:pPr>
        <w:ind w:right="2899" w:firstLine="366"/>
        <w:spacing w:after="0" w:line="279" w:lineRule="auto"/>
        <w:rPr>
          <w:sz w:val="20"/>
          <w:szCs w:val="20"/>
          <w:color w:val="auto"/>
        </w:rPr>
      </w:pPr>
      <w:r>
        <w:rPr>
          <w:rFonts w:ascii="Courier New" w:cs="Courier New" w:eastAsia="Courier New" w:hAnsi="Courier New"/>
          <w:sz w:val="15"/>
          <w:szCs w:val="15"/>
          <w:color w:val="auto"/>
        </w:rPr>
        <w:t>The restructuring charge associated with this action and recorded in the first quarter of fiscal 2002 was $13,311. Approximately $7,405 of the total charge was paid in cash as of December 31, 2004. The remainder of the charge, comprised of facility related costs, is expected to be paid out through August 2008.</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Details of $13,311 Restructuring charge:</w:t>
      </w:r>
    </w:p>
    <w:p>
      <w:pPr>
        <w:spacing w:after="0" w:line="182" w:lineRule="exact"/>
        <w:rPr>
          <w:sz w:val="20"/>
          <w:szCs w:val="20"/>
          <w:color w:val="auto"/>
        </w:rPr>
      </w:pPr>
    </w:p>
    <w:p>
      <w:pPr>
        <w:ind w:right="2899" w:firstLine="366"/>
        <w:spacing w:after="0" w:line="279" w:lineRule="auto"/>
        <w:rPr>
          <w:sz w:val="20"/>
          <w:szCs w:val="20"/>
          <w:color w:val="auto"/>
        </w:rPr>
      </w:pPr>
      <w:r>
        <w:rPr>
          <w:rFonts w:ascii="Courier New" w:cs="Courier New" w:eastAsia="Courier New" w:hAnsi="Courier New"/>
          <w:sz w:val="15"/>
          <w:szCs w:val="15"/>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w:t>
      </w:r>
    </w:p>
    <w:p>
      <w:pPr>
        <w:spacing w:after="0" w:line="24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59"/>
          </w:cols>
          <w:pgMar w:left="700" w:top="442" w:right="1440" w:bottom="1440" w:gutter="0" w:footer="0" w:header="0"/>
        </w:sectPr>
      </w:pPr>
    </w:p>
    <w:bookmarkStart w:id="15" w:name="page16"/>
    <w:bookmarkEnd w:id="15"/>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6" w:right="2979"/>
        <w:spacing w:after="0" w:line="289" w:lineRule="auto"/>
        <w:rPr>
          <w:sz w:val="20"/>
          <w:szCs w:val="20"/>
          <w:color w:val="auto"/>
        </w:rPr>
      </w:pPr>
      <w:r>
        <w:rPr>
          <w:rFonts w:ascii="Courier New" w:cs="Courier New" w:eastAsia="Courier New" w:hAnsi="Courier New"/>
          <w:sz w:val="15"/>
          <w:szCs w:val="15"/>
          <w:color w:val="auto"/>
        </w:rPr>
        <w:t>Company also recorded a provision of $2,530 related to employee separation costs in connection with the termination of employment of 166 employees. In the fourth quarter of fiscal 2004, the Company increased its accrual related to facilities by $4,220 due to changes in its previous estimates.</w:t>
      </w:r>
    </w:p>
    <w:p>
      <w:pPr>
        <w:spacing w:after="0" w:line="62" w:lineRule="exact"/>
        <w:rPr>
          <w:sz w:val="20"/>
          <w:szCs w:val="20"/>
          <w:color w:val="auto"/>
        </w:rPr>
      </w:pPr>
    </w:p>
    <w:p>
      <w:pPr>
        <w:jc w:val="both"/>
        <w:ind w:left="366" w:right="3079" w:firstLine="458"/>
        <w:spacing w:after="0" w:line="310" w:lineRule="auto"/>
        <w:rPr>
          <w:sz w:val="20"/>
          <w:szCs w:val="20"/>
          <w:color w:val="auto"/>
        </w:rPr>
      </w:pPr>
      <w:r>
        <w:rPr>
          <w:rFonts w:ascii="Courier New" w:cs="Courier New" w:eastAsia="Courier New" w:hAnsi="Courier New"/>
          <w:sz w:val="15"/>
          <w:szCs w:val="15"/>
          <w:color w:val="auto"/>
        </w:rPr>
        <w:t>The restructuring charge related to the consolidation of the Stamford and Champaign facilities is comprised of the following as of December 31, 2004:</w:t>
      </w:r>
    </w:p>
    <w:p>
      <w:pPr>
        <w:spacing w:after="0" w:line="399" w:lineRule="exact"/>
        <w:rPr>
          <w:sz w:val="20"/>
          <w:szCs w:val="20"/>
          <w:color w:val="auto"/>
        </w:rPr>
      </w:pPr>
    </w:p>
    <w:tbl>
      <w:tblPr>
        <w:tblLayout w:type="fixed"/>
        <w:tblInd w:w="646" w:type="dxa"/>
        <w:tblCellMar>
          <w:top w:w="0" w:type="dxa"/>
          <w:left w:w="0" w:type="dxa"/>
          <w:bottom w:w="0" w:type="dxa"/>
          <w:right w:w="0" w:type="dxa"/>
        </w:tblCellMar>
      </w:tblPr>
      <w:tr>
        <w:trPr>
          <w:trHeight w:val="176"/>
        </w:trPr>
        <w:tc>
          <w:tcPr>
            <w:tcW w:w="3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FACILITIES</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Balance as of September 30, 2004</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$5,818</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(297)</w:t>
            </w:r>
          </w:p>
        </w:tc>
        <w:tc>
          <w:tcPr>
            <w:tcW w:w="0" w:type="dxa"/>
            <w:vAlign w:val="bottom"/>
          </w:tcPr>
          <w:p>
            <w:pPr>
              <w:spacing w:after="0"/>
              <w:rPr>
                <w:sz w:val="1"/>
                <w:szCs w:val="1"/>
                <w:color w:val="auto"/>
              </w:rPr>
            </w:pPr>
          </w:p>
        </w:tc>
      </w:tr>
      <w:tr>
        <w:trPr>
          <w:trHeight w:val="176"/>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as of December 31, 2004</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80" w:type="dxa"/>
            <w:vAlign w:val="bottom"/>
            <w:vMerge w:val="continue"/>
          </w:tcPr>
          <w:p>
            <w:pPr>
              <w:spacing w:after="0"/>
              <w:rPr>
                <w:sz w:val="15"/>
                <w:szCs w:val="15"/>
                <w:color w:val="auto"/>
              </w:rPr>
            </w:pP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$5,521</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466" w:right="3079" w:firstLine="366"/>
        <w:spacing w:after="0" w:line="372" w:lineRule="auto"/>
        <w:rPr>
          <w:sz w:val="20"/>
          <w:szCs w:val="20"/>
          <w:color w:val="auto"/>
        </w:rPr>
      </w:pPr>
      <w:r>
        <w:rPr>
          <w:rFonts w:ascii="Courier New" w:cs="Courier New" w:eastAsia="Courier New" w:hAnsi="Courier New"/>
          <w:sz w:val="15"/>
          <w:szCs w:val="15"/>
          <w:color w:val="auto"/>
        </w:rPr>
        <w:t>The operating costs related to the Stamford site that were eliminated were approximately $8,500 in its last quarter of activity.</w:t>
      </w:r>
    </w:p>
    <w:p>
      <w:pPr>
        <w:spacing w:after="0" w:line="2" w:lineRule="exact"/>
        <w:rPr>
          <w:sz w:val="20"/>
          <w:szCs w:val="20"/>
          <w:color w:val="auto"/>
        </w:rPr>
      </w:pPr>
    </w:p>
    <w:p>
      <w:pPr>
        <w:ind w:left="466" w:hanging="466"/>
        <w:spacing w:after="0"/>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82" w:lineRule="exact"/>
        <w:rPr>
          <w:sz w:val="20"/>
          <w:szCs w:val="20"/>
          <w:color w:val="auto"/>
        </w:rPr>
      </w:pPr>
    </w:p>
    <w:p>
      <w:pPr>
        <w:ind w:left="466" w:right="2899" w:firstLine="366"/>
        <w:spacing w:after="0" w:line="282" w:lineRule="auto"/>
        <w:rPr>
          <w:sz w:val="20"/>
          <w:szCs w:val="20"/>
          <w:color w:val="auto"/>
        </w:rPr>
      </w:pPr>
      <w:r>
        <w:rPr>
          <w:rFonts w:ascii="Courier New" w:cs="Courier New" w:eastAsia="Courier New" w:hAnsi="Courier New"/>
          <w:sz w:val="15"/>
          <w:szCs w:val="15"/>
          <w:color w:val="auto"/>
        </w:rPr>
        <w:t>FASB Statement No. 132 (revised 2003), "Employers' Disclosures about Pensions and Other Postretirement Benefits", requires additional disclosures about assets, obligations, cash flows, and net periodic benefit cost of defined benefit pension plans and other post-retirement benefit plans.</w:t>
      </w:r>
    </w:p>
    <w:p>
      <w:pPr>
        <w:spacing w:after="0" w:line="258" w:lineRule="exact"/>
        <w:rPr>
          <w:sz w:val="20"/>
          <w:szCs w:val="20"/>
          <w:color w:val="auto"/>
        </w:rPr>
      </w:pPr>
    </w:p>
    <w:p>
      <w:pPr>
        <w:ind w:left="466" w:right="2899" w:firstLine="366"/>
        <w:spacing w:after="0" w:line="262" w:lineRule="auto"/>
        <w:rPr>
          <w:sz w:val="20"/>
          <w:szCs w:val="20"/>
          <w:color w:val="auto"/>
        </w:rPr>
      </w:pPr>
      <w:r>
        <w:rPr>
          <w:rFonts w:ascii="Courier New" w:cs="Courier New" w:eastAsia="Courier New" w:hAnsi="Courier New"/>
          <w:sz w:val="15"/>
          <w:szCs w:val="15"/>
          <w:color w:val="auto"/>
        </w:rPr>
        <w:t>The Company maintains non-contributory defined benefit plans that provide for pension, other retirement and post-employment benefits for some of its Canadian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pooled fund units established by Bell Canada Enterprises for the collective investment of registered pension plan assets.</w:t>
      </w:r>
    </w:p>
    <w:p>
      <w:pPr>
        <w:spacing w:after="0" w:line="83" w:lineRule="exact"/>
        <w:rPr>
          <w:sz w:val="20"/>
          <w:szCs w:val="20"/>
          <w:color w:val="auto"/>
        </w:rPr>
      </w:pPr>
    </w:p>
    <w:p>
      <w:pPr>
        <w:ind w:left="6" w:right="3179" w:firstLine="824"/>
        <w:spacing w:after="0" w:line="372" w:lineRule="auto"/>
        <w:rPr>
          <w:sz w:val="20"/>
          <w:szCs w:val="20"/>
          <w:color w:val="auto"/>
        </w:rPr>
      </w:pPr>
      <w:r>
        <w:rPr>
          <w:rFonts w:ascii="Courier New" w:cs="Courier New" w:eastAsia="Courier New" w:hAnsi="Courier New"/>
          <w:sz w:val="15"/>
          <w:szCs w:val="15"/>
          <w:color w:val="auto"/>
        </w:rPr>
        <w:t>The net periodic benefit cost under these plans for the three months ended December 31, 2004 and 2003, was as follows:</w:t>
      </w:r>
    </w:p>
    <w:p>
      <w:pPr>
        <w:spacing w:after="0" w:line="354" w:lineRule="exact"/>
        <w:rPr>
          <w:sz w:val="20"/>
          <w:szCs w:val="20"/>
          <w:color w:val="auto"/>
        </w:rPr>
      </w:pPr>
    </w:p>
    <w:tbl>
      <w:tblPr>
        <w:tblLayout w:type="fixed"/>
        <w:tblInd w:w="466" w:type="dxa"/>
        <w:tblCellMar>
          <w:top w:w="0" w:type="dxa"/>
          <w:left w:w="0" w:type="dxa"/>
          <w:bottom w:w="0" w:type="dxa"/>
          <w:right w:w="0" w:type="dxa"/>
        </w:tblCellMar>
      </w:tblPr>
      <w:tr>
        <w:trPr>
          <w:trHeight w:val="176"/>
        </w:trPr>
        <w:tc>
          <w:tcPr>
            <w:tcW w:w="2960" w:type="dxa"/>
            <w:vAlign w:val="bottom"/>
          </w:tcPr>
          <w:p>
            <w:pPr>
              <w:spacing w:after="0"/>
              <w:rPr>
                <w:sz w:val="15"/>
                <w:szCs w:val="15"/>
                <w:color w:val="auto"/>
              </w:rPr>
            </w:pPr>
          </w:p>
        </w:tc>
        <w:tc>
          <w:tcPr>
            <w:tcW w:w="33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THREE MONTHS ENDED</w:t>
            </w:r>
          </w:p>
        </w:tc>
        <w:tc>
          <w:tcPr>
            <w:tcW w:w="29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33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DECEMBER 31, 2004</w:t>
            </w:r>
          </w:p>
        </w:tc>
        <w:tc>
          <w:tcPr>
            <w:tcW w:w="29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DECEMBER 31, 2003</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2160" w:type="dxa"/>
            <w:vAlign w:val="bottom"/>
            <w:vMerge w:val="restart"/>
          </w:tcPr>
          <w:p>
            <w:pPr>
              <w:ind w:left="140"/>
              <w:spacing w:after="0"/>
              <w:rPr>
                <w:sz w:val="20"/>
                <w:szCs w:val="20"/>
                <w:color w:val="auto"/>
              </w:rPr>
            </w:pPr>
            <w:r>
              <w:rPr>
                <w:rFonts w:ascii="Courier New" w:cs="Courier New" w:eastAsia="Courier New" w:hAnsi="Courier New"/>
                <w:sz w:val="22"/>
                <w:szCs w:val="22"/>
                <w:color w:val="auto"/>
                <w:w w:val="72"/>
                <w:vertAlign w:val="subscript"/>
              </w:rPr>
              <w:t>PENSION</w:t>
            </w:r>
            <w:r>
              <w:rPr>
                <w:rFonts w:ascii="Courier New" w:cs="Courier New" w:eastAsia="Courier New" w:hAnsi="Courier New"/>
                <w:sz w:val="12"/>
                <w:szCs w:val="12"/>
                <w:color w:val="auto"/>
                <w:w w:val="72"/>
              </w:rPr>
              <w:t>------------------------------</w:t>
            </w:r>
          </w:p>
        </w:tc>
        <w:tc>
          <w:tcPr>
            <w:tcW w:w="114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OTHER</w:t>
            </w: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700" w:type="dxa"/>
            <w:vAlign w:val="bottom"/>
          </w:tcPr>
          <w:p>
            <w:pPr>
              <w:ind w:left="420"/>
              <w:spacing w:after="0"/>
              <w:rPr>
                <w:sz w:val="20"/>
                <w:szCs w:val="20"/>
                <w:color w:val="auto"/>
              </w:rPr>
            </w:pPr>
            <w:r>
              <w:rPr>
                <w:rFonts w:ascii="Courier New" w:cs="Courier New" w:eastAsia="Courier New" w:hAnsi="Courier New"/>
                <w:sz w:val="15"/>
                <w:szCs w:val="15"/>
                <w:color w:val="auto"/>
              </w:rPr>
              <w:t>PENSION</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BENEFITS</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BENEFITS</w:t>
            </w:r>
          </w:p>
        </w:tc>
        <w:tc>
          <w:tcPr>
            <w:tcW w:w="1700" w:type="dxa"/>
            <w:vAlign w:val="bottom"/>
          </w:tcPr>
          <w:p>
            <w:pPr>
              <w:ind w:left="420"/>
              <w:spacing w:after="0"/>
              <w:rPr>
                <w:sz w:val="20"/>
                <w:szCs w:val="20"/>
                <w:color w:val="auto"/>
              </w:rPr>
            </w:pPr>
            <w:r>
              <w:rPr>
                <w:rFonts w:ascii="Courier New" w:cs="Courier New" w:eastAsia="Courier New" w:hAnsi="Courier New"/>
                <w:sz w:val="15"/>
                <w:szCs w:val="15"/>
                <w:color w:val="auto"/>
              </w:rPr>
              <w:t>BENEFITS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BENEFITS</w:t>
            </w:r>
          </w:p>
        </w:tc>
        <w:tc>
          <w:tcPr>
            <w:tcW w:w="0" w:type="dxa"/>
            <w:vAlign w:val="bottom"/>
          </w:tcPr>
          <w:p>
            <w:pPr>
              <w:spacing w:after="0"/>
              <w:rPr>
                <w:sz w:val="1"/>
                <w:szCs w:val="1"/>
                <w:color w:val="auto"/>
              </w:rPr>
            </w:pPr>
          </w:p>
        </w:tc>
      </w:tr>
      <w:tr>
        <w:trPr>
          <w:trHeight w:val="257"/>
        </w:trPr>
        <w:tc>
          <w:tcPr>
            <w:tcW w:w="2960" w:type="dxa"/>
            <w:vAlign w:val="bottom"/>
          </w:tcPr>
          <w:p>
            <w:pPr>
              <w:spacing w:after="0"/>
              <w:rPr>
                <w:sz w:val="22"/>
                <w:szCs w:val="22"/>
                <w:color w:val="auto"/>
              </w:rPr>
            </w:pP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Service costs</w:t>
            </w:r>
          </w:p>
        </w:tc>
        <w:tc>
          <w:tcPr>
            <w:tcW w:w="21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$ 547</w:t>
            </w:r>
          </w:p>
        </w:tc>
        <w:tc>
          <w:tcPr>
            <w:tcW w:w="1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$ 66</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$ 495</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$ 90</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20"/>
                <w:szCs w:val="20"/>
                <w:color w:val="auto"/>
              </w:rPr>
            </w:pPr>
            <w:r>
              <w:rPr>
                <w:rFonts w:ascii="Courier New" w:cs="Courier New" w:eastAsia="Courier New" w:hAnsi="Courier New"/>
                <w:sz w:val="15"/>
                <w:szCs w:val="15"/>
                <w:color w:val="auto"/>
              </w:rPr>
              <w:t>Interest on benefit obligations</w:t>
            </w:r>
          </w:p>
        </w:tc>
        <w:tc>
          <w:tcPr>
            <w:tcW w:w="21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837</w:t>
            </w:r>
          </w:p>
        </w:tc>
        <w:tc>
          <w:tcPr>
            <w:tcW w:w="1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121</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647</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21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(686)</w:t>
            </w:r>
          </w:p>
        </w:tc>
        <w:tc>
          <w:tcPr>
            <w:tcW w:w="1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(553)</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21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21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$ 698</w:t>
            </w:r>
          </w:p>
        </w:tc>
        <w:tc>
          <w:tcPr>
            <w:tcW w:w="1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$187</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$ 589</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w:t>
            </w:r>
          </w:p>
        </w:tc>
        <w:tc>
          <w:tcPr>
            <w:tcW w:w="0" w:type="dxa"/>
            <w:vAlign w:val="bottom"/>
          </w:tcPr>
          <w:p>
            <w:pPr>
              <w:spacing w:after="0"/>
              <w:rPr>
                <w:sz w:val="1"/>
                <w:szCs w:val="1"/>
                <w:color w:val="auto"/>
              </w:rPr>
            </w:pPr>
          </w:p>
        </w:tc>
      </w:tr>
      <w:tr>
        <w:trPr>
          <w:trHeight w:val="257"/>
        </w:trPr>
        <w:tc>
          <w:tcPr>
            <w:tcW w:w="2960" w:type="dxa"/>
            <w:vAlign w:val="bottom"/>
          </w:tcPr>
          <w:p>
            <w:pPr>
              <w:spacing w:after="0"/>
              <w:rPr>
                <w:sz w:val="22"/>
                <w:szCs w:val="22"/>
                <w:color w:val="auto"/>
              </w:rPr>
            </w:pPr>
          </w:p>
        </w:tc>
        <w:tc>
          <w:tcPr>
            <w:tcW w:w="21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466" w:right="3079" w:firstLine="366"/>
        <w:spacing w:after="0" w:line="289" w:lineRule="auto"/>
        <w:rPr>
          <w:sz w:val="20"/>
          <w:szCs w:val="20"/>
          <w:color w:val="auto"/>
        </w:rPr>
      </w:pPr>
      <w:r>
        <w:rPr>
          <w:rFonts w:ascii="Courier New" w:cs="Courier New" w:eastAsia="Courier New" w:hAnsi="Courier New"/>
          <w:sz w:val="15"/>
          <w:szCs w:val="15"/>
          <w:color w:val="auto"/>
        </w:rPr>
        <w:t>In the three months ended December 31, 2004, the Company made no contributions. The Company expects that contributions for the fiscal year ending September 30, 2005 will approximate $3,285 to the pension plan and $89 for other benefits.</w:t>
      </w:r>
    </w:p>
    <w:p>
      <w:pPr>
        <w:spacing w:after="0" w:line="23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4" w:top="442" w:right="1440" w:bottom="1440" w:gutter="0" w:footer="0" w:header="0"/>
        </w:sectPr>
      </w:pPr>
    </w:p>
    <w:bookmarkStart w:id="16" w:name="page17"/>
    <w:bookmarkEnd w:id="16"/>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6" w:hanging="466"/>
        <w:spacing w:after="0"/>
        <w:tabs>
          <w:tab w:leader="none" w:pos="4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Legal Proceedings</w:t>
      </w:r>
    </w:p>
    <w:p>
      <w:pPr>
        <w:spacing w:after="0" w:line="182" w:lineRule="exact"/>
        <w:rPr>
          <w:sz w:val="20"/>
          <w:szCs w:val="20"/>
          <w:color w:val="auto"/>
        </w:rPr>
      </w:pPr>
    </w:p>
    <w:p>
      <w:pPr>
        <w:ind w:left="466" w:right="2899" w:firstLine="366"/>
        <w:spacing w:after="0" w:line="279" w:lineRule="auto"/>
        <w:rPr>
          <w:sz w:val="20"/>
          <w:szCs w:val="20"/>
          <w:color w:val="auto"/>
        </w:rPr>
      </w:pPr>
      <w:r>
        <w:rPr>
          <w:rFonts w:ascii="Courier New" w:cs="Courier New" w:eastAsia="Courier New" w:hAnsi="Courier New"/>
          <w:sz w:val="15"/>
          <w:szCs w:val="15"/>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69"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Securities and Exchange Commission Investigation</w:t>
      </w:r>
    </w:p>
    <w:p>
      <w:pPr>
        <w:spacing w:after="0" w:line="182" w:lineRule="exact"/>
        <w:rPr>
          <w:sz w:val="20"/>
          <w:szCs w:val="20"/>
          <w:color w:val="auto"/>
        </w:rPr>
      </w:pPr>
    </w:p>
    <w:p>
      <w:pPr>
        <w:ind w:left="466" w:right="2899" w:firstLine="366"/>
        <w:spacing w:after="0" w:line="262" w:lineRule="auto"/>
        <w:rPr>
          <w:sz w:val="20"/>
          <w:szCs w:val="20"/>
          <w:color w:val="auto"/>
        </w:rPr>
      </w:pPr>
      <w:r>
        <w:rPr>
          <w:rFonts w:ascii="Courier New" w:cs="Courier New" w:eastAsia="Courier New" w:hAnsi="Courier New"/>
          <w:sz w:val="15"/>
          <w:szCs w:val="15"/>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83"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Guarantor's Accounting and Disclosure Requirements for Guarantees</w:t>
      </w:r>
    </w:p>
    <w:p>
      <w:pPr>
        <w:spacing w:after="0" w:line="182" w:lineRule="exact"/>
        <w:rPr>
          <w:sz w:val="20"/>
          <w:szCs w:val="20"/>
          <w:color w:val="auto"/>
        </w:rPr>
      </w:pPr>
    </w:p>
    <w:p>
      <w:pPr>
        <w:ind w:left="366" w:right="3079" w:firstLine="458"/>
        <w:spacing w:after="0" w:line="262" w:lineRule="auto"/>
        <w:rPr>
          <w:sz w:val="20"/>
          <w:szCs w:val="20"/>
          <w:color w:val="auto"/>
        </w:rPr>
      </w:pPr>
      <w:r>
        <w:rPr>
          <w:rFonts w:ascii="Courier New" w:cs="Courier New" w:eastAsia="Courier New" w:hAnsi="Courier New"/>
          <w:sz w:val="15"/>
          <w:szCs w:val="15"/>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December 31, 2004 and September 30, 2004,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83" w:lineRule="exact"/>
        <w:rPr>
          <w:sz w:val="20"/>
          <w:szCs w:val="20"/>
          <w:color w:val="auto"/>
        </w:rPr>
      </w:pPr>
    </w:p>
    <w:p>
      <w:pPr>
        <w:ind w:left="366" w:right="2979" w:firstLine="458"/>
        <w:spacing w:after="0" w:line="269" w:lineRule="auto"/>
        <w:rPr>
          <w:sz w:val="20"/>
          <w:szCs w:val="20"/>
          <w:color w:val="auto"/>
        </w:rPr>
      </w:pPr>
      <w:r>
        <w:rPr>
          <w:rFonts w:ascii="Courier New" w:cs="Courier New" w:eastAsia="Courier New" w:hAnsi="Courier New"/>
          <w:sz w:val="15"/>
          <w:szCs w:val="15"/>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three months ended December 31, 2004 and 2003.</w:t>
      </w:r>
    </w:p>
    <w:p>
      <w:pPr>
        <w:spacing w:after="0" w:line="76" w:lineRule="exact"/>
        <w:rPr>
          <w:sz w:val="20"/>
          <w:szCs w:val="20"/>
          <w:color w:val="auto"/>
        </w:rPr>
      </w:pPr>
    </w:p>
    <w:p>
      <w:pPr>
        <w:ind w:left="466" w:right="3079" w:firstLine="366"/>
        <w:spacing w:after="0" w:line="273" w:lineRule="auto"/>
        <w:rPr>
          <w:sz w:val="20"/>
          <w:szCs w:val="20"/>
          <w:color w:val="auto"/>
        </w:rPr>
      </w:pPr>
      <w:r>
        <w:rPr>
          <w:rFonts w:ascii="Courier New" w:cs="Courier New" w:eastAsia="Courier New" w:hAnsi="Courier New"/>
          <w:sz w:val="15"/>
          <w:szCs w:val="15"/>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250"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5"/>
          </w:cols>
          <w:pgMar w:left="234" w:top="442" w:right="1440" w:bottom="1440" w:gutter="0" w:footer="0" w:header="0"/>
        </w:sectPr>
      </w:pPr>
    </w:p>
    <w:bookmarkStart w:id="17" w:name="page18"/>
    <w:bookmarkEnd w:id="17"/>
    <w:p>
      <w:pPr>
        <w:spacing w:after="0"/>
        <w:tabs>
          <w:tab w:leader="none" w:pos="800" w:val="left"/>
        </w:tabs>
        <w:rPr>
          <w:sz w:val="20"/>
          <w:szCs w:val="20"/>
          <w:color w:val="auto"/>
        </w:rPr>
      </w:pPr>
      <w:r>
        <w:rPr>
          <w:rFonts w:ascii="Courier New" w:cs="Courier New" w:eastAsia="Courier New" w:hAnsi="Courier New"/>
          <w:sz w:val="15"/>
          <w:szCs w:val="15"/>
          <w:color w:val="auto"/>
        </w:rPr>
        <w:t>ITEM 2.</w:t>
        <w:tab/>
        <w:t>OPERATING AND FINANCIAL REVIEW AND PROSPECTS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82" w:lineRule="exact"/>
        <w:rPr>
          <w:sz w:val="20"/>
          <w:szCs w:val="20"/>
          <w:color w:val="auto"/>
        </w:rPr>
      </w:pPr>
    </w:p>
    <w:p>
      <w:pPr>
        <w:ind w:right="2899" w:firstLine="458"/>
        <w:spacing w:after="0" w:line="257" w:lineRule="auto"/>
        <w:rPr>
          <w:sz w:val="20"/>
          <w:szCs w:val="20"/>
          <w:color w:val="auto"/>
        </w:rPr>
      </w:pPr>
      <w:r>
        <w:rPr>
          <w:rFonts w:ascii="Courier New" w:cs="Courier New" w:eastAsia="Courier New" w:hAnsi="Courier New"/>
          <w:sz w:val="15"/>
          <w:szCs w:val="15"/>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84" w:lineRule="exact"/>
        <w:rPr>
          <w:sz w:val="20"/>
          <w:szCs w:val="20"/>
          <w:color w:val="auto"/>
        </w:rPr>
      </w:pPr>
    </w:p>
    <w:p>
      <w:pPr>
        <w:ind w:right="2979" w:firstLine="458"/>
        <w:spacing w:after="0" w:line="259"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under the caption "Risk Factors" in our Annual Report on Form 20-F for fiscal 2004 that we have filed with the United States Securities and Exchange Commission ("SEC").</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82" w:lineRule="exact"/>
        <w:rPr>
          <w:sz w:val="20"/>
          <w:szCs w:val="20"/>
          <w:color w:val="auto"/>
        </w:rPr>
      </w:pPr>
    </w:p>
    <w:p>
      <w:pPr>
        <w:ind w:right="2899" w:firstLine="458"/>
        <w:spacing w:after="0" w:line="372"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2" w:lineRule="exact"/>
        <w:rPr>
          <w:sz w:val="20"/>
          <w:szCs w:val="20"/>
          <w:color w:val="auto"/>
        </w:rPr>
      </w:pPr>
    </w:p>
    <w:p>
      <w:pPr>
        <w:ind w:left="920" w:hanging="468"/>
        <w:spacing w:after="0"/>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that affect our business,</w:t>
      </w:r>
    </w:p>
    <w:p>
      <w:pPr>
        <w:spacing w:after="0" w:line="182" w:lineRule="exact"/>
        <w:rPr>
          <w:rFonts w:ascii="Courier New" w:cs="Courier New" w:eastAsia="Courier New" w:hAnsi="Courier New"/>
          <w:sz w:val="15"/>
          <w:szCs w:val="15"/>
          <w:color w:val="auto"/>
        </w:rPr>
      </w:pPr>
    </w:p>
    <w:p>
      <w:pPr>
        <w:ind w:left="920" w:right="2899" w:hanging="468"/>
        <w:spacing w:after="0" w:line="372" w:lineRule="auto"/>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revenue and costs for the three months ended December 31, 2004 and 2003,</w:t>
      </w:r>
    </w:p>
    <w:p>
      <w:pPr>
        <w:spacing w:after="0" w:line="1" w:lineRule="exact"/>
        <w:rPr>
          <w:rFonts w:ascii="Courier New" w:cs="Courier New" w:eastAsia="Courier New" w:hAnsi="Courier New"/>
          <w:sz w:val="15"/>
          <w:szCs w:val="15"/>
          <w:color w:val="auto"/>
        </w:rPr>
      </w:pPr>
    </w:p>
    <w:p>
      <w:pPr>
        <w:ind w:left="920" w:right="3079" w:hanging="468"/>
        <w:spacing w:after="0" w:line="372" w:lineRule="auto"/>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period to period,</w:t>
      </w:r>
    </w:p>
    <w:p>
      <w:pPr>
        <w:spacing w:after="0" w:line="1"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82" w:lineRule="exact"/>
        <w:rPr>
          <w:rFonts w:ascii="Courier New" w:cs="Courier New" w:eastAsia="Courier New" w:hAnsi="Courier New"/>
          <w:sz w:val="15"/>
          <w:szCs w:val="15"/>
          <w:color w:val="auto"/>
        </w:rPr>
      </w:pPr>
    </w:p>
    <w:p>
      <w:pPr>
        <w:ind w:left="920" w:right="2979" w:hanging="468"/>
        <w:spacing w:after="0" w:line="372" w:lineRule="auto"/>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capital expenditures for the three months ended December 31, 2004 and 2003, and</w:t>
      </w:r>
    </w:p>
    <w:p>
      <w:pPr>
        <w:spacing w:after="0" w:line="1" w:lineRule="exact"/>
        <w:rPr>
          <w:rFonts w:ascii="Courier New" w:cs="Courier New" w:eastAsia="Courier New" w:hAnsi="Courier New"/>
          <w:sz w:val="15"/>
          <w:szCs w:val="15"/>
          <w:color w:val="auto"/>
        </w:rPr>
      </w:pPr>
    </w:p>
    <w:p>
      <w:pPr>
        <w:ind w:left="920" w:right="3259" w:hanging="468"/>
        <w:spacing w:after="0" w:line="372" w:lineRule="auto"/>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2" w:lineRule="exact"/>
        <w:rPr>
          <w:sz w:val="20"/>
          <w:szCs w:val="20"/>
          <w:color w:val="auto"/>
        </w:rPr>
      </w:pPr>
    </w:p>
    <w:p>
      <w:pPr>
        <w:ind w:right="3179" w:firstLine="458"/>
        <w:spacing w:after="0" w:line="289" w:lineRule="auto"/>
        <w:rPr>
          <w:sz w:val="20"/>
          <w:szCs w:val="20"/>
          <w:color w:val="auto"/>
        </w:rPr>
      </w:pPr>
      <w:r>
        <w:rPr>
          <w:rFonts w:ascii="Courier New" w:cs="Courier New" w:eastAsia="Courier New" w:hAnsi="Courier New"/>
          <w:sz w:val="15"/>
          <w:szCs w:val="15"/>
          <w:color w:val="auto"/>
        </w:rPr>
        <w:t>In this section, we also analyze and explain the changes in the specific line items in our consolidated statements of income between the three-month periods ended December 31, 2004 and 2003. You should read this section in conjunction with our consolidated financial statements.</w:t>
      </w:r>
    </w:p>
    <w:p>
      <w:pPr>
        <w:spacing w:after="0" w:line="23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4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82" w:lineRule="exact"/>
        <w:rPr>
          <w:sz w:val="20"/>
          <w:szCs w:val="20"/>
          <w:color w:val="auto"/>
        </w:rPr>
      </w:pPr>
    </w:p>
    <w:p>
      <w:pPr>
        <w:ind w:right="2899" w:firstLine="458"/>
        <w:spacing w:after="0" w:line="261" w:lineRule="auto"/>
        <w:rPr>
          <w:sz w:val="20"/>
          <w:szCs w:val="20"/>
          <w:color w:val="auto"/>
        </w:rPr>
      </w:pPr>
      <w:r>
        <w:rPr>
          <w:rFonts w:ascii="Courier New" w:cs="Courier New" w:eastAsia="Courier New" w:hAnsi="Courier New"/>
          <w:sz w:val="15"/>
          <w:szCs w:val="15"/>
          <w:color w:val="auto"/>
        </w:rPr>
        <w:t>Our market focus is primarily the communications industry, and we are a leading provider of software products and services to that industry. Our products and services help our customers move toward an integrated approach to customer management, which we refer to as "Integrated Customer Management", or "ICM". Our portfolio of product offerings include billing and customer relationship management ("CRM"), order management, mediation, call rating, invoice calculation and preparation, bill formatting, collections, provisioning, content and partner relationship management, support solutions and customer interaction products, which we refer to, collectively, as "Integrated Customer Management Enabling Systems", or "ICM Enabling Systems" (previously known as CC&amp;B Systems).</w:t>
      </w:r>
    </w:p>
    <w:p>
      <w:pPr>
        <w:spacing w:after="0" w:line="266" w:lineRule="exact"/>
        <w:rPr>
          <w:sz w:val="20"/>
          <w:szCs w:val="20"/>
          <w:color w:val="auto"/>
        </w:rPr>
      </w:pPr>
    </w:p>
    <w:p>
      <w:pPr>
        <w:ind w:right="2979" w:firstLine="458"/>
        <w:spacing w:after="0" w:line="289" w:lineRule="auto"/>
        <w:rPr>
          <w:sz w:val="20"/>
          <w:szCs w:val="20"/>
          <w:color w:val="auto"/>
        </w:rPr>
      </w:pPr>
      <w:r>
        <w:rPr>
          <w:rFonts w:ascii="Courier New" w:cs="Courier New" w:eastAsia="Courier New" w:hAnsi="Courier New"/>
          <w:sz w:val="15"/>
          <w:szCs w:val="15"/>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62" w:lineRule="exact"/>
        <w:rPr>
          <w:sz w:val="20"/>
          <w:szCs w:val="20"/>
          <w:color w:val="auto"/>
        </w:rPr>
      </w:pPr>
    </w:p>
    <w:p>
      <w:pPr>
        <w:ind w:right="2899" w:firstLine="458"/>
        <w:spacing w:after="0" w:line="269" w:lineRule="auto"/>
        <w:rPr>
          <w:sz w:val="20"/>
          <w:szCs w:val="20"/>
          <w:color w:val="auto"/>
        </w:rPr>
      </w:pPr>
      <w:r>
        <w:rPr>
          <w:rFonts w:ascii="Courier New" w:cs="Courier New" w:eastAsia="Courier New" w:hAnsi="Courier New"/>
          <w:sz w:val="15"/>
          <w:szCs w:val="15"/>
          <w:color w:val="auto"/>
        </w:rPr>
        <w:t>Our ICM Enabling Systems are designed to meet the mission-critical needs of leading communications service providers throughout the entire customer lifecycle. We support a wide range of communications services, including wireline, wireless, cable, voice, video, data, broadband, content, electronic and mobile commerce and Internet Protocol ("IP") based services. We also support companies that offer multiple service packages, commonly referred to as bundled or convergent service packages.</w:t>
      </w:r>
    </w:p>
    <w:p>
      <w:pPr>
        <w:spacing w:after="0" w:line="76" w:lineRule="exact"/>
        <w:rPr>
          <w:sz w:val="20"/>
          <w:szCs w:val="20"/>
          <w:color w:val="auto"/>
        </w:rPr>
      </w:pPr>
    </w:p>
    <w:p>
      <w:pPr>
        <w:ind w:right="2899" w:firstLine="458"/>
        <w:spacing w:after="0" w:line="262" w:lineRule="auto"/>
        <w:rPr>
          <w:sz w:val="20"/>
          <w:szCs w:val="20"/>
          <w:color w:val="auto"/>
        </w:rPr>
      </w:pPr>
      <w:r>
        <w:rPr>
          <w:rFonts w:ascii="Courier New" w:cs="Courier New" w:eastAsia="Courier New" w:hAnsi="Courier New"/>
          <w:sz w:val="15"/>
          <w:szCs w:val="15"/>
          <w:color w:val="auto"/>
        </w:rPr>
        <w:t>Due to the complexity of our customers' projects and the expertise required for system support, we also provide information technology, or "IT", services, including extensive system implementation, , integration, modification, ongoing support, enhancement and maintenance services. In addition, we offer Managed Services, which include services such as system modernization and consolidation, the operation of data centers, ongoing support, maintenance services, system modification, the provision of billing services and communications facility management services, in all cases on either or a combination of a fixed or unit charge basis to our customers. We are also expanding to system integration and providing IT consulting services, such as profit enhancement.</w:t>
      </w:r>
    </w:p>
    <w:p>
      <w:pPr>
        <w:spacing w:after="0" w:line="83" w:lineRule="exact"/>
        <w:rPr>
          <w:sz w:val="20"/>
          <w:szCs w:val="20"/>
          <w:color w:val="auto"/>
        </w:rPr>
      </w:pPr>
    </w:p>
    <w:p>
      <w:pPr>
        <w:ind w:right="3179" w:firstLine="458"/>
        <w:spacing w:after="0" w:line="279" w:lineRule="auto"/>
        <w:rPr>
          <w:sz w:val="20"/>
          <w:szCs w:val="20"/>
          <w:color w:val="auto"/>
        </w:rPr>
      </w:pPr>
      <w:r>
        <w:rPr>
          <w:rFonts w:ascii="Courier New" w:cs="Courier New" w:eastAsia="Courier New" w:hAnsi="Courier New"/>
          <w:sz w:val="15"/>
          <w:szCs w:val="15"/>
          <w:color w:val="auto"/>
        </w:rPr>
        <w:t>Our business is conducted on a global basis. We maintain six development facilities located in Canada, Cyprus, India, Ireland, Israel and the United States. We expect our new development center in India to grow and support the overall activity of our business worldwide at comparatively lower operating costs.</w:t>
      </w:r>
    </w:p>
    <w:p>
      <w:pPr>
        <w:spacing w:after="0" w:line="69" w:lineRule="exact"/>
        <w:rPr>
          <w:sz w:val="20"/>
          <w:szCs w:val="20"/>
          <w:color w:val="auto"/>
        </w:rPr>
      </w:pPr>
    </w:p>
    <w:p>
      <w:pPr>
        <w:ind w:right="3079" w:firstLine="458"/>
        <w:spacing w:after="0" w:line="310" w:lineRule="auto"/>
        <w:rPr>
          <w:sz w:val="20"/>
          <w:szCs w:val="20"/>
          <w:color w:val="auto"/>
        </w:rPr>
      </w:pPr>
      <w:r>
        <w:rPr>
          <w:rFonts w:ascii="Courier New" w:cs="Courier New" w:eastAsia="Courier New" w:hAnsi="Courier New"/>
          <w:sz w:val="15"/>
          <w:szCs w:val="15"/>
          <w:color w:val="auto"/>
        </w:rPr>
        <w:t>As part of our strategy, we may pursue acquisitions and other initiatives in order to offer new products or services or otherwise enhance our market position or strategic strengths.</w:t>
      </w:r>
    </w:p>
    <w:p>
      <w:pPr>
        <w:spacing w:after="0" w:line="4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82" w:lineRule="exact"/>
        <w:rPr>
          <w:sz w:val="20"/>
          <w:szCs w:val="20"/>
          <w:color w:val="auto"/>
        </w:rPr>
      </w:pPr>
    </w:p>
    <w:p>
      <w:pPr>
        <w:ind w:left="920" w:right="3439" w:hanging="468"/>
        <w:spacing w:after="0" w:line="310" w:lineRule="auto"/>
        <w:tabs>
          <w:tab w:leader="none" w:pos="9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sales of licenses to use our products and related services, including modification, implementation and integration services,</w:t>
      </w:r>
    </w:p>
    <w:p>
      <w:pPr>
        <w:spacing w:after="0" w:line="46" w:lineRule="exact"/>
        <w:rPr>
          <w:rFonts w:ascii="Courier New" w:cs="Courier New" w:eastAsia="Courier New" w:hAnsi="Courier New"/>
          <w:sz w:val="15"/>
          <w:szCs w:val="15"/>
          <w:color w:val="auto"/>
        </w:rPr>
      </w:pPr>
    </w:p>
    <w:p>
      <w:pPr>
        <w:ind w:left="920" w:right="3719" w:hanging="468"/>
        <w:spacing w:after="0" w:line="372" w:lineRule="auto"/>
        <w:tabs>
          <w:tab w:leader="none" w:pos="9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Managed Services and other related services for our solutions, and</w:t>
      </w:r>
    </w:p>
    <w:p>
      <w:pPr>
        <w:spacing w:after="0" w:line="1" w:lineRule="exact"/>
        <w:rPr>
          <w:rFonts w:ascii="Courier New" w:cs="Courier New" w:eastAsia="Courier New" w:hAnsi="Courier New"/>
          <w:sz w:val="15"/>
          <w:szCs w:val="15"/>
          <w:color w:val="auto"/>
        </w:rPr>
      </w:pPr>
    </w:p>
    <w:p>
      <w:pPr>
        <w:ind w:left="920" w:right="2899" w:hanging="468"/>
        <w:spacing w:after="0" w:line="310" w:lineRule="auto"/>
        <w:tabs>
          <w:tab w:leader="none" w:pos="9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and maintenance provided to our customers, and from incremental license fees resulting from increases in a customer's business volume.</w:t>
      </w:r>
    </w:p>
    <w:p>
      <w:pPr>
        <w:spacing w:after="0" w:line="46" w:lineRule="exact"/>
        <w:rPr>
          <w:sz w:val="20"/>
          <w:szCs w:val="20"/>
          <w:color w:val="auto"/>
        </w:rPr>
      </w:pPr>
    </w:p>
    <w:p>
      <w:pPr>
        <w:ind w:right="2979" w:firstLine="550"/>
        <w:spacing w:after="0" w:line="264" w:lineRule="auto"/>
        <w:rPr>
          <w:sz w:val="20"/>
          <w:szCs w:val="20"/>
          <w:color w:val="auto"/>
        </w:rPr>
      </w:pPr>
      <w:r>
        <w:rPr>
          <w:rFonts w:ascii="Courier New" w:cs="Courier New" w:eastAsia="Courier New" w:hAnsi="Courier New"/>
          <w:sz w:val="15"/>
          <w:szCs w:val="15"/>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w:t>
      </w:r>
    </w:p>
    <w:p>
      <w:pPr>
        <w:spacing w:after="0" w:line="25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42" w:right="1440" w:bottom="1440" w:gutter="0" w:footer="0" w:header="0"/>
        </w:sectPr>
      </w:pPr>
    </w:p>
    <w:bookmarkStart w:id="19" w:name="page20"/>
    <w:bookmarkEnd w:id="19"/>
    <w:p>
      <w:pPr>
        <w:ind w:right="2899"/>
        <w:spacing w:after="0" w:line="255" w:lineRule="auto"/>
        <w:rPr>
          <w:sz w:val="20"/>
          <w:szCs w:val="20"/>
          <w:color w:val="auto"/>
        </w:rPr>
      </w:pPr>
      <w:r>
        <w:rPr>
          <w:rFonts w:ascii="Courier New" w:cs="Courier New" w:eastAsia="Courier New" w:hAnsi="Courier New"/>
          <w:sz w:val="15"/>
          <w:szCs w:val="15"/>
          <w:color w:val="auto"/>
        </w:rPr>
        <w:t>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either ratably over the service period or as services are performed.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265" w:lineRule="exact"/>
        <w:rPr>
          <w:sz w:val="20"/>
          <w:szCs w:val="20"/>
          <w:color w:val="auto"/>
        </w:rPr>
      </w:pPr>
    </w:p>
    <w:p>
      <w:pPr>
        <w:ind w:right="2899" w:firstLine="458"/>
        <w:spacing w:after="0" w:line="262" w:lineRule="auto"/>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As a result of the slowdown in the communications industry during fiscal years 2003 and 2002, the market value, financial results and prospects, and capital spending levels of communications companies declined or degraded. During fiscal 2004, several communications service providers demonstrated a greater readiness to commit to new projects, and in the first quarter of fiscal 2005, we observed improvement in the markets that we serve. Communications service providers were increasingly willing to commit to new projects, both in wireline and wireless. As a result, we expect continued growth in the coming quarters.</w:t>
      </w:r>
    </w:p>
    <w:p>
      <w:pPr>
        <w:spacing w:after="0" w:line="83" w:lineRule="exact"/>
        <w:rPr>
          <w:sz w:val="20"/>
          <w:szCs w:val="20"/>
          <w:color w:val="auto"/>
        </w:rPr>
      </w:pPr>
    </w:p>
    <w:p>
      <w:pPr>
        <w:ind w:right="2979" w:firstLine="550"/>
        <w:spacing w:after="0" w:line="289" w:lineRule="auto"/>
        <w:rPr>
          <w:sz w:val="20"/>
          <w:szCs w:val="20"/>
          <w:color w:val="auto"/>
        </w:rPr>
      </w:pPr>
      <w:r>
        <w:rPr>
          <w:rFonts w:ascii="Courier New" w:cs="Courier New" w:eastAsia="Courier New" w:hAnsi="Courier New"/>
          <w:sz w:val="15"/>
          <w:szCs w:val="15"/>
          <w:color w:val="auto"/>
        </w:rPr>
        <w:t>We believe that we are a leading global provider of ICM Enabling Systems. We provide a broad set of products, with proven functionality and scalability, accompanied by a comprehensive range of business consulting, system implementation and integration services.</w:t>
      </w:r>
    </w:p>
    <w:p>
      <w:pPr>
        <w:spacing w:after="0" w:line="62" w:lineRule="exact"/>
        <w:rPr>
          <w:sz w:val="20"/>
          <w:szCs w:val="20"/>
          <w:color w:val="auto"/>
        </w:rPr>
      </w:pPr>
    </w:p>
    <w:p>
      <w:pPr>
        <w:ind w:right="3179" w:firstLine="550"/>
        <w:spacing w:after="0" w:line="372" w:lineRule="auto"/>
        <w:rPr>
          <w:sz w:val="20"/>
          <w:szCs w:val="20"/>
          <w:color w:val="auto"/>
        </w:rPr>
      </w:pPr>
      <w:r>
        <w:rPr>
          <w:rFonts w:ascii="Courier New" w:cs="Courier New" w:eastAsia="Courier New" w:hAnsi="Courier New"/>
          <w:sz w:val="15"/>
          <w:szCs w:val="15"/>
          <w:color w:val="auto"/>
        </w:rPr>
        <w:t>We believe that demand for our ICM Enabling Systems is driven by, among other key factors:</w:t>
      </w:r>
    </w:p>
    <w:p>
      <w:pPr>
        <w:spacing w:after="0" w:line="2" w:lineRule="exact"/>
        <w:rPr>
          <w:sz w:val="20"/>
          <w:szCs w:val="20"/>
          <w:color w:val="auto"/>
        </w:rPr>
      </w:pPr>
    </w:p>
    <w:p>
      <w:pPr>
        <w:ind w:left="1100" w:hanging="556"/>
        <w:spacing w:after="0"/>
        <w:tabs>
          <w:tab w:leader="none" w:pos="11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use of communications services,</w:t>
      </w:r>
    </w:p>
    <w:p>
      <w:pPr>
        <w:spacing w:after="0" w:line="182" w:lineRule="exact"/>
        <w:rPr>
          <w:rFonts w:ascii="Courier New" w:cs="Courier New" w:eastAsia="Courier New" w:hAnsi="Courier New"/>
          <w:sz w:val="15"/>
          <w:szCs w:val="15"/>
          <w:color w:val="auto"/>
        </w:rPr>
      </w:pPr>
    </w:p>
    <w:p>
      <w:pPr>
        <w:ind w:left="1100" w:right="2979" w:hanging="556"/>
        <w:spacing w:after="0" w:line="310" w:lineRule="auto"/>
        <w:tabs>
          <w:tab w:leader="none" w:pos="11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emergence of new communications products and services, especially IP, video, broadband, data and content services and IPTV (Internet Protocol Television),</w:t>
      </w:r>
    </w:p>
    <w:p>
      <w:pPr>
        <w:spacing w:after="0" w:line="46" w:lineRule="exact"/>
        <w:rPr>
          <w:rFonts w:ascii="Courier New" w:cs="Courier New" w:eastAsia="Courier New" w:hAnsi="Courier New"/>
          <w:sz w:val="15"/>
          <w:szCs w:val="15"/>
          <w:color w:val="auto"/>
        </w:rPr>
      </w:pPr>
    </w:p>
    <w:p>
      <w:pPr>
        <w:ind w:left="1100" w:right="2899" w:hanging="556"/>
        <w:spacing w:after="0" w:line="310" w:lineRule="auto"/>
        <w:tabs>
          <w:tab w:leader="none" w:pos="11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such as the introduction of wireless Internet services via GPRS (General Packet Radio Services) and UMTS (Universal Mobile Telecommunications System) technology,</w:t>
      </w:r>
    </w:p>
    <w:p>
      <w:pPr>
        <w:spacing w:after="0" w:line="46"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ongoing consolidation within the communications industry,</w:t>
      </w:r>
    </w:p>
    <w:p>
      <w:pPr>
        <w:spacing w:after="0" w:line="182" w:lineRule="exact"/>
        <w:rPr>
          <w:rFonts w:ascii="Courier New" w:cs="Courier New" w:eastAsia="Courier New" w:hAnsi="Courier New"/>
          <w:sz w:val="15"/>
          <w:szCs w:val="15"/>
          <w:color w:val="auto"/>
        </w:rPr>
      </w:pPr>
    </w:p>
    <w:p>
      <w:pPr>
        <w:ind w:left="1100" w:right="3259" w:hanging="556"/>
        <w:spacing w:after="0" w:line="372" w:lineRule="auto"/>
        <w:tabs>
          <w:tab w:leader="none" w:pos="11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needs of communications service providers to reduce costs and retain high value customers, and</w:t>
      </w:r>
    </w:p>
    <w:p>
      <w:pPr>
        <w:spacing w:after="0" w:line="1"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w:t>
      </w:r>
    </w:p>
    <w:p>
      <w:pPr>
        <w:spacing w:after="0" w:line="182" w:lineRule="exact"/>
        <w:rPr>
          <w:sz w:val="20"/>
          <w:szCs w:val="20"/>
          <w:color w:val="auto"/>
        </w:rPr>
      </w:pPr>
    </w:p>
    <w:p>
      <w:pPr>
        <w:ind w:right="2899" w:firstLine="550"/>
        <w:spacing w:after="0" w:line="279" w:lineRule="auto"/>
        <w:rPr>
          <w:sz w:val="20"/>
          <w:szCs w:val="20"/>
          <w:color w:val="auto"/>
        </w:rPr>
      </w:pPr>
      <w:r>
        <w:rPr>
          <w:rFonts w:ascii="Courier New" w:cs="Courier New" w:eastAsia="Courier New" w:hAnsi="Courier New"/>
          <w:sz w:val="15"/>
          <w:szCs w:val="15"/>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ICM Enabling Systems to improve productivity.</w:t>
      </w:r>
    </w:p>
    <w:p>
      <w:pPr>
        <w:spacing w:after="0" w:line="2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42" w:right="1440" w:bottom="1440" w:gutter="0" w:footer="0" w:header="0"/>
        </w:sectPr>
      </w:pPr>
    </w:p>
    <w:bookmarkStart w:id="20" w:name="page21"/>
    <w:bookmarkEnd w:id="20"/>
    <w:p>
      <w:pPr>
        <w:ind w:right="2899" w:firstLine="550"/>
        <w:spacing w:after="0" w:line="258" w:lineRule="auto"/>
        <w:rPr>
          <w:sz w:val="20"/>
          <w:szCs w:val="20"/>
          <w:color w:val="auto"/>
        </w:rPr>
      </w:pPr>
      <w:r>
        <w:rPr>
          <w:rFonts w:ascii="Courier New" w:cs="Courier New" w:eastAsia="Courier New" w:hAnsi="Courier New"/>
          <w:sz w:val="15"/>
          <w:szCs w:val="15"/>
          <w:color w:val="auto"/>
        </w:rPr>
        <w:t>Revenue from Managed Services arrangements is included in both license and service revenue from the sale of ICM Enabling Systems and Directory Systems.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each of the three-month periods ended December 31, 2004 and 2003 was approximately 40% of total revenue.</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ind w:right="3079" w:firstLine="550"/>
        <w:spacing w:after="0" w:line="310" w:lineRule="auto"/>
        <w:rPr>
          <w:sz w:val="20"/>
          <w:szCs w:val="20"/>
          <w:color w:val="auto"/>
        </w:rPr>
      </w:pPr>
      <w:r>
        <w:rPr>
          <w:rFonts w:ascii="Courier New" w:cs="Courier New" w:eastAsia="Courier New" w:hAnsi="Courier New"/>
          <w:sz w:val="15"/>
          <w:szCs w:val="15"/>
          <w:color w:val="auto"/>
        </w:rPr>
        <w:t>The following table sets forth for the three months ended December 31, 2004 and 2003 certain items in our consolidated statements of income reflected as a percentage of total revenue: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2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2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2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4.3%</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76"/>
        </w:trPr>
        <w:tc>
          <w:tcPr>
            <w:tcW w:w="3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License ....................</w:t>
            </w:r>
          </w:p>
        </w:tc>
        <w:tc>
          <w:tcPr>
            <w:tcW w:w="14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Service ....................</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95.7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96.1</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57"/>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160" w:type="dxa"/>
            <w:vAlign w:val="bottom"/>
            <w:vMerge w:val="continue"/>
          </w:tcPr>
          <w:p>
            <w:pPr>
              <w:spacing w:after="0"/>
              <w:rPr>
                <w:sz w:val="8"/>
                <w:szCs w:val="8"/>
                <w:color w:val="auto"/>
              </w:rPr>
            </w:pPr>
          </w:p>
        </w:tc>
        <w:tc>
          <w:tcPr>
            <w:tcW w:w="14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0.3</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6"/>
        </w:trPr>
        <w:tc>
          <w:tcPr>
            <w:tcW w:w="3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Cost of license ............</w:t>
            </w:r>
          </w:p>
        </w:tc>
        <w:tc>
          <w:tcPr>
            <w:tcW w:w="14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Cost of service ............</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63.5</w:t>
            </w:r>
          </w:p>
        </w:tc>
        <w:tc>
          <w:tcPr>
            <w:tcW w:w="0" w:type="dxa"/>
            <w:vAlign w:val="bottom"/>
          </w:tcPr>
          <w:p>
            <w:pPr>
              <w:spacing w:after="0"/>
              <w:rPr>
                <w:sz w:val="1"/>
                <w:szCs w:val="1"/>
                <w:color w:val="auto"/>
              </w:rPr>
            </w:pPr>
          </w:p>
        </w:tc>
      </w:tr>
      <w:tr>
        <w:trPr>
          <w:trHeight w:val="176"/>
        </w:trPr>
        <w:tc>
          <w:tcPr>
            <w:tcW w:w="3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Research and development ...</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6"/>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4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11.7</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76"/>
        </w:trPr>
        <w:tc>
          <w:tcPr>
            <w:tcW w:w="3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administrative ...........</w:t>
            </w:r>
          </w:p>
        </w:tc>
        <w:tc>
          <w:tcPr>
            <w:tcW w:w="14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purchased</w:t>
            </w:r>
          </w:p>
        </w:tc>
        <w:tc>
          <w:tcPr>
            <w:tcW w:w="14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0.8</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6"/>
        </w:trPr>
        <w:tc>
          <w:tcPr>
            <w:tcW w:w="3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intangible assets ........</w:t>
            </w:r>
          </w:p>
        </w:tc>
        <w:tc>
          <w:tcPr>
            <w:tcW w:w="14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84.4</w:t>
            </w:r>
          </w:p>
        </w:tc>
        <w:tc>
          <w:tcPr>
            <w:tcW w:w="0" w:type="dxa"/>
            <w:vAlign w:val="bottom"/>
          </w:tcPr>
          <w:p>
            <w:pPr>
              <w:spacing w:after="0"/>
              <w:rPr>
                <w:sz w:val="1"/>
                <w:szCs w:val="1"/>
                <w:color w:val="auto"/>
              </w:rPr>
            </w:pPr>
          </w:p>
        </w:tc>
      </w:tr>
      <w:tr>
        <w:trPr>
          <w:trHeight w:val="176"/>
        </w:trPr>
        <w:tc>
          <w:tcPr>
            <w:tcW w:w="31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Operating income .............</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w:t>
            </w:r>
          </w:p>
        </w:tc>
        <w:tc>
          <w:tcPr>
            <w:tcW w:w="0" w:type="dxa"/>
            <w:vAlign w:val="bottom"/>
          </w:tcPr>
          <w:p>
            <w:pPr>
              <w:spacing w:after="0"/>
              <w:rPr>
                <w:sz w:val="1"/>
                <w:szCs w:val="1"/>
                <w:color w:val="auto"/>
              </w:rPr>
            </w:pPr>
          </w:p>
        </w:tc>
      </w:tr>
      <w:tr>
        <w:trPr>
          <w:trHeight w:val="176"/>
        </w:trPr>
        <w:tc>
          <w:tcPr>
            <w:tcW w:w="3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Interest income and other, net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6"/>
        </w:trPr>
        <w:tc>
          <w:tcPr>
            <w:tcW w:w="31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Income before income taxes ...</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15.9</w:t>
            </w:r>
          </w:p>
        </w:tc>
        <w:tc>
          <w:tcPr>
            <w:tcW w:w="0" w:type="dxa"/>
            <w:vAlign w:val="bottom"/>
          </w:tcPr>
          <w:p>
            <w:pPr>
              <w:spacing w:after="0"/>
              <w:rPr>
                <w:sz w:val="1"/>
                <w:szCs w:val="1"/>
                <w:color w:val="auto"/>
              </w:rPr>
            </w:pPr>
          </w:p>
        </w:tc>
      </w:tr>
      <w:tr>
        <w:trPr>
          <w:trHeight w:val="176"/>
        </w:trPr>
        <w:tc>
          <w:tcPr>
            <w:tcW w:w="3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Income taxes .................</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6"/>
        </w:trPr>
        <w:tc>
          <w:tcPr>
            <w:tcW w:w="31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Net income ...................</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05"/>
        </w:trPr>
        <w:tc>
          <w:tcPr>
            <w:tcW w:w="3160" w:type="dxa"/>
            <w:vAlign w:val="bottom"/>
          </w:tcPr>
          <w:p>
            <w:pPr>
              <w:spacing w:after="0"/>
              <w:rPr>
                <w:sz w:val="24"/>
                <w:szCs w:val="24"/>
                <w:color w:val="auto"/>
              </w:rPr>
            </w:pPr>
          </w:p>
        </w:tc>
        <w:tc>
          <w:tcPr>
            <w:tcW w:w="14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42" w:right="1440" w:bottom="1440" w:gutter="0" w:footer="0" w:header="0"/>
        </w:sectPr>
      </w:pPr>
    </w:p>
    <w:bookmarkStart w:id="21" w:name="page22"/>
    <w:bookmarkEnd w:id="21"/>
    <w:p>
      <w:pPr>
        <w:ind w:left="460"/>
        <w:spacing w:after="0"/>
        <w:rPr>
          <w:sz w:val="20"/>
          <w:szCs w:val="20"/>
          <w:color w:val="auto"/>
        </w:rPr>
      </w:pPr>
      <w:r>
        <w:rPr>
          <w:rFonts w:ascii="Courier New" w:cs="Courier New" w:eastAsia="Courier New" w:hAnsi="Courier New"/>
          <w:sz w:val="15"/>
          <w:szCs w:val="15"/>
          <w:color w:val="auto"/>
        </w:rPr>
        <w:t>THREE MONTHS ENDED DECEMBER 31, 2004 AND 2003</w:t>
      </w:r>
    </w:p>
    <w:p>
      <w:pPr>
        <w:spacing w:after="0" w:line="182" w:lineRule="exact"/>
        <w:rPr>
          <w:sz w:val="20"/>
          <w:szCs w:val="20"/>
          <w:color w:val="auto"/>
        </w:rPr>
      </w:pPr>
    </w:p>
    <w:p>
      <w:pPr>
        <w:ind w:right="3179" w:firstLine="458"/>
        <w:spacing w:after="0" w:line="289"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three months ended December 31, 2004 compared to the three months ended December 31, 2003. Following the table is a discussion and analysis of our business and results of operations for such periods.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20" w:type="dxa"/>
            <w:vAlign w:val="bottom"/>
          </w:tcPr>
          <w:p>
            <w:pPr>
              <w:spacing w:after="0"/>
              <w:rPr>
                <w:sz w:val="15"/>
                <w:szCs w:val="15"/>
                <w:color w:val="auto"/>
              </w:rPr>
            </w:pPr>
          </w:p>
        </w:tc>
        <w:tc>
          <w:tcPr>
            <w:tcW w:w="2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c>
          <w:tcPr>
            <w:tcW w:w="238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INCREASE (DECREASE)</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256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DECEMBER 31,</w:t>
            </w:r>
          </w:p>
        </w:tc>
        <w:tc>
          <w:tcPr>
            <w:tcW w:w="2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2004</w:t>
            </w: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2003</w:t>
            </w:r>
          </w:p>
        </w:tc>
        <w:tc>
          <w:tcPr>
            <w:tcW w:w="2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AMOUNT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5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2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(in thousands)</w:t>
            </w: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2"/>
                <w:szCs w:val="22"/>
                <w:color w:val="auto"/>
              </w:rPr>
            </w:pPr>
          </w:p>
        </w:tc>
        <w:tc>
          <w:tcPr>
            <w:tcW w:w="4020" w:type="dxa"/>
            <w:vAlign w:val="bottom"/>
            <w:gridSpan w:val="3"/>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60" w:type="dxa"/>
            <w:vAlign w:val="bottom"/>
            <w:vMerge w:val="restart"/>
          </w:tcPr>
          <w:p>
            <w:pPr>
              <w:jc w:val="right"/>
              <w:ind w:right="486"/>
              <w:spacing w:after="0"/>
              <w:rPr>
                <w:sz w:val="20"/>
                <w:szCs w:val="20"/>
                <w:color w:val="auto"/>
              </w:rPr>
            </w:pPr>
            <w:r>
              <w:rPr>
                <w:rFonts w:ascii="Courier New" w:cs="Courier New" w:eastAsia="Courier New" w:hAnsi="Courier New"/>
                <w:sz w:val="15"/>
                <w:szCs w:val="15"/>
                <w:color w:val="auto"/>
              </w:rPr>
              <w:t>$ 20,366</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7"/>
              </w:rPr>
              <w:t>$ 16,621</w:t>
            </w:r>
          </w:p>
        </w:tc>
        <w:tc>
          <w:tcPr>
            <w:tcW w:w="146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  3,745</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22.5%</w:t>
            </w:r>
          </w:p>
        </w:tc>
        <w:tc>
          <w:tcPr>
            <w:tcW w:w="0" w:type="dxa"/>
            <w:vAlign w:val="bottom"/>
          </w:tcPr>
          <w:p>
            <w:pPr>
              <w:spacing w:after="0"/>
              <w:rPr>
                <w:sz w:val="1"/>
                <w:szCs w:val="1"/>
                <w:color w:val="auto"/>
              </w:rPr>
            </w:pPr>
          </w:p>
        </w:tc>
      </w:tr>
      <w:tr>
        <w:trPr>
          <w:trHeight w:val="176"/>
        </w:trPr>
        <w:tc>
          <w:tcPr>
            <w:tcW w:w="3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License ...................</w:t>
            </w:r>
          </w:p>
        </w:tc>
        <w:tc>
          <w:tcPr>
            <w:tcW w:w="15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Service ...................</w:t>
            </w:r>
          </w:p>
        </w:tc>
        <w:tc>
          <w:tcPr>
            <w:tcW w:w="15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449,166</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411,674</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37,492</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560" w:type="dxa"/>
            <w:vAlign w:val="bottom"/>
            <w:vMerge w:val="restart"/>
          </w:tcPr>
          <w:p>
            <w:pPr>
              <w:jc w:val="right"/>
              <w:ind w:right="486"/>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469,532</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428,295</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41,237</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15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020" w:type="dxa"/>
            <w:vAlign w:val="bottom"/>
            <w:vMerge w:val="continue"/>
          </w:tcPr>
          <w:p>
            <w:pPr>
              <w:spacing w:after="0"/>
              <w:rPr>
                <w:sz w:val="8"/>
                <w:szCs w:val="8"/>
                <w:color w:val="auto"/>
              </w:rPr>
            </w:pPr>
          </w:p>
        </w:tc>
        <w:tc>
          <w:tcPr>
            <w:tcW w:w="1560" w:type="dxa"/>
            <w:vAlign w:val="bottom"/>
            <w:vMerge w:val="restart"/>
          </w:tcPr>
          <w:p>
            <w:pPr>
              <w:jc w:val="right"/>
              <w:ind w:right="486"/>
              <w:spacing w:after="0"/>
              <w:rPr>
                <w:sz w:val="20"/>
                <w:szCs w:val="20"/>
                <w:color w:val="auto"/>
              </w:rPr>
            </w:pPr>
            <w:r>
              <w:rPr>
                <w:rFonts w:ascii="Courier New" w:cs="Courier New" w:eastAsia="Courier New" w:hAnsi="Courier New"/>
                <w:sz w:val="15"/>
                <w:szCs w:val="15"/>
                <w:color w:val="auto"/>
              </w:rPr>
              <w:t>1,155</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1,132</w:t>
            </w:r>
          </w:p>
        </w:tc>
        <w:tc>
          <w:tcPr>
            <w:tcW w:w="146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23</w:t>
            </w: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6"/>
        </w:trPr>
        <w:tc>
          <w:tcPr>
            <w:tcW w:w="3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Cost of license ...........</w:t>
            </w:r>
          </w:p>
        </w:tc>
        <w:tc>
          <w:tcPr>
            <w:tcW w:w="15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Cost of service ...........</w:t>
            </w:r>
          </w:p>
        </w:tc>
        <w:tc>
          <w:tcPr>
            <w:tcW w:w="15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294,947</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272,103</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22,844</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76"/>
        </w:trPr>
        <w:tc>
          <w:tcPr>
            <w:tcW w:w="3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Research and development ..</w:t>
            </w:r>
          </w:p>
        </w:tc>
        <w:tc>
          <w:tcPr>
            <w:tcW w:w="15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32,911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30,498</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2,413</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176"/>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1560" w:type="dxa"/>
            <w:vAlign w:val="bottom"/>
            <w:vMerge w:val="restart"/>
          </w:tcPr>
          <w:p>
            <w:pPr>
              <w:jc w:val="right"/>
              <w:ind w:right="486"/>
              <w:spacing w:after="0"/>
              <w:rPr>
                <w:sz w:val="20"/>
                <w:szCs w:val="20"/>
                <w:color w:val="auto"/>
              </w:rPr>
            </w:pPr>
            <w:r>
              <w:rPr>
                <w:rFonts w:ascii="Courier New" w:cs="Courier New" w:eastAsia="Courier New" w:hAnsi="Courier New"/>
                <w:sz w:val="15"/>
                <w:szCs w:val="15"/>
                <w:color w:val="auto"/>
              </w:rPr>
              <w:t>54,960</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52,497</w:t>
            </w:r>
          </w:p>
        </w:tc>
        <w:tc>
          <w:tcPr>
            <w:tcW w:w="146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2,463</w:t>
            </w: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4.7</w:t>
            </w:r>
          </w:p>
        </w:tc>
        <w:tc>
          <w:tcPr>
            <w:tcW w:w="0" w:type="dxa"/>
            <w:vAlign w:val="bottom"/>
          </w:tcPr>
          <w:p>
            <w:pPr>
              <w:spacing w:after="0"/>
              <w:rPr>
                <w:sz w:val="1"/>
                <w:szCs w:val="1"/>
                <w:color w:val="auto"/>
              </w:rPr>
            </w:pPr>
          </w:p>
        </w:tc>
      </w:tr>
      <w:tr>
        <w:trPr>
          <w:trHeight w:val="176"/>
        </w:trPr>
        <w:tc>
          <w:tcPr>
            <w:tcW w:w="3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administrative ..........</w:t>
            </w:r>
          </w:p>
        </w:tc>
        <w:tc>
          <w:tcPr>
            <w:tcW w:w="15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w:t>
            </w:r>
          </w:p>
        </w:tc>
        <w:tc>
          <w:tcPr>
            <w:tcW w:w="1560" w:type="dxa"/>
            <w:vAlign w:val="bottom"/>
            <w:vMerge w:val="restart"/>
          </w:tcPr>
          <w:p>
            <w:pPr>
              <w:jc w:val="right"/>
              <w:ind w:right="486"/>
              <w:spacing w:after="0"/>
              <w:rPr>
                <w:sz w:val="20"/>
                <w:szCs w:val="20"/>
                <w:color w:val="auto"/>
              </w:rPr>
            </w:pPr>
            <w:r>
              <w:rPr>
                <w:rFonts w:ascii="Courier New" w:cs="Courier New" w:eastAsia="Courier New" w:hAnsi="Courier New"/>
                <w:sz w:val="15"/>
                <w:szCs w:val="15"/>
                <w:color w:val="auto"/>
              </w:rPr>
              <w:t>3,718</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5,096</w:t>
            </w:r>
          </w:p>
        </w:tc>
        <w:tc>
          <w:tcPr>
            <w:tcW w:w="14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(1,378)</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(27.0)</w:t>
            </w:r>
          </w:p>
        </w:tc>
        <w:tc>
          <w:tcPr>
            <w:tcW w:w="0" w:type="dxa"/>
            <w:vAlign w:val="bottom"/>
          </w:tcPr>
          <w:p>
            <w:pPr>
              <w:spacing w:after="0"/>
              <w:rPr>
                <w:sz w:val="1"/>
                <w:szCs w:val="1"/>
                <w:color w:val="auto"/>
              </w:rPr>
            </w:pPr>
          </w:p>
        </w:tc>
      </w:tr>
      <w:tr>
        <w:trPr>
          <w:trHeight w:val="176"/>
        </w:trPr>
        <w:tc>
          <w:tcPr>
            <w:tcW w:w="3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intangible assets .......</w:t>
            </w:r>
          </w:p>
        </w:tc>
        <w:tc>
          <w:tcPr>
            <w:tcW w:w="15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560" w:type="dxa"/>
            <w:vAlign w:val="bottom"/>
            <w:vMerge w:val="restart"/>
          </w:tcPr>
          <w:p>
            <w:pPr>
              <w:jc w:val="right"/>
              <w:ind w:right="486"/>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387,691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361,326</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26,365</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Operating income .............</w:t>
            </w:r>
          </w:p>
        </w:tc>
        <w:tc>
          <w:tcPr>
            <w:tcW w:w="1560" w:type="dxa"/>
            <w:vAlign w:val="bottom"/>
            <w:vMerge w:val="restart"/>
          </w:tcPr>
          <w:p>
            <w:pPr>
              <w:jc w:val="right"/>
              <w:ind w:right="486"/>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81,841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22.2</w:t>
            </w: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66,969</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14,872</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Interest income and other, net</w:t>
            </w:r>
          </w:p>
        </w:tc>
        <w:tc>
          <w:tcPr>
            <w:tcW w:w="15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4,959</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1,067</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3,892</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364.8</w:t>
            </w:r>
          </w:p>
        </w:tc>
        <w:tc>
          <w:tcPr>
            <w:tcW w:w="0" w:type="dxa"/>
            <w:vAlign w:val="bottom"/>
          </w:tcPr>
          <w:p>
            <w:pPr>
              <w:spacing w:after="0"/>
              <w:rPr>
                <w:sz w:val="1"/>
                <w:szCs w:val="1"/>
                <w:color w:val="auto"/>
              </w:rPr>
            </w:pPr>
          </w:p>
        </w:tc>
      </w:tr>
      <w:tr>
        <w:trPr>
          <w:trHeight w:val="176"/>
        </w:trPr>
        <w:tc>
          <w:tcPr>
            <w:tcW w:w="30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Income before income taxes ...</w:t>
            </w:r>
          </w:p>
        </w:tc>
        <w:tc>
          <w:tcPr>
            <w:tcW w:w="1560" w:type="dxa"/>
            <w:vAlign w:val="bottom"/>
            <w:vMerge w:val="restart"/>
          </w:tcPr>
          <w:p>
            <w:pPr>
              <w:jc w:val="right"/>
              <w:ind w:right="486"/>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86,800</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27.6</w:t>
            </w: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68,036</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18,764</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Income taxes .................</w:t>
            </w:r>
          </w:p>
        </w:tc>
        <w:tc>
          <w:tcPr>
            <w:tcW w:w="15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17,357</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14,968</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2,389</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16.0</w:t>
            </w:r>
          </w:p>
        </w:tc>
        <w:tc>
          <w:tcPr>
            <w:tcW w:w="0" w:type="dxa"/>
            <w:vAlign w:val="bottom"/>
          </w:tcPr>
          <w:p>
            <w:pPr>
              <w:spacing w:after="0"/>
              <w:rPr>
                <w:sz w:val="1"/>
                <w:szCs w:val="1"/>
                <w:color w:val="auto"/>
              </w:rPr>
            </w:pPr>
          </w:p>
        </w:tc>
      </w:tr>
      <w:tr>
        <w:trPr>
          <w:trHeight w:val="176"/>
        </w:trPr>
        <w:tc>
          <w:tcPr>
            <w:tcW w:w="30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Net income ...................</w:t>
            </w:r>
          </w:p>
        </w:tc>
        <w:tc>
          <w:tcPr>
            <w:tcW w:w="1560" w:type="dxa"/>
            <w:vAlign w:val="bottom"/>
            <w:vMerge w:val="restart"/>
          </w:tcPr>
          <w:p>
            <w:pPr>
              <w:jc w:val="right"/>
              <w:ind w:right="486"/>
              <w:spacing w:after="0"/>
              <w:rPr>
                <w:sz w:val="20"/>
                <w:szCs w:val="20"/>
                <w:color w:val="auto"/>
              </w:rPr>
            </w:pPr>
            <w:r>
              <w:rPr>
                <w:rFonts w:ascii="Courier New" w:cs="Courier New" w:eastAsia="Courier New" w:hAnsi="Courier New"/>
                <w:sz w:val="25"/>
                <w:szCs w:val="25"/>
                <w:color w:val="auto"/>
                <w:w w:val="73"/>
                <w:vertAlign w:val="subscript"/>
              </w:rPr>
              <w:t>$</w:t>
            </w: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69,443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30.9</w:t>
            </w: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$ 53,068</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$ 16,375</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2"/>
                <w:szCs w:val="22"/>
                <w:color w:val="auto"/>
              </w:rPr>
            </w:pPr>
          </w:p>
        </w:tc>
        <w:tc>
          <w:tcPr>
            <w:tcW w:w="15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right="2899" w:firstLine="458"/>
        <w:spacing w:after="0" w:line="264" w:lineRule="auto"/>
        <w:rPr>
          <w:sz w:val="20"/>
          <w:szCs w:val="20"/>
          <w:color w:val="auto"/>
        </w:rPr>
      </w:pPr>
      <w:r>
        <w:rPr>
          <w:rFonts w:ascii="Courier New" w:cs="Courier New" w:eastAsia="Courier New" w:hAnsi="Courier New"/>
          <w:sz w:val="15"/>
          <w:szCs w:val="15"/>
          <w:color w:val="auto"/>
        </w:rPr>
        <w:t>REVENUE. Total revenue increased by $41.2 million, or 9.6%, in the three months ended December 31, 2004 to $469.5 million from $428.3 million in the three months ended December 31, 2003. Approximately 70% of the increase in total revenue was due to an increase in business related to Managed Services customers, and the remainder was attributable to revenue from existing and new customers. Revenue related to Managed Services customers in the three months ended December 31, 2004 and 2003 was approximately 40% of total revenue. In the three months ended December 31, 2004, following the significant weakening of the U.S. dollar, total revenue was increased by approximately $7 million.</w:t>
      </w:r>
    </w:p>
    <w:p>
      <w:pPr>
        <w:spacing w:after="0" w:line="80" w:lineRule="exact"/>
        <w:rPr>
          <w:sz w:val="20"/>
          <w:szCs w:val="20"/>
          <w:color w:val="auto"/>
        </w:rPr>
      </w:pPr>
    </w:p>
    <w:p>
      <w:pPr>
        <w:jc w:val="both"/>
        <w:ind w:right="3359" w:firstLine="458"/>
        <w:spacing w:after="0" w:line="262" w:lineRule="auto"/>
        <w:rPr>
          <w:sz w:val="20"/>
          <w:szCs w:val="20"/>
          <w:color w:val="auto"/>
        </w:rPr>
      </w:pPr>
      <w:r>
        <w:rPr>
          <w:rFonts w:ascii="Courier New" w:cs="Courier New" w:eastAsia="Courier New" w:hAnsi="Courier New"/>
          <w:sz w:val="15"/>
          <w:szCs w:val="15"/>
          <w:color w:val="auto"/>
        </w:rPr>
        <w:t>License and service revenue from the sale of ICM Enabling Systems was $407.5 million for the three months ended December 31, 2004, an increase of $32.1 million, or 8.6%, over the three months ended December 31, 2003.</w:t>
      </w:r>
    </w:p>
    <w:p>
      <w:pPr>
        <w:ind w:right="2899"/>
        <w:spacing w:after="0" w:line="256" w:lineRule="auto"/>
        <w:rPr>
          <w:sz w:val="20"/>
          <w:szCs w:val="20"/>
          <w:color w:val="auto"/>
        </w:rPr>
      </w:pPr>
      <w:r>
        <w:rPr>
          <w:rFonts w:ascii="Courier New" w:cs="Courier New" w:eastAsia="Courier New" w:hAnsi="Courier New"/>
          <w:sz w:val="15"/>
          <w:szCs w:val="15"/>
          <w:color w:val="auto"/>
        </w:rPr>
        <w:t>Approximately 75% of the increase is attributable to an increase in business related to Managed Services customers, and the remainder was attributable to revenue from existing and new customers. License and service revenue from the sale of ICM Enabling Systems represented 86.8% and 87.7% of our total revenue in the three months ended December 31, 2004 and 2003, respectively. The demand for our ICM Enabling Systems is primarily driven by the need for communications companies to continue to integrate their billing, CRM and order management systems into an Integrated Customer Management approach. During fiscal 2004, several communications service providers demonstrated a greater readiness to commit to new projects, and in the first quarter of fiscal 2005, we observed improvement in the markets that we serve. Communications service providers were increasingly willing to commit to new projects, both in wireline and wireless.</w:t>
      </w:r>
    </w:p>
    <w:p>
      <w:pPr>
        <w:spacing w:after="0" w:line="87" w:lineRule="exact"/>
        <w:rPr>
          <w:sz w:val="20"/>
          <w:szCs w:val="20"/>
          <w:color w:val="auto"/>
        </w:rPr>
      </w:pPr>
    </w:p>
    <w:p>
      <w:pPr>
        <w:ind w:right="2899" w:firstLine="550"/>
        <w:spacing w:after="0" w:line="269" w:lineRule="auto"/>
        <w:rPr>
          <w:sz w:val="20"/>
          <w:szCs w:val="20"/>
          <w:color w:val="auto"/>
        </w:rPr>
      </w:pPr>
      <w:r>
        <w:rPr>
          <w:rFonts w:ascii="Courier New" w:cs="Courier New" w:eastAsia="Courier New" w:hAnsi="Courier New"/>
          <w:sz w:val="15"/>
          <w:szCs w:val="15"/>
          <w:color w:val="auto"/>
        </w:rPr>
        <w:t>License and service revenue from the sale of Directory Systems was $62.0 million for the three months ended December 31, 2004, an increase of $9.1 million, or 17.3%, over the three months ended December 31, 2003. Approximately 40% of the increase in Directory Systems revenue in the three months ended December 31, 2004 was attributable to an increase in business related to Managed Services customers, and the remainder was attributable to additional revenue from existing and new customers. License and service</w:t>
      </w:r>
    </w:p>
    <w:p>
      <w:pPr>
        <w:spacing w:after="0" w:line="200" w:lineRule="exact"/>
        <w:rPr>
          <w:sz w:val="20"/>
          <w:szCs w:val="20"/>
          <w:color w:val="auto"/>
        </w:rPr>
      </w:pPr>
    </w:p>
    <w:p>
      <w:pPr>
        <w:spacing w:after="0" w:line="22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42" w:right="1440" w:bottom="1440" w:gutter="0" w:footer="0" w:header="0"/>
        </w:sectPr>
      </w:pPr>
    </w:p>
    <w:bookmarkStart w:id="22" w:name="page23"/>
    <w:bookmarkEnd w:id="22"/>
    <w:p>
      <w:pPr>
        <w:ind w:right="2979"/>
        <w:spacing w:after="0" w:line="279" w:lineRule="auto"/>
        <w:rPr>
          <w:sz w:val="20"/>
          <w:szCs w:val="20"/>
          <w:color w:val="auto"/>
        </w:rPr>
      </w:pPr>
      <w:r>
        <w:rPr>
          <w:rFonts w:ascii="Courier New" w:cs="Courier New" w:eastAsia="Courier New" w:hAnsi="Courier New"/>
          <w:sz w:val="15"/>
          <w:szCs w:val="15"/>
          <w:color w:val="auto"/>
        </w:rPr>
        <w:t>revenue from the sale of Directory Systems represented 13.2% and 12.3% of our total revenue in the three months ended December 31, 2004 and 2003, respectively. We believe that we are a leading provider of Directory Systems in most of the markets we serve. We expect that our revenue from Directory Systems will slightly increase in fiscal 2005.</w:t>
      </w:r>
    </w:p>
    <w:p>
      <w:pPr>
        <w:spacing w:after="0" w:line="69" w:lineRule="exact"/>
        <w:rPr>
          <w:sz w:val="20"/>
          <w:szCs w:val="20"/>
          <w:color w:val="auto"/>
        </w:rPr>
      </w:pPr>
    </w:p>
    <w:p>
      <w:pPr>
        <w:ind w:right="2899" w:firstLine="458"/>
        <w:spacing w:after="0" w:line="259" w:lineRule="auto"/>
        <w:rPr>
          <w:sz w:val="20"/>
          <w:szCs w:val="20"/>
          <w:color w:val="auto"/>
        </w:rPr>
      </w:pPr>
      <w:r>
        <w:rPr>
          <w:rFonts w:ascii="Courier New" w:cs="Courier New" w:eastAsia="Courier New" w:hAnsi="Courier New"/>
          <w:sz w:val="15"/>
          <w:szCs w:val="15"/>
          <w:color w:val="auto"/>
        </w:rPr>
        <w:t>In the three months ended December 31, 2004, revenue from customers in North America, Europe and the rest of the world accounted for 67.9%, 23.4% and 8.7%, respectively, of total revenue compared to 66.4%, 26.7% and 6.9%, respectively, for the three months ended December 31, 2003. Approximately 85% of the increase in revenue from customers in North America in the three months ended December 31, 2004 is attributable to an increase in business related to Managed Services customers, and the remainder to the expansion of relationships with existing and new customers in North America. The decrease in revenue from customers in Europe in the three months ended December 31, 2004 was attributable to a decrease in revenue from existing customers. The increase in revenue from customers in the rest of the world in the three months ended December 31, 2004 was attributable to the expansion of relationships with existing and new customers in the rest of the world.</w:t>
      </w:r>
    </w:p>
    <w:p>
      <w:pPr>
        <w:spacing w:after="0" w:line="83" w:lineRule="exact"/>
        <w:rPr>
          <w:sz w:val="20"/>
          <w:szCs w:val="20"/>
          <w:color w:val="auto"/>
        </w:rPr>
      </w:pPr>
    </w:p>
    <w:p>
      <w:pPr>
        <w:ind w:right="2899" w:firstLine="458"/>
        <w:spacing w:after="0" w:line="266"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December 31, 2004, cost of license, as a percentage of license revenue, was 5.7%, compared to 6.8% in the three months ended December 31, 2003.</w:t>
      </w:r>
    </w:p>
    <w:p>
      <w:pPr>
        <w:spacing w:after="0" w:line="79" w:lineRule="exact"/>
        <w:rPr>
          <w:sz w:val="20"/>
          <w:szCs w:val="20"/>
          <w:color w:val="auto"/>
        </w:rPr>
      </w:pPr>
    </w:p>
    <w:p>
      <w:pPr>
        <w:ind w:right="2899" w:firstLine="458"/>
        <w:spacing w:after="0" w:line="266" w:lineRule="auto"/>
        <w:rPr>
          <w:sz w:val="20"/>
          <w:szCs w:val="20"/>
          <w:color w:val="auto"/>
        </w:rPr>
      </w:pPr>
      <w:r>
        <w:rPr>
          <w:rFonts w:ascii="Courier New" w:cs="Courier New" w:eastAsia="Courier New" w:hAnsi="Courier New"/>
          <w:sz w:val="15"/>
          <w:szCs w:val="15"/>
          <w:color w:val="auto"/>
        </w:rPr>
        <w:t>COST OF SERVICE. The increase in cost of service in the three months ended December 31, 2004 was 8.4%, as compared to the 9.6% increase in our total revenue in the three months ended December 31, 2004, and resulted in a 0.7% increase in our gross margin, as a percentage of revenue. Our gross margin is affected by the Managed Services projects, which we expect to be less profitable in their initial period. In the three months ended December 31, 2004, following the significant weakening of the U.S. dollar, cost of service was increased by approximately $7 million.</w:t>
      </w:r>
    </w:p>
    <w:p>
      <w:pPr>
        <w:spacing w:after="0" w:line="79" w:lineRule="exact"/>
        <w:rPr>
          <w:sz w:val="20"/>
          <w:szCs w:val="20"/>
          <w:color w:val="auto"/>
        </w:rPr>
      </w:pPr>
    </w:p>
    <w:p>
      <w:pPr>
        <w:ind w:right="2899" w:firstLine="458"/>
        <w:spacing w:after="0" w:line="252"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Research and development expense increased by $2.4 million, or 7.9%, in the three months ended December 31, 2004 to $32.9 million from $30.5 million in the three months ended December 31, 2003. Such increase in research and development expense was proportionally less than the increase in our total revenue, and research and development expense decreased, as a percentage of revenue, from 7.1% of revenue in the three months ended December 31, 2003 to 7.0% of revenue in the three months ended December 31,</w:t>
      </w:r>
    </w:p>
    <w:p>
      <w:pPr>
        <w:spacing w:after="0" w:line="3" w:lineRule="exact"/>
        <w:rPr>
          <w:sz w:val="20"/>
          <w:szCs w:val="20"/>
          <w:color w:val="auto"/>
        </w:rPr>
      </w:pPr>
    </w:p>
    <w:p>
      <w:pPr>
        <w:ind w:right="2899"/>
        <w:spacing w:after="0" w:line="255" w:lineRule="auto"/>
        <w:rPr>
          <w:sz w:val="20"/>
          <w:szCs w:val="20"/>
          <w:color w:val="auto"/>
        </w:rPr>
      </w:pPr>
      <w:r>
        <w:rPr>
          <w:rFonts w:ascii="Courier New" w:cs="Courier New" w:eastAsia="Courier New" w:hAnsi="Courier New"/>
          <w:sz w:val="15"/>
          <w:szCs w:val="15"/>
          <w:color w:val="auto"/>
        </w:rPr>
        <w:t>2004. While we continue to upgrade our existing systems, in the first quarter of fiscal 2005, we focused significant research and development efforts on the integration between our products and a unified user interface in order to enable our customers to adopt an ICM approach. As part of these efforts we will launch Amdocs 6 in the second quarter of fiscal 2005. The majority of our research and development expenditures are directed to our ICM Enabling Systems, and the remainder to directory, content, mediation and order management solutions.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87" w:lineRule="exact"/>
        <w:rPr>
          <w:sz w:val="20"/>
          <w:szCs w:val="20"/>
          <w:color w:val="auto"/>
        </w:rPr>
      </w:pPr>
    </w:p>
    <w:p>
      <w:pPr>
        <w:ind w:right="2899" w:firstLine="458"/>
        <w:spacing w:after="0" w:line="269"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by $2.5 million, or 4.7%, in the three months ended December 31, 2004 to $55.0 million, from $52.5 million in the three months ended December 31, 2003. Selling, general and administrative expense is primarily comprised of compensation expense. The increase in selling, general and administrative expense in the first quarter of fiscal 2005 was attributable to overall increase in our operations, as well as to the increase in our selling and</w:t>
      </w:r>
    </w:p>
    <w:p>
      <w:pPr>
        <w:spacing w:after="0" w:line="2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42" w:right="1440" w:bottom="1440" w:gutter="0" w:footer="0" w:header="0"/>
        </w:sectPr>
      </w:pPr>
    </w:p>
    <w:bookmarkStart w:id="23" w:name="page24"/>
    <w:bookmarkEnd w:id="23"/>
    <w:p>
      <w:pPr>
        <w:ind w:right="3079"/>
        <w:spacing w:after="0" w:line="372" w:lineRule="auto"/>
        <w:rPr>
          <w:sz w:val="20"/>
          <w:szCs w:val="20"/>
          <w:color w:val="auto"/>
        </w:rPr>
      </w:pPr>
      <w:r>
        <w:rPr>
          <w:rFonts w:ascii="Courier New" w:cs="Courier New" w:eastAsia="Courier New" w:hAnsi="Courier New"/>
          <w:sz w:val="15"/>
          <w:szCs w:val="15"/>
          <w:color w:val="auto"/>
        </w:rPr>
        <w:t>marketing compensation, although the 4.7% increase was significantly less than the 9.6% increase in our total revenue.</w:t>
      </w:r>
    </w:p>
    <w:p>
      <w:pPr>
        <w:spacing w:after="0" w:line="2" w:lineRule="exact"/>
        <w:rPr>
          <w:sz w:val="20"/>
          <w:szCs w:val="20"/>
          <w:color w:val="auto"/>
        </w:rPr>
      </w:pPr>
    </w:p>
    <w:p>
      <w:pPr>
        <w:ind w:right="2979" w:firstLine="458"/>
        <w:spacing w:after="0" w:line="279" w:lineRule="auto"/>
        <w:rPr>
          <w:sz w:val="20"/>
          <w:szCs w:val="20"/>
          <w:color w:val="auto"/>
        </w:rPr>
      </w:pPr>
      <w:r>
        <w:rPr>
          <w:rFonts w:ascii="Courier New" w:cs="Courier New" w:eastAsia="Courier New" w:hAnsi="Courier New"/>
          <w:sz w:val="15"/>
          <w:szCs w:val="15"/>
          <w:color w:val="auto"/>
        </w:rPr>
        <w:t>AMORTIZATION OF PURCHASED INTANGIBLE ASSETS. Amortization of purchased intangible assets in the three months ended December 31, 2004 was $3.7 million, compared to $5.1 million in the three months ended December 31, 2003. The decrease in amortization of purchased intangible assets was due to purchased intangible assets that were fully amortized in fiscal 2004.</w:t>
      </w:r>
    </w:p>
    <w:p>
      <w:pPr>
        <w:spacing w:after="0" w:line="69" w:lineRule="exact"/>
        <w:rPr>
          <w:sz w:val="20"/>
          <w:szCs w:val="20"/>
          <w:color w:val="auto"/>
        </w:rPr>
      </w:pPr>
    </w:p>
    <w:p>
      <w:pPr>
        <w:ind w:right="2899" w:firstLine="458"/>
        <w:spacing w:after="0" w:line="273" w:lineRule="auto"/>
        <w:rPr>
          <w:sz w:val="20"/>
          <w:szCs w:val="20"/>
          <w:color w:val="auto"/>
        </w:rPr>
      </w:pPr>
      <w:r>
        <w:rPr>
          <w:rFonts w:ascii="Courier New" w:cs="Courier New" w:eastAsia="Courier New" w:hAnsi="Courier New"/>
          <w:sz w:val="15"/>
          <w:szCs w:val="15"/>
          <w:color w:val="auto"/>
        </w:rPr>
        <w:t>OPERATING INCOME. Operating income increased by $14.9 million, or 22.2%, in the in the three months ended December 31, 2004, to $81.8 million, or 17.4% of revenue, from $67.0 million, or 15.6% of revenue, in the three months ended December 31, 2003. The increase in operating income in the first quarter of fiscal 2005 resulted from the 9.6% increase in our total revenue, and by the 0.7% increase in our gross margin as a percentage of revenue.</w:t>
      </w:r>
    </w:p>
    <w:p>
      <w:pPr>
        <w:spacing w:after="0" w:line="74" w:lineRule="exact"/>
        <w:rPr>
          <w:sz w:val="20"/>
          <w:szCs w:val="20"/>
          <w:color w:val="auto"/>
        </w:rPr>
      </w:pPr>
    </w:p>
    <w:p>
      <w:pPr>
        <w:ind w:right="2899" w:firstLine="458"/>
        <w:spacing w:after="0" w:line="266" w:lineRule="auto"/>
        <w:rPr>
          <w:sz w:val="20"/>
          <w:szCs w:val="20"/>
          <w:color w:val="auto"/>
        </w:rPr>
      </w:pPr>
      <w:r>
        <w:rPr>
          <w:rFonts w:ascii="Courier New" w:cs="Courier New" w:eastAsia="Courier New" w:hAnsi="Courier New"/>
          <w:sz w:val="15"/>
          <w:szCs w:val="15"/>
          <w:color w:val="auto"/>
        </w:rPr>
        <w:t>INTEREST INCOME AND OTHER, NET. Interest income and other, net increased by $3.9 million in the three months ended December 31, 2004 to $5.0 million from $1.1 million in the three months ended December 31, 2003. The increase in interest income and other, net, in the first quarter of fiscal 2005 is primarily attributable to the increase in market interest rates on our short-term interest-bearing investments, and to the decrease in our interest expense due to the redemption of our 2% Notes in June 2004, which was partially offset by interest expense on our 0.50% Notes issued in March 2004.</w:t>
      </w:r>
    </w:p>
    <w:p>
      <w:pPr>
        <w:spacing w:after="0" w:line="79" w:lineRule="exact"/>
        <w:rPr>
          <w:sz w:val="20"/>
          <w:szCs w:val="20"/>
          <w:color w:val="auto"/>
        </w:rPr>
      </w:pPr>
    </w:p>
    <w:p>
      <w:pPr>
        <w:ind w:right="2899" w:firstLine="458"/>
        <w:spacing w:after="0" w:line="267" w:lineRule="auto"/>
        <w:rPr>
          <w:sz w:val="20"/>
          <w:szCs w:val="20"/>
          <w:color w:val="auto"/>
        </w:rPr>
      </w:pPr>
      <w:r>
        <w:rPr>
          <w:rFonts w:ascii="Courier New" w:cs="Courier New" w:eastAsia="Courier New" w:hAnsi="Courier New"/>
          <w:sz w:val="15"/>
          <w:szCs w:val="15"/>
          <w:color w:val="auto"/>
        </w:rPr>
        <w:t>INCOME TAXES. Income taxes for the first quarter of fiscal 2005 were $17.4 million on pretax income of $86.8 million, an effective tax rate of 20% compared to 22% in the three months ended December 31, 2003. Our effective tax rate for fiscal year 2005 is expected to be approximately 20%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262" w:lineRule="exact"/>
        <w:rPr>
          <w:sz w:val="20"/>
          <w:szCs w:val="20"/>
          <w:color w:val="auto"/>
        </w:rPr>
      </w:pPr>
    </w:p>
    <w:p>
      <w:pPr>
        <w:ind w:right="3079" w:firstLine="458"/>
        <w:spacing w:after="0" w:line="289" w:lineRule="auto"/>
        <w:rPr>
          <w:sz w:val="20"/>
          <w:szCs w:val="20"/>
          <w:color w:val="auto"/>
        </w:rPr>
      </w:pPr>
      <w:r>
        <w:rPr>
          <w:rFonts w:ascii="Courier New" w:cs="Courier New" w:eastAsia="Courier New" w:hAnsi="Courier New"/>
          <w:sz w:val="15"/>
          <w:szCs w:val="15"/>
          <w:color w:val="auto"/>
        </w:rPr>
        <w:t>NET INCOME. Net income was $69.4 million in the first quarter of fiscal 2005, compared to a net income of $53.1 million in the three months ended December 31, 2003. The increase in net income is primarily attributable to the 9.6% increase in our total revenue.</w:t>
      </w:r>
    </w:p>
    <w:p>
      <w:pPr>
        <w:spacing w:after="0" w:line="62" w:lineRule="exact"/>
        <w:rPr>
          <w:sz w:val="20"/>
          <w:szCs w:val="20"/>
          <w:color w:val="auto"/>
        </w:rPr>
      </w:pPr>
    </w:p>
    <w:p>
      <w:pPr>
        <w:ind w:right="3079" w:firstLine="458"/>
        <w:spacing w:after="0" w:line="310" w:lineRule="auto"/>
        <w:rPr>
          <w:sz w:val="20"/>
          <w:szCs w:val="20"/>
          <w:color w:val="auto"/>
        </w:rPr>
      </w:pPr>
      <w:r>
        <w:rPr>
          <w:rFonts w:ascii="Courier New" w:cs="Courier New" w:eastAsia="Courier New" w:hAnsi="Courier New"/>
          <w:sz w:val="15"/>
          <w:szCs w:val="15"/>
          <w:color w:val="auto"/>
        </w:rPr>
        <w:t>DILUTED EARNINGS PER SHARE. Diluted earnings per share were $0.32 for the three months ended December 31, 2004, compared to $0.24 in the three months ended December 31, 2003.</w:t>
      </w:r>
    </w:p>
    <w:p>
      <w:pPr>
        <w:spacing w:after="0" w:line="46" w:lineRule="exact"/>
        <w:rPr>
          <w:sz w:val="20"/>
          <w:szCs w:val="20"/>
          <w:color w:val="auto"/>
        </w:rPr>
      </w:pPr>
    </w:p>
    <w:p>
      <w:pPr>
        <w:ind w:right="2899" w:firstLine="458"/>
        <w:spacing w:after="0" w:line="266" w:lineRule="auto"/>
        <w:rPr>
          <w:sz w:val="20"/>
          <w:szCs w:val="20"/>
          <w:color w:val="auto"/>
        </w:rPr>
      </w:pPr>
      <w:r>
        <w:rPr>
          <w:rFonts w:ascii="Courier New" w:cs="Courier New" w:eastAsia="Courier New" w:hAnsi="Courier New"/>
          <w:sz w:val="15"/>
          <w:szCs w:val="15"/>
          <w:color w:val="auto"/>
        </w:rPr>
        <w:t>The shares issuable upon conversion of the 0.50% Notes were included in the diluted earnings per share calculation for the three months ended December 31, 2004 following the adoption of Issue 04-8, which required the addition of 10.4 million ordinary shares issuable upon conversion of our 0.50% Notes, to the diluted earnings per share calculation. The adoption of Issue 04-8 has no effect on our previously reported quarterly diluted earnings per share for the three months ended December 31, 2003 as the 0.50% Notes were not outstanding during that period.</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979" w:firstLine="458"/>
        <w:spacing w:after="0" w:line="262" w:lineRule="auto"/>
        <w:rPr>
          <w:sz w:val="20"/>
          <w:szCs w:val="20"/>
          <w:color w:val="auto"/>
        </w:rPr>
      </w:pPr>
      <w:r>
        <w:rPr>
          <w:rFonts w:ascii="Courier New" w:cs="Courier New" w:eastAsia="Courier New" w:hAnsi="Courier New"/>
          <w:sz w:val="15"/>
          <w:szCs w:val="15"/>
          <w:color w:val="auto"/>
        </w:rPr>
        <w:t>Cash, cash equivalents and short-term interest-bearing investments totaled $1,257.4 million as of December 31, 2004, compared to $1,190.7 million as of September 30, 2004. The increase is attributable to positive cash flows from operations. Net cash provided by operating activities amounted to $83.0 million and $82.7 million for the three months ended December 31, 2004 and 2003, respectively. We currently intend to retain our future operating cash flows to support the further expansion of our business, including investments related to Managed Services projects and acquisitions. We may also use a portion of our cash balances for future repurchases of our outstanding shares, as described below.</w:t>
      </w:r>
    </w:p>
    <w:p>
      <w:pPr>
        <w:spacing w:after="0" w:line="83" w:lineRule="exact"/>
        <w:rPr>
          <w:sz w:val="20"/>
          <w:szCs w:val="20"/>
          <w:color w:val="auto"/>
        </w:rPr>
      </w:pPr>
    </w:p>
    <w:p>
      <w:pPr>
        <w:ind w:right="2899" w:firstLine="458"/>
        <w:spacing w:after="0" w:line="289" w:lineRule="auto"/>
        <w:rPr>
          <w:sz w:val="20"/>
          <w:szCs w:val="20"/>
          <w:color w:val="auto"/>
        </w:rPr>
      </w:pPr>
      <w:r>
        <w:rPr>
          <w:rFonts w:ascii="Courier New" w:cs="Courier New" w:eastAsia="Courier New" w:hAnsi="Courier New"/>
          <w:sz w:val="15"/>
          <w:szCs w:val="15"/>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200" w:lineRule="exact"/>
        <w:rPr>
          <w:sz w:val="20"/>
          <w:szCs w:val="20"/>
          <w:color w:val="auto"/>
        </w:rPr>
      </w:pPr>
    </w:p>
    <w:p>
      <w:pPr>
        <w:spacing w:after="0" w:line="21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42" w:right="1440" w:bottom="1440" w:gutter="0" w:footer="0" w:header="0"/>
        </w:sectPr>
      </w:pPr>
    </w:p>
    <w:bookmarkStart w:id="24" w:name="page25"/>
    <w:bookmarkEnd w:id="24"/>
    <w:p>
      <w:pPr>
        <w:ind w:right="2899" w:firstLine="458"/>
        <w:spacing w:after="0" w:line="372" w:lineRule="auto"/>
        <w:rPr>
          <w:sz w:val="20"/>
          <w:szCs w:val="20"/>
          <w:color w:val="auto"/>
        </w:rPr>
      </w:pPr>
      <w:r>
        <w:rPr>
          <w:rFonts w:ascii="Courier New" w:cs="Courier New" w:eastAsia="Courier New" w:hAnsi="Courier New"/>
          <w:sz w:val="15"/>
          <w:szCs w:val="15"/>
          <w:color w:val="auto"/>
        </w:rPr>
        <w:t>As of December 31, 2004, $0.3 million and $450.0 million aggregate principal amount of our 2% Notes and 0.50% Notes were outstanding, respectively.</w:t>
      </w:r>
    </w:p>
    <w:p>
      <w:pPr>
        <w:spacing w:after="0" w:line="2" w:lineRule="exact"/>
        <w:rPr>
          <w:sz w:val="20"/>
          <w:szCs w:val="20"/>
          <w:color w:val="auto"/>
        </w:rPr>
      </w:pPr>
    </w:p>
    <w:p>
      <w:pPr>
        <w:ind w:right="2899" w:firstLine="458"/>
        <w:spacing w:after="0" w:line="279" w:lineRule="auto"/>
        <w:rPr>
          <w:sz w:val="20"/>
          <w:szCs w:val="20"/>
          <w:color w:val="auto"/>
        </w:rPr>
      </w:pPr>
      <w:r>
        <w:rPr>
          <w:rFonts w:ascii="Courier New" w:cs="Courier New" w:eastAsia="Courier New" w:hAnsi="Courier New"/>
          <w:sz w:val="15"/>
          <w:szCs w:val="15"/>
          <w:color w:val="auto"/>
        </w:rPr>
        <w:t>On December 20, 2004, we announced that our Board of Directors had extended our share repurchase program for the additional repurchase of up to $100 million of our ordinary shares in the open market or privately negotiated transactions and at times and prices we deem appropriate. No share repurchases under this program were made in the three months ended December 31, 2004.</w:t>
      </w:r>
    </w:p>
    <w:p>
      <w:pPr>
        <w:spacing w:after="0" w:line="69" w:lineRule="exact"/>
        <w:rPr>
          <w:sz w:val="20"/>
          <w:szCs w:val="20"/>
          <w:color w:val="auto"/>
        </w:rPr>
      </w:pPr>
    </w:p>
    <w:p>
      <w:pPr>
        <w:ind w:right="2899" w:firstLine="458"/>
        <w:spacing w:after="0" w:line="289" w:lineRule="auto"/>
        <w:rPr>
          <w:sz w:val="20"/>
          <w:szCs w:val="20"/>
          <w:color w:val="auto"/>
        </w:rPr>
      </w:pPr>
      <w:r>
        <w:rPr>
          <w:rFonts w:ascii="Courier New" w:cs="Courier New" w:eastAsia="Courier New" w:hAnsi="Courier New"/>
          <w:sz w:val="15"/>
          <w:szCs w:val="15"/>
          <w:color w:val="auto"/>
        </w:rPr>
        <w:t>As of December 31, 2004, we had available short-term general revolving lines of credit totaling $31.0 million, pursuant to which $1.0 million of loans were outstanding. In addition, as of December 31, 2004 we had outstanding letters of credit and bank guarantees from various banks totaling $14.4 million.</w:t>
      </w:r>
    </w:p>
    <w:p>
      <w:pPr>
        <w:spacing w:after="0" w:line="62" w:lineRule="exact"/>
        <w:rPr>
          <w:sz w:val="20"/>
          <w:szCs w:val="20"/>
          <w:color w:val="auto"/>
        </w:rPr>
      </w:pPr>
    </w:p>
    <w:p>
      <w:pPr>
        <w:ind w:right="2979" w:firstLine="458"/>
        <w:spacing w:after="0" w:line="372" w:lineRule="auto"/>
        <w:rPr>
          <w:sz w:val="20"/>
          <w:szCs w:val="20"/>
          <w:color w:val="auto"/>
        </w:rPr>
      </w:pPr>
      <w:r>
        <w:rPr>
          <w:rFonts w:ascii="Courier New" w:cs="Courier New" w:eastAsia="Courier New" w:hAnsi="Courier New"/>
          <w:sz w:val="15"/>
          <w:szCs w:val="15"/>
          <w:color w:val="auto"/>
        </w:rPr>
        <w:t>As of December 31, 2004, we had outstanding long-term obligations of $18.1 million in connection with leasing arrangements.</w:t>
      </w:r>
    </w:p>
    <w:p>
      <w:pPr>
        <w:spacing w:after="0" w:line="2" w:lineRule="exact"/>
        <w:rPr>
          <w:sz w:val="20"/>
          <w:szCs w:val="20"/>
          <w:color w:val="auto"/>
        </w:rPr>
      </w:pPr>
    </w:p>
    <w:p>
      <w:pPr>
        <w:ind w:right="3179" w:firstLine="458"/>
        <w:spacing w:after="0" w:line="262" w:lineRule="auto"/>
        <w:rPr>
          <w:sz w:val="20"/>
          <w:szCs w:val="20"/>
          <w:color w:val="auto"/>
        </w:rPr>
      </w:pPr>
      <w:r>
        <w:rPr>
          <w:rFonts w:ascii="Courier New" w:cs="Courier New" w:eastAsia="Courier New" w:hAnsi="Courier New"/>
          <w:sz w:val="15"/>
          <w:szCs w:val="15"/>
          <w:color w:val="auto"/>
        </w:rPr>
        <w:t>We have contractual obligations for our convertible notes, financing arrangements, capital leases and non-cancelable operating leases that were summarized in a table of contractual obligations in our Annual Report on Form</w:t>
      </w:r>
    </w:p>
    <w:p>
      <w:pPr>
        <w:jc w:val="both"/>
        <w:ind w:right="2899"/>
        <w:spacing w:after="0" w:line="290" w:lineRule="auto"/>
        <w:rPr>
          <w:sz w:val="20"/>
          <w:szCs w:val="20"/>
          <w:color w:val="auto"/>
        </w:rPr>
      </w:pPr>
      <w:r>
        <w:rPr>
          <w:rFonts w:ascii="Courier New" w:cs="Courier New" w:eastAsia="Courier New" w:hAnsi="Courier New"/>
          <w:sz w:val="15"/>
          <w:szCs w:val="15"/>
          <w:color w:val="auto"/>
        </w:rPr>
        <w:t>20-F for the year ended September 30, 2004. Since September 30, 2004, there have been no material changes in contractual obligations outside the ordinary course of our business.</w:t>
      </w:r>
    </w:p>
    <w:p>
      <w:pPr>
        <w:spacing w:after="0" w:line="61" w:lineRule="exact"/>
        <w:rPr>
          <w:sz w:val="20"/>
          <w:szCs w:val="20"/>
          <w:color w:val="auto"/>
        </w:rPr>
      </w:pPr>
    </w:p>
    <w:p>
      <w:pPr>
        <w:ind w:right="2899" w:firstLine="458"/>
        <w:spacing w:after="0" w:line="274" w:lineRule="auto"/>
        <w:rPr>
          <w:sz w:val="20"/>
          <w:szCs w:val="20"/>
          <w:color w:val="auto"/>
        </w:rPr>
      </w:pPr>
      <w:r>
        <w:rPr>
          <w:rFonts w:ascii="Courier New" w:cs="Courier New" w:eastAsia="Courier New" w:hAnsi="Courier New"/>
          <w:sz w:val="15"/>
          <w:szCs w:val="15"/>
          <w:color w:val="auto"/>
        </w:rPr>
        <w:t>Our capital expenditures were approximately $15.7 million in the three months ended December 31, 2004. Approximately 85% of these expenditures consisted of purchases of computer equipment and, the remainder, leasehold improvements. We funded our capital expenditures principally from operating cash flows. We do not anticipate any changes to this policy in the foreseeable future.</w:t>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82" w:lineRule="exact"/>
        <w:rPr>
          <w:sz w:val="20"/>
          <w:szCs w:val="20"/>
          <w:color w:val="auto"/>
        </w:rPr>
      </w:pPr>
    </w:p>
    <w:p>
      <w:pPr>
        <w:ind w:right="2899" w:firstLine="458"/>
        <w:spacing w:after="0" w:line="269" w:lineRule="auto"/>
        <w:rPr>
          <w:sz w:val="20"/>
          <w:szCs w:val="20"/>
          <w:color w:val="auto"/>
        </w:rPr>
      </w:pPr>
      <w:r>
        <w:rPr>
          <w:rFonts w:ascii="Courier New" w:cs="Courier New" w:eastAsia="Courier New" w:hAnsi="Courier New"/>
          <w:sz w:val="15"/>
          <w:szCs w:val="15"/>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denominated in the U.S. dollar. The operations of our foreign subsidiaries provide the same type of services with the same type of expenditure throughout the Amdocs group.</w:t>
      </w:r>
    </w:p>
    <w:p>
      <w:pPr>
        <w:spacing w:after="0" w:line="76" w:lineRule="exact"/>
        <w:rPr>
          <w:sz w:val="20"/>
          <w:szCs w:val="20"/>
          <w:color w:val="auto"/>
        </w:rPr>
      </w:pPr>
    </w:p>
    <w:p>
      <w:pPr>
        <w:ind w:right="2899" w:firstLine="458"/>
        <w:spacing w:after="0" w:line="260" w:lineRule="auto"/>
        <w:rPr>
          <w:sz w:val="20"/>
          <w:szCs w:val="20"/>
          <w:color w:val="auto"/>
        </w:rPr>
      </w:pPr>
      <w:r>
        <w:rPr>
          <w:rFonts w:ascii="Courier New" w:cs="Courier New" w:eastAsia="Courier New" w:hAnsi="Courier New"/>
          <w:sz w:val="15"/>
          <w:szCs w:val="15"/>
          <w:color w:val="auto"/>
        </w:rPr>
        <w:t>During the three months ended December 31, 2004, approximately 70% of our revenue and approximately 50% of our operating expenses were in U.S. dollars or linked to the U.S. dollar.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25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42" w:right="1440" w:bottom="1440" w:gutter="0" w:footer="0" w:header="0"/>
        </w:sectPr>
      </w:pPr>
    </w:p>
    <w:bookmarkStart w:id="25" w:name="page26"/>
    <w:bookmarkEnd w:id="25"/>
    <w:p>
      <w:pPr>
        <w:ind w:left="6"/>
        <w:spacing w:after="0"/>
        <w:tabs>
          <w:tab w:leader="none" w:pos="806" w:val="left"/>
        </w:tabs>
        <w:rPr>
          <w:sz w:val="20"/>
          <w:szCs w:val="20"/>
          <w:color w:val="auto"/>
        </w:rPr>
      </w:pPr>
      <w:r>
        <w:rPr>
          <w:rFonts w:ascii="Courier New" w:cs="Courier New" w:eastAsia="Courier New" w:hAnsi="Courier New"/>
          <w:sz w:val="15"/>
          <w:szCs w:val="15"/>
          <w:color w:val="auto"/>
        </w:rPr>
        <w:t>PART II</w:t>
        <w:tab/>
        <w:t>OTHER INFORMATION</w:t>
      </w:r>
    </w:p>
    <w:p>
      <w:pPr>
        <w:spacing w:after="0" w:line="182" w:lineRule="exact"/>
        <w:rPr>
          <w:sz w:val="20"/>
          <w:szCs w:val="20"/>
          <w:color w:val="auto"/>
        </w:rPr>
      </w:pPr>
    </w:p>
    <w:p>
      <w:pPr>
        <w:ind w:left="6" w:right="760"/>
        <w:spacing w:after="0" w:line="372" w:lineRule="auto"/>
        <w:rPr>
          <w:sz w:val="20"/>
          <w:szCs w:val="20"/>
          <w:color w:val="auto"/>
        </w:rPr>
      </w:pPr>
      <w:r>
        <w:rPr>
          <w:rFonts w:ascii="Courier New" w:cs="Courier New" w:eastAsia="Courier New" w:hAnsi="Courier New"/>
          <w:sz w:val="15"/>
          <w:szCs w:val="15"/>
          <w:color w:val="auto"/>
        </w:rPr>
        <w:t>ITEM 1. CHANGES IN SECURITIES, USE OF PROCEEDS AND ISSUER PURCHASES OF EQUITY SECURITIES.</w:t>
      </w:r>
    </w:p>
    <w:p>
      <w:pPr>
        <w:spacing w:after="0" w:line="2" w:lineRule="exact"/>
        <w:rPr>
          <w:sz w:val="20"/>
          <w:szCs w:val="20"/>
          <w:color w:val="auto"/>
        </w:rPr>
      </w:pPr>
    </w:p>
    <w:p>
      <w:pPr>
        <w:ind w:left="826" w:hanging="826"/>
        <w:spacing w:after="0"/>
        <w:tabs>
          <w:tab w:leader="none" w:pos="82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 Purchases of Equity Securities</w:t>
      </w:r>
    </w:p>
    <w:p>
      <w:pPr>
        <w:spacing w:after="0" w:line="182" w:lineRule="exact"/>
        <w:rPr>
          <w:sz w:val="20"/>
          <w:szCs w:val="20"/>
          <w:color w:val="auto"/>
        </w:rPr>
      </w:pPr>
    </w:p>
    <w:p>
      <w:pPr>
        <w:ind w:left="6" w:right="480" w:firstLine="824"/>
        <w:spacing w:after="0" w:line="289" w:lineRule="auto"/>
        <w:rPr>
          <w:sz w:val="20"/>
          <w:szCs w:val="20"/>
          <w:color w:val="auto"/>
        </w:rPr>
      </w:pPr>
      <w:r>
        <w:rPr>
          <w:rFonts w:ascii="Courier New" w:cs="Courier New" w:eastAsia="Courier New" w:hAnsi="Courier New"/>
          <w:sz w:val="15"/>
          <w:szCs w:val="15"/>
          <w:color w:val="auto"/>
        </w:rPr>
        <w:t>The following table provides information about purchases by the Company and its affiliated purchasers during the quarter ended December 31, 2004 of equity securities that are registered by the Company pursuant to Section 12 of the Securities Exchange Act of 1934:</w:t>
      </w:r>
    </w:p>
    <w:p>
      <w:pPr>
        <w:spacing w:after="0" w:line="62"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ISSUER PURCHASES OF EQUITY SECURITIES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257"/>
        </w:trPr>
        <w:tc>
          <w:tcPr>
            <w:tcW w:w="2060" w:type="dxa"/>
            <w:vAlign w:val="bottom"/>
          </w:tcPr>
          <w:p>
            <w:pPr>
              <w:spacing w:after="0"/>
              <w:rPr>
                <w:sz w:val="20"/>
                <w:szCs w:val="20"/>
                <w:color w:val="auto"/>
              </w:rPr>
            </w:pPr>
            <w:r>
              <w:rPr>
                <w:rFonts w:ascii="Courier New" w:cs="Courier New" w:eastAsia="Courier New" w:hAnsi="Courier New"/>
                <w:sz w:val="15"/>
                <w:szCs w:val="15"/>
                <w:color w:val="auto"/>
              </w:rPr>
              <w:t>Ordinary Shares</w:t>
            </w:r>
          </w:p>
        </w:tc>
        <w:tc>
          <w:tcPr>
            <w:tcW w:w="25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2060" w:type="dxa"/>
            <w:vAlign w:val="bottom"/>
          </w:tcPr>
          <w:p>
            <w:pPr>
              <w:spacing w:after="0"/>
              <w:rPr>
                <w:sz w:val="24"/>
                <w:szCs w:val="24"/>
                <w:color w:val="auto"/>
              </w:rPr>
            </w:pPr>
          </w:p>
        </w:tc>
        <w:tc>
          <w:tcPr>
            <w:tcW w:w="25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(A)</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rPr>
              <w:t>(B)</w:t>
            </w:r>
          </w:p>
        </w:tc>
        <w:tc>
          <w:tcPr>
            <w:tcW w:w="1600" w:type="dxa"/>
            <w:vAlign w:val="bottom"/>
          </w:tcPr>
          <w:p>
            <w:pPr>
              <w:jc w:val="center"/>
              <w:ind w:left="164"/>
              <w:spacing w:after="0"/>
              <w:rPr>
                <w:sz w:val="20"/>
                <w:szCs w:val="20"/>
                <w:color w:val="auto"/>
              </w:rPr>
            </w:pPr>
            <w:r>
              <w:rPr>
                <w:rFonts w:ascii="Courier New" w:cs="Courier New" w:eastAsia="Courier New" w:hAnsi="Courier New"/>
                <w:sz w:val="15"/>
                <w:szCs w:val="15"/>
                <w:color w:val="auto"/>
              </w:rPr>
              <w:t>(C)</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TOTAL NUMBER OF</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SHARES (OR</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ind w:left="600"/>
              <w:spacing w:after="0"/>
              <w:rPr>
                <w:sz w:val="20"/>
                <w:szCs w:val="20"/>
                <w:color w:val="auto"/>
              </w:rPr>
            </w:pPr>
            <w:r>
              <w:rPr>
                <w:rFonts w:ascii="Courier New" w:cs="Courier New" w:eastAsia="Courier New" w:hAnsi="Courier New"/>
                <w:sz w:val="15"/>
                <w:szCs w:val="15"/>
                <w:color w:val="auto"/>
              </w:rPr>
              <w:t>UNITS)</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520" w:type="dxa"/>
            <w:vAlign w:val="bottom"/>
            <w:vMerge w:val="restart"/>
          </w:tcPr>
          <w:p>
            <w:pPr>
              <w:jc w:val="right"/>
              <w:ind w:right="1024"/>
              <w:spacing w:after="0"/>
              <w:rPr>
                <w:sz w:val="20"/>
                <w:szCs w:val="20"/>
                <w:color w:val="auto"/>
              </w:rPr>
            </w:pPr>
            <w:r>
              <w:rPr>
                <w:rFonts w:ascii="Courier New" w:cs="Courier New" w:eastAsia="Courier New" w:hAnsi="Courier New"/>
                <w:sz w:val="15"/>
                <w:szCs w:val="15"/>
                <w:color w:val="auto"/>
              </w:rPr>
              <w:t>TOTAL</w:t>
            </w:r>
          </w:p>
        </w:tc>
        <w:tc>
          <w:tcPr>
            <w:tcW w:w="160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AVERAGE</w:t>
            </w: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PURCHASED AS</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600" w:type="dxa"/>
            <w:vAlign w:val="bottom"/>
          </w:tcPr>
          <w:p>
            <w:pPr>
              <w:jc w:val="center"/>
              <w:ind w:left="164"/>
              <w:spacing w:after="0"/>
              <w:rPr>
                <w:sz w:val="20"/>
                <w:szCs w:val="20"/>
                <w:color w:val="auto"/>
              </w:rPr>
            </w:pPr>
            <w:r>
              <w:rPr>
                <w:rFonts w:ascii="Courier New" w:cs="Courier New" w:eastAsia="Courier New" w:hAnsi="Courier New"/>
                <w:sz w:val="15"/>
                <w:szCs w:val="15"/>
                <w:color w:val="auto"/>
              </w:rPr>
              <w:t>PART OF</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5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NUMBER OF</w:t>
            </w:r>
          </w:p>
        </w:tc>
        <w:tc>
          <w:tcPr>
            <w:tcW w:w="1600" w:type="dxa"/>
            <w:vAlign w:val="bottom"/>
          </w:tcPr>
          <w:p>
            <w:pPr>
              <w:ind w:left="360"/>
              <w:spacing w:after="0"/>
              <w:rPr>
                <w:sz w:val="20"/>
                <w:szCs w:val="20"/>
                <w:color w:val="auto"/>
              </w:rPr>
            </w:pPr>
            <w:r>
              <w:rPr>
                <w:rFonts w:ascii="Courier New" w:cs="Courier New" w:eastAsia="Courier New" w:hAnsi="Courier New"/>
                <w:sz w:val="15"/>
                <w:szCs w:val="15"/>
                <w:color w:val="auto"/>
              </w:rPr>
              <w:t>PRICE PAID</w:t>
            </w: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PUBLICLY</w:t>
            </w:r>
          </w:p>
        </w:tc>
        <w:tc>
          <w:tcPr>
            <w:tcW w:w="0" w:type="dxa"/>
            <w:vAlign w:val="bottom"/>
          </w:tcPr>
          <w:p>
            <w:pPr>
              <w:spacing w:after="0"/>
              <w:rPr>
                <w:sz w:val="1"/>
                <w:szCs w:val="1"/>
                <w:color w:val="auto"/>
              </w:rPr>
            </w:pPr>
          </w:p>
        </w:tc>
      </w:tr>
      <w:tr>
        <w:trPr>
          <w:trHeight w:val="176"/>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PERIOD</w:t>
            </w:r>
          </w:p>
        </w:tc>
        <w:tc>
          <w:tcPr>
            <w:tcW w:w="25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SHARES (OR</w:t>
            </w:r>
          </w:p>
        </w:tc>
        <w:tc>
          <w:tcPr>
            <w:tcW w:w="1600" w:type="dxa"/>
            <w:vAlign w:val="bottom"/>
          </w:tcPr>
          <w:p>
            <w:pPr>
              <w:ind w:left="360"/>
              <w:spacing w:after="0"/>
              <w:rPr>
                <w:sz w:val="20"/>
                <w:szCs w:val="20"/>
                <w:color w:val="auto"/>
              </w:rPr>
            </w:pPr>
            <w:r>
              <w:rPr>
                <w:rFonts w:ascii="Courier New" w:cs="Courier New" w:eastAsia="Courier New" w:hAnsi="Courier New"/>
                <w:sz w:val="15"/>
                <w:szCs w:val="15"/>
                <w:color w:val="auto"/>
              </w:rPr>
              <w:t>PER SHARE</w:t>
            </w:r>
          </w:p>
        </w:tc>
        <w:tc>
          <w:tcPr>
            <w:tcW w:w="160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ANNOUNCED PLANS</w:t>
            </w:r>
          </w:p>
        </w:tc>
        <w:tc>
          <w:tcPr>
            <w:tcW w:w="0" w:type="dxa"/>
            <w:vAlign w:val="bottom"/>
          </w:tcPr>
          <w:p>
            <w:pPr>
              <w:spacing w:after="0"/>
              <w:rPr>
                <w:sz w:val="1"/>
                <w:szCs w:val="1"/>
                <w:color w:val="auto"/>
              </w:rPr>
            </w:pPr>
          </w:p>
        </w:tc>
      </w:tr>
      <w:tr>
        <w:trPr>
          <w:trHeight w:val="176"/>
        </w:trPr>
        <w:tc>
          <w:tcPr>
            <w:tcW w:w="2060" w:type="dxa"/>
            <w:vAlign w:val="bottom"/>
            <w:vMerge w:val="continue"/>
          </w:tcPr>
          <w:p>
            <w:pPr>
              <w:spacing w:after="0"/>
              <w:rPr>
                <w:sz w:val="15"/>
                <w:szCs w:val="15"/>
                <w:color w:val="auto"/>
              </w:rPr>
            </w:pPr>
          </w:p>
        </w:tc>
        <w:tc>
          <w:tcPr>
            <w:tcW w:w="2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UNITS) PURCHASED</w:t>
            </w:r>
          </w:p>
        </w:tc>
        <w:tc>
          <w:tcPr>
            <w:tcW w:w="1600" w:type="dxa"/>
            <w:vAlign w:val="bottom"/>
          </w:tcPr>
          <w:p>
            <w:pPr>
              <w:ind w:left="360"/>
              <w:spacing w:after="0"/>
              <w:rPr>
                <w:sz w:val="20"/>
                <w:szCs w:val="20"/>
                <w:color w:val="auto"/>
              </w:rPr>
            </w:pPr>
            <w:r>
              <w:rPr>
                <w:rFonts w:ascii="Courier New" w:cs="Courier New" w:eastAsia="Courier New" w:hAnsi="Courier New"/>
                <w:sz w:val="15"/>
                <w:szCs w:val="15"/>
                <w:color w:val="auto"/>
              </w:rPr>
              <w:t>(OR UNIT)</w:t>
            </w:r>
          </w:p>
        </w:tc>
        <w:tc>
          <w:tcPr>
            <w:tcW w:w="1600" w:type="dxa"/>
            <w:vAlign w:val="bottom"/>
          </w:tcPr>
          <w:p>
            <w:pPr>
              <w:jc w:val="center"/>
              <w:ind w:left="164"/>
              <w:spacing w:after="0"/>
              <w:rPr>
                <w:sz w:val="20"/>
                <w:szCs w:val="20"/>
                <w:color w:val="auto"/>
              </w:rPr>
            </w:pPr>
            <w:r>
              <w:rPr>
                <w:rFonts w:ascii="Courier New" w:cs="Courier New" w:eastAsia="Courier New" w:hAnsi="Courier New"/>
                <w:sz w:val="15"/>
                <w:szCs w:val="15"/>
                <w:color w:val="auto"/>
              </w:rPr>
              <w:t>OR PROGRAMS</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60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71"/>
        </w:trPr>
        <w:tc>
          <w:tcPr>
            <w:tcW w:w="2060" w:type="dxa"/>
            <w:vAlign w:val="bottom"/>
          </w:tcPr>
          <w:p>
            <w:pPr>
              <w:spacing w:after="0"/>
              <w:rPr>
                <w:sz w:val="20"/>
                <w:szCs w:val="20"/>
                <w:color w:val="auto"/>
              </w:rPr>
            </w:pPr>
            <w:r>
              <w:rPr>
                <w:rFonts w:ascii="Courier New" w:cs="Courier New" w:eastAsia="Courier New" w:hAnsi="Courier New"/>
                <w:sz w:val="15"/>
                <w:szCs w:val="15"/>
                <w:color w:val="auto"/>
              </w:rPr>
              <w:t>10/01/04-10/31/04</w:t>
            </w:r>
          </w:p>
        </w:tc>
        <w:tc>
          <w:tcPr>
            <w:tcW w:w="25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11/01/04-11/30/04</w:t>
            </w:r>
          </w:p>
        </w:tc>
        <w:tc>
          <w:tcPr>
            <w:tcW w:w="25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12/01/04-12/31/04</w:t>
            </w:r>
          </w:p>
        </w:tc>
        <w:tc>
          <w:tcPr>
            <w:tcW w:w="25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6"/>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2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c>
          <w:tcPr>
            <w:tcW w:w="1600" w:type="dxa"/>
            <w:vAlign w:val="bottom"/>
          </w:tcPr>
          <w:p>
            <w:pPr>
              <w:jc w:val="center"/>
              <w:ind w:left="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060" w:type="dxa"/>
            <w:vAlign w:val="bottom"/>
            <w:vMerge w:val="continue"/>
          </w:tcPr>
          <w:p>
            <w:pPr>
              <w:spacing w:after="0"/>
              <w:rPr>
                <w:sz w:val="15"/>
                <w:szCs w:val="15"/>
                <w:color w:val="auto"/>
              </w:rPr>
            </w:pPr>
          </w:p>
        </w:tc>
        <w:tc>
          <w:tcPr>
            <w:tcW w:w="25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c>
          <w:tcPr>
            <w:tcW w:w="16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2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22"/>
                <w:szCs w:val="22"/>
                <w:color w:val="auto"/>
              </w:rPr>
            </w:pPr>
          </w:p>
        </w:tc>
        <w:tc>
          <w:tcPr>
            <w:tcW w:w="1600" w:type="dxa"/>
            <w:vAlign w:val="bottom"/>
          </w:tcPr>
          <w:p>
            <w:pPr>
              <w:jc w:val="center"/>
              <w:ind w:left="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1106" w:right="560" w:hanging="556"/>
        <w:spacing w:after="0" w:line="269" w:lineRule="auto"/>
        <w:tabs>
          <w:tab w:leader="none" w:pos="110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5, 2003, the Company announced that its board of directors had authorized a share repurchase program of up to five million ordinary shares during fiscal 2004. As of September 30, 2004, 10,100 shares were available for repurchase pursuant to the board authorization for this program. This program expired in November 2004. No share repurchases under this program were made in the three months ended December 31, 2004.</w:t>
      </w:r>
    </w:p>
    <w:p>
      <w:pPr>
        <w:spacing w:after="0" w:line="76" w:lineRule="exact"/>
        <w:rPr>
          <w:rFonts w:ascii="Courier New" w:cs="Courier New" w:eastAsia="Courier New" w:hAnsi="Courier New"/>
          <w:sz w:val="15"/>
          <w:szCs w:val="15"/>
          <w:color w:val="auto"/>
        </w:rPr>
      </w:pPr>
    </w:p>
    <w:p>
      <w:pPr>
        <w:ind w:left="1106" w:right="480" w:hanging="556"/>
        <w:spacing w:after="0" w:line="273" w:lineRule="auto"/>
        <w:tabs>
          <w:tab w:leader="none" w:pos="110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20, 2004, the Company announced that its Board of Directors had extended the share repurchase program for the additional repurchase of up to $100 million of our ordinary shares in the open market or privately negotiated transactions and at times and prices we deem appropriate. No share repurchases under this program were made in the three months ended December 31, 2004.</w:t>
      </w:r>
    </w:p>
    <w:p>
      <w:pPr>
        <w:spacing w:after="0" w:line="7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Convertible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w:t>
      </w:r>
    </w:p>
    <w:p>
      <w:pPr>
        <w:spacing w:after="0" w:line="359" w:lineRule="exact"/>
        <w:rPr>
          <w:sz w:val="20"/>
          <w:szCs w:val="20"/>
          <w:color w:val="auto"/>
        </w:rPr>
      </w:pPr>
    </w:p>
    <w:p>
      <w:pPr>
        <w:ind w:left="80" w:right="540" w:firstLine="92"/>
        <w:spacing w:after="0" w:line="262" w:lineRule="auto"/>
        <w:rPr>
          <w:sz w:val="20"/>
          <w:szCs w:val="20"/>
          <w:color w:val="auto"/>
        </w:rPr>
      </w:pPr>
      <w:r>
        <w:rPr>
          <w:rFonts w:ascii="Courier New" w:cs="Courier New" w:eastAsia="Courier New" w:hAnsi="Courier New"/>
          <w:sz w:val="15"/>
          <w:szCs w:val="15"/>
          <w:color w:val="auto"/>
        </w:rPr>
        <w:t>MAXIMUM NUMBER (OR APPROXIMATE DOLLAR VALUE) OF SHARES (OR</w:t>
      </w:r>
    </w:p>
    <w:p>
      <w:pPr>
        <w:ind w:right="180" w:firstLine="92"/>
        <w:spacing w:after="0" w:line="248" w:lineRule="auto"/>
        <w:rPr>
          <w:sz w:val="20"/>
          <w:szCs w:val="20"/>
          <w:color w:val="auto"/>
        </w:rPr>
      </w:pPr>
      <w:r>
        <w:rPr>
          <w:rFonts w:ascii="Courier New" w:cs="Courier New" w:eastAsia="Courier New" w:hAnsi="Courier New"/>
          <w:sz w:val="15"/>
          <w:szCs w:val="15"/>
          <w:color w:val="auto"/>
        </w:rPr>
        <w:t>UNITS) THAT MAY YET BE PURCHASED UNDER THE PLANS OR PROGRAMS (1) (2)</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ind w:left="540" w:right="260" w:hanging="457"/>
        <w:spacing w:after="0" w:line="310" w:lineRule="auto"/>
        <w:rPr>
          <w:sz w:val="20"/>
          <w:szCs w:val="20"/>
          <w:color w:val="auto"/>
        </w:rPr>
      </w:pPr>
      <w:r>
        <w:rPr>
          <w:rFonts w:ascii="Courier New" w:cs="Courier New" w:eastAsia="Courier New" w:hAnsi="Courier New"/>
          <w:sz w:val="15"/>
          <w:szCs w:val="15"/>
          <w:color w:val="auto"/>
        </w:rPr>
        <w:t>10,100 and $100 million $100 million $100 million</w:t>
      </w:r>
    </w:p>
    <w:p>
      <w:pPr>
        <w:spacing w:after="0" w:line="4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$100 million</w:t>
      </w:r>
    </w:p>
    <w:p>
      <w:pPr>
        <w:spacing w:after="0" w:line="3547" w:lineRule="exact"/>
        <w:rPr>
          <w:sz w:val="20"/>
          <w:szCs w:val="20"/>
          <w:color w:val="auto"/>
        </w:rPr>
      </w:pPr>
    </w:p>
    <w:p>
      <w:pPr>
        <w:sectPr>
          <w:pgSz w:w="11900" w:h="16838" w:orient="portrait"/>
          <w:cols w:equalWidth="0" w:num="2">
            <w:col w:w="7806" w:space="720"/>
            <w:col w:w="2460"/>
          </w:cols>
          <w:pgMar w:left="234" w:top="442" w:right="679" w:bottom="1440" w:gutter="0" w:footer="0" w:header="0"/>
        </w:sect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2060" w:type="dxa"/>
            <w:vAlign w:val="bottom"/>
          </w:tcPr>
          <w:p>
            <w:pPr>
              <w:spacing w:after="0"/>
              <w:rPr>
                <w:sz w:val="15"/>
                <w:szCs w:val="15"/>
                <w:color w:val="auto"/>
              </w:rPr>
            </w:pPr>
          </w:p>
        </w:tc>
        <w:tc>
          <w:tcPr>
            <w:tcW w:w="24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(A)</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rPr>
              <w:t>(B)</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rPr>
              <w:t>(C)</w:t>
            </w:r>
          </w:p>
        </w:tc>
        <w:tc>
          <w:tcPr>
            <w:tcW w:w="24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(D)</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rPr>
              <w:t>AVERAGE PRICE</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rPr>
              <w:t>TOTAL NUMBER OF</w:t>
            </w:r>
          </w:p>
        </w:tc>
        <w:tc>
          <w:tcPr>
            <w:tcW w:w="2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MAXIMUM NUMBER (OR</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7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PAID PER</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rPr>
              <w:t>PRINCIPAL AMOUNT OF</w:t>
            </w:r>
          </w:p>
        </w:tc>
        <w:tc>
          <w:tcPr>
            <w:tcW w:w="2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APPROXIMATE DOLLAR</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4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TOTAL PRINCIPAL</w:t>
            </w:r>
          </w:p>
        </w:tc>
        <w:tc>
          <w:tcPr>
            <w:tcW w:w="17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$1,000</w:t>
            </w:r>
          </w:p>
        </w:tc>
        <w:tc>
          <w:tcPr>
            <w:tcW w:w="2200" w:type="dxa"/>
            <w:vAlign w:val="bottom"/>
          </w:tcPr>
          <w:p>
            <w:pPr>
              <w:ind w:left="320"/>
              <w:spacing w:after="0"/>
              <w:rPr>
                <w:sz w:val="20"/>
                <w:szCs w:val="20"/>
                <w:color w:val="auto"/>
              </w:rPr>
            </w:pPr>
            <w:r>
              <w:rPr>
                <w:rFonts w:ascii="Courier New" w:cs="Courier New" w:eastAsia="Courier New" w:hAnsi="Courier New"/>
                <w:sz w:val="15"/>
                <w:szCs w:val="15"/>
                <w:color w:val="auto"/>
              </w:rPr>
              <w:t>CONVERTIBLE NOTES</w:t>
            </w:r>
          </w:p>
        </w:tc>
        <w:tc>
          <w:tcPr>
            <w:tcW w:w="2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VALUE) OF PRINCIPAL</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rPr>
              <w:t>PRINCIPAL</w:t>
            </w:r>
          </w:p>
        </w:tc>
        <w:tc>
          <w:tcPr>
            <w:tcW w:w="2200" w:type="dxa"/>
            <w:vAlign w:val="bottom"/>
          </w:tcPr>
          <w:p>
            <w:pPr>
              <w:ind w:left="320"/>
              <w:spacing w:after="0"/>
              <w:rPr>
                <w:sz w:val="20"/>
                <w:szCs w:val="20"/>
                <w:color w:val="auto"/>
              </w:rPr>
            </w:pPr>
            <w:r>
              <w:rPr>
                <w:rFonts w:ascii="Courier New" w:cs="Courier New" w:eastAsia="Courier New" w:hAnsi="Courier New"/>
                <w:sz w:val="15"/>
                <w:szCs w:val="15"/>
                <w:color w:val="auto"/>
              </w:rPr>
              <w:t>PURCHASED AS PART</w:t>
            </w:r>
          </w:p>
        </w:tc>
        <w:tc>
          <w:tcPr>
            <w:tcW w:w="2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AMOUNT OF CONVERTIBLE</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4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AMOUNT OF</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rPr>
              <w:t>AMOUNT OF</w:t>
            </w:r>
          </w:p>
        </w:tc>
        <w:tc>
          <w:tcPr>
            <w:tcW w:w="2200" w:type="dxa"/>
            <w:vAlign w:val="bottom"/>
          </w:tcPr>
          <w:p>
            <w:pPr>
              <w:ind w:left="500"/>
              <w:spacing w:after="0"/>
              <w:rPr>
                <w:sz w:val="20"/>
                <w:szCs w:val="20"/>
                <w:color w:val="auto"/>
              </w:rPr>
            </w:pPr>
            <w:r>
              <w:rPr>
                <w:rFonts w:ascii="Courier New" w:cs="Courier New" w:eastAsia="Courier New" w:hAnsi="Courier New"/>
                <w:sz w:val="15"/>
                <w:szCs w:val="15"/>
                <w:color w:val="auto"/>
              </w:rPr>
              <w:t>OF PUBLICLY</w:t>
            </w:r>
          </w:p>
        </w:tc>
        <w:tc>
          <w:tcPr>
            <w:tcW w:w="24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NOTES THAT MAY YET BE</w:t>
            </w:r>
          </w:p>
        </w:tc>
        <w:tc>
          <w:tcPr>
            <w:tcW w:w="0" w:type="dxa"/>
            <w:vAlign w:val="bottom"/>
          </w:tcPr>
          <w:p>
            <w:pPr>
              <w:spacing w:after="0"/>
              <w:rPr>
                <w:sz w:val="1"/>
                <w:szCs w:val="1"/>
                <w:color w:val="auto"/>
              </w:rPr>
            </w:pPr>
          </w:p>
        </w:tc>
      </w:tr>
      <w:tr>
        <w:trPr>
          <w:trHeight w:val="176"/>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PERIOD</w:t>
            </w:r>
          </w:p>
        </w:tc>
        <w:tc>
          <w:tcPr>
            <w:tcW w:w="2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CONVERTIBLE NOTES</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rPr>
              <w:t>CONVERTIBLE</w:t>
            </w:r>
          </w:p>
        </w:tc>
        <w:tc>
          <w:tcPr>
            <w:tcW w:w="2200" w:type="dxa"/>
            <w:vAlign w:val="bottom"/>
          </w:tcPr>
          <w:p>
            <w:pPr>
              <w:ind w:left="320"/>
              <w:spacing w:after="0"/>
              <w:rPr>
                <w:sz w:val="20"/>
                <w:szCs w:val="20"/>
                <w:color w:val="auto"/>
              </w:rPr>
            </w:pPr>
            <w:r>
              <w:rPr>
                <w:rFonts w:ascii="Courier New" w:cs="Courier New" w:eastAsia="Courier New" w:hAnsi="Courier New"/>
                <w:sz w:val="15"/>
                <w:szCs w:val="15"/>
                <w:color w:val="auto"/>
              </w:rPr>
              <w:t>ANNOUNCED PLANS</w:t>
            </w:r>
          </w:p>
        </w:tc>
        <w:tc>
          <w:tcPr>
            <w:tcW w:w="2420" w:type="dxa"/>
            <w:vAlign w:val="bottom"/>
          </w:tcPr>
          <w:p>
            <w:pPr>
              <w:jc w:val="center"/>
              <w:ind w:left="44"/>
              <w:spacing w:after="0"/>
              <w:rPr>
                <w:sz w:val="20"/>
                <w:szCs w:val="20"/>
                <w:color w:val="auto"/>
              </w:rPr>
            </w:pPr>
            <w:r>
              <w:rPr>
                <w:rFonts w:ascii="Courier New" w:cs="Courier New" w:eastAsia="Courier New" w:hAnsi="Courier New"/>
                <w:sz w:val="15"/>
                <w:szCs w:val="15"/>
                <w:color w:val="auto"/>
              </w:rPr>
              <w:t>PURCHASED UNDER THE</w:t>
            </w:r>
          </w:p>
        </w:tc>
        <w:tc>
          <w:tcPr>
            <w:tcW w:w="0" w:type="dxa"/>
            <w:vAlign w:val="bottom"/>
          </w:tcPr>
          <w:p>
            <w:pPr>
              <w:spacing w:after="0"/>
              <w:rPr>
                <w:sz w:val="1"/>
                <w:szCs w:val="1"/>
                <w:color w:val="auto"/>
              </w:rPr>
            </w:pPr>
          </w:p>
        </w:tc>
      </w:tr>
      <w:tr>
        <w:trPr>
          <w:trHeight w:val="176"/>
        </w:trPr>
        <w:tc>
          <w:tcPr>
            <w:tcW w:w="2060" w:type="dxa"/>
            <w:vAlign w:val="bottom"/>
            <w:vMerge w:val="continue"/>
          </w:tcPr>
          <w:p>
            <w:pPr>
              <w:spacing w:after="0"/>
              <w:rPr>
                <w:sz w:val="15"/>
                <w:szCs w:val="15"/>
                <w:color w:val="auto"/>
              </w:rPr>
            </w:pPr>
          </w:p>
        </w:tc>
        <w:tc>
          <w:tcPr>
            <w:tcW w:w="24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PURCHASED</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rPr>
              <w:t>NOTES</w:t>
            </w:r>
          </w:p>
        </w:tc>
        <w:tc>
          <w:tcPr>
            <w:tcW w:w="2200" w:type="dxa"/>
            <w:vAlign w:val="bottom"/>
          </w:tcPr>
          <w:p>
            <w:pPr>
              <w:ind w:left="500"/>
              <w:spacing w:after="0"/>
              <w:rPr>
                <w:sz w:val="20"/>
                <w:szCs w:val="20"/>
                <w:color w:val="auto"/>
              </w:rPr>
            </w:pPr>
            <w:r>
              <w:rPr>
                <w:rFonts w:ascii="Courier New" w:cs="Courier New" w:eastAsia="Courier New" w:hAnsi="Courier New"/>
                <w:sz w:val="15"/>
                <w:szCs w:val="15"/>
                <w:color w:val="auto"/>
              </w:rPr>
              <w:t>OR PROGRAMS</w:t>
            </w:r>
          </w:p>
        </w:tc>
        <w:tc>
          <w:tcPr>
            <w:tcW w:w="24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PLANS OR PROGRAMS (1)</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060" w:type="dxa"/>
            <w:vAlign w:val="bottom"/>
          </w:tcPr>
          <w:p>
            <w:pPr>
              <w:spacing w:after="0"/>
              <w:rPr>
                <w:sz w:val="20"/>
                <w:szCs w:val="20"/>
                <w:color w:val="auto"/>
              </w:rPr>
            </w:pPr>
            <w:r>
              <w:rPr>
                <w:rFonts w:ascii="Courier New" w:cs="Courier New" w:eastAsia="Courier New" w:hAnsi="Courier New"/>
                <w:sz w:val="15"/>
                <w:szCs w:val="15"/>
                <w:color w:val="auto"/>
              </w:rPr>
              <w:t>10/01/04-10/31/04</w:t>
            </w:r>
          </w:p>
        </w:tc>
        <w:tc>
          <w:tcPr>
            <w:tcW w:w="24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 --</w:t>
            </w:r>
          </w:p>
        </w:tc>
        <w:tc>
          <w:tcPr>
            <w:tcW w:w="220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$272,000</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11/01/04-11/30/04</w:t>
            </w:r>
          </w:p>
        </w:tc>
        <w:tc>
          <w:tcPr>
            <w:tcW w:w="24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272,000</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12/01/04-12/31/04</w:t>
            </w:r>
          </w:p>
        </w:tc>
        <w:tc>
          <w:tcPr>
            <w:tcW w:w="24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272,000</w:t>
            </w:r>
          </w:p>
        </w:tc>
        <w:tc>
          <w:tcPr>
            <w:tcW w:w="0" w:type="dxa"/>
            <w:vAlign w:val="bottom"/>
          </w:tcPr>
          <w:p>
            <w:pPr>
              <w:spacing w:after="0"/>
              <w:rPr>
                <w:sz w:val="1"/>
                <w:szCs w:val="1"/>
                <w:color w:val="auto"/>
              </w:rPr>
            </w:pPr>
          </w:p>
        </w:tc>
      </w:tr>
      <w:tr>
        <w:trPr>
          <w:trHeight w:val="176"/>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2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42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rPr>
              <w:t>272,000</w:t>
            </w:r>
          </w:p>
        </w:tc>
        <w:tc>
          <w:tcPr>
            <w:tcW w:w="0" w:type="dxa"/>
            <w:vAlign w:val="bottom"/>
          </w:tcPr>
          <w:p>
            <w:pPr>
              <w:spacing w:after="0"/>
              <w:rPr>
                <w:sz w:val="1"/>
                <w:szCs w:val="1"/>
                <w:color w:val="auto"/>
              </w:rPr>
            </w:pPr>
          </w:p>
        </w:tc>
      </w:tr>
      <w:tr>
        <w:trPr>
          <w:trHeight w:val="176"/>
        </w:trPr>
        <w:tc>
          <w:tcPr>
            <w:tcW w:w="2060" w:type="dxa"/>
            <w:vAlign w:val="bottom"/>
            <w:vMerge w:val="continue"/>
          </w:tcPr>
          <w:p>
            <w:pPr>
              <w:spacing w:after="0"/>
              <w:rPr>
                <w:sz w:val="15"/>
                <w:szCs w:val="15"/>
                <w:color w:val="auto"/>
              </w:rPr>
            </w:pPr>
          </w:p>
        </w:tc>
        <w:tc>
          <w:tcPr>
            <w:tcW w:w="24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15"/>
                <w:szCs w:val="15"/>
                <w:color w:val="auto"/>
              </w:rPr>
            </w:pPr>
          </w:p>
        </w:tc>
        <w:tc>
          <w:tcPr>
            <w:tcW w:w="220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w:t>
            </w: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2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22"/>
                <w:szCs w:val="22"/>
                <w:color w:val="auto"/>
              </w:rPr>
            </w:pPr>
          </w:p>
        </w:tc>
        <w:tc>
          <w:tcPr>
            <w:tcW w:w="22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546" w:right="3740" w:hanging="546"/>
        <w:spacing w:after="0" w:line="372" w:lineRule="auto"/>
        <w:tabs>
          <w:tab w:leader="none" w:pos="54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2004, the Company's board of directors authorized the Company to repurchase the outstanding amount of the 2% Notes.</w:t>
      </w:r>
    </w:p>
    <w:p>
      <w:pPr>
        <w:spacing w:after="0" w:line="178"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986"/>
          </w:cols>
          <w:pgMar w:left="234" w:top="442" w:right="679" w:bottom="1440" w:gutter="0" w:footer="0" w:header="0"/>
          <w:type w:val="continuous"/>
        </w:sectPr>
      </w:pPr>
    </w:p>
    <w:bookmarkStart w:id="26" w:name="page27"/>
    <w:bookmarkEnd w:id="26"/>
    <w:p>
      <w:pPr>
        <w:ind w:left="6"/>
        <w:spacing w:after="0"/>
        <w:tabs>
          <w:tab w:leader="none" w:pos="906"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REPORTS ON FORM 6-K</w:t>
      </w:r>
    </w:p>
    <w:p>
      <w:pPr>
        <w:spacing w:after="0" w:line="182" w:lineRule="exact"/>
        <w:rPr>
          <w:sz w:val="20"/>
          <w:szCs w:val="20"/>
          <w:color w:val="auto"/>
        </w:rPr>
      </w:pPr>
    </w:p>
    <w:p>
      <w:pPr>
        <w:ind w:left="546" w:hanging="546"/>
        <w:spacing w:after="0"/>
        <w:tabs>
          <w:tab w:leader="none" w:pos="5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82" w:lineRule="exact"/>
        <w:rPr>
          <w:rFonts w:ascii="Courier New" w:cs="Courier New" w:eastAsia="Courier New" w:hAnsi="Courier New"/>
          <w:sz w:val="15"/>
          <w:szCs w:val="15"/>
          <w:color w:val="auto"/>
        </w:rPr>
      </w:pPr>
    </w:p>
    <w:p>
      <w:pPr>
        <w:ind w:left="546" w:right="3439"/>
        <w:spacing w:after="0" w:line="3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the following reports on Form 6-K during the three months ended December 31, 2004:</w:t>
      </w:r>
    </w:p>
    <w:p>
      <w:pPr>
        <w:spacing w:after="0" w:line="1" w:lineRule="exact"/>
        <w:rPr>
          <w:rFonts w:ascii="Courier New" w:cs="Courier New" w:eastAsia="Courier New" w:hAnsi="Courier New"/>
          <w:sz w:val="15"/>
          <w:szCs w:val="15"/>
          <w:color w:val="auto"/>
        </w:rPr>
      </w:pPr>
    </w:p>
    <w:p>
      <w:pPr>
        <w:ind w:left="1106" w:hanging="556"/>
        <w:spacing w:after="0"/>
        <w:tabs>
          <w:tab w:leader="none" w:pos="1106"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October 1, 2004.</w:t>
      </w:r>
    </w:p>
    <w:p>
      <w:pPr>
        <w:spacing w:after="0" w:line="182" w:lineRule="exact"/>
        <w:rPr>
          <w:rFonts w:ascii="Courier New" w:cs="Courier New" w:eastAsia="Courier New" w:hAnsi="Courier New"/>
          <w:sz w:val="15"/>
          <w:szCs w:val="15"/>
          <w:color w:val="auto"/>
        </w:rPr>
      </w:pPr>
    </w:p>
    <w:p>
      <w:pPr>
        <w:ind w:left="1106" w:hanging="556"/>
        <w:spacing w:after="0"/>
        <w:tabs>
          <w:tab w:leader="none" w:pos="1106"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November 4, 2004.</w:t>
      </w:r>
    </w:p>
    <w:p>
      <w:pPr>
        <w:spacing w:after="0" w:line="182" w:lineRule="exact"/>
        <w:rPr>
          <w:rFonts w:ascii="Courier New" w:cs="Courier New" w:eastAsia="Courier New" w:hAnsi="Courier New"/>
          <w:sz w:val="15"/>
          <w:szCs w:val="15"/>
          <w:color w:val="auto"/>
        </w:rPr>
      </w:pPr>
    </w:p>
    <w:p>
      <w:pPr>
        <w:ind w:left="1106" w:hanging="556"/>
        <w:spacing w:after="0"/>
        <w:tabs>
          <w:tab w:leader="none" w:pos="1106"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December 20, 2004.</w:t>
      </w:r>
    </w:p>
    <w:p>
      <w:pPr>
        <w:spacing w:after="0" w:line="182" w:lineRule="exact"/>
        <w:rPr>
          <w:rFonts w:ascii="Courier New" w:cs="Courier New" w:eastAsia="Courier New" w:hAnsi="Courier New"/>
          <w:sz w:val="15"/>
          <w:szCs w:val="15"/>
          <w:color w:val="auto"/>
        </w:rPr>
      </w:pPr>
    </w:p>
    <w:p>
      <w:pPr>
        <w:ind w:left="1106" w:hanging="556"/>
        <w:spacing w:after="0"/>
        <w:tabs>
          <w:tab w:leader="none" w:pos="1106"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December 21, 2004.</w:t>
      </w:r>
    </w:p>
    <w:p>
      <w:pPr>
        <w:spacing w:after="0" w:line="200" w:lineRule="exact"/>
        <w:rPr>
          <w:sz w:val="20"/>
          <w:szCs w:val="20"/>
          <w:color w:val="auto"/>
        </w:rPr>
      </w:pPr>
    </w:p>
    <w:p>
      <w:pPr>
        <w:spacing w:after="0" w:line="33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5"/>
          </w:cols>
          <w:pgMar w:left="234" w:top="442" w:right="1440" w:bottom="1440" w:gutter="0" w:footer="0" w:header="0"/>
        </w:sectPr>
      </w:pPr>
    </w:p>
    <w:bookmarkStart w:id="27" w:name="page28"/>
    <w:bookmarkEnd w:id="27"/>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jc w:val="both"/>
        <w:ind w:right="3619"/>
        <w:spacing w:after="0" w:line="31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AMDOCS LIMITED</w:t>
      </w:r>
    </w:p>
    <w:p>
      <w:pPr>
        <w:spacing w:after="0" w:line="359"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/s/ Thomas G. O'Brien</w:t>
      </w:r>
    </w:p>
    <w:p>
      <w:pPr>
        <w:spacing w:after="0" w:line="34"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Thomas G. O'Brien</w:t>
      </w:r>
    </w:p>
    <w:p>
      <w:pPr>
        <w:spacing w:after="0" w:line="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Treasurer and Secretary</w:t>
      </w:r>
    </w:p>
    <w:p>
      <w:pPr>
        <w:spacing w:after="0" w:line="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Authorized U.S. Representative</w:t>
      </w:r>
    </w:p>
    <w:p>
      <w:pPr>
        <w:spacing w:after="0" w:line="1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February 14, 2005</w:t>
      </w:r>
    </w:p>
    <w:sectPr>
      <w:pgSz w:w="11900" w:h="16838" w:orient="portrait"/>
      <w:cols w:equalWidth="0" w:num="1">
        <w:col w:w="10219"/>
      </w:cols>
      <w:pgMar w:left="240" w:top="4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5"/>
    </w:lvl>
  </w:abstractNum>
  <w:abstractNum w:abstractNumId="2">
    <w:nsid w:val="12200854"/>
    <w:multiLevelType w:val="hybridMultilevel"/>
    <w:lvl w:ilvl="0">
      <w:lvlJc w:val="left"/>
      <w:lvlText w:val="%1."/>
      <w:numFmt w:val="decimal"/>
      <w:start w:val="6"/>
    </w:lvl>
  </w:abstractNum>
  <w:abstractNum w:abstractNumId="3">
    <w:nsid w:val="4DB127F8"/>
    <w:multiLevelType w:val="hybridMultilevel"/>
    <w:lvl w:ilvl="0">
      <w:lvlJc w:val="left"/>
      <w:lvlText w:val="%1."/>
      <w:numFmt w:val="decimal"/>
      <w:start w:val="7"/>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0"/>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2"/>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2019-12-14T21:12:56Z</dcterms:created>
  <dcterms:modified xsi:type="dcterms:W3CDTF">2019-12-14T21:12:56Z</dcterms:modified>
</cp:coreProperties>
</file>