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month of November 2024</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182245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Hirzel House, Smith Street,</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St. Peter Port, Island of Guernsey, GY1 2NG</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Amdocs, Inc.</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625 Maryville Centre Drive, Suite 200, Saint Louis, Missouri 63141</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25" w:lineRule="exact"/>
        <w:rPr>
          <w:sz w:val="24"/>
          <w:szCs w:val="24"/>
          <w:color w:val="auto"/>
        </w:rPr>
      </w:pPr>
    </w:p>
    <w:p>
      <w:pPr>
        <w:jc w:val="center"/>
        <w:ind w:right="19"/>
        <w:spacing w:after="0" w:line="150" w:lineRule="exact"/>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FORM 40-F  </w:t>
      </w:r>
      <w:r>
        <w:rPr>
          <w:rFonts w:ascii="MS PGothic" w:cs="MS PGothic" w:eastAsia="MS PGothic" w:hAnsi="MS PGothic"/>
          <w:sz w:val="13"/>
          <w:szCs w:val="13"/>
          <w:color w:val="auto"/>
        </w:rPr>
        <w:t>☐</w:t>
      </w:r>
    </w:p>
    <w:p>
      <w:pPr>
        <w:spacing w:after="0" w:line="182" w:lineRule="exact"/>
        <w:rPr>
          <w:sz w:val="24"/>
          <w:szCs w:val="24"/>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On November 12, 2024 Amdocs Limited (“Amdocs”) issued a press release announcing financial results for the quarter ended September 30, 2024. A copy of the press release and the accompanying presentation are furnished as Exhibits 99.1 and 99.2 to this Report of Foreign Private Issuer on Form 6-K.</w:t>
      </w:r>
    </w:p>
    <w:p>
      <w:pPr>
        <w:spacing w:after="0" w:line="130" w:lineRule="exact"/>
        <w:rPr>
          <w:sz w:val="24"/>
          <w:szCs w:val="24"/>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102870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132715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tbl>
      <w:tblPr>
        <w:tblLayout w:type="fixed"/>
        <w:tblInd w:w="640" w:type="dxa"/>
        <w:tblCellMar>
          <w:top w:w="0" w:type="dxa"/>
          <w:left w:w="0" w:type="dxa"/>
          <w:bottom w:w="0" w:type="dxa"/>
          <w:right w:w="0" w:type="dxa"/>
        </w:tblCellMar>
      </w:tblPr>
      <w:tr>
        <w:trPr>
          <w:trHeight w:val="165"/>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9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EXHIBIT INDEX</w:t>
            </w:r>
          </w:p>
        </w:tc>
      </w:tr>
      <w:tr>
        <w:trPr>
          <w:trHeight w:val="260"/>
        </w:trPr>
        <w:tc>
          <w:tcPr>
            <w:tcW w:w="400" w:type="dxa"/>
            <w:vAlign w:val="bottom"/>
          </w:tcPr>
          <w:p>
            <w:pPr>
              <w:spacing w:after="0"/>
              <w:rPr>
                <w:sz w:val="20"/>
                <w:szCs w:val="20"/>
                <w:color w:val="auto"/>
              </w:rPr>
            </w:pPr>
            <w:r>
              <w:rPr>
                <w:rFonts w:ascii="Times New Roman" w:cs="Times New Roman" w:eastAsia="Times New Roman" w:hAnsi="Times New Roman"/>
                <w:sz w:val="10"/>
                <w:szCs w:val="10"/>
                <w:color w:val="auto"/>
                <w:w w:val="94"/>
              </w:rPr>
              <w:t>EXHIBIT</w:t>
            </w: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119"/>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NO.</w:t>
            </w:r>
          </w:p>
        </w:tc>
        <w:tc>
          <w:tcPr>
            <w:tcW w:w="460" w:type="dxa"/>
            <w:vAlign w:val="bottom"/>
          </w:tcPr>
          <w:p>
            <w:pPr>
              <w:spacing w:after="0"/>
              <w:rPr>
                <w:sz w:val="10"/>
                <w:szCs w:val="10"/>
                <w:color w:val="auto"/>
              </w:rPr>
            </w:pPr>
          </w:p>
        </w:tc>
        <w:tc>
          <w:tcPr>
            <w:tcW w:w="6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DESCRIPTION</w:t>
            </w:r>
          </w:p>
        </w:tc>
      </w:tr>
      <w:tr>
        <w:trPr>
          <w:trHeight w:val="188"/>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460" w:type="dxa"/>
            <w:vAlign w:val="bottom"/>
          </w:tcPr>
          <w:p>
            <w:pPr>
              <w:spacing w:after="0"/>
              <w:rPr>
                <w:sz w:val="16"/>
                <w:szCs w:val="16"/>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Amdocs Limited Press Release Announcing Q4 Earnings, dated November 12, 2024</w:t>
            </w:r>
          </w:p>
        </w:tc>
      </w:t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460" w:type="dxa"/>
            <w:vAlign w:val="bottom"/>
          </w:tcPr>
          <w:p>
            <w:pPr>
              <w:spacing w:after="0"/>
              <w:rPr>
                <w:sz w:val="18"/>
                <w:szCs w:val="18"/>
                <w:color w:val="auto"/>
              </w:rPr>
            </w:pPr>
          </w:p>
        </w:tc>
        <w:tc>
          <w:tcPr>
            <w:tcW w:w="19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Fiscal Q4 2024 Earnings Presentation</w:t>
            </w:r>
          </w:p>
        </w:tc>
        <w:tc>
          <w:tcPr>
            <w:tcW w:w="2360" w:type="dxa"/>
            <w:vAlign w:val="bottom"/>
            <w:tcBorders>
              <w:top w:val="single" w:sz="8" w:color="0000EE"/>
            </w:tcBorders>
          </w:tcPr>
          <w:p>
            <w:pPr>
              <w:spacing w:after="0"/>
              <w:rPr>
                <w:sz w:val="18"/>
                <w:szCs w:val="18"/>
                <w:color w:val="auto"/>
              </w:rPr>
            </w:pPr>
          </w:p>
        </w:tc>
        <w:tc>
          <w:tcPr>
            <w:tcW w:w="2620" w:type="dxa"/>
            <w:vAlign w:val="bottom"/>
          </w:tcPr>
          <w:p>
            <w:pPr>
              <w:spacing w:after="0"/>
              <w:rPr>
                <w:sz w:val="18"/>
                <w:szCs w:val="18"/>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AMDOCS LIMITED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Matthew E. Smith</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i w:val="1"/>
          <w:iCs w:val="1"/>
          <w:color w:val="auto"/>
        </w:rPr>
        <w:t>Secretary and Authorized Signatory</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November 12, 2024</w:t>
      </w:r>
    </w:p>
    <w:p>
      <w:pPr>
        <w:sectPr>
          <w:pgSz w:w="11900" w:h="16838" w:orient="portrait"/>
          <w:cols w:equalWidth="0" w:num="1">
            <w:col w:w="9019"/>
          </w:cols>
          <w:pgMar w:left="1440" w:top="229"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119380</wp:posOffset>
            </wp:positionV>
            <wp:extent cx="1227455" cy="325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27455" cy="32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Amdocs Limited Reports Fourth Quarter Fiscal 2024 Results &amp; Full Year Fiscal 2024 Results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Record Fiscal 2024 Revenue of $5.00 Billion, up 2.4% YoY as Reported and 2.7% YoY in Constant Currency</w:t>
      </w:r>
      <w:r>
        <w:rPr>
          <w:rFonts w:ascii="Times New Roman" w:cs="Times New Roman" w:eastAsia="Times New Roman" w:hAnsi="Times New Roman"/>
          <w:sz w:val="18"/>
          <w:szCs w:val="18"/>
          <w:i w:val="1"/>
          <w:iCs w:val="1"/>
          <w:color w:val="auto"/>
          <w:vertAlign w:val="superscript"/>
        </w:rPr>
        <w:t>(1)</w:t>
      </w:r>
    </w:p>
    <w:p>
      <w:pPr>
        <w:jc w:val="center"/>
        <w:spacing w:after="0"/>
        <w:rPr>
          <w:sz w:val="20"/>
          <w:szCs w:val="20"/>
          <w:color w:val="auto"/>
        </w:rPr>
      </w:pPr>
      <w:r>
        <w:rPr>
          <w:rFonts w:ascii="Times New Roman" w:cs="Times New Roman" w:eastAsia="Times New Roman" w:hAnsi="Times New Roman"/>
          <w:sz w:val="13"/>
          <w:szCs w:val="13"/>
          <w:i w:val="1"/>
          <w:iCs w:val="1"/>
          <w:color w:val="auto"/>
        </w:rPr>
        <w:t>Successfully Achieved Accelerated Profitability Improvement Targets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Initiates Fiscal 2025 Outlook:</w:t>
      </w:r>
    </w:p>
    <w:p>
      <w:pPr>
        <w:spacing w:after="0" w:line="78" w:lineRule="exact"/>
        <w:rPr>
          <w:sz w:val="20"/>
          <w:szCs w:val="20"/>
          <w:color w:val="auto"/>
        </w:rPr>
      </w:pPr>
    </w:p>
    <w:p>
      <w:pPr>
        <w:jc w:val="center"/>
        <w:ind w:left="2080" w:right="20"/>
        <w:spacing w:after="0" w:line="221" w:lineRule="auto"/>
        <w:rPr>
          <w:sz w:val="20"/>
          <w:szCs w:val="20"/>
          <w:color w:val="auto"/>
        </w:rPr>
      </w:pPr>
      <w:r>
        <w:rPr>
          <w:rFonts w:ascii="Times New Roman" w:cs="Times New Roman" w:eastAsia="Times New Roman" w:hAnsi="Times New Roman"/>
          <w:sz w:val="13"/>
          <w:szCs w:val="13"/>
          <w:i w:val="1"/>
          <w:iCs w:val="1"/>
          <w:color w:val="auto"/>
        </w:rPr>
        <w:t>Sharpening Focus on Strategic Priorities while Phasing Out Certain Non-Core, Low Margin Business Activities As a Result of which Expects Fiscal 2025 Revenue Outlook of (10.9)%-(7.7)% YoY as Reported and 1%-4.5% YoY in Pro Forma</w:t>
      </w: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3"/>
          <w:szCs w:val="13"/>
          <w:i w:val="1"/>
          <w:iCs w:val="1"/>
          <w:color w:val="auto"/>
        </w:rPr>
        <w:t xml:space="preserve"> Constant Currency</w:t>
      </w: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3"/>
          <w:szCs w:val="13"/>
          <w:i w:val="1"/>
          <w:iCs w:val="1"/>
          <w:color w:val="auto"/>
        </w:rPr>
        <w:t xml:space="preserve"> Targeting Double-Digit Total Shareholder Returns</w:t>
      </w:r>
      <w:r>
        <w:rPr>
          <w:rFonts w:ascii="Times New Roman" w:cs="Times New Roman" w:eastAsia="Times New Roman" w:hAnsi="Times New Roman"/>
          <w:sz w:val="18"/>
          <w:szCs w:val="18"/>
          <w:i w:val="1"/>
          <w:iCs w:val="1"/>
          <w:color w:val="auto"/>
          <w:vertAlign w:val="superscript"/>
        </w:rPr>
        <w:t>(3)(4)</w:t>
      </w:r>
      <w:r>
        <w:rPr>
          <w:rFonts w:ascii="Times New Roman" w:cs="Times New Roman" w:eastAsia="Times New Roman" w:hAnsi="Times New Roman"/>
          <w:sz w:val="13"/>
          <w:szCs w:val="13"/>
          <w:i w:val="1"/>
          <w:iCs w:val="1"/>
          <w:color w:val="auto"/>
        </w:rPr>
        <w:t>, Supported by Enhanced Profitability Improvement Board Approves 10% Increase of Quarterly Cash Dividend</w:t>
      </w:r>
      <w:r>
        <w:rPr>
          <w:rFonts w:ascii="Times New Roman" w:cs="Times New Roman" w:eastAsia="Times New Roman" w:hAnsi="Times New Roman"/>
          <w:sz w:val="18"/>
          <w:szCs w:val="18"/>
          <w:i w:val="1"/>
          <w:iCs w:val="1"/>
          <w:color w:val="auto"/>
          <w:vertAlign w:val="superscript"/>
        </w:rPr>
        <w:t>(4)</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Full Year Fiscal 2024 Highlights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w:t>
      </w:r>
    </w:p>
    <w:p>
      <w:pPr>
        <w:spacing w:after="0" w:line="89" w:lineRule="exact"/>
        <w:rPr>
          <w:sz w:val="20"/>
          <w:szCs w:val="20"/>
          <w:color w:val="auto"/>
        </w:rPr>
      </w:pPr>
    </w:p>
    <w:p>
      <w:pPr>
        <w:ind w:left="1320" w:right="719" w:hanging="303"/>
        <w:spacing w:after="0" w:line="212"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revenue of $5,005 million, up 2.4% as reported and up 2.7% in constant currency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including record revenue of $3,326 million in North America, record revenue of $726 million in Europe and record revenue of $953 million in Rest of World</w:t>
      </w:r>
    </w:p>
    <w:p>
      <w:pPr>
        <w:spacing w:after="0" w:line="7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managed services revenue of $2,905 million, equivalent to approximately 58% of total revenue</w:t>
      </w:r>
    </w:p>
    <w:p>
      <w:pPr>
        <w:spacing w:after="0" w:line="87" w:lineRule="exact"/>
        <w:rPr>
          <w:rFonts w:ascii="Times New Roman" w:cs="Times New Roman" w:eastAsia="Times New Roman" w:hAnsi="Times New Roman"/>
          <w:sz w:val="13"/>
          <w:szCs w:val="13"/>
          <w:color w:val="auto"/>
        </w:rPr>
      </w:pPr>
    </w:p>
    <w:p>
      <w:pPr>
        <w:ind w:left="1320" w:right="859" w:hanging="303"/>
        <w:spacing w:after="0" w:line="267"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of $4.25, down 5.3%, including a restructuring charge of 98 cents per share, without which GAAP diluted EPS was $5.23</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EPS of $6.44, up 9.0%</w:t>
      </w:r>
    </w:p>
    <w:p>
      <w:pPr>
        <w:spacing w:after="0" w:line="87" w:lineRule="exact"/>
        <w:rPr>
          <w:rFonts w:ascii="Times New Roman" w:cs="Times New Roman" w:eastAsia="Times New Roman" w:hAnsi="Times New Roman"/>
          <w:sz w:val="13"/>
          <w:szCs w:val="13"/>
          <w:color w:val="auto"/>
        </w:rPr>
      </w:pPr>
    </w:p>
    <w:p>
      <w:pPr>
        <w:ind w:left="1320" w:right="739" w:hanging="303"/>
        <w:spacing w:after="0" w:line="295"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cash flow of $619 million, comprised of cash flow from operations of $724 million, less $105 million in net capital expenditures and other</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and including $75 million of restructuring payments not assumed in full year free cash flow guidance of $700 million</w:t>
      </w:r>
    </w:p>
    <w:p>
      <w:pPr>
        <w:spacing w:after="0" w:line="35"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on a constant currency basis assumes exchange rates in the current period were unchanged from the prior period</w:t>
      </w:r>
    </w:p>
    <w:p>
      <w:pPr>
        <w:spacing w:after="0" w:line="15" w:lineRule="exact"/>
        <w:rPr>
          <w:rFonts w:ascii="Times New Roman" w:cs="Times New Roman" w:eastAsia="Times New Roman" w:hAnsi="Times New Roman"/>
          <w:sz w:val="13"/>
          <w:szCs w:val="13"/>
          <w:color w:val="auto"/>
        </w:rPr>
      </w:pPr>
    </w:p>
    <w:p>
      <w:pPr>
        <w:ind w:left="940" w:right="719" w:hanging="303"/>
        <w:spacing w:after="0" w:line="243" w:lineRule="auto"/>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comparison purposes, pro forma adjusts fiscal 2024 revenue by approximately $600 million to reflect the end of certain low margin, non-core business activities; these activities substantially already ceased in the first quarter of fiscal 2025 and are not included in the full year fiscal 2025 revenue outlook</w:t>
      </w: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Expected total shareholder return assumes midpoint of fiscal year 2025 non-GAAP EPS growth outlook, plus dividend yield</w:t>
      </w:r>
    </w:p>
    <w:p>
      <w:pPr>
        <w:spacing w:after="0" w:line="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shareholder approval at January 2025 annual meeting</w:t>
      </w:r>
    </w:p>
    <w:p>
      <w:pPr>
        <w:spacing w:after="0" w:line="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refer to the Selected Financial Metrics tables below (figures may not sum because of rounding)</w:t>
      </w:r>
    </w:p>
    <w:p>
      <w:pPr>
        <w:sectPr>
          <w:pgSz w:w="11900" w:h="16838" w:orient="portrait"/>
          <w:cols w:equalWidth="0" w:num="1">
            <w:col w:w="9019"/>
          </w:cols>
          <w:pgMar w:left="1440" w:top="125" w:right="1440" w:bottom="1440" w:gutter="0" w:footer="0" w:header="0"/>
        </w:sectPr>
      </w:pPr>
    </w:p>
    <w:bookmarkStart w:id="4" w:name="page5"/>
    <w:bookmarkEnd w:id="4"/>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Repurchased $563 million of ordinary shares during the fiscal year</w:t>
      </w:r>
    </w:p>
    <w:p>
      <w:pPr>
        <w:spacing w:after="0" w:line="87" w:lineRule="exact"/>
        <w:rPr>
          <w:rFonts w:ascii="Times New Roman" w:cs="Times New Roman" w:eastAsia="Times New Roman" w:hAnsi="Times New Roman"/>
          <w:sz w:val="13"/>
          <w:szCs w:val="13"/>
          <w:color w:val="auto"/>
        </w:rPr>
      </w:pPr>
    </w:p>
    <w:p>
      <w:pPr>
        <w:ind w:left="1320" w:right="1059" w:hanging="303"/>
        <w:spacing w:after="0" w:line="327" w:lineRule="auto"/>
        <w:tabs>
          <w:tab w:leader="none" w:pos="1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Twelve-month backlog of $4.06 billion; adjusting comparable periods for the phase out of certain business activities, twelve-month backlog was up 2.5%</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as compared to last year’s fourth fiscal quarter, and up approximately $30 million</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sequentially</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Fourth Quarter Fiscal 2024 Highlights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w:t>
      </w:r>
    </w:p>
    <w:p>
      <w:pPr>
        <w:spacing w:after="0" w:line="89" w:lineRule="exact"/>
        <w:rPr>
          <w:sz w:val="20"/>
          <w:szCs w:val="20"/>
          <w:color w:val="auto"/>
        </w:rPr>
      </w:pPr>
    </w:p>
    <w:p>
      <w:pPr>
        <w:ind w:left="1320" w:right="659" w:hanging="303"/>
        <w:spacing w:after="0" w:line="221"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revenue of $1,264 million, up 1.7% as reported and up 2.1% in constant currency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revenue was slightly above the midpoint of the $1,240-$1,280 million guidance range, adjusting for a positive impact from foreign currency movements of approximately $3 million compared to our guidance assumptions</w:t>
      </w:r>
    </w:p>
    <w:p>
      <w:pPr>
        <w:spacing w:after="0" w:line="74" w:lineRule="exact"/>
        <w:rPr>
          <w:rFonts w:ascii="Times New Roman" w:cs="Times New Roman" w:eastAsia="Times New Roman" w:hAnsi="Times New Roman"/>
          <w:sz w:val="13"/>
          <w:szCs w:val="13"/>
          <w:color w:val="auto"/>
        </w:rPr>
      </w:pPr>
    </w:p>
    <w:p>
      <w:pPr>
        <w:ind w:left="1320" w:right="73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of $0.76, including a restructuring charge of 0.64 cents per share, without which GAAP diluted EPS would have been at the higher end of the guidance range of $1.34-$1.42</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EPS of $1.70, at the midpoint of the guidance range of $1.67-$1.73</w:t>
      </w:r>
    </w:p>
    <w:p>
      <w:pPr>
        <w:spacing w:after="0" w:line="87" w:lineRule="exact"/>
        <w:rPr>
          <w:rFonts w:ascii="Times New Roman" w:cs="Times New Roman" w:eastAsia="Times New Roman" w:hAnsi="Times New Roman"/>
          <w:sz w:val="13"/>
          <w:szCs w:val="13"/>
          <w:color w:val="auto"/>
        </w:rPr>
      </w:pPr>
    </w:p>
    <w:p>
      <w:pPr>
        <w:ind w:left="1320" w:right="89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operating income of $113 million, including a restructuring charge of $83 million; GAAP operating margin of 8.9%, down 230 basis points as compared to last year’s fourth fiscal quarter and down 520 basis points sequentially</w:t>
      </w:r>
    </w:p>
    <w:p>
      <w:pPr>
        <w:spacing w:after="0" w:line="55" w:lineRule="exact"/>
        <w:rPr>
          <w:rFonts w:ascii="Times New Roman" w:cs="Times New Roman" w:eastAsia="Times New Roman" w:hAnsi="Times New Roman"/>
          <w:sz w:val="13"/>
          <w:szCs w:val="13"/>
          <w:color w:val="auto"/>
        </w:rPr>
      </w:pPr>
    </w:p>
    <w:p>
      <w:pPr>
        <w:ind w:left="1320" w:right="67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operating income of $236 million; non-GAAP operating margin of 18.7%, up 90 basis points as compared to last year’s fourth fiscal quarter and up 10 basis points sequentially, reflecting a continued focus on operational excellence</w:t>
      </w:r>
    </w:p>
    <w:p>
      <w:pPr>
        <w:spacing w:after="0" w:line="55" w:lineRule="exact"/>
        <w:rPr>
          <w:rFonts w:ascii="Times New Roman" w:cs="Times New Roman" w:eastAsia="Times New Roman" w:hAnsi="Times New Roman"/>
          <w:sz w:val="13"/>
          <w:szCs w:val="13"/>
          <w:color w:val="auto"/>
        </w:rPr>
      </w:pPr>
    </w:p>
    <w:p>
      <w:pPr>
        <w:ind w:left="1320" w:right="759" w:hanging="303"/>
        <w:spacing w:after="0" w:line="309" w:lineRule="auto"/>
        <w:tabs>
          <w:tab w:leader="none" w:pos="1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of Directors (the “Board”) approved a 10% increase in the Company’s quarterly cash dividend payment from $0.479 per share to $0.527 per share, anticipated to be first paid in April 2025, subject to shareholder approval at the January 2025 annual meeting</w:t>
      </w:r>
    </w:p>
    <w:p>
      <w:pPr>
        <w:sectPr>
          <w:pgSz w:w="11900" w:h="16838" w:orient="portrait"/>
          <w:cols w:equalWidth="0" w:num="1">
            <w:col w:w="9019"/>
          </w:cols>
          <w:pgMar w:left="1440" w:top="231" w:right="1440" w:bottom="1440" w:gutter="0" w:footer="0" w:header="0"/>
        </w:sectPr>
      </w:pPr>
    </w:p>
    <w:bookmarkStart w:id="5" w:name="page6"/>
    <w:bookmarkEnd w:id="5"/>
    <w:p>
      <w:pPr>
        <w:ind w:left="640" w:right="77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JERSEY CITY, NJ – November 12, 2024 </w:t>
      </w:r>
      <w:r>
        <w:rPr>
          <w:rFonts w:ascii="Times New Roman" w:cs="Times New Roman" w:eastAsia="Times New Roman" w:hAnsi="Times New Roman"/>
          <w:sz w:val="13"/>
          <w:szCs w:val="13"/>
          <w:color w:val="auto"/>
        </w:rPr>
        <w:t>– Amdocs Limited (NASDAQ: DOX), a leading provider of software and services to communications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media companies, today reported operating results for the three months ended September 30, 2024.</w:t>
      </w:r>
    </w:p>
    <w:p>
      <w:pPr>
        <w:spacing w:after="0" w:line="121"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“Fiscal 2024 was another important year in our journey as we continued to serve many of the world’s largest communication service providers with the innovation they need to accelerate their journey to the cloud, enhance customer experience, monetize next generation networks, and to digitalize and automate their mission critical operations. We delivered strong double-digit growth in cloud, achieved a record year in managed services, and accelerated our profitability, all within the backdrop of a challenging industry demand environment. The year closed with strong sales momentum which included a significant award to deploy our next-gen monetization platform for a major US customer, and new cloud migration deals with Vodafone Italy and NTT Infranet in Japan. Additionally, we have continued to enhance our generative AI platform, amAIz, with new capabilities that leverage NVIDIA AI to deliver immersive customer experiences with real-time interaction and visualization,” said Shuky Sheffer, president and chief executive officer of Amdocs Management Limited.</w:t>
      </w:r>
    </w:p>
    <w:p>
      <w:pPr>
        <w:spacing w:after="0" w:line="139" w:lineRule="exact"/>
        <w:rPr>
          <w:sz w:val="20"/>
          <w:szCs w:val="20"/>
          <w:color w:val="auto"/>
        </w:rPr>
      </w:pPr>
    </w:p>
    <w:p>
      <w:pPr>
        <w:ind w:left="640" w:right="739"/>
        <w:spacing w:after="0" w:line="246" w:lineRule="auto"/>
        <w:rPr>
          <w:sz w:val="20"/>
          <w:szCs w:val="20"/>
          <w:color w:val="auto"/>
        </w:rPr>
      </w:pPr>
      <w:r>
        <w:rPr>
          <w:rFonts w:ascii="Times New Roman" w:cs="Times New Roman" w:eastAsia="Times New Roman" w:hAnsi="Times New Roman"/>
          <w:sz w:val="13"/>
          <w:szCs w:val="13"/>
          <w:color w:val="auto"/>
        </w:rPr>
        <w:t>“Consistent with our full year guidance, we delivered accelerated profitability improvement in fiscal 2024 as we focused on operational excellence and the benefits of automation and artificial intelligence to drive internal efficiency. We continue to invest in our strategic priorities, while at the same time optimizing the portfolio of products, services, and business activities. Thus, in fiscal 2025, we are phasing out several low-margin, non-core business activities that are becoming commoditized and hold little potential for long-term value addition or profitability enhancement. We believe these actions will reinforce our level of business visibility, including a higher share of revenue from long-term managed services engagements. This move is also expected to sharpen our focus on higher-margin strategic priorities like cloud, monetization platforms and Gen AI where we are well placed to lead the communications industry through our commitment to innovation,” said Tamar Rapaport-Dagim, chief financial officer &amp; chief operating officer of Amdocs Management Limited.</w:t>
      </w:r>
    </w:p>
    <w:p>
      <w:pPr>
        <w:sectPr>
          <w:pgSz w:w="11900" w:h="16838" w:orient="portrait"/>
          <w:cols w:equalWidth="0" w:num="1">
            <w:col w:w="9019"/>
          </w:cols>
          <w:pgMar w:left="1440" w:top="229" w:right="1440" w:bottom="1440" w:gutter="0" w:footer="0" w:header="0"/>
        </w:sectPr>
      </w:pPr>
    </w:p>
    <w:bookmarkStart w:id="6" w:name="page7"/>
    <w:bookmarkEnd w:id="6"/>
    <w:p>
      <w:pPr>
        <w:ind w:left="640" w:right="739"/>
        <w:spacing w:after="0" w:line="22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Sheffer concluded, “We enter fiscal 2025 as an industry leader with a unique competitive position, strong 12-month backlog visibility, and a high win rate. Moreover, we believe Amdocs is well positioned to monetize a healthy pipeline of market opportunities while navigating a continuously challenging demand environment. Adjusting for the phase out of several low-margin, non-core business activities, we expect pro forma</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revenue growth of between 1% to 4.5% in constant currency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in fiscal 2025, as well as another year of double-digit growth in cloud. We also anticipate significantly higher operating profitability and robust earnings to cash conversion, underpinning the delivery of double-digit expected total shareholder returns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for the fifth consecutive year, including our dividend yield.”</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Revenue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 period)</w:t>
      </w:r>
    </w:p>
    <w:p>
      <w:pPr>
        <w:spacing w:after="0" w:line="160"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3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Twelve months ended</w:t>
            </w:r>
          </w:p>
        </w:tc>
        <w:tc>
          <w:tcPr>
            <w:tcW w:w="0" w:type="dxa"/>
            <w:vAlign w:val="bottom"/>
          </w:tcPr>
          <w:p>
            <w:pPr>
              <w:spacing w:after="0"/>
              <w:rPr>
                <w:sz w:val="1"/>
                <w:szCs w:val="1"/>
                <w:color w:val="auto"/>
              </w:rPr>
            </w:pPr>
          </w:p>
        </w:tc>
      </w:tr>
      <w:tr>
        <w:trPr>
          <w:trHeight w:val="104"/>
        </w:trPr>
        <w:tc>
          <w:tcPr>
            <w:tcW w:w="3880" w:type="dxa"/>
            <w:vAlign w:val="bottom"/>
          </w:tcPr>
          <w:p>
            <w:pPr>
              <w:spacing w:after="0"/>
              <w:rPr>
                <w:sz w:val="9"/>
                <w:szCs w:val="9"/>
                <w:color w:val="auto"/>
              </w:rPr>
            </w:pPr>
          </w:p>
        </w:tc>
        <w:tc>
          <w:tcPr>
            <w:tcW w:w="1840" w:type="dxa"/>
            <w:vAlign w:val="bottom"/>
            <w:gridSpan w:val="4"/>
          </w:tcPr>
          <w:p>
            <w:pPr>
              <w:jc w:val="center"/>
              <w:ind w:right="340"/>
              <w:spacing w:after="0" w:line="104" w:lineRule="exact"/>
              <w:rPr>
                <w:sz w:val="20"/>
                <w:szCs w:val="20"/>
                <w:color w:val="auto"/>
              </w:rPr>
            </w:pPr>
            <w:r>
              <w:rPr>
                <w:rFonts w:ascii="Times New Roman" w:cs="Times New Roman" w:eastAsia="Times New Roman" w:hAnsi="Times New Roman"/>
                <w:sz w:val="10"/>
                <w:szCs w:val="10"/>
                <w:b w:val="1"/>
                <w:bCs w:val="1"/>
                <w:color w:val="auto"/>
              </w:rPr>
              <w:t>Three months ended</w:t>
            </w:r>
          </w:p>
        </w:tc>
        <w:tc>
          <w:tcPr>
            <w:tcW w:w="13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880" w:type="dxa"/>
            <w:vAlign w:val="bottom"/>
          </w:tcPr>
          <w:p>
            <w:pPr>
              <w:spacing w:after="0"/>
              <w:rPr>
                <w:sz w:val="10"/>
                <w:szCs w:val="10"/>
                <w:color w:val="auto"/>
              </w:rPr>
            </w:pPr>
          </w:p>
        </w:tc>
        <w:tc>
          <w:tcPr>
            <w:tcW w:w="1840" w:type="dxa"/>
            <w:vAlign w:val="bottom"/>
            <w:gridSpan w:val="4"/>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September 30, 2024</w:t>
            </w:r>
          </w:p>
        </w:tc>
        <w:tc>
          <w:tcPr>
            <w:tcW w:w="138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September 30, 2024</w:t>
            </w:r>
          </w:p>
        </w:tc>
        <w:tc>
          <w:tcPr>
            <w:tcW w:w="0" w:type="dxa"/>
            <w:vAlign w:val="bottom"/>
          </w:tcPr>
          <w:p>
            <w:pPr>
              <w:spacing w:after="0"/>
              <w:rPr>
                <w:sz w:val="1"/>
                <w:szCs w:val="1"/>
                <w:color w:val="auto"/>
              </w:rPr>
            </w:pPr>
          </w:p>
        </w:tc>
      </w:tr>
      <w:tr>
        <w:trPr>
          <w:trHeight w:val="77"/>
        </w:trPr>
        <w:tc>
          <w:tcPr>
            <w:tcW w:w="3880" w:type="dxa"/>
            <w:vAlign w:val="bottom"/>
          </w:tcPr>
          <w:p>
            <w:pPr>
              <w:spacing w:after="0"/>
              <w:rPr>
                <w:sz w:val="6"/>
                <w:szCs w:val="6"/>
                <w:color w:val="auto"/>
              </w:rPr>
            </w:pPr>
          </w:p>
        </w:tc>
        <w:tc>
          <w:tcPr>
            <w:tcW w:w="740" w:type="dxa"/>
            <w:vAlign w:val="bottom"/>
            <w:tcBorders>
              <w:top w:val="single" w:sz="8" w:color="auto"/>
            </w:tcBorders>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Actual</w:t>
            </w:r>
          </w:p>
        </w:tc>
        <w:tc>
          <w:tcPr>
            <w:tcW w:w="760" w:type="dxa"/>
            <w:vAlign w:val="bottom"/>
            <w:tcBorders>
              <w:top w:val="single" w:sz="8" w:color="auto"/>
            </w:tcBorders>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Previous</w:t>
            </w:r>
          </w:p>
        </w:tc>
        <w:tc>
          <w:tcPr>
            <w:tcW w:w="340" w:type="dxa"/>
            <w:vAlign w:val="bottom"/>
          </w:tcPr>
          <w:p>
            <w:pPr>
              <w:spacing w:after="0"/>
              <w:rPr>
                <w:sz w:val="6"/>
                <w:szCs w:val="6"/>
                <w:color w:val="auto"/>
              </w:rPr>
            </w:pPr>
          </w:p>
        </w:tc>
        <w:tc>
          <w:tcPr>
            <w:tcW w:w="740" w:type="dxa"/>
            <w:vAlign w:val="bottom"/>
            <w:tcBorders>
              <w:top w:val="single" w:sz="8" w:color="auto"/>
            </w:tcBorders>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Actual</w:t>
            </w:r>
          </w:p>
        </w:tc>
        <w:tc>
          <w:tcPr>
            <w:tcW w:w="600" w:type="dxa"/>
            <w:vAlign w:val="bottom"/>
            <w:tcBorders>
              <w:top w:val="single" w:sz="8" w:color="auto"/>
            </w:tcBorders>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Previous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8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7"/>
              </w:rPr>
              <w:t>Guidance</w:t>
            </w:r>
          </w:p>
        </w:tc>
        <w:tc>
          <w:tcPr>
            <w:tcW w:w="740" w:type="dxa"/>
            <w:vAlign w:val="bottom"/>
            <w:gridSpan w:val="2"/>
            <w:vMerge w:val="continue"/>
          </w:tcPr>
          <w:p>
            <w:pPr>
              <w:spacing w:after="0"/>
              <w:rPr>
                <w:sz w:val="10"/>
                <w:szCs w:val="10"/>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Guidance</w:t>
            </w:r>
          </w:p>
        </w:tc>
        <w:tc>
          <w:tcPr>
            <w:tcW w:w="0" w:type="dxa"/>
            <w:vAlign w:val="bottom"/>
          </w:tcPr>
          <w:p>
            <w:pPr>
              <w:spacing w:after="0"/>
              <w:rPr>
                <w:sz w:val="1"/>
                <w:szCs w:val="1"/>
                <w:color w:val="auto"/>
              </w:rPr>
            </w:pPr>
          </w:p>
        </w:tc>
      </w:tr>
      <w:tr>
        <w:trPr>
          <w:trHeight w:val="141"/>
        </w:trPr>
        <w:tc>
          <w:tcPr>
            <w:tcW w:w="38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$1,264</w:t>
            </w:r>
          </w:p>
        </w:tc>
        <w:tc>
          <w:tcPr>
            <w:tcW w:w="3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rPr>
              <w:t>$1,240-$1,280</w:t>
            </w:r>
          </w:p>
        </w:tc>
        <w:tc>
          <w:tcPr>
            <w:tcW w:w="3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89"/>
              </w:rPr>
              <w:t>$5,005</w:t>
            </w:r>
          </w:p>
        </w:tc>
        <w:tc>
          <w:tcPr>
            <w:tcW w:w="4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Revenue Growth, as reported</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1.7%</w:t>
            </w: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2.4%</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1.9%-2.7%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Growth, constant currency (1)</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2.1%</w:t>
            </w:r>
          </w:p>
        </w:tc>
        <w:tc>
          <w:tcPr>
            <w:tcW w:w="1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2.3%-3.1%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1320" w:right="879" w:hanging="303"/>
        <w:spacing w:after="0" w:line="255"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 the fourth fiscal quarter of 2024 was slightly above the midpoint of Amdocs’ guidance, adjusting for positive impact from foreign currency movements of approximately $3 million relative to our guidance assumptions and relative to the third quarter of fiscal 2024</w:t>
      </w:r>
    </w:p>
    <w:p>
      <w:pPr>
        <w:spacing w:after="0" w:line="63" w:lineRule="exact"/>
        <w:rPr>
          <w:rFonts w:ascii="Times New Roman" w:cs="Times New Roman" w:eastAsia="Times New Roman" w:hAnsi="Times New Roman"/>
          <w:sz w:val="13"/>
          <w:szCs w:val="13"/>
          <w:color w:val="auto"/>
        </w:rPr>
      </w:pPr>
    </w:p>
    <w:p>
      <w:pPr>
        <w:ind w:left="1320" w:right="71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 the full year fiscal 2024 includes an unfavorable impact from foreign currency movements of approximately 0.3% year-over-year</w:t>
      </w:r>
    </w:p>
    <w:p>
      <w:pPr>
        <w:sectPr>
          <w:pgSz w:w="11900" w:h="16838" w:orient="portrait"/>
          <w:cols w:equalWidth="0" w:num="1">
            <w:col w:w="9019"/>
          </w:cols>
          <w:pgMar w:left="1440" w:top="231"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Net Income and Earnings Per Share</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420" w:type="dxa"/>
            <w:vAlign w:val="bottom"/>
          </w:tcPr>
          <w:p>
            <w:pPr>
              <w:ind w:left="26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0"/>
                <w:szCs w:val="10"/>
                <w:color w:val="auto"/>
              </w:rPr>
            </w:pPr>
          </w:p>
        </w:tc>
        <w:tc>
          <w:tcPr>
            <w:tcW w:w="2260" w:type="dxa"/>
            <w:vAlign w:val="bottom"/>
            <w:gridSpan w:val="13"/>
          </w:tcPr>
          <w:p>
            <w:pPr>
              <w:ind w:left="320"/>
              <w:spacing w:after="0"/>
              <w:rPr>
                <w:sz w:val="20"/>
                <w:szCs w:val="20"/>
                <w:color w:val="auto"/>
              </w:rPr>
            </w:pPr>
            <w:r>
              <w:rPr>
                <w:rFonts w:ascii="Times New Roman" w:cs="Times New Roman" w:eastAsia="Times New Roman" w:hAnsi="Times New Roman"/>
                <w:sz w:val="10"/>
                <w:szCs w:val="10"/>
                <w:b w:val="1"/>
                <w:bCs w:val="1"/>
                <w:color w:val="auto"/>
              </w:rPr>
              <w:t>In thousands, expect per share data</w:t>
            </w:r>
          </w:p>
        </w:tc>
      </w:tr>
      <w:tr>
        <w:trPr>
          <w:trHeight w:val="104"/>
        </w:trPr>
        <w:tc>
          <w:tcPr>
            <w:tcW w:w="5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6"/>
          </w:tcPr>
          <w:p>
            <w:pPr>
              <w:jc w:val="center"/>
              <w:ind w:right="120"/>
              <w:spacing w:after="0" w:line="104" w:lineRule="exact"/>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5"/>
          </w:tcPr>
          <w:p>
            <w:pPr>
              <w:jc w:val="center"/>
              <w:ind w:right="120"/>
              <w:spacing w:after="0" w:line="104" w:lineRule="exact"/>
              <w:rPr>
                <w:sz w:val="20"/>
                <w:szCs w:val="20"/>
                <w:color w:val="auto"/>
              </w:rPr>
            </w:pPr>
            <w:r>
              <w:rPr>
                <w:rFonts w:ascii="Times New Roman" w:cs="Times New Roman" w:eastAsia="Times New Roman" w:hAnsi="Times New Roman"/>
                <w:sz w:val="10"/>
                <w:szCs w:val="10"/>
                <w:b w:val="1"/>
                <w:bCs w:val="1"/>
                <w:color w:val="auto"/>
              </w:rPr>
              <w:t>Twelve months ended</w:t>
            </w:r>
          </w:p>
        </w:tc>
      </w:tr>
      <w:tr>
        <w:trPr>
          <w:trHeight w:val="121"/>
        </w:trPr>
        <w:tc>
          <w:tcPr>
            <w:tcW w:w="5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6"/>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5"/>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54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82"/>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6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81"/>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8"/>
                <w:szCs w:val="8"/>
                <w:color w:val="auto"/>
              </w:rPr>
            </w:pPr>
          </w:p>
        </w:tc>
      </w:tr>
      <w:tr>
        <w:trPr>
          <w:trHeight w:val="132"/>
        </w:trPr>
        <w:tc>
          <w:tcPr>
            <w:tcW w:w="54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GAAP Measures</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54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87,176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4"/>
              </w:rPr>
              <w:t>102,666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4"/>
              </w:rPr>
              <w:t>496,321</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542,962</w:t>
            </w:r>
          </w:p>
        </w:tc>
        <w:tc>
          <w:tcPr>
            <w:tcW w:w="40" w:type="dxa"/>
            <w:vAlign w:val="bottom"/>
          </w:tcPr>
          <w:p>
            <w:pPr>
              <w:spacing w:after="0"/>
              <w:rPr>
                <w:sz w:val="13"/>
                <w:szCs w:val="13"/>
                <w:color w:val="auto"/>
              </w:rPr>
            </w:pPr>
          </w:p>
        </w:tc>
      </w:tr>
      <w:tr>
        <w:trPr>
          <w:trHeight w:val="15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Amdocs Limited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86,441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102,011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4"/>
              </w:rPr>
              <w:t>493,197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540,709</w:t>
            </w:r>
          </w:p>
        </w:tc>
        <w:tc>
          <w:tcPr>
            <w:tcW w:w="40" w:type="dxa"/>
            <w:vAlign w:val="bottom"/>
            <w:shd w:val="clear" w:color="auto" w:fill="CCEEFF"/>
          </w:tcPr>
          <w:p>
            <w:pPr>
              <w:spacing w:after="0"/>
              <w:rPr>
                <w:sz w:val="13"/>
                <w:szCs w:val="13"/>
                <w:color w:val="auto"/>
              </w:rPr>
            </w:pPr>
          </w:p>
        </w:tc>
      </w:tr>
      <w:tr>
        <w:trPr>
          <w:trHeight w:val="152"/>
        </w:trPr>
        <w:tc>
          <w:tcPr>
            <w:tcW w:w="5420" w:type="dxa"/>
            <w:vAlign w:val="bottom"/>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0.76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0.86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4.49</w:t>
            </w:r>
          </w:p>
        </w:tc>
      </w:tr>
      <w:tr>
        <w:trPr>
          <w:trHeight w:val="15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Non-GAAP Measures</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5420" w:type="dxa"/>
            <w:vAlign w:val="bottom"/>
          </w:tcPr>
          <w:p>
            <w:pPr>
              <w:spacing w:after="0"/>
              <w:rPr>
                <w:sz w:val="20"/>
                <w:szCs w:val="20"/>
                <w:color w:val="auto"/>
              </w:rPr>
            </w:pPr>
            <w:r>
              <w:rPr>
                <w:rFonts w:ascii="Times New Roman" w:cs="Times New Roman" w:eastAsia="Times New Roman" w:hAnsi="Times New Roman"/>
                <w:sz w:val="13"/>
                <w:szCs w:val="13"/>
                <w:color w:val="auto"/>
              </w:rPr>
              <w:t>Non-GAAP Net Income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4"/>
              </w:rPr>
              <w:t>195,668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4"/>
              </w:rPr>
              <w:t>169,009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4"/>
              </w:rPr>
              <w:t>750,928</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714,454</w:t>
            </w:r>
          </w:p>
        </w:tc>
        <w:tc>
          <w:tcPr>
            <w:tcW w:w="40" w:type="dxa"/>
            <w:vAlign w:val="bottom"/>
          </w:tcPr>
          <w:p>
            <w:pPr>
              <w:spacing w:after="0"/>
              <w:rPr>
                <w:sz w:val="13"/>
                <w:szCs w:val="13"/>
                <w:color w:val="auto"/>
              </w:rPr>
            </w:pPr>
          </w:p>
        </w:tc>
      </w:tr>
      <w:tr>
        <w:trPr>
          <w:trHeight w:val="15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Net Income attributable to Amdocs Limited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194,933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168,354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4"/>
              </w:rPr>
              <w:t>747,804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712,201</w:t>
            </w:r>
          </w:p>
        </w:tc>
        <w:tc>
          <w:tcPr>
            <w:tcW w:w="40" w:type="dxa"/>
            <w:vAlign w:val="bottom"/>
            <w:shd w:val="clear" w:color="auto" w:fill="CCEEFF"/>
          </w:tcPr>
          <w:p>
            <w:pPr>
              <w:spacing w:after="0"/>
              <w:rPr>
                <w:sz w:val="13"/>
                <w:szCs w:val="13"/>
                <w:color w:val="auto"/>
              </w:rPr>
            </w:pPr>
          </w:p>
        </w:tc>
      </w:tr>
      <w:tr>
        <w:trPr>
          <w:trHeight w:val="165"/>
        </w:trPr>
        <w:tc>
          <w:tcPr>
            <w:tcW w:w="5420" w:type="dxa"/>
            <w:vAlign w:val="bottom"/>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6.44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5.91</w:t>
            </w:r>
          </w:p>
        </w:tc>
      </w:tr>
    </w:tbl>
    <w:p>
      <w:pPr>
        <w:spacing w:after="0" w:line="145" w:lineRule="exact"/>
        <w:rPr>
          <w:sz w:val="20"/>
          <w:szCs w:val="20"/>
          <w:color w:val="auto"/>
        </w:rPr>
      </w:pPr>
    </w:p>
    <w:p>
      <w:pPr>
        <w:ind w:left="1320" w:right="799" w:hanging="303"/>
        <w:spacing w:after="0" w:line="251"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net income excludes amortization of purchased intangible assets and other acquisition-related costs, changes in certain acquisition related liabilities measured at fair value, equity-based compensation expenses, restructuring charges, and other, net of related tax effects. For further details of the reconciliation of selected financial metrics from GAAP to Non-GAAP, please refer to the tables below.</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Capital Allocation</w:t>
      </w:r>
    </w:p>
    <w:p>
      <w:pPr>
        <w:spacing w:after="0" w:line="87" w:lineRule="exact"/>
        <w:rPr>
          <w:sz w:val="20"/>
          <w:szCs w:val="20"/>
          <w:color w:val="auto"/>
        </w:rPr>
      </w:pPr>
    </w:p>
    <w:p>
      <w:pPr>
        <w:ind w:left="1320" w:right="719" w:hanging="303"/>
        <w:spacing w:after="0" w:line="257"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Quarterly Cash Dividend Program: </w:t>
      </w:r>
      <w:r>
        <w:rPr>
          <w:rFonts w:ascii="Times New Roman" w:cs="Times New Roman" w:eastAsia="Times New Roman" w:hAnsi="Times New Roman"/>
          <w:sz w:val="13"/>
          <w:szCs w:val="13"/>
          <w:color w:val="auto"/>
        </w:rPr>
        <w:t>On November 12, 2024, the Board approved the Company’s next quarterly cash dividend payment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$0.479 per share, and set December 31, 2024 as the record date for determining the shareholders entitled to receive the dividend, which will be payable on January 31, 2025</w:t>
      </w:r>
    </w:p>
    <w:p>
      <w:pPr>
        <w:spacing w:after="0" w:line="61" w:lineRule="exact"/>
        <w:rPr>
          <w:rFonts w:ascii="Times New Roman" w:cs="Times New Roman" w:eastAsia="Times New Roman" w:hAnsi="Times New Roman"/>
          <w:sz w:val="13"/>
          <w:szCs w:val="13"/>
          <w:color w:val="auto"/>
        </w:rPr>
      </w:pPr>
    </w:p>
    <w:p>
      <w:pPr>
        <w:jc w:val="both"/>
        <w:ind w:left="1320" w:right="679" w:hanging="303"/>
        <w:spacing w:after="0" w:line="309" w:lineRule="auto"/>
        <w:tabs>
          <w:tab w:leader="none" w:pos="1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also approved a 10% increase in the Company’s quarterly cash dividend payment to $0.527 per share, which is anticipated to be first paid in April 2025, provided that the increase is approved by shareholders at the January 2025 annual general meeting of shareholders</w:t>
      </w:r>
    </w:p>
    <w:p>
      <w:pPr>
        <w:spacing w:after="0" w:line="31"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Share Repurchase Activity: </w:t>
      </w:r>
      <w:r>
        <w:rPr>
          <w:rFonts w:ascii="Times New Roman" w:cs="Times New Roman" w:eastAsia="Times New Roman" w:hAnsi="Times New Roman"/>
          <w:sz w:val="13"/>
          <w:szCs w:val="13"/>
          <w:color w:val="auto"/>
        </w:rPr>
        <w:t>Repurchased $120 million of ordinary shares during the fourth quarter of fiscal 2024</w:t>
      </w:r>
    </w:p>
    <w:p>
      <w:pPr>
        <w:sectPr>
          <w:pgSz w:w="11900" w:h="16838" w:orient="portrait"/>
          <w:cols w:equalWidth="0" w:num="1">
            <w:col w:w="9019"/>
          </w:cols>
          <w:pgMar w:left="1440" w:top="229"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Twelve-month Backlog</w:t>
      </w:r>
    </w:p>
    <w:p>
      <w:pPr>
        <w:spacing w:after="0" w:line="80" w:lineRule="exact"/>
        <w:rPr>
          <w:sz w:val="20"/>
          <w:szCs w:val="20"/>
          <w:color w:val="auto"/>
        </w:rPr>
      </w:pPr>
    </w:p>
    <w:p>
      <w:pPr>
        <w:ind w:left="640" w:right="719"/>
        <w:spacing w:after="0" w:line="226" w:lineRule="auto"/>
        <w:rPr>
          <w:sz w:val="20"/>
          <w:szCs w:val="20"/>
          <w:color w:val="auto"/>
        </w:rPr>
      </w:pPr>
      <w:r>
        <w:rPr>
          <w:rFonts w:ascii="Times New Roman" w:cs="Times New Roman" w:eastAsia="Times New Roman" w:hAnsi="Times New Roman"/>
          <w:sz w:val="13"/>
          <w:szCs w:val="13"/>
          <w:color w:val="auto"/>
        </w:rPr>
        <w:t>Twelve-month backlog was $4.06 billion at the end of the fourth quarter of fiscal 2024. On a pro forma</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basis, adjusting the comparable period for the phase out of certain business activities, twelve-month backlog was up approximately 2.5% as compared to last year’s fourth fiscal quarter. Twelve-month backlog includes anticipated revenue related to contracts, estimated revenue from managed services contracts, letters of intent, maintenance and estimated on-going support activities.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First Quarter Fiscal 2025 Outlook</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428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 millions, except per</w:t>
            </w:r>
          </w:p>
        </w:tc>
      </w:tr>
      <w:tr>
        <w:trPr>
          <w:trHeight w:val="121"/>
        </w:trPr>
        <w:tc>
          <w:tcPr>
            <w:tcW w:w="428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share data</w:t>
            </w:r>
          </w:p>
        </w:tc>
      </w:tr>
      <w:tr>
        <w:trPr>
          <w:trHeight w:val="94"/>
        </w:trPr>
        <w:tc>
          <w:tcPr>
            <w:tcW w:w="4280" w:type="dxa"/>
            <w:vAlign w:val="bottom"/>
            <w:tcBorders>
              <w:bottom w:val="single" w:sz="8" w:color="CCEEFF"/>
            </w:tcBorders>
          </w:tcPr>
          <w:p>
            <w:pPr>
              <w:spacing w:after="0"/>
              <w:rPr>
                <w:sz w:val="8"/>
                <w:szCs w:val="8"/>
                <w:color w:val="auto"/>
              </w:rPr>
            </w:pPr>
          </w:p>
        </w:tc>
        <w:tc>
          <w:tcPr>
            <w:tcW w:w="960" w:type="dxa"/>
            <w:vAlign w:val="bottom"/>
            <w:tcBorders>
              <w:bottom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Q1 – 2025</w:t>
            </w:r>
          </w:p>
        </w:tc>
      </w:tr>
      <w:tr>
        <w:trPr>
          <w:trHeight w:val="141"/>
        </w:trPr>
        <w:tc>
          <w:tcPr>
            <w:tcW w:w="42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96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7"/>
              </w:rPr>
              <w:t>$1,095-$1,135</w:t>
            </w:r>
          </w:p>
        </w:tc>
      </w:tr>
      <w:tr>
        <w:trPr>
          <w:trHeight w:val="152"/>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GAAP Diluted earnings per share</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$1.20-$1.29</w:t>
            </w:r>
          </w:p>
        </w:tc>
      </w:tr>
      <w:tr>
        <w:trPr>
          <w:trHeight w:val="15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$1.61-$1.67</w:t>
            </w:r>
          </w:p>
        </w:tc>
      </w:tr>
    </w:tbl>
    <w:p>
      <w:pPr>
        <w:spacing w:after="0" w:line="158" w:lineRule="exact"/>
        <w:rPr>
          <w:sz w:val="20"/>
          <w:szCs w:val="20"/>
          <w:color w:val="auto"/>
        </w:rPr>
      </w:pPr>
    </w:p>
    <w:p>
      <w:pPr>
        <w:ind w:left="1320" w:right="959" w:hanging="303"/>
        <w:spacing w:after="0" w:line="267"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First quarter revenue guidance assumes favorable $2 million sequential impact from foreign currency fluctuations as compared to the fourth quarter of fiscal 2024</w:t>
      </w:r>
    </w:p>
    <w:p>
      <w:pPr>
        <w:spacing w:after="0" w:line="55" w:lineRule="exact"/>
        <w:rPr>
          <w:rFonts w:ascii="Times New Roman" w:cs="Times New Roman" w:eastAsia="Times New Roman" w:hAnsi="Times New Roman"/>
          <w:sz w:val="13"/>
          <w:szCs w:val="13"/>
          <w:color w:val="auto"/>
        </w:rPr>
      </w:pPr>
    </w:p>
    <w:p>
      <w:pPr>
        <w:jc w:val="both"/>
        <w:ind w:left="1320" w:right="759" w:hanging="303"/>
        <w:spacing w:after="0" w:line="255"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First quarter non-GAAP diluted EPS guidance excludes primarily equity-based compensation expense of approximately $0.20-$0.22 per share, amortization of purchased intangible assets and other acquisition-related costs of approximately $0.11 per share, changes in certain acquisitions related liabilities measured at fair value, and other, net of related tax effects</w:t>
      </w:r>
    </w:p>
    <w:p>
      <w:pPr>
        <w:spacing w:after="0" w:line="6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guidance does not include the impact of future restructuring charges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Full Year Fiscal 2025 Outlook</w:t>
      </w:r>
    </w:p>
    <w:p>
      <w:pPr>
        <w:spacing w:after="0" w:line="171" w:lineRule="exact"/>
        <w:rPr>
          <w:sz w:val="20"/>
          <w:szCs w:val="20"/>
          <w:color w:val="auto"/>
        </w:rPr>
      </w:pPr>
    </w:p>
    <w:tbl>
      <w:tblPr>
        <w:tblLayout w:type="fixed"/>
        <w:tblInd w:w="1880" w:type="dxa"/>
        <w:tblCellMar>
          <w:top w:w="0" w:type="dxa"/>
          <w:left w:w="0" w:type="dxa"/>
          <w:bottom w:w="0" w:type="dxa"/>
          <w:right w:w="0" w:type="dxa"/>
        </w:tblCellMar>
      </w:tblPr>
      <w:tr>
        <w:trPr>
          <w:trHeight w:val="121"/>
        </w:trPr>
        <w:tc>
          <w:tcPr>
            <w:tcW w:w="3880" w:type="dxa"/>
            <w:vAlign w:val="bottom"/>
          </w:tcPr>
          <w:p>
            <w:pPr>
              <w:spacing w:after="0"/>
              <w:rPr>
                <w:sz w:val="10"/>
                <w:szCs w:val="1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FY 2025, year-over-year growth</w:t>
            </w:r>
          </w:p>
        </w:tc>
      </w:tr>
      <w:tr>
        <w:trPr>
          <w:trHeight w:val="94"/>
        </w:trPr>
        <w:tc>
          <w:tcPr>
            <w:tcW w:w="3880" w:type="dxa"/>
            <w:vAlign w:val="bottom"/>
            <w:tcBorders>
              <w:bottom w:val="single" w:sz="8" w:color="CCEEFF"/>
            </w:tcBorders>
          </w:tcPr>
          <w:p>
            <w:pPr>
              <w:spacing w:after="0"/>
              <w:rPr>
                <w:sz w:val="8"/>
                <w:szCs w:val="8"/>
                <w:color w:val="auto"/>
              </w:rPr>
            </w:pPr>
          </w:p>
        </w:tc>
        <w:tc>
          <w:tcPr>
            <w:tcW w:w="1360" w:type="dxa"/>
            <w:vAlign w:val="bottom"/>
            <w:tcBorders>
              <w:bottom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7"/>
              </w:rPr>
              <w:t>Guidance</w:t>
            </w:r>
          </w:p>
        </w:tc>
      </w:tr>
      <w:tr>
        <w:trPr>
          <w:trHeight w:val="141"/>
        </w:trPr>
        <w:tc>
          <w:tcPr>
            <w:tcW w:w="38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 growth, as reported</w:t>
            </w:r>
          </w:p>
        </w:tc>
        <w:tc>
          <w:tcPr>
            <w:tcW w:w="136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7"/>
              </w:rPr>
              <w:t>(10.9)%-(7.7)%</w:t>
            </w:r>
          </w:p>
        </w:tc>
      </w:tr>
      <w:tr>
        <w:trPr>
          <w:trHeight w:val="152"/>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Revenue growth, pro forma(2) constant currency(1)</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1%-4.5%</w:t>
            </w:r>
          </w:p>
        </w:tc>
      </w:tr>
      <w:tr>
        <w:trPr>
          <w:trHeight w:val="152"/>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GAAP diluted EPS growth</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25.0%-33.0%</w:t>
            </w:r>
          </w:p>
        </w:tc>
      </w:tr>
      <w:tr>
        <w:trPr>
          <w:trHeight w:val="165"/>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Non-GAAP diluted EPS growth</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6.5%-10.5%</w:t>
            </w:r>
          </w:p>
        </w:tc>
      </w:tr>
    </w:tbl>
    <w:p>
      <w:pPr>
        <w:sectPr>
          <w:pgSz w:w="11900" w:h="16838" w:orient="portrait"/>
          <w:cols w:equalWidth="0" w:num="1">
            <w:col w:w="9019"/>
          </w:cols>
          <w:pgMar w:left="1440" w:top="229" w:right="1440" w:bottom="1440" w:gutter="0" w:footer="0" w:header="0"/>
        </w:sectPr>
      </w:pPr>
    </w:p>
    <w:bookmarkStart w:id="9" w:name="page10"/>
    <w:bookmarkEnd w:id="9"/>
    <w:p>
      <w:pPr>
        <w:jc w:val="center"/>
        <w:ind w:left="4300"/>
        <w:spacing w:after="0"/>
        <w:rPr>
          <w:sz w:val="20"/>
          <w:szCs w:val="20"/>
          <w:color w:val="auto"/>
        </w:rPr>
      </w:pPr>
      <w:r>
        <w:rPr>
          <w:rFonts w:ascii="Times New Roman" w:cs="Times New Roman" w:eastAsia="Times New Roman" w:hAnsi="Times New Roman"/>
          <w:sz w:val="10"/>
          <w:szCs w:val="10"/>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FY 2025, in millions</w:t>
      </w:r>
    </w:p>
    <w:p>
      <w:pPr>
        <w:spacing w:after="0" w:line="6"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10"/>
          <w:szCs w:val="10"/>
          <w:b w:val="1"/>
          <w:bCs w:val="1"/>
          <w:color w:val="auto"/>
        </w:rPr>
        <w:t>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0</wp:posOffset>
            </wp:positionV>
            <wp:extent cx="3333750" cy="102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33750" cy="102235"/>
                    </a:xfrm>
                    <a:prstGeom prst="rect">
                      <a:avLst/>
                    </a:prstGeom>
                    <a:noFill/>
                  </pic:spPr>
                </pic:pic>
              </a:graphicData>
            </a:graphic>
          </wp:anchor>
        </w:drawing>
      </w:r>
    </w:p>
    <w:p>
      <w:pPr>
        <w:ind w:left="1880"/>
        <w:spacing w:after="0"/>
        <w:tabs>
          <w:tab w:leader="none" w:pos="6200" w:val="left"/>
          <w:tab w:leader="none" w:pos="6580" w:val="left"/>
        </w:tabs>
        <w:rPr>
          <w:sz w:val="20"/>
          <w:szCs w:val="20"/>
          <w:color w:val="auto"/>
        </w:rPr>
      </w:pPr>
      <w:r>
        <w:rPr>
          <w:rFonts w:ascii="Times New Roman" w:cs="Times New Roman" w:eastAsia="Times New Roman" w:hAnsi="Times New Roman"/>
          <w:sz w:val="13"/>
          <w:szCs w:val="13"/>
          <w:color w:val="auto"/>
        </w:rPr>
        <w:t>Free cash flow(5)</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710-$730</w:t>
      </w:r>
    </w:p>
    <w:p>
      <w:pPr>
        <w:spacing w:after="0" w:line="168" w:lineRule="exact"/>
        <w:rPr>
          <w:sz w:val="20"/>
          <w:szCs w:val="20"/>
          <w:color w:val="auto"/>
        </w:rPr>
      </w:pPr>
    </w:p>
    <w:p>
      <w:pPr>
        <w:ind w:left="1320" w:right="719" w:hanging="303"/>
        <w:spacing w:after="0" w:line="226"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growth on a pro forma</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constant currency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basis adjusts fiscal 2024 revenue by approximately $600 million to reflect the end of several low-margin, non-core business activities, including certain low-margin software and hardware partner activities, Vubiquity’s transactional video on demand business and non-core subscription services; these activities substantially already ceased in the first quarter of fiscal 2025 and are not included in the full year fiscal 2025 revenue outlook</w:t>
      </w:r>
    </w:p>
    <w:p>
      <w:pPr>
        <w:spacing w:after="0" w:line="74" w:lineRule="exact"/>
        <w:rPr>
          <w:rFonts w:ascii="Times New Roman" w:cs="Times New Roman" w:eastAsia="Times New Roman" w:hAnsi="Times New Roman"/>
          <w:sz w:val="13"/>
          <w:szCs w:val="13"/>
          <w:color w:val="auto"/>
        </w:rPr>
      </w:pPr>
    </w:p>
    <w:p>
      <w:pPr>
        <w:ind w:left="1320" w:right="899" w:hanging="303"/>
        <w:spacing w:after="0" w:line="267"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year fiscal 2025 revenue guidance incorporates an expected favorable impact from foreign currency fluctuations of approximately 0.2% year-over-year, and includes some inorganic contribution</w:t>
      </w:r>
    </w:p>
    <w:p>
      <w:pPr>
        <w:spacing w:after="0" w:line="55" w:lineRule="exact"/>
        <w:rPr>
          <w:rFonts w:ascii="Times New Roman" w:cs="Times New Roman" w:eastAsia="Times New Roman" w:hAnsi="Times New Roman"/>
          <w:sz w:val="13"/>
          <w:szCs w:val="13"/>
          <w:color w:val="auto"/>
        </w:rPr>
      </w:pPr>
    </w:p>
    <w:p>
      <w:pPr>
        <w:ind w:left="1320" w:right="739" w:hanging="303"/>
        <w:spacing w:after="0" w:line="255"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earnings per share growth excludes primarily equity-based compensation expense of approximately $0.86-$0.94 per share, amortization of purchased intangible assets and other acquisition-related costs of approximately $0.43 per share, changes in certain acquisitions related liabilities measured at fair value, and other, net of related tax effects</w:t>
      </w:r>
    </w:p>
    <w:p>
      <w:pPr>
        <w:spacing w:after="0" w:line="6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guidance does not include the impact of future restructuring charges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operating margin is anticipated to be within a range of 21.1% to 21.7% for the full year fiscal 2025</w:t>
      </w:r>
    </w:p>
    <w:p>
      <w:pPr>
        <w:spacing w:after="0" w:line="87" w:lineRule="exact"/>
        <w:rPr>
          <w:rFonts w:ascii="Times New Roman" w:cs="Times New Roman" w:eastAsia="Times New Roman" w:hAnsi="Times New Roman"/>
          <w:sz w:val="13"/>
          <w:szCs w:val="13"/>
          <w:color w:val="auto"/>
        </w:rPr>
      </w:pPr>
    </w:p>
    <w:p>
      <w:pPr>
        <w:ind w:left="1320" w:right="799" w:hanging="303"/>
        <w:spacing w:after="0" w:line="309" w:lineRule="auto"/>
        <w:tabs>
          <w:tab w:leader="none" w:pos="13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operating margin is comprised of GAAP operating margin, excluding amortization on purchased intangible assets and other, equity-based compensation expense, restructuring charges, and changes in certain acquisitions related liabilities measured at fair value</w:t>
      </w:r>
    </w:p>
    <w:p>
      <w:pPr>
        <w:spacing w:after="0" w:line="33"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effective tax rate is anticipated to be within a range of 15% to 17% for the full year fiscal 2025</w:t>
      </w:r>
    </w:p>
    <w:p>
      <w:pPr>
        <w:spacing w:after="0" w:line="87" w:lineRule="exact"/>
        <w:rPr>
          <w:rFonts w:ascii="Times New Roman" w:cs="Times New Roman" w:eastAsia="Times New Roman" w:hAnsi="Times New Roman"/>
          <w:sz w:val="13"/>
          <w:szCs w:val="13"/>
          <w:color w:val="auto"/>
        </w:rPr>
      </w:pPr>
    </w:p>
    <w:p>
      <w:pPr>
        <w:ind w:left="1320" w:right="959" w:hanging="303"/>
        <w:spacing w:after="0" w:line="212"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cash flow</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xml:space="preserve"> is comprised of cash flow from operations, less net capital expenditures and other, and excludes payments related to restructuring charges</w:t>
      </w:r>
    </w:p>
    <w:p>
      <w:pPr>
        <w:sectPr>
          <w:pgSz w:w="11900" w:h="16838" w:orient="portrait"/>
          <w:cols w:equalWidth="0" w:num="1">
            <w:col w:w="9019"/>
          </w:cols>
          <w:pgMar w:left="1440" w:top="227" w:right="1440" w:bottom="1440" w:gutter="0" w:footer="0" w:header="0"/>
        </w:sectPr>
      </w:pPr>
    </w:p>
    <w:bookmarkStart w:id="10" w:name="page11"/>
    <w:bookmarkEnd w:id="10"/>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forward looking statements regarding our first fiscal quarter 2025 and full year fiscal 2025 guidance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certain geopolitical events, the current inflationary environment, global or regional events, and the prevailing level of macro-economic, business and operational uncertainty, which have created, and continue to create, a significant amount of uncertainty, or from current and potential customer consolidation or their other strategic corporate activities.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and Earnings Webcast Presentation Details</w:t>
      </w:r>
    </w:p>
    <w:p>
      <w:pPr>
        <w:spacing w:after="0" w:line="80" w:lineRule="exact"/>
        <w:rPr>
          <w:sz w:val="20"/>
          <w:szCs w:val="20"/>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Amdocs will host a conference call and earnings webcast presentation on November 12, 2024 at 5:00 p.m. Eastern Time to discuss the Company’s fourth quarter of fiscal 2024 results.</w:t>
      </w:r>
    </w:p>
    <w:p>
      <w:pPr>
        <w:spacing w:after="0" w:line="122" w:lineRule="exact"/>
        <w:rPr>
          <w:sz w:val="20"/>
          <w:szCs w:val="20"/>
          <w:color w:val="auto"/>
        </w:rPr>
      </w:pPr>
    </w:p>
    <w:p>
      <w:pPr>
        <w:jc w:val="both"/>
        <w:ind w:left="640" w:right="679"/>
        <w:spacing w:after="0" w:line="255" w:lineRule="auto"/>
        <w:rPr>
          <w:sz w:val="20"/>
          <w:szCs w:val="20"/>
          <w:color w:val="auto"/>
        </w:rPr>
      </w:pPr>
      <w:r>
        <w:rPr>
          <w:rFonts w:ascii="Times New Roman" w:cs="Times New Roman" w:eastAsia="Times New Roman" w:hAnsi="Times New Roman"/>
          <w:sz w:val="13"/>
          <w:szCs w:val="13"/>
          <w:color w:val="auto"/>
        </w:rPr>
        <w:t xml:space="preserve">To participate in the call, please register </w:t>
      </w:r>
      <w:r>
        <w:rPr>
          <w:rFonts w:ascii="Times New Roman" w:cs="Times New Roman" w:eastAsia="Times New Roman" w:hAnsi="Times New Roman"/>
          <w:sz w:val="13"/>
          <w:szCs w:val="13"/>
          <w:u w:val="single" w:color="auto"/>
          <w:color w:val="auto"/>
        </w:rPr>
        <w:t>here</w:t>
      </w:r>
      <w:r>
        <w:rPr>
          <w:rFonts w:ascii="Times New Roman" w:cs="Times New Roman" w:eastAsia="Times New Roman" w:hAnsi="Times New Roman"/>
          <w:sz w:val="13"/>
          <w:szCs w:val="13"/>
          <w:color w:val="auto"/>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80" w:lineRule="exact"/>
        <w:rPr>
          <w:sz w:val="20"/>
          <w:szCs w:val="20"/>
          <w:color w:val="auto"/>
        </w:rPr>
      </w:pPr>
    </w:p>
    <w:p>
      <w:pPr>
        <w:ind w:left="640" w:right="839"/>
        <w:spacing w:after="0" w:line="229" w:lineRule="auto"/>
        <w:rPr>
          <w:sz w:val="20"/>
          <w:szCs w:val="20"/>
          <w:color w:val="auto"/>
        </w:rPr>
      </w:pPr>
      <w:r>
        <w:rPr>
          <w:rFonts w:ascii="Times New Roman" w:cs="Times New Roman" w:eastAsia="Times New Roman" w:hAnsi="Times New Roman"/>
          <w:sz w:val="13"/>
          <w:szCs w:val="13"/>
          <w:color w:val="auto"/>
        </w:rPr>
        <w:t>This release includes non-GAAP diluted earnings per share and other non-GAAP financial measures, including free cash flow, revenue on a constant currency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w:t>
      </w:r>
    </w:p>
    <w:p>
      <w:pPr>
        <w:spacing w:after="0" w:line="75" w:lineRule="exact"/>
        <w:rPr>
          <w:sz w:val="20"/>
          <w:szCs w:val="20"/>
          <w:color w:val="auto"/>
        </w:rPr>
      </w:pPr>
    </w:p>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amortization of purchased intangible assets and other acquisition-related costs;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certain acquisition-related liabilities measured at fair value;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restructuring and unusual charges or benefits;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equity-based compensation expense;</w:t>
      </w:r>
    </w:p>
    <w:p>
      <w:pPr>
        <w:sectPr>
          <w:pgSz w:w="11900" w:h="16838" w:orient="portrait"/>
          <w:cols w:equalWidth="0" w:num="1">
            <w:col w:w="9019"/>
          </w:cols>
          <w:pgMar w:left="1440" w:top="231" w:right="1440" w:bottom="1440" w:gutter="0" w:footer="0" w:header="0"/>
        </w:sectPr>
      </w:pPr>
    </w:p>
    <w:bookmarkStart w:id="11" w:name="page12"/>
    <w:bookmarkEnd w:id="11"/>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effects related to the above.</w:t>
      </w:r>
    </w:p>
    <w:p>
      <w:pPr>
        <w:spacing w:after="0" w:line="154"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Free cash flow equals cash generated by operating activities less net capital expenditures and other.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35" w:lineRule="exact"/>
        <w:rPr>
          <w:sz w:val="20"/>
          <w:szCs w:val="20"/>
          <w:color w:val="auto"/>
        </w:rPr>
      </w:pPr>
    </w:p>
    <w:p>
      <w:pPr>
        <w:ind w:left="640" w:right="659"/>
        <w:spacing w:after="0" w:line="222" w:lineRule="auto"/>
        <w:rPr>
          <w:sz w:val="20"/>
          <w:szCs w:val="20"/>
          <w:color w:val="auto"/>
        </w:rPr>
      </w:pPr>
      <w:r>
        <w:rPr>
          <w:rFonts w:ascii="Times New Roman" w:cs="Times New Roman" w:eastAsia="Times New Roman" w:hAnsi="Times New Roman"/>
          <w:sz w:val="13"/>
          <w:szCs w:val="13"/>
          <w:color w:val="auto"/>
        </w:rPr>
        <w:t>Amdocs believes that the presentation of non-GAAP diluted earnings per share and other financial measures, including free cash flow</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revenue on a constant currency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39"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 uses the foregoing non-GAAP financial measures, in addition to the corresponding GAAP</w:t>
      </w:r>
    </w:p>
    <w:p>
      <w:pPr>
        <w:sectPr>
          <w:pgSz w:w="11900" w:h="16838" w:orient="portrait"/>
          <w:cols w:equalWidth="0" w:num="1">
            <w:col w:w="9019"/>
          </w:cols>
          <w:pgMar w:left="1440" w:top="231" w:right="1440" w:bottom="1440" w:gutter="0" w:footer="0" w:header="0"/>
        </w:sectPr>
      </w:pPr>
    </w:p>
    <w:bookmarkStart w:id="12" w:name="page13"/>
    <w:bookmarkEnd w:id="12"/>
    <w:p>
      <w:pPr>
        <w:ind w:left="640" w:right="7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30"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Supporting Resources</w:t>
      </w:r>
    </w:p>
    <w:p>
      <w:pPr>
        <w:spacing w:after="0" w:line="89" w:lineRule="exact"/>
        <w:rPr>
          <w:sz w:val="20"/>
          <w:szCs w:val="20"/>
          <w:color w:val="auto"/>
        </w:rPr>
      </w:pPr>
    </w:p>
    <w:p>
      <w:pPr>
        <w:ind w:left="940" w:hanging="227"/>
        <w:spacing w:after="0"/>
        <w:tabs>
          <w:tab w:leader="none" w:pos="9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Keep up with Amdocs news by visiting the Company’s </w:t>
      </w:r>
      <w:r>
        <w:rPr>
          <w:rFonts w:ascii="Times New Roman" w:cs="Times New Roman" w:eastAsia="Times New Roman" w:hAnsi="Times New Roman"/>
          <w:sz w:val="13"/>
          <w:szCs w:val="13"/>
          <w:u w:val="single" w:color="auto"/>
          <w:color w:val="auto"/>
        </w:rPr>
        <w:t>website</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Subscribe to Amdocs’ </w:t>
      </w:r>
      <w:r>
        <w:rPr>
          <w:rFonts w:ascii="Times New Roman" w:cs="Times New Roman" w:eastAsia="Times New Roman" w:hAnsi="Times New Roman"/>
          <w:sz w:val="13"/>
          <w:szCs w:val="13"/>
          <w:u w:val="single" w:color="auto"/>
          <w:color w:val="auto"/>
        </w:rPr>
        <w:t>RSS Feed</w:t>
      </w:r>
      <w:r>
        <w:rPr>
          <w:rFonts w:ascii="Times New Roman" w:cs="Times New Roman" w:eastAsia="Times New Roman" w:hAnsi="Times New Roman"/>
          <w:sz w:val="13"/>
          <w:szCs w:val="13"/>
          <w:color w:val="auto"/>
        </w:rPr>
        <w:t xml:space="preserve"> and follow us on </w:t>
      </w:r>
      <w:r>
        <w:rPr>
          <w:rFonts w:ascii="Times New Roman" w:cs="Times New Roman" w:eastAsia="Times New Roman" w:hAnsi="Times New Roman"/>
          <w:sz w:val="13"/>
          <w:szCs w:val="13"/>
          <w:u w:val="single" w:color="auto"/>
          <w:color w:val="auto"/>
        </w:rPr>
        <w:t>Twitter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Facebook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YouTube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Amdocs</w:t>
      </w:r>
    </w:p>
    <w:p>
      <w:pPr>
        <w:spacing w:after="0" w:line="80" w:lineRule="exact"/>
        <w:rPr>
          <w:sz w:val="20"/>
          <w:szCs w:val="20"/>
          <w:color w:val="auto"/>
        </w:rPr>
      </w:pPr>
    </w:p>
    <w:p>
      <w:pPr>
        <w:ind w:left="640" w:right="819"/>
        <w:spacing w:after="0" w:line="249" w:lineRule="auto"/>
        <w:rPr>
          <w:sz w:val="20"/>
          <w:szCs w:val="20"/>
          <w:color w:val="auto"/>
        </w:rPr>
      </w:pPr>
      <w:r>
        <w:rPr>
          <w:rFonts w:ascii="Times New Roman" w:cs="Times New Roman" w:eastAsia="Times New Roman" w:hAnsi="Times New Roman"/>
          <w:sz w:val="13"/>
          <w:szCs w:val="13"/>
          <w:color w:val="auto"/>
        </w:rPr>
        <w:t>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employees around the globe are here to accelerate service providers’ migration to the cloud, enable them to differentiate in the 5G era, and digitalize and automate their operations. Listed on the NASDAQ Global Select Market, Amdocs had revenue of $5.00 billion in fiscal 2024.</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For more information, visit Amdocs at </w:t>
      </w:r>
      <w:r>
        <w:rPr>
          <w:rFonts w:ascii="Times New Roman" w:cs="Times New Roman" w:eastAsia="Times New Roman" w:hAnsi="Times New Roman"/>
          <w:sz w:val="13"/>
          <w:szCs w:val="13"/>
          <w:u w:val="single" w:color="auto"/>
          <w:color w:val="auto"/>
        </w:rPr>
        <w:t>www.amdocs.com</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3" w:name="page14"/>
    <w:bookmarkEnd w:id="13"/>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regional events,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2023 filed on December 13, 2023 and our Form 6-K furnished for the first quarter of fiscal 2024 on February 20, 2024, the second quarter of fiscal 2024 filed on May 20, 2024 and for the third quarter of fiscal 2024 on August 19, 2024.</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Matthew Smith</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Head of Investor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Amdocs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314-212-8328</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dox_info@amdocs.com</w:t>
      </w:r>
    </w:p>
    <w:p>
      <w:pPr>
        <w:sectPr>
          <w:pgSz w:w="11900" w:h="16838" w:orient="portrait"/>
          <w:cols w:equalWidth="0" w:num="1">
            <w:col w:w="9019"/>
          </w:cols>
          <w:pgMar w:left="1440" w:top="231"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3"/>
          <w:szCs w:val="13"/>
          <w:b w:val="1"/>
          <w:bCs w:val="1"/>
          <w:color w:val="auto"/>
        </w:rPr>
        <w:t>Consolidated Statements of Income</w:t>
      </w:r>
    </w:p>
    <w:p>
      <w:pPr>
        <w:spacing w:after="0" w:line="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7"/>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 w:type="dxa"/>
            <w:vAlign w:val="bottom"/>
          </w:tcPr>
          <w:p>
            <w:pPr>
              <w:spacing w:after="0"/>
              <w:rPr>
                <w:sz w:val="10"/>
                <w:szCs w:val="10"/>
                <w:color w:val="auto"/>
              </w:rPr>
            </w:pPr>
          </w:p>
        </w:tc>
        <w:tc>
          <w:tcPr>
            <w:tcW w:w="1320" w:type="dxa"/>
            <w:vAlign w:val="bottom"/>
            <w:gridSpan w:val="6"/>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Fiscal year ended</w:t>
            </w:r>
          </w:p>
        </w:tc>
      </w:tr>
      <w:tr>
        <w:trPr>
          <w:trHeight w:val="121"/>
        </w:trPr>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7"/>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0" w:type="dxa"/>
            <w:vAlign w:val="bottom"/>
          </w:tcPr>
          <w:p>
            <w:pPr>
              <w:spacing w:after="0"/>
              <w:rPr>
                <w:sz w:val="10"/>
                <w:szCs w:val="10"/>
                <w:color w:val="auto"/>
              </w:rPr>
            </w:pPr>
          </w:p>
        </w:tc>
        <w:tc>
          <w:tcPr>
            <w:tcW w:w="1320" w:type="dxa"/>
            <w:vAlign w:val="bottom"/>
            <w:gridSpan w:val="6"/>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48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9"/>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9"/>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8"/>
                <w:szCs w:val="8"/>
                <w:color w:val="auto"/>
              </w:rPr>
            </w:pPr>
          </w:p>
        </w:tc>
      </w:tr>
      <w:tr>
        <w:trPr>
          <w:trHeight w:val="141"/>
        </w:trPr>
        <w:tc>
          <w:tcPr>
            <w:tcW w:w="48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Revenue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1,263,882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1,242,564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5,004,989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4,887,550</w:t>
            </w:r>
          </w:p>
        </w:tc>
        <w:tc>
          <w:tcPr>
            <w:tcW w:w="80" w:type="dxa"/>
            <w:vAlign w:val="bottom"/>
            <w:shd w:val="clear" w:color="auto" w:fill="CCEEFF"/>
          </w:tcPr>
          <w:p>
            <w:pPr>
              <w:spacing w:after="0"/>
              <w:rPr>
                <w:sz w:val="12"/>
                <w:szCs w:val="12"/>
                <w:color w:val="auto"/>
              </w:rPr>
            </w:pP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824,888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803,600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3,249,598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3,159,941</w:t>
            </w: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90,069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97,693</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360,798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374,855</w:t>
            </w: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138,705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140,380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572,845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570,707</w:t>
            </w: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purchased intangible assets and other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14,333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15,601</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62,052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57,156</w:t>
            </w: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83,213</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46,365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131,088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70,901</w:t>
            </w:r>
          </w:p>
        </w:tc>
      </w:tr>
      <w:tr>
        <w:trPr>
          <w:trHeight w:val="151"/>
        </w:trPr>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1,151,208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1,103,639</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4,376,381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4,233,560</w:t>
            </w:r>
          </w:p>
        </w:tc>
        <w:tc>
          <w:tcPr>
            <w:tcW w:w="80" w:type="dxa"/>
            <w:vAlign w:val="bottom"/>
          </w:tcPr>
          <w:p>
            <w:pPr>
              <w:spacing w:after="0"/>
              <w:rPr>
                <w:sz w:val="13"/>
                <w:szCs w:val="13"/>
                <w:color w:val="auto"/>
              </w:rPr>
            </w:pPr>
          </w:p>
        </w:tc>
      </w:tr>
      <w:tr>
        <w:trPr>
          <w:trHeight w:val="151"/>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112,674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138,925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628,608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653,990</w:t>
            </w: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(9,237)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(5,307)</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(37,537)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(17,629)</w:t>
            </w:r>
          </w:p>
        </w:tc>
      </w:tr>
      <w:tr>
        <w:trPr>
          <w:trHeight w:val="151"/>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103,437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133,618</w:t>
            </w: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591,071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636,361</w:t>
            </w:r>
          </w:p>
        </w:tc>
        <w:tc>
          <w:tcPr>
            <w:tcW w:w="80" w:type="dxa"/>
            <w:vAlign w:val="bottom"/>
            <w:shd w:val="clear" w:color="auto" w:fill="CCEEFF"/>
          </w:tcPr>
          <w:p>
            <w:pPr>
              <w:spacing w:after="0"/>
              <w:rPr>
                <w:sz w:val="13"/>
                <w:szCs w:val="13"/>
                <w:color w:val="auto"/>
              </w:rPr>
            </w:pP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16,261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30,952</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94,750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93,399</w:t>
            </w: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87,176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102,666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496,321</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542,962</w:t>
            </w:r>
          </w:p>
        </w:tc>
      </w:tr>
      <w:tr>
        <w:trPr>
          <w:trHeight w:val="161"/>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2,253</w:t>
            </w:r>
          </w:p>
        </w:tc>
        <w:tc>
          <w:tcPr>
            <w:tcW w:w="80" w:type="dxa"/>
            <w:vAlign w:val="bottom"/>
          </w:tcPr>
          <w:p>
            <w:pPr>
              <w:spacing w:after="0"/>
              <w:rPr>
                <w:sz w:val="14"/>
                <w:szCs w:val="14"/>
                <w:color w:val="auto"/>
              </w:rPr>
            </w:pPr>
          </w:p>
        </w:tc>
      </w:tr>
      <w:tr>
        <w:trPr>
          <w:trHeight w:val="15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Amdocs Limited</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86,441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102,011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493,197</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540,709</w:t>
            </w:r>
          </w:p>
        </w:tc>
      </w:tr>
      <w:tr>
        <w:trPr>
          <w:trHeight w:val="170"/>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Basic earnings per share attributable to Amdocs Limited</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0.86</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80" w:type="dxa"/>
            <w:vAlign w:val="bottom"/>
          </w:tcPr>
          <w:p>
            <w:pPr>
              <w:spacing w:after="0"/>
              <w:rPr>
                <w:sz w:val="14"/>
                <w:szCs w:val="14"/>
                <w:color w:val="auto"/>
              </w:rPr>
            </w:pPr>
          </w:p>
        </w:tc>
      </w:tr>
      <w:tr>
        <w:trPr>
          <w:trHeight w:val="1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earnings per share attributable to Amdocs Limited</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0.76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4.49</w:t>
            </w:r>
          </w:p>
        </w:tc>
      </w:tr>
      <w:tr>
        <w:trPr>
          <w:trHeight w:val="170"/>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Basic weighted average number of shares outstanding</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113,745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118,076</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115,489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119,687</w:t>
            </w:r>
          </w:p>
        </w:tc>
        <w:tc>
          <w:tcPr>
            <w:tcW w:w="80" w:type="dxa"/>
            <w:vAlign w:val="bottom"/>
          </w:tcPr>
          <w:p>
            <w:pPr>
              <w:spacing w:after="0"/>
              <w:rPr>
                <w:sz w:val="14"/>
                <w:szCs w:val="14"/>
                <w:color w:val="auto"/>
              </w:rPr>
            </w:pPr>
          </w:p>
        </w:tc>
      </w:tr>
      <w:tr>
        <w:trPr>
          <w:trHeight w:val="1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weighted average number of shares outstanding</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114,378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118,884</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116,145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120,519</w:t>
            </w:r>
          </w:p>
        </w:tc>
      </w:tr>
      <w:tr>
        <w:trPr>
          <w:trHeight w:val="170"/>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 per share</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0.479</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0.435</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80" w:type="dxa"/>
            <w:vAlign w:val="bottom"/>
          </w:tcPr>
          <w:p>
            <w:pPr>
              <w:spacing w:after="0"/>
              <w:rPr>
                <w:sz w:val="14"/>
                <w:szCs w:val="14"/>
                <w:color w:val="auto"/>
              </w:rPr>
            </w:pPr>
          </w:p>
        </w:tc>
      </w:tr>
    </w:tbl>
    <w:p>
      <w:pPr>
        <w:sectPr>
          <w:pgSz w:w="11900" w:h="16838" w:orient="portrait"/>
          <w:cols w:equalWidth="0" w:num="1">
            <w:col w:w="9019"/>
          </w:cols>
          <w:pgMar w:left="1440" w:top="229"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Selected Financial Metrics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7"/>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Pr>
          <w:p>
            <w:pPr>
              <w:spacing w:after="0"/>
              <w:rPr>
                <w:sz w:val="10"/>
                <w:szCs w:val="10"/>
                <w:color w:val="auto"/>
              </w:rPr>
            </w:pPr>
          </w:p>
        </w:tc>
        <w:tc>
          <w:tcPr>
            <w:tcW w:w="1300" w:type="dxa"/>
            <w:vAlign w:val="bottom"/>
            <w:gridSpan w:val="8"/>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Fiscal year ended</w:t>
            </w:r>
          </w:p>
        </w:tc>
      </w:tr>
      <w:tr>
        <w:trPr>
          <w:trHeight w:val="121"/>
        </w:trPr>
        <w:tc>
          <w:tcPr>
            <w:tcW w:w="3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7"/>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10"/>
                <w:szCs w:val="10"/>
                <w:color w:val="auto"/>
              </w:rPr>
            </w:pPr>
          </w:p>
        </w:tc>
        <w:tc>
          <w:tcPr>
            <w:tcW w:w="1300" w:type="dxa"/>
            <w:vAlign w:val="bottom"/>
            <w:gridSpan w:val="8"/>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r>
      <w:tr>
        <w:trPr>
          <w:trHeight w:val="94"/>
        </w:trPr>
        <w:tc>
          <w:tcPr>
            <w:tcW w:w="3120" w:type="dxa"/>
            <w:vAlign w:val="bottom"/>
            <w:tcBorders>
              <w:bottom w:val="single" w:sz="8" w:color="CCEEFF"/>
            </w:tcBorders>
          </w:tcPr>
          <w:p>
            <w:pPr>
              <w:spacing w:after="0"/>
              <w:rPr>
                <w:sz w:val="8"/>
                <w:szCs w:val="8"/>
                <w:color w:val="auto"/>
              </w:rPr>
            </w:pPr>
          </w:p>
        </w:tc>
        <w:tc>
          <w:tcPr>
            <w:tcW w:w="170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gridSpan w:val="2"/>
          </w:tcPr>
          <w:p>
            <w:pPr>
              <w:jc w:val="right"/>
              <w:ind w:right="126"/>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gridSpan w:val="2"/>
          </w:tcPr>
          <w:p>
            <w:pPr>
              <w:jc w:val="right"/>
              <w:ind w:right="157"/>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23"/>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CCEEFF"/>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top w:val="single" w:sz="8" w:color="auto"/>
              <w:bottom w:val="single" w:sz="8" w:color="auto"/>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r>
      <w:tr>
        <w:trPr>
          <w:trHeight w:val="141"/>
        </w:trPr>
        <w:tc>
          <w:tcPr>
            <w:tcW w:w="31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7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$1,263,882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$1,242,564</w:t>
            </w:r>
          </w:p>
        </w:tc>
        <w:tc>
          <w:tcPr>
            <w:tcW w:w="1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3"/>
                <w:szCs w:val="13"/>
                <w:color w:val="auto"/>
                <w:w w:val="95"/>
              </w:rPr>
              <w:t>$5,004,989</w:t>
            </w:r>
          </w:p>
        </w:tc>
        <w:tc>
          <w:tcPr>
            <w:tcW w:w="18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$4,887,550</w:t>
            </w:r>
          </w:p>
        </w:tc>
        <w:tc>
          <w:tcPr>
            <w:tcW w:w="40" w:type="dxa"/>
            <w:vAlign w:val="bottom"/>
            <w:shd w:val="clear" w:color="auto" w:fill="CCEEFF"/>
          </w:tcPr>
          <w:p>
            <w:pPr>
              <w:spacing w:after="0"/>
              <w:rPr>
                <w:sz w:val="12"/>
                <w:szCs w:val="12"/>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Non-GAAP operating income</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236,223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221,105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923,288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868,602</w:t>
            </w:r>
          </w:p>
        </w:tc>
        <w:tc>
          <w:tcPr>
            <w:tcW w:w="40" w:type="dxa"/>
            <w:vAlign w:val="bottom"/>
          </w:tcPr>
          <w:p>
            <w:pPr>
              <w:spacing w:after="0"/>
              <w:rPr>
                <w:sz w:val="13"/>
                <w:szCs w:val="13"/>
                <w:color w:val="auto"/>
              </w:rPr>
            </w:pPr>
          </w:p>
        </w:tc>
      </w:tr>
      <w:tr>
        <w:trPr>
          <w:trHeight w:val="15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net income</w:t>
            </w: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195,668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169,009</w:t>
            </w:r>
          </w:p>
        </w:tc>
        <w:tc>
          <w:tcPr>
            <w:tcW w:w="1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750,928</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714,454</w:t>
            </w:r>
          </w:p>
        </w:tc>
        <w:tc>
          <w:tcPr>
            <w:tcW w:w="40" w:type="dxa"/>
            <w:vAlign w:val="bottom"/>
            <w:shd w:val="clear" w:color="auto" w:fill="CCEEFF"/>
          </w:tcPr>
          <w:p>
            <w:pPr>
              <w:spacing w:after="0"/>
              <w:rPr>
                <w:sz w:val="13"/>
                <w:szCs w:val="13"/>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Non-GAAP net income attributable to Amdocs Limited</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194,933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168,354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747,804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712,201</w:t>
            </w:r>
          </w:p>
        </w:tc>
        <w:tc>
          <w:tcPr>
            <w:tcW w:w="40" w:type="dxa"/>
            <w:vAlign w:val="bottom"/>
          </w:tcPr>
          <w:p>
            <w:pPr>
              <w:spacing w:after="0"/>
              <w:rPr>
                <w:sz w:val="13"/>
                <w:szCs w:val="13"/>
                <w:color w:val="auto"/>
              </w:rPr>
            </w:pPr>
          </w:p>
        </w:tc>
      </w:tr>
      <w:tr>
        <w:trPr>
          <w:trHeight w:val="15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6.44</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5.91</w:t>
            </w:r>
          </w:p>
        </w:tc>
      </w:tr>
      <w:tr>
        <w:trPr>
          <w:trHeight w:val="165"/>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Diluted weighted average number of shares outstanding</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114,378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118,884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116,145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120,519</w:t>
            </w:r>
          </w:p>
        </w:tc>
        <w:tc>
          <w:tcPr>
            <w:tcW w:w="40" w:type="dxa"/>
            <w:vAlign w:val="bottom"/>
          </w:tcPr>
          <w:p>
            <w:pPr>
              <w:spacing w:after="0"/>
              <w:rPr>
                <w:sz w:val="14"/>
                <w:szCs w:val="14"/>
                <w:color w:val="auto"/>
              </w:rPr>
            </w:pPr>
          </w:p>
        </w:tc>
      </w:tr>
      <w:tr>
        <w:trPr>
          <w:trHeight w:val="427"/>
        </w:trPr>
        <w:tc>
          <w:tcPr>
            <w:tcW w:w="3120" w:type="dxa"/>
            <w:vAlign w:val="bottom"/>
          </w:tcPr>
          <w:p>
            <w:pPr>
              <w:spacing w:after="0"/>
              <w:rPr>
                <w:sz w:val="24"/>
                <w:szCs w:val="24"/>
                <w:color w:val="auto"/>
              </w:rPr>
            </w:pPr>
          </w:p>
        </w:tc>
        <w:tc>
          <w:tcPr>
            <w:tcW w:w="180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7"/>
              </w:rPr>
              <w:t>Free Cash Flows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7"/>
        </w:trPr>
        <w:tc>
          <w:tcPr>
            <w:tcW w:w="3120" w:type="dxa"/>
            <w:vAlign w:val="bottom"/>
          </w:tcPr>
          <w:p>
            <w:pPr>
              <w:spacing w:after="0"/>
              <w:rPr>
                <w:sz w:val="14"/>
                <w:szCs w:val="14"/>
                <w:color w:val="auto"/>
              </w:rPr>
            </w:pPr>
          </w:p>
        </w:tc>
        <w:tc>
          <w:tcPr>
            <w:tcW w:w="180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8"/>
        </w:trPr>
        <w:tc>
          <w:tcPr>
            <w:tcW w:w="3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7"/>
          </w:tcPr>
          <w:p>
            <w:pPr>
              <w:ind w:left="1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Pr>
          <w:p>
            <w:pPr>
              <w:spacing w:after="0"/>
              <w:rPr>
                <w:sz w:val="22"/>
                <w:szCs w:val="22"/>
                <w:color w:val="auto"/>
              </w:rPr>
            </w:pPr>
          </w:p>
        </w:tc>
        <w:tc>
          <w:tcPr>
            <w:tcW w:w="1300" w:type="dxa"/>
            <w:vAlign w:val="bottom"/>
            <w:gridSpan w:val="8"/>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Fiscal year ended</w:t>
            </w:r>
          </w:p>
        </w:tc>
      </w:tr>
      <w:tr>
        <w:trPr>
          <w:trHeight w:val="121"/>
        </w:trPr>
        <w:tc>
          <w:tcPr>
            <w:tcW w:w="3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7"/>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10"/>
                <w:szCs w:val="10"/>
                <w:color w:val="auto"/>
              </w:rPr>
            </w:pPr>
          </w:p>
        </w:tc>
        <w:tc>
          <w:tcPr>
            <w:tcW w:w="1300" w:type="dxa"/>
            <w:vAlign w:val="bottom"/>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3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tcBorders>
          </w:tcPr>
          <w:p>
            <w:pPr>
              <w:ind w:left="140"/>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gridSpan w:val="2"/>
          </w:tcPr>
          <w:p>
            <w:pPr>
              <w:jc w:val="right"/>
              <w:ind w:right="77"/>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jc w:val="right"/>
              <w:ind w:right="103"/>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1"/>
        </w:trPr>
        <w:tc>
          <w:tcPr>
            <w:tcW w:w="31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1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$217,922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$272,371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88"/>
              </w:rPr>
              <w:t>$ 724,428</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822,630</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property and equipment, net (a)</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(25,812)</w:t>
            </w:r>
          </w:p>
        </w:tc>
        <w:tc>
          <w:tcPr>
            <w:tcW w:w="80" w:type="dxa"/>
            <w:vAlign w:val="bottom"/>
          </w:tcPr>
          <w:p>
            <w:pPr>
              <w:spacing w:after="0"/>
              <w:rPr>
                <w:sz w:val="13"/>
                <w:szCs w:val="13"/>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(26,557)</w:t>
            </w:r>
          </w:p>
        </w:tc>
        <w:tc>
          <w:tcPr>
            <w:tcW w:w="100" w:type="dxa"/>
            <w:vAlign w:val="bottom"/>
          </w:tcPr>
          <w:p>
            <w:pPr>
              <w:spacing w:after="0"/>
              <w:rPr>
                <w:sz w:val="13"/>
                <w:szCs w:val="13"/>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w w:val="98"/>
              </w:rPr>
              <w:t>(105,495)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4"/>
              </w:rPr>
              <w:t>(124,362)</w:t>
            </w:r>
          </w:p>
        </w:tc>
      </w:tr>
      <w:tr>
        <w:trPr>
          <w:trHeight w:val="20"/>
        </w:trPr>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$ 192,110</w:t>
            </w: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$245,814</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$ 618,933</w:t>
            </w:r>
          </w:p>
        </w:tc>
        <w:tc>
          <w:tcPr>
            <w:tcW w:w="18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698,268</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54165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0" w:lineRule="exact"/>
        <w:rPr>
          <w:sz w:val="20"/>
          <w:szCs w:val="20"/>
          <w:color w:val="auto"/>
        </w:rPr>
      </w:pPr>
    </w:p>
    <w:p>
      <w:pPr>
        <w:ind w:left="940" w:right="899" w:hanging="303"/>
        <w:spacing w:after="0" w:line="267" w:lineRule="auto"/>
        <w:tabs>
          <w:tab w:leader="none" w:pos="9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under “Purchase of property and equipment, net” include immaterial proceeds from sale of property and equipment for the fiscal years ended September 30, 2024 and 2023, respectively.</w:t>
      </w:r>
    </w:p>
    <w:p>
      <w:pPr>
        <w:sectPr>
          <w:pgSz w:w="11900" w:h="16838" w:orient="portrait"/>
          <w:cols w:equalWidth="0" w:num="1">
            <w:col w:w="9019"/>
          </w:cols>
          <w:pgMar w:left="1440" w:top="229"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Reconciliation of Selected Financial Metrics from GAAP to Non-GAAP</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0"/>
                <w:szCs w:val="10"/>
                <w:b w:val="1"/>
                <w:bCs w:val="1"/>
                <w:color w:val="auto"/>
              </w:rPr>
              <w:t>Three Months Ended September 30, 2024</w:t>
            </w: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gridSpan w:val="4"/>
          </w:tcPr>
          <w:p>
            <w:pPr>
              <w:jc w:val="center"/>
              <w:ind w:right="140"/>
              <w:spacing w:after="0" w:line="77" w:lineRule="exact"/>
              <w:rPr>
                <w:sz w:val="20"/>
                <w:szCs w:val="20"/>
                <w:color w:val="auto"/>
              </w:rPr>
            </w:pPr>
            <w:r>
              <w:rPr>
                <w:rFonts w:ascii="Times New Roman" w:cs="Times New Roman" w:eastAsia="Times New Roman" w:hAnsi="Times New Roman"/>
                <w:sz w:val="8"/>
                <w:szCs w:val="8"/>
                <w:b w:val="1"/>
                <w:bCs w:val="1"/>
                <w:color w:val="auto"/>
              </w:rPr>
              <w:t>Amortization</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4"/>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w w:val="93"/>
              </w:rPr>
              <w:t>of purchased</w:t>
            </w:r>
          </w:p>
        </w:tc>
        <w:tc>
          <w:tcPr>
            <w:tcW w:w="80" w:type="dxa"/>
            <w:vAlign w:val="bottom"/>
          </w:tcPr>
          <w:p>
            <w:pPr>
              <w:spacing w:after="0"/>
              <w:rPr>
                <w:sz w:val="9"/>
                <w:szCs w:val="9"/>
                <w:color w:val="auto"/>
              </w:rPr>
            </w:pPr>
          </w:p>
        </w:tc>
        <w:tc>
          <w:tcPr>
            <w:tcW w:w="760" w:type="dxa"/>
            <w:vAlign w:val="bottom"/>
            <w:gridSpan w:val="6"/>
            <w:vMerge w:val="restart"/>
          </w:tcPr>
          <w:p>
            <w:pPr>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4"/>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8"/>
              </w:rPr>
              <w:t>intangible</w:t>
            </w:r>
          </w:p>
        </w:tc>
        <w:tc>
          <w:tcPr>
            <w:tcW w:w="80" w:type="dxa"/>
            <w:vAlign w:val="bottom"/>
          </w:tcPr>
          <w:p>
            <w:pPr>
              <w:spacing w:after="0"/>
              <w:rPr>
                <w:sz w:val="9"/>
                <w:szCs w:val="9"/>
                <w:color w:val="auto"/>
              </w:rPr>
            </w:pPr>
          </w:p>
        </w:tc>
        <w:tc>
          <w:tcPr>
            <w:tcW w:w="760" w:type="dxa"/>
            <w:vAlign w:val="bottom"/>
            <w:gridSpan w:val="6"/>
            <w:vMerge w:val="continue"/>
          </w:tcPr>
          <w:p>
            <w:pPr>
              <w:spacing w:after="0"/>
              <w:rPr>
                <w:sz w:val="9"/>
                <w:szCs w:val="9"/>
                <w:color w:val="auto"/>
              </w:rPr>
            </w:pPr>
          </w:p>
        </w:tc>
        <w:tc>
          <w:tcPr>
            <w:tcW w:w="780" w:type="dxa"/>
            <w:vAlign w:val="bottom"/>
            <w:gridSpan w:val="5"/>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Restructuring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Tax</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GAAP</w:t>
            </w:r>
          </w:p>
        </w:tc>
        <w:tc>
          <w:tcPr>
            <w:tcW w:w="220" w:type="dxa"/>
            <w:vAlign w:val="bottom"/>
          </w:tcPr>
          <w:p>
            <w:pPr>
              <w:spacing w:after="0"/>
              <w:rPr>
                <w:sz w:val="9"/>
                <w:szCs w:val="9"/>
                <w:color w:val="auto"/>
              </w:rPr>
            </w:pPr>
          </w:p>
        </w:tc>
        <w:tc>
          <w:tcPr>
            <w:tcW w:w="680" w:type="dxa"/>
            <w:vAlign w:val="bottom"/>
            <w:gridSpan w:val="4"/>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7"/>
              </w:rPr>
              <w:t>assets and</w:t>
            </w:r>
          </w:p>
        </w:tc>
        <w:tc>
          <w:tcPr>
            <w:tcW w:w="80" w:type="dxa"/>
            <w:vAlign w:val="bottom"/>
          </w:tcPr>
          <w:p>
            <w:pPr>
              <w:spacing w:after="0"/>
              <w:rPr>
                <w:sz w:val="9"/>
                <w:szCs w:val="9"/>
                <w:color w:val="auto"/>
              </w:rPr>
            </w:pPr>
          </w:p>
        </w:tc>
        <w:tc>
          <w:tcPr>
            <w:tcW w:w="760" w:type="dxa"/>
            <w:vAlign w:val="bottom"/>
            <w:gridSpan w:val="6"/>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7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2"/>
              </w:rPr>
              <w:t>Non-GAAP</w:t>
            </w:r>
          </w:p>
        </w:tc>
        <w:tc>
          <w:tcPr>
            <w:tcW w:w="0" w:type="dxa"/>
            <w:vAlign w:val="bottom"/>
          </w:tcPr>
          <w:p>
            <w:pPr>
              <w:spacing w:after="0"/>
              <w:rPr>
                <w:sz w:val="1"/>
                <w:szCs w:val="1"/>
                <w:color w:val="auto"/>
              </w:rPr>
            </w:pPr>
          </w:p>
        </w:tc>
      </w:tr>
      <w:tr>
        <w:trPr>
          <w:trHeight w:val="121"/>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5"/>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120" w:type="dxa"/>
            <w:vAlign w:val="bottom"/>
          </w:tcPr>
          <w:p>
            <w:pPr>
              <w:spacing w:after="0"/>
              <w:rPr>
                <w:sz w:val="10"/>
                <w:szCs w:val="10"/>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charges</w:t>
            </w:r>
          </w:p>
        </w:tc>
        <w:tc>
          <w:tcPr>
            <w:tcW w:w="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1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24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right w:val="single" w:sz="8" w:color="CCEEFF"/>
            </w:tcBorders>
            <w:shd w:val="clear" w:color="auto" w:fill="CCEEFF"/>
          </w:tcPr>
          <w:p>
            <w:pPr>
              <w:spacing w:after="0"/>
              <w:rPr>
                <w:sz w:val="11"/>
                <w:szCs w:val="11"/>
                <w:color w:val="auto"/>
              </w:rPr>
            </w:pPr>
          </w:p>
        </w:tc>
        <w:tc>
          <w:tcPr>
            <w:tcW w:w="240" w:type="dxa"/>
            <w:vAlign w:val="bottom"/>
            <w:tcBorders>
              <w:top w:val="single" w:sz="8" w:color="auto"/>
              <w:left w:val="single" w:sz="8" w:color="CCEEFF"/>
              <w:right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180" w:type="dxa"/>
            <w:vAlign w:val="bottom"/>
            <w:tcBorders>
              <w:top w:val="single" w:sz="8" w:color="auto"/>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824,888</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(13,283)</w:t>
            </w:r>
          </w:p>
        </w:tc>
        <w:tc>
          <w:tcPr>
            <w:tcW w:w="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w w:val="98"/>
              </w:rPr>
              <w:t>$  — 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811,605</w:t>
            </w: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6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5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90,069</w:t>
            </w:r>
          </w:p>
        </w:tc>
        <w:tc>
          <w:tcPr>
            <w:tcW w:w="22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(2,355)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87,714</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138,705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(10,365)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128,340</w:t>
            </w:r>
          </w:p>
        </w:tc>
        <w:tc>
          <w:tcPr>
            <w:tcW w:w="0" w:type="dxa"/>
            <w:vAlign w:val="bottom"/>
          </w:tcPr>
          <w:p>
            <w:pPr>
              <w:spacing w:after="0"/>
              <w:rPr>
                <w:sz w:val="1"/>
                <w:szCs w:val="1"/>
                <w:color w:val="auto"/>
              </w:rPr>
            </w:pPr>
          </w:p>
        </w:tc>
      </w:tr>
      <w:tr>
        <w:trPr>
          <w:trHeight w:val="139"/>
        </w:trPr>
        <w:tc>
          <w:tcPr>
            <w:tcW w:w="2820" w:type="dxa"/>
            <w:vAlign w:val="bottom"/>
            <w:tcBorders>
              <w:right w:val="single" w:sz="8" w:color="CCEEFF"/>
            </w:tcBorders>
            <w:gridSpan w:val="3"/>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 assets and</w:t>
            </w:r>
          </w:p>
        </w:tc>
        <w:tc>
          <w:tcPr>
            <w:tcW w:w="240" w:type="dxa"/>
            <w:vAlign w:val="bottom"/>
            <w:tcBorders>
              <w:left w:val="single" w:sz="8" w:color="CCEEFF"/>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5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14,333</w:t>
            </w:r>
          </w:p>
        </w:tc>
        <w:tc>
          <w:tcPr>
            <w:tcW w:w="22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lef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(14,333)</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83,213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4"/>
              </w:rPr>
              <w:t>(83,213)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6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5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1,151,208</w:t>
            </w:r>
          </w:p>
        </w:tc>
        <w:tc>
          <w:tcPr>
            <w:tcW w:w="2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lef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(14,333)</w:t>
            </w: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(26,003)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4"/>
              </w:rPr>
              <w:t>(83,213)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1,027,659</w:t>
            </w:r>
          </w:p>
        </w:tc>
        <w:tc>
          <w:tcPr>
            <w:tcW w:w="0" w:type="dxa"/>
            <w:vAlign w:val="bottom"/>
          </w:tcPr>
          <w:p>
            <w:pPr>
              <w:spacing w:after="0"/>
              <w:rPr>
                <w:sz w:val="1"/>
                <w:szCs w:val="1"/>
                <w:color w:val="auto"/>
              </w:rPr>
            </w:pPr>
          </w:p>
        </w:tc>
      </w:tr>
      <w:tr>
        <w:trPr>
          <w:trHeight w:val="151"/>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112,674</w:t>
            </w:r>
          </w:p>
        </w:tc>
        <w:tc>
          <w:tcPr>
            <w:tcW w:w="220" w:type="dxa"/>
            <w:vAlign w:val="bottom"/>
          </w:tcPr>
          <w:p>
            <w:pPr>
              <w:spacing w:after="0"/>
              <w:rPr>
                <w:sz w:val="13"/>
                <w:szCs w:val="13"/>
                <w:color w:val="auto"/>
              </w:rPr>
            </w:pPr>
          </w:p>
        </w:tc>
        <w:tc>
          <w:tcPr>
            <w:tcW w:w="5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14,333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26,003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83,213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236,223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6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760" w:type="dxa"/>
            <w:vAlign w:val="bottom"/>
            <w:tcBorders>
              <w:left w:val="single" w:sz="8" w:color="CCEEFF"/>
              <w:right w:val="single" w:sz="8" w:color="CCEEFF"/>
            </w:tcBorders>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(9,237)</w:t>
            </w: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100" w:type="dxa"/>
            <w:vAlign w:val="bottom"/>
            <w:tcBorders>
              <w:lef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(6,688)</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16,261</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17,606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5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87,176</w:t>
            </w:r>
          </w:p>
        </w:tc>
        <w:tc>
          <w:tcPr>
            <w:tcW w:w="2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lef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14,333</w:t>
            </w: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26,003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83,213</w:t>
            </w:r>
          </w:p>
        </w:tc>
        <w:tc>
          <w:tcPr>
            <w:tcW w:w="6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100" w:type="dxa"/>
            <w:vAlign w:val="bottom"/>
            <w:tcBorders>
              <w:left w:val="single" w:sz="8" w:color="CCEEFF"/>
            </w:tcBorders>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(17,606)</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195,668</w:t>
            </w:r>
          </w:p>
        </w:tc>
        <w:tc>
          <w:tcPr>
            <w:tcW w:w="0" w:type="dxa"/>
            <w:vAlign w:val="bottom"/>
          </w:tcPr>
          <w:p>
            <w:pPr>
              <w:spacing w:after="0"/>
              <w:rPr>
                <w:sz w:val="1"/>
                <w:szCs w:val="1"/>
                <w:color w:val="auto"/>
              </w:rPr>
            </w:pPr>
          </w:p>
        </w:tc>
      </w:tr>
      <w:tr>
        <w:trPr>
          <w:trHeight w:val="151"/>
        </w:trPr>
        <w:tc>
          <w:tcPr>
            <w:tcW w:w="2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2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7"/>
              </w:rPr>
              <w:t>Net income attributable to Amdocs Limited</w:t>
            </w:r>
          </w:p>
        </w:tc>
        <w:tc>
          <w:tcPr>
            <w:tcW w:w="6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86,441</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lef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14,333</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26,003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83,213</w:t>
            </w:r>
          </w:p>
        </w:tc>
        <w:tc>
          <w:tcPr>
            <w:tcW w:w="6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w w:val="94"/>
              </w:rPr>
              <w:t>$</w:t>
            </w:r>
            <w:r>
              <w:rPr>
                <w:rFonts w:ascii="Times New Roman" w:cs="Times New Roman" w:eastAsia="Times New Roman" w:hAnsi="Times New Roman"/>
                <w:sz w:val="13"/>
                <w:szCs w:val="13"/>
                <w:color w:val="auto"/>
                <w:w w:val="94"/>
              </w:rPr>
              <w:t>2,549</w:t>
            </w:r>
          </w:p>
        </w:tc>
        <w:tc>
          <w:tcPr>
            <w:tcW w:w="100" w:type="dxa"/>
            <w:vAlign w:val="bottom"/>
            <w:tcBorders>
              <w:left w:val="single" w:sz="8" w:color="CCEEFF"/>
            </w:tcBorders>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(17,606)</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194,933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14"/>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Three Months Ended September 30, 2023</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2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4"/>
          </w:tcPr>
          <w:p>
            <w:pPr>
              <w:jc w:val="center"/>
              <w:ind w:right="6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0"/>
              </w:rPr>
              <w:t>Amortization</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4"/>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rPr>
              <w:t>acquisitions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gridSpan w:val="2"/>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0"/>
              </w:rPr>
              <w:t>of purchased</w:t>
            </w:r>
          </w:p>
        </w:tc>
        <w:tc>
          <w:tcPr>
            <w:tcW w:w="180" w:type="dxa"/>
            <w:vAlign w:val="bottom"/>
          </w:tcPr>
          <w:p>
            <w:pPr>
              <w:spacing w:after="0"/>
              <w:rPr>
                <w:sz w:val="9"/>
                <w:szCs w:val="9"/>
                <w:color w:val="auto"/>
              </w:rPr>
            </w:pPr>
          </w:p>
        </w:tc>
        <w:tc>
          <w:tcPr>
            <w:tcW w:w="660" w:type="dxa"/>
            <w:vAlign w:val="bottom"/>
            <w:gridSpan w:val="5"/>
            <w:vMerge w:val="restart"/>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100" w:type="dxa"/>
            <w:vAlign w:val="bottom"/>
          </w:tcPr>
          <w:p>
            <w:pPr>
              <w:spacing w:after="0"/>
              <w:rPr>
                <w:sz w:val="9"/>
                <w:szCs w:val="9"/>
                <w:color w:val="auto"/>
              </w:rPr>
            </w:pPr>
          </w:p>
        </w:tc>
        <w:tc>
          <w:tcPr>
            <w:tcW w:w="580" w:type="dxa"/>
            <w:vAlign w:val="bottom"/>
            <w:gridSpan w:val="4"/>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rPr>
              <w:t>liabilities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gridSpan w:val="2"/>
          </w:tcPr>
          <w:p>
            <w:pPr>
              <w:jc w:val="center"/>
              <w:ind w:right="17"/>
              <w:spacing w:after="0" w:line="104"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180" w:type="dxa"/>
            <w:vAlign w:val="bottom"/>
          </w:tcPr>
          <w:p>
            <w:pPr>
              <w:spacing w:after="0"/>
              <w:rPr>
                <w:sz w:val="9"/>
                <w:szCs w:val="9"/>
                <w:color w:val="auto"/>
              </w:rPr>
            </w:pPr>
          </w:p>
        </w:tc>
        <w:tc>
          <w:tcPr>
            <w:tcW w:w="6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4"/>
          </w:tcPr>
          <w:p>
            <w:pPr>
              <w:jc w:val="center"/>
              <w:ind w:right="40"/>
              <w:spacing w:after="0" w:line="104" w:lineRule="exact"/>
              <w:rPr>
                <w:sz w:val="20"/>
                <w:szCs w:val="20"/>
                <w:color w:val="auto"/>
              </w:rPr>
            </w:pPr>
            <w:r>
              <w:rPr>
                <w:rFonts w:ascii="Times New Roman" w:cs="Times New Roman" w:eastAsia="Times New Roman" w:hAnsi="Times New Roman"/>
                <w:sz w:val="10"/>
                <w:szCs w:val="10"/>
                <w:b w:val="1"/>
                <w:bCs w:val="1"/>
                <w:color w:val="auto"/>
              </w:rPr>
              <w:t>measured</w:t>
            </w:r>
          </w:p>
        </w:tc>
        <w:tc>
          <w:tcPr>
            <w:tcW w:w="120" w:type="dxa"/>
            <w:vAlign w:val="bottom"/>
          </w:tcPr>
          <w:p>
            <w:pPr>
              <w:spacing w:after="0"/>
              <w:rPr>
                <w:sz w:val="9"/>
                <w:szCs w:val="9"/>
                <w:color w:val="auto"/>
              </w:rPr>
            </w:pPr>
          </w:p>
        </w:tc>
        <w:tc>
          <w:tcPr>
            <w:tcW w:w="66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Restructuring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Tax</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restart"/>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rPr>
              <w:t>GAAP</w:t>
            </w:r>
          </w:p>
        </w:tc>
        <w:tc>
          <w:tcPr>
            <w:tcW w:w="240" w:type="dxa"/>
            <w:vAlign w:val="bottom"/>
          </w:tcPr>
          <w:p>
            <w:pPr>
              <w:spacing w:after="0"/>
              <w:rPr>
                <w:sz w:val="9"/>
                <w:szCs w:val="9"/>
                <w:color w:val="auto"/>
              </w:rPr>
            </w:pPr>
          </w:p>
        </w:tc>
        <w:tc>
          <w:tcPr>
            <w:tcW w:w="520" w:type="dxa"/>
            <w:vAlign w:val="bottom"/>
            <w:gridSpan w:val="2"/>
          </w:tcPr>
          <w:p>
            <w:pPr>
              <w:jc w:val="center"/>
              <w:ind w:right="17"/>
              <w:spacing w:after="0" w:line="104" w:lineRule="exact"/>
              <w:rPr>
                <w:sz w:val="20"/>
                <w:szCs w:val="20"/>
                <w:color w:val="auto"/>
              </w:rPr>
            </w:pPr>
            <w:r>
              <w:rPr>
                <w:rFonts w:ascii="Times New Roman" w:cs="Times New Roman" w:eastAsia="Times New Roman" w:hAnsi="Times New Roman"/>
                <w:sz w:val="10"/>
                <w:szCs w:val="10"/>
                <w:b w:val="1"/>
                <w:bCs w:val="1"/>
                <w:color w:val="auto"/>
              </w:rPr>
              <w:t>assets and</w:t>
            </w:r>
          </w:p>
        </w:tc>
        <w:tc>
          <w:tcPr>
            <w:tcW w:w="180" w:type="dxa"/>
            <w:vAlign w:val="bottom"/>
          </w:tcPr>
          <w:p>
            <w:pPr>
              <w:spacing w:after="0"/>
              <w:rPr>
                <w:sz w:val="9"/>
                <w:szCs w:val="9"/>
                <w:color w:val="auto"/>
              </w:rPr>
            </w:pPr>
          </w:p>
        </w:tc>
        <w:tc>
          <w:tcPr>
            <w:tcW w:w="660" w:type="dxa"/>
            <w:vAlign w:val="bottom"/>
            <w:gridSpan w:val="5"/>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at fair</w:t>
            </w:r>
          </w:p>
        </w:tc>
        <w:tc>
          <w:tcPr>
            <w:tcW w:w="120" w:type="dxa"/>
            <w:vAlign w:val="bottom"/>
          </w:tcPr>
          <w:p>
            <w:pPr>
              <w:spacing w:after="0"/>
              <w:rPr>
                <w:sz w:val="9"/>
                <w:szCs w:val="9"/>
                <w:color w:val="auto"/>
              </w:rPr>
            </w:pPr>
          </w:p>
        </w:tc>
        <w:tc>
          <w:tcPr>
            <w:tcW w:w="6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1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2"/>
              </w:rPr>
              <w:t>Non-GAAP</w:t>
            </w:r>
          </w:p>
        </w:tc>
        <w:tc>
          <w:tcPr>
            <w:tcW w:w="0" w:type="dxa"/>
            <w:vAlign w:val="bottom"/>
          </w:tcPr>
          <w:p>
            <w:pPr>
              <w:spacing w:after="0"/>
              <w:rPr>
                <w:sz w:val="1"/>
                <w:szCs w:val="1"/>
                <w:color w:val="auto"/>
              </w:rPr>
            </w:pPr>
          </w:p>
        </w:tc>
      </w:tr>
      <w:tr>
        <w:trPr>
          <w:trHeight w:val="121"/>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gridSpan w:val="2"/>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charges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1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24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right w:val="single" w:sz="8" w:color="CCEEFF"/>
            </w:tcBorders>
            <w:shd w:val="clear" w:color="auto" w:fill="CCEEFF"/>
          </w:tcPr>
          <w:p>
            <w:pPr>
              <w:spacing w:after="0"/>
              <w:rPr>
                <w:sz w:val="11"/>
                <w:szCs w:val="1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right w:val="single" w:sz="8" w:color="CCEEFF"/>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803,600</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1"/>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(12,401)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4,579</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84"/>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795,778</w:t>
            </w: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6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97,693</w:t>
            </w:r>
          </w:p>
        </w:tc>
        <w:tc>
          <w:tcPr>
            <w:tcW w:w="240" w:type="dxa"/>
            <w:vAlign w:val="bottom"/>
            <w:tcBorders>
              <w:left w:val="single" w:sz="8" w:color="CCEEFF"/>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95,408</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140,380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(10,107)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130,273</w:t>
            </w:r>
          </w:p>
        </w:tc>
        <w:tc>
          <w:tcPr>
            <w:tcW w:w="0" w:type="dxa"/>
            <w:vAlign w:val="bottom"/>
          </w:tcPr>
          <w:p>
            <w:pPr>
              <w:spacing w:after="0"/>
              <w:rPr>
                <w:sz w:val="1"/>
                <w:szCs w:val="1"/>
                <w:color w:val="auto"/>
              </w:rPr>
            </w:pPr>
          </w:p>
        </w:tc>
      </w:tr>
      <w:tr>
        <w:trPr>
          <w:trHeight w:val="139"/>
        </w:trPr>
        <w:tc>
          <w:tcPr>
            <w:tcW w:w="22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w:t>
            </w:r>
          </w:p>
        </w:tc>
        <w:tc>
          <w:tcPr>
            <w:tcW w:w="6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left w:val="single" w:sz="8" w:color="CCEEFF"/>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assets and other</w:t>
            </w:r>
          </w:p>
        </w:tc>
        <w:tc>
          <w:tcPr>
            <w:tcW w:w="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15,601</w:t>
            </w:r>
          </w:p>
        </w:tc>
        <w:tc>
          <w:tcPr>
            <w:tcW w:w="240" w:type="dxa"/>
            <w:vAlign w:val="bottom"/>
            <w:tcBorders>
              <w:left w:val="single" w:sz="8" w:color="CCEEFF"/>
              <w:right w:val="single" w:sz="8" w:color="CCEEFF"/>
            </w:tcBorders>
            <w:shd w:val="clear" w:color="auto" w:fill="CCEEFF"/>
          </w:tcPr>
          <w:p>
            <w:pPr>
              <w:spacing w:after="0"/>
              <w:rPr>
                <w:sz w:val="14"/>
                <w:szCs w:val="14"/>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(15,601)</w:t>
            </w:r>
          </w:p>
        </w:tc>
        <w:tc>
          <w:tcPr>
            <w:tcW w:w="1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46,365</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(46,365)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6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1,103,639</w:t>
            </w:r>
          </w:p>
        </w:tc>
        <w:tc>
          <w:tcPr>
            <w:tcW w:w="240" w:type="dxa"/>
            <w:vAlign w:val="bottom"/>
            <w:tcBorders>
              <w:left w:val="single" w:sz="8" w:color="CCEEFF"/>
              <w:right w:val="single" w:sz="8" w:color="CCEEFF"/>
            </w:tcBorders>
            <w:shd w:val="clear" w:color="auto" w:fill="CCEEFF"/>
          </w:tcPr>
          <w:p>
            <w:pPr>
              <w:spacing w:after="0"/>
              <w:rPr>
                <w:sz w:val="13"/>
                <w:szCs w:val="13"/>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(15,601)</w:t>
            </w: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(24,793)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4,579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(46,365)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1,021,459</w:t>
            </w:r>
          </w:p>
        </w:tc>
        <w:tc>
          <w:tcPr>
            <w:tcW w:w="0" w:type="dxa"/>
            <w:vAlign w:val="bottom"/>
          </w:tcPr>
          <w:p>
            <w:pPr>
              <w:spacing w:after="0"/>
              <w:rPr>
                <w:sz w:val="1"/>
                <w:szCs w:val="1"/>
                <w:color w:val="auto"/>
              </w:rPr>
            </w:pPr>
          </w:p>
        </w:tc>
      </w:tr>
      <w:tr>
        <w:trPr>
          <w:trHeight w:val="151"/>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138,925</w:t>
            </w:r>
          </w:p>
        </w:tc>
        <w:tc>
          <w:tcPr>
            <w:tcW w:w="240" w:type="dxa"/>
            <w:vAlign w:val="bottom"/>
          </w:tcPr>
          <w:p>
            <w:pPr>
              <w:spacing w:after="0"/>
              <w:rPr>
                <w:sz w:val="13"/>
                <w:szCs w:val="13"/>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15,601</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24,793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(4,579)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46,365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221,105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6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(5,307)</w:t>
            </w:r>
          </w:p>
        </w:tc>
        <w:tc>
          <w:tcPr>
            <w:tcW w:w="3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398</w:t>
            </w:r>
          </w:p>
        </w:tc>
        <w:tc>
          <w:tcPr>
            <w:tcW w:w="16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(4,909)</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30,952</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16,235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102,666</w:t>
            </w:r>
          </w:p>
        </w:tc>
        <w:tc>
          <w:tcPr>
            <w:tcW w:w="240" w:type="dxa"/>
            <w:vAlign w:val="bottom"/>
            <w:tcBorders>
              <w:left w:val="single" w:sz="8" w:color="CCEEFF"/>
              <w:right w:val="single" w:sz="8" w:color="CCEEFF"/>
            </w:tcBorders>
            <w:shd w:val="clear" w:color="auto" w:fill="CCEEFF"/>
          </w:tcPr>
          <w:p>
            <w:pPr>
              <w:spacing w:after="0"/>
              <w:rPr>
                <w:sz w:val="13"/>
                <w:szCs w:val="13"/>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15,601</w:t>
            </w: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29"/>
              <w:spacing w:after="0"/>
              <w:rPr>
                <w:sz w:val="20"/>
                <w:szCs w:val="20"/>
                <w:color w:val="auto"/>
              </w:rPr>
            </w:pPr>
            <w:r>
              <w:rPr>
                <w:rFonts w:ascii="Times New Roman" w:cs="Times New Roman" w:eastAsia="Times New Roman" w:hAnsi="Times New Roman"/>
                <w:sz w:val="13"/>
                <w:szCs w:val="13"/>
                <w:color w:val="auto"/>
              </w:rPr>
              <w:t>24,793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(4,579)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46,365</w:t>
            </w:r>
          </w:p>
        </w:tc>
        <w:tc>
          <w:tcPr>
            <w:tcW w:w="4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398</w:t>
            </w:r>
          </w:p>
        </w:tc>
        <w:tc>
          <w:tcPr>
            <w:tcW w:w="16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(16,235)</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169,009</w:t>
            </w:r>
          </w:p>
        </w:tc>
        <w:tc>
          <w:tcPr>
            <w:tcW w:w="0" w:type="dxa"/>
            <w:vAlign w:val="bottom"/>
          </w:tcPr>
          <w:p>
            <w:pPr>
              <w:spacing w:after="0"/>
              <w:rPr>
                <w:sz w:val="1"/>
                <w:szCs w:val="1"/>
                <w:color w:val="auto"/>
              </w:rPr>
            </w:pPr>
          </w:p>
        </w:tc>
      </w:tr>
      <w:tr>
        <w:trPr>
          <w:trHeight w:val="138"/>
        </w:trPr>
        <w:tc>
          <w:tcPr>
            <w:tcW w:w="22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noncontrolling</w:t>
            </w: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interests</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655</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Amdocs</w:t>
            </w: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right w:val="single" w:sz="8" w:color="CCEEFF"/>
            </w:tcBorders>
            <w:shd w:val="clear" w:color="auto" w:fill="CCEEFF"/>
          </w:tcPr>
          <w:p>
            <w:pPr>
              <w:spacing w:after="0"/>
              <w:rPr>
                <w:sz w:val="11"/>
                <w:szCs w:val="11"/>
                <w:color w:val="auto"/>
              </w:rPr>
            </w:pPr>
          </w:p>
        </w:tc>
        <w:tc>
          <w:tcPr>
            <w:tcW w:w="240" w:type="dxa"/>
            <w:vAlign w:val="bottom"/>
            <w:tcBorders>
              <w:left w:val="single" w:sz="8" w:color="CCEEFF"/>
              <w:right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right w:val="single" w:sz="8" w:color="CCEEFF"/>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Limited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102,011</w:t>
            </w:r>
          </w:p>
        </w:tc>
        <w:tc>
          <w:tcPr>
            <w:tcW w:w="2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15,601</w:t>
            </w:r>
          </w:p>
        </w:tc>
        <w:tc>
          <w:tcPr>
            <w:tcW w:w="260" w:type="dxa"/>
            <w:vAlign w:val="bottom"/>
            <w:tcBorders>
              <w:lef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4"/>
            <w:shd w:val="clear" w:color="auto" w:fill="CCEEFF"/>
          </w:tcPr>
          <w:p>
            <w:pPr>
              <w:jc w:val="right"/>
              <w:ind w:right="29"/>
              <w:spacing w:after="0"/>
              <w:rPr>
                <w:sz w:val="20"/>
                <w:szCs w:val="20"/>
                <w:color w:val="auto"/>
              </w:rPr>
            </w:pPr>
            <w:r>
              <w:rPr>
                <w:rFonts w:ascii="Times New Roman" w:cs="Times New Roman" w:eastAsia="Times New Roman" w:hAnsi="Times New Roman"/>
                <w:sz w:val="13"/>
                <w:szCs w:val="13"/>
                <w:color w:val="auto"/>
              </w:rPr>
              <w:t>24,793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(4,579)</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46,365</w:t>
            </w:r>
          </w:p>
        </w:tc>
        <w:tc>
          <w:tcPr>
            <w:tcW w:w="4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398</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(16,235)</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168,354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9"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Reconciliation of Selected Financial Metrics from GAAP to Non-GAAP</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2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1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Fiscal year ended September 30, 2024</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gridSpan w:val="5"/>
          </w:tcPr>
          <w:p>
            <w:pPr>
              <w:jc w:val="center"/>
              <w:ind w:right="16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4"/>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5"/>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acquisitions</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4"/>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20" w:type="dxa"/>
            <w:vAlign w:val="bottom"/>
          </w:tcPr>
          <w:p>
            <w:pPr>
              <w:spacing w:after="0"/>
              <w:rPr>
                <w:sz w:val="9"/>
                <w:szCs w:val="9"/>
                <w:color w:val="auto"/>
              </w:rPr>
            </w:pPr>
          </w:p>
        </w:tc>
        <w:tc>
          <w:tcPr>
            <w:tcW w:w="72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20" w:type="dxa"/>
            <w:vAlign w:val="bottom"/>
          </w:tcPr>
          <w:p>
            <w:pPr>
              <w:spacing w:after="0"/>
              <w:rPr>
                <w:sz w:val="9"/>
                <w:szCs w:val="9"/>
                <w:color w:val="auto"/>
              </w:rPr>
            </w:pPr>
          </w:p>
        </w:tc>
        <w:tc>
          <w:tcPr>
            <w:tcW w:w="640" w:type="dxa"/>
            <w:vAlign w:val="bottom"/>
            <w:gridSpan w:val="5"/>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w w:val="97"/>
              </w:rPr>
              <w:t>liabilities</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tcPr>
          <w:p>
            <w:pPr>
              <w:ind w:left="60"/>
              <w:spacing w:after="0" w:line="104"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20" w:type="dxa"/>
            <w:vAlign w:val="bottom"/>
          </w:tcPr>
          <w:p>
            <w:pPr>
              <w:spacing w:after="0"/>
              <w:rPr>
                <w:sz w:val="9"/>
                <w:szCs w:val="9"/>
                <w:color w:val="auto"/>
              </w:rPr>
            </w:pPr>
          </w:p>
        </w:tc>
        <w:tc>
          <w:tcPr>
            <w:tcW w:w="72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5"/>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rPr>
              <w:t>measured</w:t>
            </w:r>
          </w:p>
        </w:tc>
        <w:tc>
          <w:tcPr>
            <w:tcW w:w="74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Restructuring</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1"/>
              </w:rPr>
              <w:t>GAAP</w:t>
            </w:r>
          </w:p>
        </w:tc>
        <w:tc>
          <w:tcPr>
            <w:tcW w:w="20" w:type="dxa"/>
            <w:vAlign w:val="bottom"/>
          </w:tcPr>
          <w:p>
            <w:pPr>
              <w:spacing w:after="0"/>
              <w:rPr>
                <w:sz w:val="9"/>
                <w:szCs w:val="9"/>
                <w:color w:val="auto"/>
              </w:rPr>
            </w:pPr>
          </w:p>
        </w:tc>
        <w:tc>
          <w:tcPr>
            <w:tcW w:w="700" w:type="dxa"/>
            <w:vAlign w:val="bottom"/>
            <w:gridSpan w:val="4"/>
          </w:tcPr>
          <w:p>
            <w:pPr>
              <w:ind w:left="60"/>
              <w:spacing w:after="0" w:line="104" w:lineRule="exact"/>
              <w:rPr>
                <w:sz w:val="20"/>
                <w:szCs w:val="20"/>
                <w:color w:val="auto"/>
              </w:rPr>
            </w:pPr>
            <w:r>
              <w:rPr>
                <w:rFonts w:ascii="Times New Roman" w:cs="Times New Roman" w:eastAsia="Times New Roman" w:hAnsi="Times New Roman"/>
                <w:sz w:val="10"/>
                <w:szCs w:val="10"/>
                <w:b w:val="1"/>
                <w:bCs w:val="1"/>
                <w:color w:val="auto"/>
              </w:rPr>
              <w:t>assets and</w:t>
            </w:r>
          </w:p>
        </w:tc>
        <w:tc>
          <w:tcPr>
            <w:tcW w:w="20" w:type="dxa"/>
            <w:vAlign w:val="bottom"/>
          </w:tcPr>
          <w:p>
            <w:pPr>
              <w:spacing w:after="0"/>
              <w:rPr>
                <w:sz w:val="9"/>
                <w:szCs w:val="9"/>
                <w:color w:val="auto"/>
              </w:rPr>
            </w:pPr>
          </w:p>
        </w:tc>
        <w:tc>
          <w:tcPr>
            <w:tcW w:w="720" w:type="dxa"/>
            <w:vAlign w:val="bottom"/>
            <w:gridSpan w:val="5"/>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4"/>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at fair</w:t>
            </w:r>
          </w:p>
        </w:tc>
        <w:tc>
          <w:tcPr>
            <w:tcW w:w="7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2"/>
              </w:rPr>
              <w:t>Non-GAAP</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4"/>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4"/>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value</w:t>
            </w:r>
          </w:p>
        </w:tc>
        <w:tc>
          <w:tcPr>
            <w:tcW w:w="160" w:type="dxa"/>
            <w:vAlign w:val="bottom"/>
          </w:tcPr>
          <w:p>
            <w:pPr>
              <w:spacing w:after="0"/>
              <w:rPr>
                <w:sz w:val="10"/>
                <w:szCs w:val="10"/>
                <w:color w:val="auto"/>
              </w:rPr>
            </w:pPr>
          </w:p>
        </w:tc>
        <w:tc>
          <w:tcPr>
            <w:tcW w:w="580" w:type="dxa"/>
            <w:vAlign w:val="bottom"/>
            <w:gridSpan w:val="3"/>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1"/>
              </w:rPr>
              <w:t>charges</w:t>
            </w:r>
          </w:p>
        </w:tc>
        <w:tc>
          <w:tcPr>
            <w:tcW w:w="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44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140" w:type="dxa"/>
            <w:vAlign w:val="bottom"/>
            <w:tcBorders>
              <w:top w:val="single" w:sz="8" w:color="auto"/>
              <w:righ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righ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5"/>
              </w:rPr>
              <w:t>$3,249,598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(53,409)</w:t>
            </w:r>
          </w:p>
        </w:tc>
        <w:tc>
          <w:tcPr>
            <w:tcW w:w="4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w w:val="98"/>
              </w:rPr>
              <w:t>$  — 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$3,199,189</w:t>
            </w:r>
          </w:p>
        </w:tc>
        <w:tc>
          <w:tcPr>
            <w:tcW w:w="0" w:type="dxa"/>
            <w:vAlign w:val="bottom"/>
          </w:tcPr>
          <w:p>
            <w:pPr>
              <w:spacing w:after="0"/>
              <w:rPr>
                <w:sz w:val="1"/>
                <w:szCs w:val="1"/>
                <w:color w:val="auto"/>
              </w:rPr>
            </w:pPr>
          </w:p>
        </w:tc>
      </w:tr>
      <w:tr>
        <w:trPr>
          <w:trHeight w:val="152"/>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360,798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(8,644)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352,154</w:t>
            </w:r>
          </w:p>
        </w:tc>
        <w:tc>
          <w:tcPr>
            <w:tcW w:w="0" w:type="dxa"/>
            <w:vAlign w:val="bottom"/>
          </w:tcPr>
          <w:p>
            <w:pPr>
              <w:spacing w:after="0"/>
              <w:rPr>
                <w:sz w:val="1"/>
                <w:szCs w:val="1"/>
                <w:color w:val="auto"/>
              </w:rPr>
            </w:pPr>
          </w:p>
        </w:tc>
      </w:tr>
      <w:tr>
        <w:trPr>
          <w:trHeight w:val="152"/>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4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9"/>
              </w:rPr>
              <w:t>572,845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(42,487)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530,358</w:t>
            </w: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 assets</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and other</w:t>
            </w:r>
          </w:p>
        </w:tc>
        <w:tc>
          <w:tcPr>
            <w:tcW w:w="140" w:type="dxa"/>
            <w:vAlign w:val="bottom"/>
            <w:tcBorders>
              <w:righ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62,052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(62,052)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131,088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4"/>
              </w:rPr>
              <w:t>(131,088)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4,376,381</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(62,052)</w:t>
            </w:r>
          </w:p>
        </w:tc>
        <w:tc>
          <w:tcPr>
            <w:tcW w:w="40" w:type="dxa"/>
            <w:vAlign w:val="bottom"/>
            <w:shd w:val="clear" w:color="auto" w:fill="CCEEFF"/>
          </w:tcPr>
          <w:p>
            <w:pPr>
              <w:spacing w:after="0"/>
              <w:rPr>
                <w:sz w:val="13"/>
                <w:szCs w:val="13"/>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(104,540)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(131,088)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4,081,701</w:t>
            </w:r>
          </w:p>
        </w:tc>
        <w:tc>
          <w:tcPr>
            <w:tcW w:w="0" w:type="dxa"/>
            <w:vAlign w:val="bottom"/>
          </w:tcPr>
          <w:p>
            <w:pPr>
              <w:spacing w:after="0"/>
              <w:rPr>
                <w:sz w:val="1"/>
                <w:szCs w:val="1"/>
                <w:color w:val="auto"/>
              </w:rPr>
            </w:pPr>
          </w:p>
        </w:tc>
      </w:tr>
      <w:tr>
        <w:trPr>
          <w:trHeight w:val="151"/>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628,608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62,052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104,540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4"/>
              </w:rPr>
              <w:t>(3,000)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131,088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923,288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(37,537)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8,087</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(29,450)</w:t>
            </w:r>
          </w:p>
        </w:tc>
        <w:tc>
          <w:tcPr>
            <w:tcW w:w="0" w:type="dxa"/>
            <w:vAlign w:val="bottom"/>
          </w:tcPr>
          <w:p>
            <w:pPr>
              <w:spacing w:after="0"/>
              <w:rPr>
                <w:sz w:val="1"/>
                <w:szCs w:val="1"/>
                <w:color w:val="auto"/>
              </w:rPr>
            </w:pPr>
          </w:p>
        </w:tc>
      </w:tr>
      <w:tr>
        <w:trPr>
          <w:trHeight w:val="152"/>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94,750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48,160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142,910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496,321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62,052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104,540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(3,000)</w:t>
            </w:r>
          </w:p>
        </w:tc>
        <w:tc>
          <w:tcPr>
            <w:tcW w:w="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131,088</w:t>
            </w:r>
          </w:p>
        </w:tc>
        <w:tc>
          <w:tcPr>
            <w:tcW w:w="4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8,087</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(48,160)</w:t>
            </w: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750,928</w:t>
            </w:r>
          </w:p>
        </w:tc>
        <w:tc>
          <w:tcPr>
            <w:tcW w:w="0" w:type="dxa"/>
            <w:vAlign w:val="bottom"/>
          </w:tcPr>
          <w:p>
            <w:pPr>
              <w:spacing w:after="0"/>
              <w:rPr>
                <w:sz w:val="1"/>
                <w:szCs w:val="1"/>
                <w:color w:val="auto"/>
              </w:rPr>
            </w:pPr>
          </w:p>
        </w:tc>
      </w:tr>
      <w:tr>
        <w:trPr>
          <w:trHeight w:val="138"/>
        </w:trPr>
        <w:tc>
          <w:tcPr>
            <w:tcW w:w="24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noncontrolling</w:t>
            </w: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interests</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Amdocs Limited</w:t>
            </w:r>
          </w:p>
        </w:tc>
        <w:tc>
          <w:tcPr>
            <w:tcW w:w="14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493,197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62,052</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104,540</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(3,000)</w:t>
            </w:r>
          </w:p>
        </w:tc>
        <w:tc>
          <w:tcPr>
            <w:tcW w:w="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131,088</w:t>
            </w:r>
          </w:p>
        </w:tc>
        <w:tc>
          <w:tcPr>
            <w:tcW w:w="4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u w:val="single" w:color="auto"/>
                <w:color w:val="auto"/>
                <w:w w:val="94"/>
              </w:rPr>
              <w:t>$</w:t>
            </w:r>
            <w:r>
              <w:rPr>
                <w:rFonts w:ascii="Times New Roman" w:cs="Times New Roman" w:eastAsia="Times New Roman" w:hAnsi="Times New Roman"/>
                <w:sz w:val="13"/>
                <w:szCs w:val="13"/>
                <w:color w:val="auto"/>
                <w:w w:val="94"/>
              </w:rPr>
              <w:t>8,087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(48,160)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747,804</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1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Fiscal year ended September 30, 2023</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2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4"/>
          </w:tcPr>
          <w:p>
            <w:pPr>
              <w:jc w:val="center"/>
              <w:ind w:right="4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4"/>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acquisitions</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3"/>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w w:val="90"/>
              </w:rPr>
              <w:t>of purchased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4"/>
          </w:tcPr>
          <w:p>
            <w:pPr>
              <w:jc w:val="center"/>
              <w:ind w:right="40"/>
              <w:spacing w:after="0" w:line="104" w:lineRule="exact"/>
              <w:rPr>
                <w:sz w:val="20"/>
                <w:szCs w:val="20"/>
                <w:color w:val="auto"/>
              </w:rPr>
            </w:pPr>
            <w:r>
              <w:rPr>
                <w:rFonts w:ascii="Times New Roman" w:cs="Times New Roman" w:eastAsia="Times New Roman" w:hAnsi="Times New Roman"/>
                <w:sz w:val="10"/>
                <w:szCs w:val="10"/>
                <w:b w:val="1"/>
                <w:bCs w:val="1"/>
                <w:color w:val="auto"/>
              </w:rPr>
              <w:t>liabilities</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3"/>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w w:val="98"/>
              </w:rPr>
              <w:t>intangible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4"/>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rPr>
              <w:t>measured</w:t>
            </w:r>
          </w:p>
        </w:tc>
        <w:tc>
          <w:tcPr>
            <w:tcW w:w="160" w:type="dxa"/>
            <w:vAlign w:val="bottom"/>
          </w:tcPr>
          <w:p>
            <w:pPr>
              <w:spacing w:after="0"/>
              <w:rPr>
                <w:sz w:val="9"/>
                <w:szCs w:val="9"/>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Restructuring</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GAAP</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3"/>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w w:val="97"/>
              </w:rPr>
              <w:t>assets and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4"/>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at fair</w:t>
            </w:r>
          </w:p>
        </w:tc>
        <w:tc>
          <w:tcPr>
            <w:tcW w:w="16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2"/>
              </w:rPr>
              <w:t>Non-GAAP</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value</w:t>
            </w:r>
          </w:p>
        </w:tc>
        <w:tc>
          <w:tcPr>
            <w:tcW w:w="160" w:type="dxa"/>
            <w:vAlign w:val="bottom"/>
          </w:tcPr>
          <w:p>
            <w:pPr>
              <w:spacing w:after="0"/>
              <w:rPr>
                <w:sz w:val="10"/>
                <w:szCs w:val="10"/>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charges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44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$3,159,941</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(42,969)</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3,143</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84"/>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$ 3,120,115</w:t>
            </w:r>
          </w:p>
        </w:tc>
        <w:tc>
          <w:tcPr>
            <w:tcW w:w="0" w:type="dxa"/>
            <w:vAlign w:val="bottom"/>
          </w:tcPr>
          <w:p>
            <w:pPr>
              <w:spacing w:after="0"/>
              <w:rPr>
                <w:sz w:val="1"/>
                <w:szCs w:val="1"/>
                <w:color w:val="auto"/>
              </w:rPr>
            </w:pPr>
          </w:p>
        </w:tc>
      </w:tr>
      <w:tr>
        <w:trPr>
          <w:trHeight w:val="152"/>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374,855</w:t>
            </w:r>
          </w:p>
        </w:tc>
        <w:tc>
          <w:tcPr>
            <w:tcW w:w="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367,346</w:t>
            </w:r>
          </w:p>
        </w:tc>
        <w:tc>
          <w:tcPr>
            <w:tcW w:w="0" w:type="dxa"/>
            <w:vAlign w:val="bottom"/>
          </w:tcPr>
          <w:p>
            <w:pPr>
              <w:spacing w:after="0"/>
              <w:rPr>
                <w:sz w:val="1"/>
                <w:szCs w:val="1"/>
                <w:color w:val="auto"/>
              </w:rPr>
            </w:pPr>
          </w:p>
        </w:tc>
      </w:tr>
      <w:tr>
        <w:trPr>
          <w:trHeight w:val="152"/>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40" w:type="dxa"/>
            <w:vAlign w:val="bottom"/>
          </w:tcPr>
          <w:p>
            <w:pPr>
              <w:spacing w:after="0"/>
              <w:rPr>
                <w:sz w:val="13"/>
                <w:szCs w:val="13"/>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570,707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(39,220)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531,487</w:t>
            </w: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w w:val="96"/>
              </w:rPr>
              <w:t>Amortization of purchased intangible assets and</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right w:val="single" w:sz="8" w:color="CCEEFF"/>
            </w:tcBorders>
            <w:shd w:val="clear" w:color="auto" w:fill="CCEEFF"/>
          </w:tcPr>
          <w:p>
            <w:pPr>
              <w:spacing w:after="0"/>
              <w:rPr>
                <w:sz w:val="14"/>
                <w:szCs w:val="14"/>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57,156</w:t>
            </w:r>
          </w:p>
        </w:tc>
        <w:tc>
          <w:tcPr>
            <w:tcW w:w="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(57,156)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70,901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(70,901)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4,233,560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(57,156)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(89,698)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3,143</w:t>
            </w:r>
          </w:p>
        </w:tc>
        <w:tc>
          <w:tcPr>
            <w:tcW w:w="16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(70,901)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4,018,948</w:t>
            </w:r>
          </w:p>
        </w:tc>
        <w:tc>
          <w:tcPr>
            <w:tcW w:w="0" w:type="dxa"/>
            <w:vAlign w:val="bottom"/>
          </w:tcPr>
          <w:p>
            <w:pPr>
              <w:spacing w:after="0"/>
              <w:rPr>
                <w:sz w:val="1"/>
                <w:szCs w:val="1"/>
                <w:color w:val="auto"/>
              </w:rPr>
            </w:pPr>
          </w:p>
        </w:tc>
      </w:tr>
      <w:tr>
        <w:trPr>
          <w:trHeight w:val="151"/>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40" w:type="dxa"/>
            <w:vAlign w:val="bottom"/>
          </w:tcPr>
          <w:p>
            <w:pPr>
              <w:spacing w:after="0"/>
              <w:rPr>
                <w:sz w:val="13"/>
                <w:szCs w:val="13"/>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653,990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57,156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89,698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(3,143)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70,901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868,602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(17,629)</w:t>
            </w:r>
          </w:p>
        </w:tc>
        <w:tc>
          <w:tcPr>
            <w:tcW w:w="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906</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(16,723)</w:t>
            </w:r>
          </w:p>
        </w:tc>
        <w:tc>
          <w:tcPr>
            <w:tcW w:w="0" w:type="dxa"/>
            <w:vAlign w:val="bottom"/>
          </w:tcPr>
          <w:p>
            <w:pPr>
              <w:spacing w:after="0"/>
              <w:rPr>
                <w:sz w:val="1"/>
                <w:szCs w:val="1"/>
                <w:color w:val="auto"/>
              </w:rPr>
            </w:pPr>
          </w:p>
        </w:tc>
      </w:tr>
      <w:tr>
        <w:trPr>
          <w:trHeight w:val="152"/>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140" w:type="dxa"/>
            <w:vAlign w:val="bottom"/>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93,399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44,026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137,425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542,962</w:t>
            </w:r>
          </w:p>
        </w:tc>
        <w:tc>
          <w:tcPr>
            <w:tcW w:w="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57,156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89,698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(3,143)</w:t>
            </w:r>
          </w:p>
        </w:tc>
        <w:tc>
          <w:tcPr>
            <w:tcW w:w="16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70,901</w:t>
            </w:r>
          </w:p>
        </w:tc>
        <w:tc>
          <w:tcPr>
            <w:tcW w:w="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906</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(44,026)</w:t>
            </w: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714,454</w:t>
            </w:r>
          </w:p>
        </w:tc>
        <w:tc>
          <w:tcPr>
            <w:tcW w:w="0" w:type="dxa"/>
            <w:vAlign w:val="bottom"/>
          </w:tcPr>
          <w:p>
            <w:pPr>
              <w:spacing w:after="0"/>
              <w:rPr>
                <w:sz w:val="1"/>
                <w:szCs w:val="1"/>
                <w:color w:val="auto"/>
              </w:rPr>
            </w:pPr>
          </w:p>
        </w:tc>
      </w:tr>
      <w:tr>
        <w:trPr>
          <w:trHeight w:val="138"/>
        </w:trPr>
        <w:tc>
          <w:tcPr>
            <w:tcW w:w="24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noncontrolling</w:t>
            </w: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interests</w:t>
            </w:r>
          </w:p>
        </w:tc>
        <w:tc>
          <w:tcPr>
            <w:tcW w:w="14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2,253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Amdocs Limited</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540,709</w:t>
            </w:r>
          </w:p>
        </w:tc>
        <w:tc>
          <w:tcPr>
            <w:tcW w:w="1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57,156</w:t>
            </w:r>
          </w:p>
        </w:tc>
        <w:tc>
          <w:tcPr>
            <w:tcW w:w="1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89,698</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(3,143)</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70,901</w:t>
            </w:r>
          </w:p>
        </w:tc>
        <w:tc>
          <w:tcPr>
            <w:tcW w:w="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906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(44,026)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712,201</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9"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45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7"/>
        </w:trPr>
        <w:tc>
          <w:tcPr>
            <w:tcW w:w="45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26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450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2024</w:t>
            </w:r>
          </w:p>
        </w:tc>
        <w:tc>
          <w:tcPr>
            <w:tcW w:w="2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32"/>
        </w:trPr>
        <w:tc>
          <w:tcPr>
            <w:tcW w:w="45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7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346,085</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520,080</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Short-term interest-bearing investments</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168,242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222,451</w:t>
            </w: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net, including unbilled</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1,028,357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944,477</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228,498</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224,622</w:t>
            </w:r>
          </w:p>
        </w:tc>
        <w:tc>
          <w:tcPr>
            <w:tcW w:w="40" w:type="dxa"/>
            <w:vAlign w:val="bottom"/>
          </w:tcPr>
          <w:p>
            <w:pPr>
              <w:spacing w:after="0"/>
              <w:rPr>
                <w:sz w:val="13"/>
                <w:szCs w:val="13"/>
                <w:color w:val="auto"/>
              </w:rPr>
            </w:pPr>
          </w:p>
        </w:tc>
      </w:tr>
      <w:tr>
        <w:trPr>
          <w:trHeight w:val="15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1,771,182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1,911,630</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755,601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790,923</w:t>
            </w: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assets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149,254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160,938</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Goodwill and other intangible assets, net</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3,005,637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2,930,580</w:t>
            </w: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7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704,468</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631,582</w:t>
            </w:r>
          </w:p>
        </w:tc>
        <w:tc>
          <w:tcPr>
            <w:tcW w:w="40" w:type="dxa"/>
            <w:vAlign w:val="bottom"/>
            <w:shd w:val="clear" w:color="auto" w:fill="CCEEFF"/>
          </w:tcPr>
          <w:p>
            <w:pPr>
              <w:spacing w:after="0"/>
              <w:rPr>
                <w:sz w:val="13"/>
                <w:szCs w:val="13"/>
                <w:color w:val="auto"/>
              </w:rPr>
            </w:pPr>
          </w:p>
        </w:tc>
      </w:tr>
      <w:tr>
        <w:trPr>
          <w:trHeight w:val="159"/>
        </w:trPr>
        <w:tc>
          <w:tcPr>
            <w:tcW w:w="4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70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6,386,142</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6,425,653</w:t>
            </w:r>
          </w:p>
        </w:tc>
        <w:tc>
          <w:tcPr>
            <w:tcW w:w="40" w:type="dxa"/>
            <w:vAlign w:val="bottom"/>
          </w:tcPr>
          <w:p>
            <w:pPr>
              <w:spacing w:after="0"/>
              <w:rPr>
                <w:sz w:val="13"/>
                <w:szCs w:val="13"/>
                <w:color w:val="auto"/>
              </w:rPr>
            </w:pPr>
          </w:p>
        </w:tc>
      </w:tr>
      <w:tr>
        <w:trPr>
          <w:trHeight w:val="16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accruals and other</w:t>
            </w:r>
          </w:p>
        </w:tc>
        <w:tc>
          <w:tcPr>
            <w:tcW w:w="17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1,315,679</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1,142,781</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39,983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39,960</w:t>
            </w: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17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115,247</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170,634</w:t>
            </w:r>
          </w:p>
        </w:tc>
        <w:tc>
          <w:tcPr>
            <w:tcW w:w="40" w:type="dxa"/>
            <w:vAlign w:val="bottom"/>
            <w:shd w:val="clear" w:color="auto" w:fill="CCEEFF"/>
          </w:tcPr>
          <w:p>
            <w:pPr>
              <w:spacing w:after="0"/>
              <w:rPr>
                <w:sz w:val="13"/>
                <w:szCs w:val="13"/>
                <w:color w:val="auto"/>
              </w:rPr>
            </w:pPr>
          </w:p>
        </w:tc>
      </w:tr>
      <w:tr>
        <w:trPr>
          <w:trHeight w:val="151"/>
        </w:trPr>
        <w:tc>
          <w:tcPr>
            <w:tcW w:w="4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1,470,909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1,353,375</w:t>
            </w: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103,462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121,654</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net of unamortized debt issuance costs</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646,291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645,696</w:t>
            </w: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666,303</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737,996</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Amdocs Limited Shareholders’ equity</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3,456,976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3,523,759</w:t>
            </w: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42,201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43,173</w:t>
            </w:r>
          </w:p>
        </w:tc>
      </w:tr>
      <w:tr>
        <w:trPr>
          <w:trHeight w:val="151"/>
        </w:trPr>
        <w:tc>
          <w:tcPr>
            <w:tcW w:w="4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17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3,499,177</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3,566,932</w:t>
            </w:r>
          </w:p>
        </w:tc>
        <w:tc>
          <w:tcPr>
            <w:tcW w:w="40" w:type="dxa"/>
            <w:vAlign w:val="bottom"/>
          </w:tcPr>
          <w:p>
            <w:pPr>
              <w:spacing w:after="0"/>
              <w:rPr>
                <w:sz w:val="13"/>
                <w:szCs w:val="13"/>
                <w:color w:val="auto"/>
              </w:rPr>
            </w:pPr>
          </w:p>
        </w:tc>
      </w:tr>
      <w:tr>
        <w:trPr>
          <w:trHeight w:val="15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17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6,386,142</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6,425,653</w:t>
            </w:r>
          </w:p>
        </w:tc>
        <w:tc>
          <w:tcPr>
            <w:tcW w:w="40" w:type="dxa"/>
            <w:vAlign w:val="bottom"/>
            <w:shd w:val="clear" w:color="auto" w:fill="CCEEFF"/>
          </w:tcPr>
          <w:p>
            <w:pPr>
              <w:spacing w:after="0"/>
              <w:rPr>
                <w:sz w:val="13"/>
                <w:szCs w:val="13"/>
                <w:color w:val="auto"/>
              </w:rPr>
            </w:pPr>
          </w:p>
        </w:tc>
      </w:tr>
      <w:tr>
        <w:trPr>
          <w:trHeight w:val="28"/>
        </w:trPr>
        <w:tc>
          <w:tcPr>
            <w:tcW w:w="4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ectPr>
          <w:pgSz w:w="11900" w:h="16838" w:orient="portrait"/>
          <w:cols w:equalWidth="0" w:num="1">
            <w:col w:w="9019"/>
          </w:cols>
          <w:pgMar w:left="1440" w:top="229"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0"/>
          <w:szCs w:val="10"/>
          <w:b w:val="1"/>
          <w:bCs w:val="1"/>
          <w:color w:val="auto"/>
        </w:rPr>
        <w:t>Fiscal year ended</w:t>
      </w:r>
    </w:p>
    <w:p>
      <w:pPr>
        <w:jc w:val="center"/>
        <w:ind w:left="6300"/>
        <w:spacing w:after="0" w:line="230" w:lineRule="auto"/>
        <w:rPr>
          <w:sz w:val="20"/>
          <w:szCs w:val="20"/>
          <w:color w:val="auto"/>
        </w:rPr>
      </w:pPr>
      <w:r>
        <w:rPr>
          <w:rFonts w:ascii="Times New Roman" w:cs="Times New Roman" w:eastAsia="Times New Roman" w:hAnsi="Times New Roman"/>
          <w:sz w:val="10"/>
          <w:szCs w:val="10"/>
          <w:b w:val="1"/>
          <w:bCs w:val="1"/>
          <w:color w:val="auto"/>
        </w:rPr>
        <w:t>September 30,</w:t>
      </w:r>
    </w:p>
    <w:tbl>
      <w:tblPr>
        <w:tblLayout w:type="fixed"/>
        <w:tblInd w:w="640" w:type="dxa"/>
        <w:tblCellMar>
          <w:top w:w="0" w:type="dxa"/>
          <w:left w:w="0" w:type="dxa"/>
          <w:bottom w:w="0" w:type="dxa"/>
          <w:right w:w="0" w:type="dxa"/>
        </w:tblCellMar>
      </w:tblPr>
      <w:tr>
        <w:trPr>
          <w:trHeight w:val="94"/>
        </w:trPr>
        <w:tc>
          <w:tcPr>
            <w:tcW w:w="5040" w:type="dxa"/>
            <w:vAlign w:val="bottom"/>
            <w:tcBorders>
              <w:bottom w:val="single" w:sz="8" w:color="CCEEFF"/>
            </w:tcBorders>
          </w:tcPr>
          <w:p>
            <w:pPr>
              <w:spacing w:after="0"/>
              <w:rPr>
                <w:sz w:val="8"/>
                <w:szCs w:val="8"/>
                <w:color w:val="auto"/>
              </w:rPr>
            </w:pPr>
          </w:p>
        </w:tc>
        <w:tc>
          <w:tcPr>
            <w:tcW w:w="134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40" w:type="dxa"/>
            <w:vAlign w:val="bottom"/>
            <w:tcBorders>
              <w:top w:val="single" w:sz="8" w:color="auto"/>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97"/>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8"/>
                <w:szCs w:val="8"/>
                <w:color w:val="auto"/>
              </w:rPr>
            </w:pPr>
          </w:p>
        </w:tc>
      </w:tr>
      <w:tr>
        <w:trPr>
          <w:trHeight w:val="132"/>
        </w:trPr>
        <w:tc>
          <w:tcPr>
            <w:tcW w:w="50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 from Operating Activities:</w:t>
            </w:r>
          </w:p>
        </w:tc>
        <w:tc>
          <w:tcPr>
            <w:tcW w:w="1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210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$ 496,321</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w w:val="96"/>
              </w:rPr>
              <w:t>$ 542,962</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Reconciliation of net income to net cash provided by operating activities: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amortization and impairment</w:t>
            </w:r>
          </w:p>
        </w:tc>
        <w:tc>
          <w:tcPr>
            <w:tcW w:w="210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193,066</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195,701</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debt issuance cost</w:t>
            </w:r>
          </w:p>
        </w:tc>
        <w:tc>
          <w:tcPr>
            <w:tcW w:w="210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596</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579</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210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104,540</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89,698</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(45,673)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(60,212)</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Loss from short-term interest-bearing investments</w:t>
            </w:r>
          </w:p>
        </w:tc>
        <w:tc>
          <w:tcPr>
            <w:tcW w:w="210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5,576</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2,762</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changes in operating assets and liabilities, net of amounts acquired:</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210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(104,413)</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3,457</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(8,478)</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7,891</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210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(2,250)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(1,532)</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assets and liabilities, net</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(6,485)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(4,144)</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 accrued expenses and accrued personnel</w:t>
            </w:r>
          </w:p>
        </w:tc>
        <w:tc>
          <w:tcPr>
            <w:tcW w:w="210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216,324</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158,876</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(60,332)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(157,829)</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payable, net</w:t>
            </w:r>
          </w:p>
        </w:tc>
        <w:tc>
          <w:tcPr>
            <w:tcW w:w="210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(47,241)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(11,596)</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(17,123)</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56,017</w:t>
            </w:r>
          </w:p>
        </w:tc>
      </w:tr>
      <w:tr>
        <w:trPr>
          <w:trHeight w:val="151"/>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3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724,428</w:t>
            </w:r>
          </w:p>
        </w:tc>
        <w:tc>
          <w:tcPr>
            <w:tcW w:w="2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822,630</w:t>
            </w:r>
          </w:p>
        </w:tc>
        <w:tc>
          <w:tcPr>
            <w:tcW w:w="80" w:type="dxa"/>
            <w:vAlign w:val="bottom"/>
          </w:tcPr>
          <w:p>
            <w:pPr>
              <w:spacing w:after="0"/>
              <w:rPr>
                <w:sz w:val="13"/>
                <w:szCs w:val="13"/>
                <w:color w:val="auto"/>
              </w:rPr>
            </w:pPr>
          </w:p>
        </w:tc>
      </w:tr>
      <w:tr>
        <w:trPr>
          <w:trHeight w:val="15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 from Investing Activities:</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Purchase of property and equipment, net(a)</w:t>
            </w:r>
          </w:p>
        </w:tc>
        <w:tc>
          <w:tcPr>
            <w:tcW w:w="210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(105,495)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(124,362)</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 of short-term interest-bearing investments</w:t>
            </w:r>
          </w:p>
        </w:tc>
        <w:tc>
          <w:tcPr>
            <w:tcW w:w="210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68,659</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25,984</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Purchase of short-term interest-bearing investments</w:t>
            </w:r>
          </w:p>
        </w:tc>
        <w:tc>
          <w:tcPr>
            <w:tcW w:w="210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(9,061)</w:t>
            </w:r>
          </w:p>
        </w:tc>
        <w:tc>
          <w:tcPr>
            <w:tcW w:w="6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paid for business and intangible assets acquisitions</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(86,824)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(121,818)</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340" w:type="dxa"/>
            <w:vAlign w:val="bottom"/>
          </w:tcPr>
          <w:p>
            <w:pPr>
              <w:spacing w:after="0"/>
              <w:rPr>
                <w:sz w:val="13"/>
                <w:szCs w:val="13"/>
                <w:color w:val="auto"/>
              </w:rPr>
            </w:pPr>
          </w:p>
        </w:tc>
        <w:tc>
          <w:tcPr>
            <w:tcW w:w="76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5,315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(4,301)</w:t>
            </w:r>
          </w:p>
        </w:tc>
      </w:tr>
      <w:tr>
        <w:trPr>
          <w:trHeight w:val="20"/>
        </w:trPr>
        <w:tc>
          <w:tcPr>
            <w:tcW w:w="5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(127,406)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(224,497)</w:t>
            </w:r>
          </w:p>
        </w:tc>
      </w:tr>
      <w:tr>
        <w:trPr>
          <w:trHeight w:val="151"/>
        </w:trPr>
        <w:tc>
          <w:tcPr>
            <w:tcW w:w="5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 from Financing Activities:</w:t>
            </w:r>
          </w:p>
        </w:tc>
        <w:tc>
          <w:tcPr>
            <w:tcW w:w="13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of shares</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(563,121)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(489,524)</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employee stock option exercises</w:t>
            </w:r>
          </w:p>
        </w:tc>
        <w:tc>
          <w:tcPr>
            <w:tcW w:w="210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26,949</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48,681</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of dividends</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(211,967)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(199,460)</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Distribution to noncontrolling interests</w:t>
            </w:r>
          </w:p>
        </w:tc>
        <w:tc>
          <w:tcPr>
            <w:tcW w:w="210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(4,096)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(1,589)</w:t>
            </w: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 of contingent consideration from a business acquisition</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(18,782)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(9,538)</w:t>
            </w:r>
          </w:p>
        </w:tc>
      </w:tr>
      <w:tr>
        <w:trPr>
          <w:trHeight w:val="151"/>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13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(771,017</w:t>
            </w:r>
          </w:p>
        </w:tc>
        <w:tc>
          <w:tcPr>
            <w:tcW w:w="24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(651,430</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5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21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(173,995)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(53,297)</w:t>
            </w:r>
          </w:p>
        </w:tc>
      </w:tr>
      <w:tr>
        <w:trPr>
          <w:trHeight w:val="15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1340" w:type="dxa"/>
            <w:vAlign w:val="bottom"/>
          </w:tcPr>
          <w:p>
            <w:pPr>
              <w:spacing w:after="0"/>
              <w:rPr>
                <w:sz w:val="13"/>
                <w:szCs w:val="13"/>
                <w:color w:val="auto"/>
              </w:rPr>
            </w:pPr>
          </w:p>
        </w:tc>
        <w:tc>
          <w:tcPr>
            <w:tcW w:w="76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520,080</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573,377</w:t>
            </w:r>
          </w:p>
        </w:tc>
      </w:tr>
      <w:tr>
        <w:trPr>
          <w:trHeight w:val="20"/>
        </w:trPr>
        <w:tc>
          <w:tcPr>
            <w:tcW w:w="5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end of year</w:t>
            </w:r>
          </w:p>
        </w:tc>
        <w:tc>
          <w:tcPr>
            <w:tcW w:w="1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w w:val="96"/>
              </w:rPr>
              <w:t>$ 346,085</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w w:val="96"/>
              </w:rPr>
              <w:t>$ 520,080</w:t>
            </w:r>
          </w:p>
        </w:tc>
      </w:tr>
      <w:tr>
        <w:trPr>
          <w:trHeight w:val="28"/>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9"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Supplementary Information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4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7"/>
        </w:trPr>
        <w:tc>
          <w:tcPr>
            <w:tcW w:w="426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80" w:type="dxa"/>
            <w:vAlign w:val="bottom"/>
          </w:tcPr>
          <w:p>
            <w:pPr>
              <w:spacing w:after="0"/>
              <w:rPr>
                <w:sz w:val="6"/>
                <w:szCs w:val="6"/>
                <w:color w:val="auto"/>
              </w:rPr>
            </w:pPr>
          </w:p>
        </w:tc>
        <w:tc>
          <w:tcPr>
            <w:tcW w:w="460" w:type="dxa"/>
            <w:vAlign w:val="bottom"/>
            <w:gridSpan w:val="3"/>
          </w:tcPr>
          <w:p>
            <w:pPr>
              <w:jc w:val="center"/>
              <w:ind w:right="2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160" w:type="dxa"/>
            <w:vAlign w:val="bottom"/>
          </w:tcPr>
          <w:p>
            <w:pPr>
              <w:spacing w:after="0"/>
              <w:rPr>
                <w:sz w:val="6"/>
                <w:szCs w:val="6"/>
                <w:color w:val="auto"/>
              </w:rPr>
            </w:pP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78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42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41"/>
        </w:trPr>
        <w:tc>
          <w:tcPr>
            <w:tcW w:w="4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North America</w:t>
            </w:r>
          </w:p>
        </w:tc>
        <w:tc>
          <w:tcPr>
            <w:tcW w:w="1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835.8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828.8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w w:val="88"/>
              </w:rPr>
              <w:t>823.2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838.1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834.4</w:t>
            </w:r>
          </w:p>
        </w:tc>
        <w:tc>
          <w:tcPr>
            <w:tcW w:w="40" w:type="dxa"/>
            <w:vAlign w:val="bottom"/>
            <w:shd w:val="clear" w:color="auto" w:fill="CCEEFF"/>
          </w:tcPr>
          <w:p>
            <w:pPr>
              <w:spacing w:after="0"/>
              <w:rPr>
                <w:sz w:val="12"/>
                <w:szCs w:val="12"/>
                <w:color w:val="auto"/>
              </w:rPr>
            </w:pPr>
          </w:p>
        </w:tc>
      </w:tr>
      <w:tr>
        <w:trPr>
          <w:trHeight w:val="152"/>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Europe</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175.9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184.8</w:t>
            </w:r>
          </w:p>
        </w:tc>
        <w:tc>
          <w:tcPr>
            <w:tcW w:w="16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181.4</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40" w:type="dxa"/>
            <w:vAlign w:val="bottom"/>
          </w:tcPr>
          <w:p>
            <w:pPr>
              <w:spacing w:after="0"/>
              <w:rPr>
                <w:sz w:val="13"/>
                <w:szCs w:val="13"/>
                <w:color w:val="auto"/>
              </w:rPr>
            </w:pPr>
          </w:p>
        </w:tc>
      </w:tr>
      <w:tr>
        <w:trPr>
          <w:trHeight w:val="15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 of the World</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245.3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237.8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225.7</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232.6</w:t>
            </w:r>
          </w:p>
        </w:tc>
        <w:tc>
          <w:tcPr>
            <w:tcW w:w="40" w:type="dxa"/>
            <w:vAlign w:val="bottom"/>
            <w:shd w:val="clear" w:color="auto" w:fill="CCEEFF"/>
          </w:tcPr>
          <w:p>
            <w:pPr>
              <w:spacing w:after="0"/>
              <w:rPr>
                <w:sz w:val="13"/>
                <w:szCs w:val="13"/>
                <w:color w:val="auto"/>
              </w:rPr>
            </w:pPr>
          </w:p>
        </w:tc>
      </w:tr>
      <w:tr>
        <w:trPr>
          <w:trHeight w:val="159"/>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1,263.9</w:t>
            </w:r>
          </w:p>
        </w:tc>
        <w:tc>
          <w:tcPr>
            <w:tcW w:w="1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1,250.1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1,245.8</w:t>
            </w: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1,245.2</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1,242.6</w:t>
            </w:r>
          </w:p>
        </w:tc>
        <w:tc>
          <w:tcPr>
            <w:tcW w:w="40" w:type="dxa"/>
            <w:vAlign w:val="bottom"/>
          </w:tcPr>
          <w:p>
            <w:pPr>
              <w:spacing w:after="0"/>
              <w:rPr>
                <w:sz w:val="13"/>
                <w:szCs w:val="13"/>
                <w:color w:val="auto"/>
              </w:rPr>
            </w:pPr>
          </w:p>
        </w:tc>
      </w:tr>
      <w:tr>
        <w:trPr>
          <w:trHeight w:val="265"/>
        </w:trPr>
        <w:tc>
          <w:tcPr>
            <w:tcW w:w="42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77"/>
        </w:trPr>
        <w:tc>
          <w:tcPr>
            <w:tcW w:w="426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80" w:type="dxa"/>
            <w:vAlign w:val="bottom"/>
          </w:tcPr>
          <w:p>
            <w:pPr>
              <w:spacing w:after="0"/>
              <w:rPr>
                <w:sz w:val="6"/>
                <w:szCs w:val="6"/>
                <w:color w:val="auto"/>
              </w:rPr>
            </w:pPr>
          </w:p>
        </w:tc>
        <w:tc>
          <w:tcPr>
            <w:tcW w:w="460" w:type="dxa"/>
            <w:vAlign w:val="bottom"/>
            <w:gridSpan w:val="3"/>
          </w:tcPr>
          <w:p>
            <w:pPr>
              <w:jc w:val="center"/>
              <w:ind w:right="2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160" w:type="dxa"/>
            <w:vAlign w:val="bottom"/>
          </w:tcPr>
          <w:p>
            <w:pPr>
              <w:spacing w:after="0"/>
              <w:rPr>
                <w:sz w:val="6"/>
                <w:szCs w:val="6"/>
                <w:color w:val="auto"/>
              </w:rPr>
            </w:pP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78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42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41"/>
        </w:trPr>
        <w:tc>
          <w:tcPr>
            <w:tcW w:w="4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Managed Services Revenue</w:t>
            </w: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721.4</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740.8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w w:val="88"/>
              </w:rPr>
              <w:t>720.3</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722.5</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718.1</w:t>
            </w:r>
          </w:p>
        </w:tc>
        <w:tc>
          <w:tcPr>
            <w:tcW w:w="40" w:type="dxa"/>
            <w:vAlign w:val="bottom"/>
            <w:shd w:val="clear" w:color="auto" w:fill="CCEEFF"/>
          </w:tcPr>
          <w:p>
            <w:pPr>
              <w:spacing w:after="0"/>
              <w:rPr>
                <w:sz w:val="12"/>
                <w:szCs w:val="12"/>
                <w:color w:val="auto"/>
              </w:rPr>
            </w:pPr>
          </w:p>
        </w:tc>
      </w:tr>
      <w:tr>
        <w:trPr>
          <w:trHeight w:val="255"/>
        </w:trPr>
        <w:tc>
          <w:tcPr>
            <w:tcW w:w="42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77"/>
        </w:trPr>
        <w:tc>
          <w:tcPr>
            <w:tcW w:w="426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80" w:type="dxa"/>
            <w:vAlign w:val="bottom"/>
          </w:tcPr>
          <w:p>
            <w:pPr>
              <w:spacing w:after="0"/>
              <w:rPr>
                <w:sz w:val="6"/>
                <w:szCs w:val="6"/>
                <w:color w:val="auto"/>
              </w:rPr>
            </w:pPr>
          </w:p>
        </w:tc>
        <w:tc>
          <w:tcPr>
            <w:tcW w:w="460" w:type="dxa"/>
            <w:vAlign w:val="bottom"/>
            <w:gridSpan w:val="3"/>
          </w:tcPr>
          <w:p>
            <w:pPr>
              <w:jc w:val="center"/>
              <w:ind w:right="2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160" w:type="dxa"/>
            <w:vAlign w:val="bottom"/>
          </w:tcPr>
          <w:p>
            <w:pPr>
              <w:spacing w:after="0"/>
              <w:rPr>
                <w:sz w:val="6"/>
                <w:szCs w:val="6"/>
                <w:color w:val="auto"/>
              </w:rPr>
            </w:pP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78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42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0"/>
                <w:szCs w:val="10"/>
                <w:b w:val="1"/>
                <w:bCs w:val="1"/>
                <w:color w:val="auto"/>
                <w:w w:val="99"/>
              </w:rPr>
              <w:t>2024 (*)</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41"/>
        </w:trPr>
        <w:tc>
          <w:tcPr>
            <w:tcW w:w="4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12-Month Backlog</w:t>
            </w: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4,060</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4,250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w w:val="88"/>
              </w:rPr>
              <w:t>4,230</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4,210</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4,150</w:t>
            </w:r>
          </w:p>
        </w:tc>
        <w:tc>
          <w:tcPr>
            <w:tcW w:w="40" w:type="dxa"/>
            <w:vAlign w:val="bottom"/>
            <w:shd w:val="clear" w:color="auto" w:fill="CCEEFF"/>
          </w:tcPr>
          <w:p>
            <w:pPr>
              <w:spacing w:after="0"/>
              <w:rPr>
                <w:sz w:val="12"/>
                <w:szCs w:val="12"/>
                <w:color w:val="auto"/>
              </w:rPr>
            </w:pPr>
          </w:p>
        </w:tc>
      </w:tr>
    </w:tbl>
    <w:p>
      <w:pPr>
        <w:spacing w:after="0" w:line="167" w:lineRule="exact"/>
        <w:rPr>
          <w:sz w:val="20"/>
          <w:szCs w:val="20"/>
          <w:color w:val="auto"/>
        </w:rPr>
      </w:pPr>
    </w:p>
    <w:p>
      <w:pPr>
        <w:ind w:left="940" w:hanging="303"/>
        <w:spacing w:after="0"/>
        <w:tabs>
          <w:tab w:leader="none" w:pos="9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Excluding the phase out of certain business activities in the fourth fiscal quarter of 2024 only</w:t>
      </w:r>
    </w:p>
    <w:p>
      <w:pPr>
        <w:spacing w:after="0" w:line="151" w:lineRule="exact"/>
        <w:rPr>
          <w:rFonts w:ascii="Times New Roman" w:cs="Times New Roman" w:eastAsia="Times New Roman" w:hAnsi="Times New Roman"/>
          <w:sz w:val="13"/>
          <w:szCs w:val="13"/>
          <w:color w:val="auto"/>
        </w:rPr>
      </w:pPr>
    </w:p>
    <w:p>
      <w:pPr>
        <w:ind w:left="4480" w:hanging="102"/>
        <w:spacing w:after="0"/>
        <w:tabs>
          <w:tab w:leader="none" w:pos="4480" w:val="left"/>
        </w:tabs>
        <w:numPr>
          <w:ilvl w:val="1"/>
          <w:numId w:val="1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w:t>
      </w:r>
    </w:p>
    <w:p>
      <w:pPr>
        <w:sectPr>
          <w:pgSz w:w="11900" w:h="16838" w:orient="portrait"/>
          <w:cols w:equalWidth="0" w:num="1">
            <w:col w:w="9019"/>
          </w:cols>
          <w:pgMar w:left="1440" w:top="229" w:right="1440" w:bottom="1440" w:gutter="0" w:footer="0" w:header="0"/>
        </w:sectPr>
      </w:pPr>
    </w:p>
    <w:bookmarkStart w:id="21" w:name="page22"/>
    <w:bookmarkEnd w:id="21"/>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2024-11-13T05:10:14Z</dcterms:created>
  <dcterms:modified xsi:type="dcterms:W3CDTF">2024-11-13T05:10:14Z</dcterms:modified>
</cp:coreProperties>
</file>