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73"/>
        <w:spacing w:after="0"/>
        <w:rPr>
          <w:sz w:val="20"/>
          <w:szCs w:val="20"/>
          <w:color w:val="auto"/>
        </w:rPr>
      </w:pPr>
      <w:r>
        <w:rPr>
          <w:rFonts w:ascii="Courier New" w:cs="Courier New" w:eastAsia="Courier New" w:hAnsi="Courier New"/>
          <w:sz w:val="15"/>
          <w:szCs w:val="15"/>
          <w:color w:val="auto"/>
        </w:rPr>
        <w:t>UNITED STATES</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SCHEDULE 13G</w:t>
      </w:r>
    </w:p>
    <w:p>
      <w:pPr>
        <w:spacing w:after="0" w:line="182"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Under the Securities Exchange Act of 1934</w:t>
      </w:r>
    </w:p>
    <w:p>
      <w:pPr>
        <w:spacing w:after="0" w:line="182" w:lineRule="exact"/>
        <w:rPr>
          <w:sz w:val="24"/>
          <w:szCs w:val="24"/>
          <w:color w:val="auto"/>
        </w:rPr>
      </w:pPr>
    </w:p>
    <w:p>
      <w:pPr>
        <w:ind w:left="2846"/>
        <w:spacing w:after="0"/>
        <w:rPr>
          <w:sz w:val="20"/>
          <w:szCs w:val="20"/>
          <w:color w:val="auto"/>
        </w:rPr>
      </w:pPr>
      <w:r>
        <w:rPr>
          <w:rFonts w:ascii="Courier New" w:cs="Courier New" w:eastAsia="Courier New" w:hAnsi="Courier New"/>
          <w:sz w:val="15"/>
          <w:szCs w:val="15"/>
          <w:color w:val="auto"/>
        </w:rPr>
        <w:t>(Amendment No. 1)*</w:t>
      </w:r>
    </w:p>
    <w:p>
      <w:pPr>
        <w:spacing w:after="0" w:line="182"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Amdocs Limited</w:t>
      </w:r>
    </w:p>
    <w:p>
      <w:pPr>
        <w:spacing w:after="0" w:line="6"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2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Issuer)</w:t>
      </w:r>
    </w:p>
    <w:p>
      <w:pPr>
        <w:spacing w:after="0" w:line="359" w:lineRule="exact"/>
        <w:rPr>
          <w:sz w:val="24"/>
          <w:szCs w:val="24"/>
          <w:color w:val="auto"/>
        </w:rPr>
      </w:pPr>
    </w:p>
    <w:p>
      <w:pPr>
        <w:ind w:left="1926"/>
        <w:spacing w:after="0"/>
        <w:rPr>
          <w:sz w:val="20"/>
          <w:szCs w:val="20"/>
          <w:color w:val="auto"/>
        </w:rPr>
      </w:pPr>
      <w:r>
        <w:rPr>
          <w:rFonts w:ascii="Courier New" w:cs="Courier New" w:eastAsia="Courier New" w:hAnsi="Courier New"/>
          <w:sz w:val="15"/>
          <w:szCs w:val="15"/>
          <w:color w:val="auto"/>
        </w:rPr>
        <w:t>Common Stock, $.01 par value per share</w:t>
      </w:r>
    </w:p>
    <w:p>
      <w:pPr>
        <w:spacing w:after="0" w:line="6" w:lineRule="exact"/>
        <w:rPr>
          <w:sz w:val="24"/>
          <w:szCs w:val="24"/>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22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Class of Securities)</w:t>
      </w:r>
    </w:p>
    <w:p>
      <w:pPr>
        <w:spacing w:after="0" w:line="359"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G02602103</w:t>
      </w:r>
    </w:p>
    <w:p>
      <w:pPr>
        <w:spacing w:after="0" w:line="6" w:lineRule="exact"/>
        <w:rPr>
          <w:sz w:val="24"/>
          <w:szCs w:val="24"/>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0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(CUSIP Number)</w:t>
      </w:r>
    </w:p>
    <w:p>
      <w:pPr>
        <w:spacing w:after="0" w:line="200" w:lineRule="exact"/>
        <w:rPr>
          <w:sz w:val="24"/>
          <w:szCs w:val="24"/>
          <w:color w:val="auto"/>
        </w:rPr>
      </w:pPr>
    </w:p>
    <w:p>
      <w:pPr>
        <w:spacing w:after="0" w:line="335" w:lineRule="exact"/>
        <w:rPr>
          <w:sz w:val="24"/>
          <w:szCs w:val="24"/>
          <w:color w:val="auto"/>
        </w:rPr>
      </w:pPr>
    </w:p>
    <w:p>
      <w:pPr>
        <w:ind w:left="3026"/>
        <w:spacing w:after="0"/>
        <w:rPr>
          <w:sz w:val="20"/>
          <w:szCs w:val="20"/>
          <w:color w:val="auto"/>
        </w:rPr>
      </w:pPr>
      <w:r>
        <w:rPr>
          <w:rFonts w:ascii="Courier New" w:cs="Courier New" w:eastAsia="Courier New" w:hAnsi="Courier New"/>
          <w:sz w:val="15"/>
          <w:szCs w:val="15"/>
          <w:color w:val="auto"/>
        </w:rPr>
        <w:t>June 30, 2005</w:t>
      </w:r>
    </w:p>
    <w:p>
      <w:pPr>
        <w:spacing w:after="0" w:line="6" w:lineRule="exact"/>
        <w:rPr>
          <w:sz w:val="24"/>
          <w:szCs w:val="24"/>
          <w:color w:val="auto"/>
        </w:rPr>
      </w:pPr>
    </w:p>
    <w:p>
      <w:pPr>
        <w:ind w:left="186" w:hanging="186"/>
        <w:spacing w:after="0"/>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1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(Date of Event Which Requires Filing of this Statement)</w:t>
      </w:r>
    </w:p>
    <w:p>
      <w:pPr>
        <w:spacing w:after="0" w:line="359" w:lineRule="exact"/>
        <w:rPr>
          <w:sz w:val="24"/>
          <w:szCs w:val="24"/>
          <w:color w:val="auto"/>
        </w:rPr>
      </w:pPr>
    </w:p>
    <w:p>
      <w:pPr>
        <w:ind w:left="6" w:right="2979"/>
        <w:spacing w:after="0" w:line="250" w:lineRule="auto"/>
        <w:rPr>
          <w:sz w:val="20"/>
          <w:szCs w:val="20"/>
          <w:color w:val="auto"/>
        </w:rPr>
      </w:pPr>
      <w:r>
        <w:rPr>
          <w:rFonts w:ascii="Courier New" w:cs="Courier New" w:eastAsia="Courier New" w:hAnsi="Courier New"/>
          <w:sz w:val="15"/>
          <w:szCs w:val="15"/>
          <w:color w:val="auto"/>
        </w:rPr>
        <w:t>Check the appropriate box to designate the rule pursuant to which this Schedule is filed:</w:t>
      </w:r>
    </w:p>
    <w:p>
      <w:pPr>
        <w:spacing w:after="0" w:line="175" w:lineRule="exact"/>
        <w:rPr>
          <w:sz w:val="24"/>
          <w:szCs w:val="24"/>
          <w:color w:val="auto"/>
        </w:rPr>
      </w:pPr>
    </w:p>
    <w:p>
      <w:pPr>
        <w:ind w:left="826"/>
        <w:spacing w:after="0"/>
        <w:tabs>
          <w:tab w:leader="none" w:pos="1546" w:val="left"/>
        </w:tabs>
        <w:rPr>
          <w:sz w:val="20"/>
          <w:szCs w:val="20"/>
          <w:color w:val="auto"/>
        </w:rPr>
      </w:pPr>
      <w:r>
        <w:rPr>
          <w:rFonts w:ascii="Courier New" w:cs="Courier New" w:eastAsia="Courier New" w:hAnsi="Courier New"/>
          <w:sz w:val="15"/>
          <w:szCs w:val="15"/>
          <w:color w:val="auto"/>
        </w:rPr>
        <w:t>[ X ]</w:t>
      </w:r>
      <w:r>
        <w:rPr>
          <w:sz w:val="20"/>
          <w:szCs w:val="20"/>
          <w:color w:val="auto"/>
        </w:rPr>
        <w:tab/>
      </w:r>
      <w:r>
        <w:rPr>
          <w:rFonts w:ascii="Courier New" w:cs="Courier New" w:eastAsia="Courier New" w:hAnsi="Courier New"/>
          <w:sz w:val="15"/>
          <w:szCs w:val="15"/>
          <w:color w:val="auto"/>
        </w:rPr>
        <w:t>Rule 13d-1(b)</w:t>
      </w:r>
    </w:p>
    <w:p>
      <w:pPr>
        <w:spacing w:after="0" w:line="182" w:lineRule="exact"/>
        <w:rPr>
          <w:sz w:val="24"/>
          <w:szCs w:val="24"/>
          <w:color w:val="auto"/>
        </w:rPr>
      </w:pPr>
    </w:p>
    <w:p>
      <w:pPr>
        <w:ind w:left="1186" w:hanging="362"/>
        <w:spacing w:after="0"/>
        <w:tabs>
          <w:tab w:leader="none" w:pos="118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Rule 13d-1(c)</w:t>
      </w:r>
    </w:p>
    <w:p>
      <w:pPr>
        <w:spacing w:after="0" w:line="182" w:lineRule="exact"/>
        <w:rPr>
          <w:rFonts w:ascii="Courier New" w:cs="Courier New" w:eastAsia="Courier New" w:hAnsi="Courier New"/>
          <w:sz w:val="15"/>
          <w:szCs w:val="15"/>
          <w:color w:val="auto"/>
        </w:rPr>
      </w:pPr>
    </w:p>
    <w:p>
      <w:pPr>
        <w:ind w:left="1186" w:hanging="362"/>
        <w:spacing w:after="0"/>
        <w:tabs>
          <w:tab w:leader="none" w:pos="118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Rule 13d-1(d)</w:t>
      </w:r>
    </w:p>
    <w:p>
      <w:pPr>
        <w:spacing w:after="0" w:line="359" w:lineRule="exact"/>
        <w:rPr>
          <w:sz w:val="24"/>
          <w:szCs w:val="24"/>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6" w:lineRule="exact"/>
        <w:rPr>
          <w:sz w:val="24"/>
          <w:szCs w:val="24"/>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25"/>
          </w:cols>
          <w:pgMar w:left="234" w:top="412" w:right="1440" w:bottom="1440" w:gutter="0" w:footer="0" w:header="0"/>
        </w:sectPr>
      </w:pPr>
    </w:p>
    <w:bookmarkStart w:id="1" w:name="page2"/>
    <w:bookmarkEnd w:id="1"/>
    <w:p>
      <w:pPr>
        <w:ind w:left="3106"/>
        <w:spacing w:after="0"/>
        <w:rPr>
          <w:sz w:val="20"/>
          <w:szCs w:val="20"/>
          <w:color w:val="auto"/>
        </w:rPr>
      </w:pPr>
      <w:r>
        <w:rPr>
          <w:rFonts w:ascii="Courier New" w:cs="Courier New" w:eastAsia="Courier New" w:hAnsi="Courier New"/>
          <w:sz w:val="15"/>
          <w:szCs w:val="15"/>
          <w:color w:val="auto"/>
        </w:rPr>
        <w:t>SCHEDULE 13G</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CUSIP No.</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w w:val="98"/>
              </w:rPr>
              <w:t>G02602103</w:t>
            </w:r>
          </w:p>
        </w:tc>
      </w:tr>
    </w:tbl>
    <w:p>
      <w:pPr>
        <w:spacing w:after="0" w:line="357" w:lineRule="exact"/>
        <w:rPr>
          <w:sz w:val="20"/>
          <w:szCs w:val="20"/>
          <w:color w:val="auto"/>
        </w:rPr>
      </w:pPr>
    </w:p>
    <w:p>
      <w:pPr>
        <w:ind w:left="186" w:hanging="186"/>
        <w:spacing w:after="0"/>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1366" w:right="4200" w:hanging="450"/>
        <w:spacing w:after="0" w:line="248" w:lineRule="auto"/>
        <w:tabs>
          <w:tab w:leader="none" w:pos="136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Names of Reporting Persons. I.R.S. Identification Nos. of above persons (entities only).</w:t>
      </w:r>
    </w:p>
    <w:p>
      <w:pPr>
        <w:spacing w:after="0" w:line="1"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AMVESCAP PLC</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366" w:right="5300" w:hanging="450"/>
        <w:spacing w:after="0" w:line="248" w:lineRule="auto"/>
        <w:tabs>
          <w:tab w:leader="none" w:pos="1366"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 (see Instructions)</w:t>
      </w:r>
    </w:p>
    <w:p>
      <w:pPr>
        <w:spacing w:after="0" w:line="1"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366" w:hanging="450"/>
        <w:spacing w:after="0"/>
        <w:tabs>
          <w:tab w:leader="none" w:pos="136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  _______________________________________________</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366" w:right="6860" w:hanging="450"/>
        <w:spacing w:after="0" w:line="248" w:lineRule="auto"/>
        <w:tabs>
          <w:tab w:leader="none" w:pos="1366"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 AMVESCAP PLC: England</w:t>
      </w:r>
    </w:p>
    <w:p>
      <w:pPr>
        <w:spacing w:after="0" w:line="1"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AIM Advisors, Inc.</w:t>
      </w:r>
    </w:p>
    <w:p>
      <w:pPr>
        <w:spacing w:after="0" w:line="6" w:lineRule="exact"/>
        <w:rPr>
          <w:rFonts w:ascii="Courier New" w:cs="Courier New" w:eastAsia="Courier New" w:hAnsi="Courier New"/>
          <w:sz w:val="15"/>
          <w:szCs w:val="15"/>
          <w:color w:val="auto"/>
        </w:rPr>
      </w:pPr>
    </w:p>
    <w:p>
      <w:pPr>
        <w:ind w:left="1366" w:right="7580"/>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AIM Capital Management, Inc. INVESCO Instititional, Inc.</w:t>
      </w:r>
    </w:p>
    <w:p>
      <w:pPr>
        <w:spacing w:after="0" w:line="1" w:lineRule="exact"/>
        <w:rPr>
          <w:rFonts w:ascii="Courier New" w:cs="Courier New" w:eastAsia="Courier New" w:hAnsi="Courier New"/>
          <w:sz w:val="15"/>
          <w:szCs w:val="15"/>
          <w:color w:val="auto"/>
        </w:rPr>
      </w:pPr>
    </w:p>
    <w:p>
      <w:pPr>
        <w:ind w:left="1366" w:right="7040"/>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Stein Roe Investment Counsel, Inc. INVESCO Taiwan Ltd.</w:t>
      </w:r>
    </w:p>
    <w:p>
      <w:pPr>
        <w:spacing w:after="0" w:line="1"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Atlantic Trust Company N.A.</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4026" w:right="3840" w:hanging="728"/>
        <w:spacing w:after="0" w:line="248" w:lineRule="auto"/>
        <w:tabs>
          <w:tab w:leader="none" w:pos="4026"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 9,824,030: Such shares are held by the following entities in the respective amounts listed: AIM Advisors, Inc. 6,698,550; AIM Capital Management, Inc. 2,890,500; INVESCO Instititional, Inc. 139,270; Stein Roe Investment Counsel, Inc. 2000;</w:t>
      </w:r>
    </w:p>
    <w:p>
      <w:pPr>
        <w:spacing w:after="0" w:line="4"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INVESCO Taiwan Ltd. 86,000; Atlantic Trust Company N.A. 7,700</w:t>
            </w: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Number of Shares</w:t>
            </w:r>
          </w:p>
        </w:tc>
        <w:tc>
          <w:tcPr>
            <w:tcW w:w="4260" w:type="dxa"/>
            <w:vAlign w:val="bottom"/>
            <w:gridSpan w:val="2"/>
          </w:tcPr>
          <w:p>
            <w:pPr>
              <w:ind w:left="400"/>
              <w:spacing w:after="0"/>
              <w:rPr>
                <w:sz w:val="20"/>
                <w:szCs w:val="20"/>
                <w:color w:val="auto"/>
              </w:rPr>
            </w:pPr>
            <w:r>
              <w:rPr>
                <w:rFonts w:ascii="Courier New" w:cs="Courier New" w:eastAsia="Courier New" w:hAnsi="Courier New"/>
                <w:sz w:val="9"/>
                <w:szCs w:val="9"/>
                <w:color w:val="auto"/>
                <w:w w:val="72"/>
              </w:rPr>
              <w:t>--------------------------------------------------------------------------------------------------</w:t>
            </w:r>
          </w:p>
        </w:tc>
        <w:tc>
          <w:tcPr>
            <w:tcW w:w="5120" w:type="dxa"/>
            <w:vAlign w:val="bottom"/>
          </w:tcPr>
          <w:p>
            <w:pPr>
              <w:spacing w:after="0"/>
              <w:rPr>
                <w:sz w:val="15"/>
                <w:szCs w:val="15"/>
                <w:color w:val="auto"/>
              </w:rPr>
            </w:pP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Beneficially Owned</w:t>
            </w:r>
          </w:p>
        </w:tc>
        <w:tc>
          <w:tcPr>
            <w:tcW w:w="19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120" w:type="dxa"/>
            <w:vAlign w:val="bottom"/>
          </w:tcPr>
          <w:p>
            <w:pPr>
              <w:spacing w:after="0"/>
              <w:rPr>
                <w:sz w:val="15"/>
                <w:szCs w:val="15"/>
                <w:color w:val="auto"/>
              </w:rPr>
            </w:pP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by Each Reporting</w:t>
            </w:r>
          </w:p>
        </w:tc>
        <w:tc>
          <w:tcPr>
            <w:tcW w:w="196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6.</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Shared Voting Power</w:t>
            </w:r>
          </w:p>
        </w:tc>
        <w:tc>
          <w:tcPr>
            <w:tcW w:w="5120" w:type="dxa"/>
            <w:vAlign w:val="bottom"/>
          </w:tcPr>
          <w:p>
            <w:pPr>
              <w:jc w:val="right"/>
              <w:ind w:right="3584"/>
              <w:spacing w:after="0"/>
              <w:rPr>
                <w:sz w:val="20"/>
                <w:szCs w:val="20"/>
                <w:color w:val="auto"/>
              </w:rPr>
            </w:pPr>
            <w:r>
              <w:rPr>
                <w:rFonts w:ascii="Courier New" w:cs="Courier New" w:eastAsia="Courier New" w:hAnsi="Courier New"/>
                <w:sz w:val="15"/>
                <w:szCs w:val="15"/>
                <w:color w:val="auto"/>
              </w:rPr>
              <w:t>_______________</w:t>
            </w: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Person With</w:t>
            </w:r>
          </w:p>
        </w:tc>
        <w:tc>
          <w:tcPr>
            <w:tcW w:w="19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120" w:type="dxa"/>
            <w:vAlign w:val="bottom"/>
          </w:tcPr>
          <w:p>
            <w:pPr>
              <w:spacing w:after="0"/>
              <w:rPr>
                <w:sz w:val="15"/>
                <w:szCs w:val="15"/>
                <w:color w:val="auto"/>
              </w:rPr>
            </w:pPr>
          </w:p>
        </w:tc>
      </w:tr>
      <w:tr>
        <w:trPr>
          <w:trHeight w:val="176"/>
        </w:trPr>
        <w:tc>
          <w:tcPr>
            <w:tcW w:w="2060" w:type="dxa"/>
            <w:vAlign w:val="bottom"/>
          </w:tcPr>
          <w:p>
            <w:pPr>
              <w:spacing w:after="0"/>
              <w:rPr>
                <w:sz w:val="15"/>
                <w:szCs w:val="15"/>
                <w:color w:val="auto"/>
              </w:rPr>
            </w:pPr>
          </w:p>
        </w:tc>
        <w:tc>
          <w:tcPr>
            <w:tcW w:w="938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w:t>
            </w:r>
          </w:p>
        </w:tc>
      </w:tr>
      <w:tr>
        <w:trPr>
          <w:trHeight w:val="352"/>
        </w:trPr>
        <w:tc>
          <w:tcPr>
            <w:tcW w:w="2060" w:type="dxa"/>
            <w:vAlign w:val="bottom"/>
          </w:tcPr>
          <w:p>
            <w:pPr>
              <w:spacing w:after="0"/>
              <w:rPr>
                <w:sz w:val="24"/>
                <w:szCs w:val="24"/>
                <w:color w:val="auto"/>
              </w:rPr>
            </w:pPr>
          </w:p>
        </w:tc>
        <w:tc>
          <w:tcPr>
            <w:tcW w:w="196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7.</w:t>
            </w: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Sole Dispositive Power 9,824,030: Such</w:t>
            </w:r>
          </w:p>
        </w:tc>
      </w:tr>
      <w:tr>
        <w:trPr>
          <w:trHeight w:val="176"/>
        </w:trPr>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shares are held by the following</w:t>
            </w:r>
          </w:p>
        </w:tc>
      </w:tr>
      <w:tr>
        <w:trPr>
          <w:trHeight w:val="176"/>
        </w:trPr>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entities in the respective amounts</w:t>
            </w:r>
          </w:p>
        </w:tc>
      </w:tr>
      <w:tr>
        <w:trPr>
          <w:trHeight w:val="176"/>
        </w:trPr>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listed: AIM Advisors, Inc. 6,698,550;</w:t>
            </w:r>
          </w:p>
        </w:tc>
      </w:tr>
      <w:tr>
        <w:trPr>
          <w:trHeight w:val="176"/>
        </w:trPr>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AIM Capital Management, Inc. 2,890,500;</w:t>
            </w:r>
          </w:p>
        </w:tc>
      </w:tr>
      <w:tr>
        <w:trPr>
          <w:trHeight w:val="176"/>
        </w:trPr>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INVESCO Instititional, Inc. 139,270;</w:t>
            </w:r>
          </w:p>
        </w:tc>
      </w:tr>
      <w:tr>
        <w:trPr>
          <w:trHeight w:val="176"/>
        </w:trPr>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Stein Roe Investment Counsel, Inc. 2000;</w:t>
            </w:r>
          </w:p>
        </w:tc>
      </w:tr>
      <w:tr>
        <w:trPr>
          <w:trHeight w:val="176"/>
        </w:trPr>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INVESCO Taiwan Ltd. 86,000; Atlantic Trust Company N.A. 7,700</w:t>
            </w:r>
          </w:p>
        </w:tc>
      </w:tr>
      <w:tr>
        <w:trPr>
          <w:trHeight w:val="176"/>
        </w:trPr>
        <w:tc>
          <w:tcPr>
            <w:tcW w:w="2060" w:type="dxa"/>
            <w:vAlign w:val="bottom"/>
          </w:tcPr>
          <w:p>
            <w:pPr>
              <w:spacing w:after="0"/>
              <w:rPr>
                <w:sz w:val="15"/>
                <w:szCs w:val="15"/>
                <w:color w:val="auto"/>
              </w:rPr>
            </w:pPr>
          </w:p>
        </w:tc>
        <w:tc>
          <w:tcPr>
            <w:tcW w:w="938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w:t>
            </w:r>
          </w:p>
        </w:tc>
      </w:tr>
      <w:tr>
        <w:trPr>
          <w:trHeight w:val="176"/>
        </w:trPr>
        <w:tc>
          <w:tcPr>
            <w:tcW w:w="2060" w:type="dxa"/>
            <w:vAlign w:val="bottom"/>
          </w:tcPr>
          <w:p>
            <w:pPr>
              <w:spacing w:after="0"/>
              <w:rPr>
                <w:sz w:val="15"/>
                <w:szCs w:val="15"/>
                <w:color w:val="auto"/>
              </w:rPr>
            </w:pPr>
          </w:p>
        </w:tc>
        <w:tc>
          <w:tcPr>
            <w:tcW w:w="196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8.</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Shared Dispositive Power</w:t>
            </w:r>
          </w:p>
        </w:tc>
        <w:tc>
          <w:tcPr>
            <w:tcW w:w="5120" w:type="dxa"/>
            <w:vAlign w:val="bottom"/>
          </w:tcPr>
          <w:p>
            <w:pPr>
              <w:jc w:val="right"/>
              <w:ind w:right="3304"/>
              <w:spacing w:after="0"/>
              <w:rPr>
                <w:sz w:val="20"/>
                <w:szCs w:val="20"/>
                <w:color w:val="auto"/>
              </w:rPr>
            </w:pPr>
            <w:r>
              <w:rPr>
                <w:rFonts w:ascii="Courier New" w:cs="Courier New" w:eastAsia="Courier New" w:hAnsi="Courier New"/>
                <w:sz w:val="15"/>
                <w:szCs w:val="15"/>
                <w:color w:val="auto"/>
              </w:rPr>
              <w:t>_______________</w:t>
            </w:r>
          </w:p>
        </w:tc>
      </w:tr>
    </w:tbl>
    <w:p>
      <w:pPr>
        <w:spacing w:after="0" w:line="181" w:lineRule="exact"/>
        <w:rPr>
          <w:sz w:val="20"/>
          <w:szCs w:val="20"/>
          <w:color w:val="auto"/>
        </w:rPr>
      </w:pPr>
    </w:p>
    <w:p>
      <w:pPr>
        <w:ind w:left="186" w:hanging="186"/>
        <w:spacing w:after="0"/>
        <w:tabs>
          <w:tab w:leader="none" w:pos="18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66" w:right="4200" w:hanging="450"/>
        <w:spacing w:after="0" w:line="250" w:lineRule="auto"/>
        <w:tabs>
          <w:tab w:leader="none" w:pos="1366"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 9,824,030</w:t>
      </w:r>
    </w:p>
    <w:p>
      <w:pPr>
        <w:spacing w:after="0" w:line="174"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1366" w:right="4200" w:hanging="450"/>
        <w:spacing w:after="0" w:line="250" w:lineRule="auto"/>
        <w:tabs>
          <w:tab w:leader="none" w:pos="1366"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if the Aggregate Amount in Row (9) Excludes Certain Shares (See Instructions) N/A</w:t>
      </w:r>
    </w:p>
    <w:p>
      <w:pPr>
        <w:spacing w:after="0" w:line="350"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366" w:right="5660" w:hanging="450"/>
        <w:spacing w:after="0" w:line="497" w:lineRule="auto"/>
        <w:tabs>
          <w:tab w:leader="none" w:pos="1366"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Class Represented by Amount in Row (9) 5%</w:t>
      </w:r>
    </w:p>
    <w:p>
      <w:pPr>
        <w:ind w:left="186" w:hanging="186"/>
        <w:spacing w:after="0"/>
        <w:tabs>
          <w:tab w:leader="none" w:pos="18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jc w:val="both"/>
        <w:ind w:left="1366" w:right="6120" w:hanging="450"/>
        <w:spacing w:after="0" w:line="250" w:lineRule="auto"/>
        <w:tabs>
          <w:tab w:leader="none" w:pos="1366"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 (See Instructions) IA, HC. See Items 2 and 3 of this statement.</w:t>
      </w:r>
    </w:p>
    <w:p>
      <w:pPr>
        <w:sectPr>
          <w:pgSz w:w="11900" w:h="16838" w:orient="portrait"/>
          <w:cols w:equalWidth="0" w:num="1">
            <w:col w:w="11526"/>
          </w:cols>
          <w:pgMar w:left="234" w:top="999" w:right="139" w:bottom="1440" w:gutter="0" w:footer="0" w:header="0"/>
        </w:sectPr>
      </w:pPr>
    </w:p>
    <w:bookmarkStart w:id="2" w:name="page3"/>
    <w:bookmarkEnd w:id="2"/>
    <w:p>
      <w:pPr>
        <w:ind w:left="3100"/>
        <w:spacing w:after="0"/>
        <w:rPr>
          <w:sz w:val="20"/>
          <w:szCs w:val="20"/>
          <w:color w:val="auto"/>
        </w:rPr>
      </w:pPr>
      <w:r>
        <w:rPr>
          <w:rFonts w:ascii="Courier New" w:cs="Courier New" w:eastAsia="Courier New" w:hAnsi="Courier New"/>
          <w:sz w:val="15"/>
          <w:szCs w:val="15"/>
          <w:color w:val="auto"/>
        </w:rPr>
        <w:t>SCHEDULE 13G</w:t>
      </w:r>
    </w:p>
    <w:p>
      <w:pPr>
        <w:sectPr>
          <w:pgSz w:w="11900" w:h="16838" w:orient="portrait"/>
          <w:cols w:equalWidth="0" w:num="1">
            <w:col w:w="10219"/>
          </w:cols>
          <w:pgMar w:left="240" w:top="99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Issuer: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200" w:lineRule="exact"/>
        <w:rPr>
          <w:sz w:val="20"/>
          <w:szCs w:val="20"/>
          <w:color w:val="auto"/>
        </w:rPr>
      </w:pPr>
    </w:p>
    <w:p>
      <w:pPr>
        <w:sectPr>
          <w:pgSz w:w="11900" w:h="16838" w:orient="portrait"/>
          <w:cols w:equalWidth="0" w:num="2">
            <w:col w:w="920" w:space="720"/>
            <w:col w:w="8579"/>
          </w:cols>
          <w:pgMar w:left="240" w:top="999" w:right="1440"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1(b)</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Issuer's Principal Executive Offices: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Hill House Le Bordage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Peter Port, Guernsey, GY1 3QT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Channel Islands</w:t>
      </w:r>
    </w:p>
    <w:p>
      <w:pPr>
        <w:spacing w:after="0" w:line="182" w:lineRule="exact"/>
        <w:rPr>
          <w:sz w:val="20"/>
          <w:szCs w:val="20"/>
          <w:color w:val="auto"/>
        </w:rPr>
      </w:pPr>
    </w:p>
    <w:p>
      <w:pPr>
        <w:sectPr>
          <w:pgSz w:w="11900" w:h="16838" w:orient="portrait"/>
          <w:cols w:equalWidth="0" w:num="2">
            <w:col w:w="920" w:space="720"/>
            <w:col w:w="8579"/>
          </w:cols>
          <w:pgMar w:left="240" w:top="99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Name of Person Filing: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AMVESCAP PLC</w:t>
      </w:r>
    </w:p>
    <w:p>
      <w:pPr>
        <w:spacing w:after="0" w:line="182" w:lineRule="exact"/>
        <w:rPr>
          <w:sz w:val="20"/>
          <w:szCs w:val="20"/>
          <w:color w:val="auto"/>
        </w:rPr>
      </w:pPr>
    </w:p>
    <w:p>
      <w:pPr>
        <w:sectPr>
          <w:pgSz w:w="11900" w:h="16838" w:orient="portrait"/>
          <w:cols w:equalWidth="0" w:num="2">
            <w:col w:w="920" w:space="720"/>
            <w:col w:w="8579"/>
          </w:cols>
          <w:pgMar w:left="240" w:top="999" w:right="1440" w:bottom="1440" w:gutter="0" w:footer="0" w:header="0"/>
          <w:type w:val="continuous"/>
        </w:sectPr>
      </w:pPr>
    </w:p>
    <w:p>
      <w:pPr>
        <w:ind w:left="1640" w:right="2979"/>
        <w:spacing w:after="0" w:line="249" w:lineRule="auto"/>
        <w:rPr>
          <w:sz w:val="20"/>
          <w:szCs w:val="20"/>
          <w:color w:val="auto"/>
        </w:rPr>
      </w:pPr>
      <w:r>
        <w:rPr>
          <w:rFonts w:ascii="Courier New" w:cs="Courier New" w:eastAsia="Courier New" w:hAnsi="Courier New"/>
          <w:sz w:val="15"/>
          <w:szCs w:val="15"/>
          <w:color w:val="auto"/>
        </w:rPr>
        <w:t>In accordance with Securities and Exchange Commission Release No. 34-39538 (January 12, 1998), this statement on Schedule 13G or amendment thereto is being filed by AMVESCAP PLC ("AMVESCAP"), a U.K. entity, on behalf of itself and its subsidiaries listed in Item 4 of the cover of this statement. AMVESCAP through such subsidiaries provides investment management services to institutional and individual investors worldwide.</w:t>
      </w:r>
    </w:p>
    <w:p>
      <w:pPr>
        <w:spacing w:after="0" w:line="175" w:lineRule="exact"/>
        <w:rPr>
          <w:sz w:val="20"/>
          <w:szCs w:val="20"/>
          <w:color w:val="auto"/>
        </w:rPr>
      </w:pPr>
    </w:p>
    <w:p>
      <w:pPr>
        <w:ind w:left="1640" w:right="2899"/>
        <w:spacing w:after="0" w:line="249" w:lineRule="auto"/>
        <w:rPr>
          <w:sz w:val="20"/>
          <w:szCs w:val="20"/>
          <w:color w:val="auto"/>
        </w:rPr>
      </w:pPr>
      <w:r>
        <w:rPr>
          <w:rFonts w:ascii="Courier New" w:cs="Courier New" w:eastAsia="Courier New" w:hAnsi="Courier New"/>
          <w:sz w:val="15"/>
          <w:szCs w:val="15"/>
          <w:color w:val="auto"/>
        </w:rPr>
        <w:t>Executive officers and directors of AMVESCAP or its subsidiaries may beneficially own shares of the securities of the issuer to which this statement relates (the "Shares"), and such Shares are not reported in this statement. AMVESCAP and its subsidiaries disclaim beneficial ownership of Shares beneficially owned by any of their executive officers and directors. Each of AMVESCAP's direct and indirect subsidiaries also disclaim beneficial ownership of Shares beneficially owned by AMVESCAP and any other subsidiary.</w:t>
      </w:r>
    </w:p>
    <w:p>
      <w:pPr>
        <w:sectPr>
          <w:pgSz w:w="11900" w:h="16838" w:orient="portrait"/>
          <w:cols w:equalWidth="0" w:num="1">
            <w:col w:w="10219"/>
          </w:cols>
          <w:pgMar w:left="240" w:top="999" w:right="1440" w:bottom="1440" w:gutter="0" w:footer="0" w:header="0"/>
          <w:type w:val="continuous"/>
        </w:sect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2(b)</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Principal Business Office: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Devonshire Square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London EC2M 4YR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line="200" w:lineRule="exact"/>
        <w:rPr>
          <w:sz w:val="20"/>
          <w:szCs w:val="20"/>
          <w:color w:val="auto"/>
        </w:rPr>
      </w:pPr>
    </w:p>
    <w:p>
      <w:pPr>
        <w:sectPr>
          <w:pgSz w:w="11900" w:h="16838" w:orient="portrait"/>
          <w:cols w:equalWidth="0" w:num="2">
            <w:col w:w="920" w:space="720"/>
            <w:col w:w="8579"/>
          </w:cols>
          <w:pgMar w:left="240" w:top="999" w:right="1440"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2(c)</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Citizenship: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response to Item 2(a) of this statement.</w:t>
      </w:r>
    </w:p>
    <w:p>
      <w:pPr>
        <w:spacing w:after="0" w:line="200" w:lineRule="exact"/>
        <w:rPr>
          <w:sz w:val="20"/>
          <w:szCs w:val="20"/>
          <w:color w:val="auto"/>
        </w:rPr>
      </w:pPr>
    </w:p>
    <w:p>
      <w:pPr>
        <w:sectPr>
          <w:pgSz w:w="11900" w:h="16838" w:orient="portrait"/>
          <w:cols w:equalWidth="0" w:num="2">
            <w:col w:w="920" w:space="720"/>
            <w:col w:w="8579"/>
          </w:cols>
          <w:pgMar w:left="240" w:top="999" w:right="1440"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of Class of Securities: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$.01 par value per share</w:t>
      </w:r>
    </w:p>
    <w:p>
      <w:pPr>
        <w:spacing w:after="0" w:line="200" w:lineRule="exact"/>
        <w:rPr>
          <w:sz w:val="20"/>
          <w:szCs w:val="20"/>
          <w:color w:val="auto"/>
        </w:rPr>
      </w:pPr>
    </w:p>
    <w:p>
      <w:pPr>
        <w:sectPr>
          <w:pgSz w:w="11900" w:h="16838" w:orient="portrait"/>
          <w:cols w:equalWidth="0" w:num="2">
            <w:col w:w="920" w:space="720"/>
            <w:col w:w="8579"/>
          </w:cols>
          <w:pgMar w:left="240" w:top="999" w:right="1440"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 Number: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GB0022569080</w:t>
      </w:r>
    </w:p>
    <w:p>
      <w:pPr>
        <w:spacing w:after="0" w:line="200" w:lineRule="exact"/>
        <w:rPr>
          <w:sz w:val="20"/>
          <w:szCs w:val="20"/>
          <w:color w:val="auto"/>
        </w:rPr>
      </w:pPr>
    </w:p>
    <w:p>
      <w:pPr>
        <w:sectPr>
          <w:pgSz w:w="11900" w:h="16838" w:orient="portrait"/>
          <w:cols w:equalWidth="0" w:num="2">
            <w:col w:w="920" w:space="720"/>
            <w:col w:w="8579"/>
          </w:cols>
          <w:pgMar w:left="240" w:top="999" w:right="1440"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Type of Reporting Person: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investment adviser in accordance with section 240.13d-1(b)(1)(ii)(E)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parent holding company or control person in accordance with section 240.13d-1(b)(1)(ii)(G)</w:t>
      </w:r>
    </w:p>
    <w:p>
      <w:pPr>
        <w:spacing w:after="0" w:line="182" w:lineRule="exact"/>
        <w:rPr>
          <w:sz w:val="20"/>
          <w:szCs w:val="20"/>
          <w:color w:val="auto"/>
        </w:rPr>
      </w:pPr>
    </w:p>
    <w:p>
      <w:pPr>
        <w:sectPr>
          <w:pgSz w:w="11900" w:h="16838" w:orient="portrait"/>
          <w:cols w:equalWidth="0" w:num="2">
            <w:col w:w="920" w:space="720"/>
            <w:col w:w="8579"/>
          </w:cols>
          <w:pgMar w:left="240" w:top="999" w:right="1440" w:bottom="1440" w:gutter="0" w:footer="0" w:header="0"/>
          <w:type w:val="continuous"/>
        </w:sectPr>
      </w:pPr>
    </w:p>
    <w:p>
      <w:pPr>
        <w:ind w:left="1640" w:right="2899"/>
        <w:spacing w:after="0" w:line="249" w:lineRule="auto"/>
        <w:rPr>
          <w:sz w:val="20"/>
          <w:szCs w:val="20"/>
          <w:color w:val="auto"/>
        </w:rPr>
      </w:pPr>
      <w:r>
        <w:rPr>
          <w:rFonts w:ascii="Courier New" w:cs="Courier New" w:eastAsia="Courier New" w:hAnsi="Courier New"/>
          <w:sz w:val="15"/>
          <w:szCs w:val="15"/>
          <w:color w:val="auto"/>
        </w:rPr>
        <w:t>As noted in Item 2 above, AMVESCAP is making this filing on behalf of its subsidiaries listed herein. Each of these entities is either an investment adviser registered with the United States Securities Exchange Commission under Section 203 of the Investment Advisers Act of 1940, as amended, or under similar laws of other jurisdictions. AMVESCAP is a holding company.</w:t>
      </w:r>
    </w:p>
    <w:p>
      <w:pPr>
        <w:sectPr>
          <w:pgSz w:w="11900" w:h="16838" w:orient="portrait"/>
          <w:cols w:equalWidth="0" w:num="1">
            <w:col w:w="10219"/>
          </w:cols>
          <w:pgMar w:left="240" w:top="999"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Ownership: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see responses to Items 5-8 on the cover of this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which are incorporated herein by reference.</w:t>
      </w:r>
    </w:p>
    <w:p>
      <w:pPr>
        <w:spacing w:after="0" w:line="200" w:lineRule="exact"/>
        <w:rPr>
          <w:sz w:val="20"/>
          <w:szCs w:val="20"/>
          <w:color w:val="auto"/>
        </w:rPr>
      </w:pPr>
    </w:p>
    <w:p>
      <w:pPr>
        <w:sectPr>
          <w:pgSz w:w="11900" w:h="16838" w:orient="portrait"/>
          <w:cols w:equalWidth="0" w:num="2">
            <w:col w:w="920" w:space="720"/>
            <w:col w:w="8700"/>
          </w:cols>
          <w:pgMar w:left="240" w:top="1175" w:right="1319" w:bottom="1440" w:gutter="0" w:footer="0" w:header="0"/>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Five Percent or Less of a Class: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0" w:lineRule="exact"/>
        <w:rPr>
          <w:sz w:val="20"/>
          <w:szCs w:val="20"/>
          <w:color w:val="auto"/>
        </w:rPr>
      </w:pPr>
    </w:p>
    <w:p>
      <w:pPr>
        <w:sectPr>
          <w:pgSz w:w="11900" w:h="16838" w:orient="portrait"/>
          <w:cols w:equalWidth="0" w:num="2">
            <w:col w:w="920" w:space="720"/>
            <w:col w:w="8700"/>
          </w:cols>
          <w:pgMar w:left="240" w:top="1175" w:right="131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More than Five Percent on Behalf of Another Person: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0" w:lineRule="exact"/>
        <w:rPr>
          <w:sz w:val="20"/>
          <w:szCs w:val="20"/>
          <w:color w:val="auto"/>
        </w:rPr>
      </w:pPr>
    </w:p>
    <w:p>
      <w:pPr>
        <w:sectPr>
          <w:pgSz w:w="11900" w:h="16838" w:orient="portrait"/>
          <w:cols w:equalWidth="0" w:num="2">
            <w:col w:w="920" w:space="720"/>
            <w:col w:w="8700"/>
          </w:cols>
          <w:pgMar w:left="240" w:top="1175" w:right="131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and Classification of the Subsidiary Which Acquired the Security Being Reporting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By the Parent Holding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see Item 3 of this statement, which is incorporated herein by reference.</w:t>
      </w:r>
    </w:p>
    <w:p>
      <w:pPr>
        <w:spacing w:after="0" w:line="200" w:lineRule="exact"/>
        <w:rPr>
          <w:sz w:val="20"/>
          <w:szCs w:val="20"/>
          <w:color w:val="auto"/>
        </w:rPr>
      </w:pPr>
    </w:p>
    <w:p>
      <w:pPr>
        <w:sectPr>
          <w:pgSz w:w="11900" w:h="16838" w:orient="portrait"/>
          <w:cols w:equalWidth="0" w:num="2">
            <w:col w:w="920" w:space="720"/>
            <w:col w:w="8700"/>
          </w:cols>
          <w:pgMar w:left="240" w:top="1175" w:right="131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and Classification of Members of the Group: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0" w:lineRule="exact"/>
        <w:rPr>
          <w:sz w:val="20"/>
          <w:szCs w:val="20"/>
          <w:color w:val="auto"/>
        </w:rPr>
      </w:pPr>
    </w:p>
    <w:p>
      <w:pPr>
        <w:sectPr>
          <w:pgSz w:w="11900" w:h="16838" w:orient="portrait"/>
          <w:cols w:equalWidth="0" w:num="2">
            <w:col w:w="920" w:space="720"/>
            <w:col w:w="8700"/>
          </w:cols>
          <w:pgMar w:left="240" w:top="1175" w:right="131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 Dissolution of a Group: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0" w:lineRule="exact"/>
        <w:rPr>
          <w:sz w:val="20"/>
          <w:szCs w:val="20"/>
          <w:color w:val="auto"/>
        </w:rPr>
      </w:pPr>
    </w:p>
    <w:p>
      <w:pPr>
        <w:sectPr>
          <w:pgSz w:w="11900" w:h="16838" w:orient="portrait"/>
          <w:cols w:equalWidth="0" w:num="2">
            <w:col w:w="920" w:space="720"/>
            <w:col w:w="8700"/>
          </w:cols>
          <w:pgMar w:left="240" w:top="1175" w:right="131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signing below I certify that, to the best of my knowledge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belief, the securities referred to above were acquired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held in the ordinary course of business and were not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and are not held for the purpose of or with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changing or influencing the control of the issuer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securities and were not acquired and are not held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connection with or as a participant in any transaction having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purpose or effect.</w:t>
      </w:r>
    </w:p>
    <w:p>
      <w:pPr>
        <w:spacing w:after="0" w:line="182" w:lineRule="exact"/>
        <w:rPr>
          <w:sz w:val="20"/>
          <w:szCs w:val="20"/>
          <w:color w:val="auto"/>
        </w:rPr>
      </w:pPr>
    </w:p>
    <w:p>
      <w:pPr>
        <w:sectPr>
          <w:pgSz w:w="11900" w:h="16838" w:orient="portrait"/>
          <w:cols w:equalWidth="0" w:num="2">
            <w:col w:w="920" w:space="720"/>
            <w:col w:w="8700"/>
          </w:cols>
          <w:pgMar w:left="240" w:top="1175" w:right="1319" w:bottom="1440" w:gutter="0" w:footer="0" w:header="0"/>
          <w:type w:val="continuous"/>
        </w:sectPr>
      </w:pPr>
    </w:p>
    <w:p>
      <w:pPr>
        <w:ind w:left="1640"/>
        <w:spacing w:after="0"/>
        <w:rPr>
          <w:sz w:val="20"/>
          <w:szCs w:val="20"/>
          <w:color w:val="auto"/>
        </w:rPr>
      </w:pPr>
      <w:r>
        <w:rPr>
          <w:rFonts w:ascii="Courier New" w:cs="Courier New" w:eastAsia="Courier New" w:hAnsi="Courier New"/>
          <w:sz w:val="15"/>
          <w:szCs w:val="15"/>
          <w:color w:val="auto"/>
        </w:rPr>
        <w:t>Signature:</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After reasonable inquiry and to the best of my knowledge and</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belief, I certify that the information set forth in this</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statement is true, complete and correct.</w:t>
      </w:r>
    </w:p>
    <w:p>
      <w:pPr>
        <w:spacing w:after="0" w:line="359" w:lineRule="exact"/>
        <w:rPr>
          <w:sz w:val="20"/>
          <w:szCs w:val="20"/>
          <w:color w:val="auto"/>
        </w:rPr>
      </w:pPr>
    </w:p>
    <w:p>
      <w:pPr>
        <w:ind w:left="6500"/>
        <w:spacing w:after="0"/>
        <w:rPr>
          <w:sz w:val="20"/>
          <w:szCs w:val="20"/>
          <w:color w:val="auto"/>
        </w:rPr>
      </w:pPr>
      <w:r>
        <w:rPr>
          <w:rFonts w:ascii="Courier New" w:cs="Courier New" w:eastAsia="Courier New" w:hAnsi="Courier New"/>
          <w:sz w:val="15"/>
          <w:szCs w:val="15"/>
          <w:color w:val="auto"/>
        </w:rPr>
        <w:t>July 13, 2005</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500"/>
        <w:spacing w:after="0"/>
        <w:rPr>
          <w:sz w:val="20"/>
          <w:szCs w:val="20"/>
          <w:color w:val="auto"/>
        </w:rPr>
      </w:pPr>
      <w:r>
        <w:rPr>
          <w:rFonts w:ascii="Courier New" w:cs="Courier New" w:eastAsia="Courier New" w:hAnsi="Courier New"/>
          <w:sz w:val="15"/>
          <w:szCs w:val="15"/>
          <w:color w:val="auto"/>
        </w:rPr>
        <w:t>Date</w:t>
      </w:r>
    </w:p>
    <w:p>
      <w:pPr>
        <w:spacing w:after="0" w:line="200" w:lineRule="exact"/>
        <w:rPr>
          <w:sz w:val="20"/>
          <w:szCs w:val="20"/>
          <w:color w:val="auto"/>
        </w:rPr>
      </w:pPr>
    </w:p>
    <w:p>
      <w:pPr>
        <w:spacing w:after="0" w:line="335" w:lineRule="exact"/>
        <w:rPr>
          <w:sz w:val="20"/>
          <w:szCs w:val="20"/>
          <w:color w:val="auto"/>
        </w:rPr>
      </w:pPr>
    </w:p>
    <w:p>
      <w:pPr>
        <w:ind w:left="6500"/>
        <w:spacing w:after="0"/>
        <w:tabs>
          <w:tab w:leader="none" w:pos="6940" w:val="left"/>
        </w:tabs>
        <w:rPr>
          <w:sz w:val="20"/>
          <w:szCs w:val="20"/>
          <w:color w:val="auto"/>
        </w:rPr>
      </w:pPr>
      <w:r>
        <w:rPr>
          <w:rFonts w:ascii="Courier New" w:cs="Courier New" w:eastAsia="Courier New" w:hAnsi="Courier New"/>
          <w:sz w:val="15"/>
          <w:szCs w:val="15"/>
          <w:color w:val="auto"/>
        </w:rPr>
        <w:t>/s/</w:t>
        <w:tab/>
        <w:t>HAL LIEBES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50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35"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Hal Liebes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Group Compliance Officer</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AMVESCAP PLC</w:t>
      </w:r>
    </w:p>
    <w:sectPr>
      <w:pgSz w:w="11900" w:h="16838" w:orient="portrait"/>
      <w:cols w:equalWidth="0" w:num="1">
        <w:col w:w="10340"/>
      </w:cols>
      <w:pgMar w:left="240" w:top="1175" w:right="1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6">
    <w:nsid w:val="4DB127F8"/>
    <w:multiLevelType w:val="hybridMultilevel"/>
    <w:lvl w:ilvl="0">
      <w:lvlJc w:val="left"/>
      <w:lvlText w:val="-"/>
      <w:numFmt w:val="bullet"/>
      <w:start w:val="1"/>
    </w:lvl>
    <w:lvl w:ilvl="1">
      <w:lvlJc w:val="left"/>
      <w:lvlText w:val="%2."/>
      <w:numFmt w:val="decimal"/>
      <w:start w:val="2"/>
    </w:lvl>
    <w:lvl w:ilvl="2">
      <w:lvlJc w:val="left"/>
      <w:lvlText w:val="%3"/>
      <w:numFmt w:val="decimal"/>
      <w:start w:val="1"/>
    </w:lvl>
  </w:abstractNum>
  <w:abstractNum w:abstractNumId="7">
    <w:nsid w:val="216231B"/>
    <w:multiLevelType w:val="hybridMultilevel"/>
    <w:lvl w:ilvl="0">
      <w:lvlJc w:val="left"/>
      <w:lvlText w:val="-"/>
      <w:numFmt w:val="bullet"/>
      <w:start w:val="1"/>
    </w:lvl>
    <w:lvl w:ilvl="1">
      <w:lvlJc w:val="left"/>
      <w:lvlText w:val="%2."/>
      <w:numFmt w:val="decimal"/>
      <w:start w:val="3"/>
    </w:lvl>
    <w:lvl w:ilvl="2">
      <w:lvlJc w:val="left"/>
      <w:lvlText w:val="%3"/>
      <w:numFmt w:val="decimal"/>
      <w:start w:val="1"/>
    </w:lvl>
  </w:abstractNum>
  <w:abstractNum w:abstractNumId="8">
    <w:nsid w:val="1F16E9E8"/>
    <w:multiLevelType w:val="hybridMultilevel"/>
    <w:lvl w:ilvl="0">
      <w:lvlJc w:val="left"/>
      <w:lvlText w:val="-"/>
      <w:numFmt w:val="bullet"/>
      <w:start w:val="1"/>
    </w:lvl>
    <w:lvl w:ilvl="1">
      <w:lvlJc w:val="left"/>
      <w:lvlText w:val="%2."/>
      <w:numFmt w:val="decimal"/>
      <w:start w:val="4"/>
    </w:lvl>
    <w:lvl w:ilvl="2">
      <w:lvlJc w:val="left"/>
      <w:lvlText w:val="%3."/>
      <w:numFmt w:val="decimal"/>
      <w:start w:val="5"/>
    </w:lvl>
  </w:abstractNum>
  <w:abstractNum w:abstractNumId="9">
    <w:nsid w:val="1190CDE7"/>
    <w:multiLevelType w:val="hybridMultilevel"/>
    <w:lvl w:ilvl="0">
      <w:lvlJc w:val="left"/>
      <w:lvlText w:val="-"/>
      <w:numFmt w:val="bullet"/>
      <w:start w:val="1"/>
    </w:lvl>
    <w:lvl w:ilvl="1">
      <w:lvlJc w:val="left"/>
      <w:lvlText w:val="%2."/>
      <w:numFmt w:val="decimal"/>
      <w:start w:val="9"/>
    </w:lvl>
  </w:abstractNum>
  <w:abstractNum w:abstractNumId="10">
    <w:nsid w:val="66EF438D"/>
    <w:multiLevelType w:val="hybridMultilevel"/>
    <w:lvl w:ilvl="0">
      <w:lvlJc w:val="left"/>
      <w:lvlText w:val="-"/>
      <w:numFmt w:val="bullet"/>
      <w:start w:val="1"/>
    </w:lvl>
    <w:lvl w:ilvl="1">
      <w:lvlJc w:val="left"/>
      <w:lvlText w:val="%2."/>
      <w:numFmt w:val="decimal"/>
      <w:start w:val="10"/>
    </w:lvl>
  </w:abstractNum>
  <w:abstractNum w:abstractNumId="11">
    <w:nsid w:val="140E0F76"/>
    <w:multiLevelType w:val="hybridMultilevel"/>
    <w:lvl w:ilvl="0">
      <w:lvlJc w:val="left"/>
      <w:lvlText w:val="-"/>
      <w:numFmt w:val="bullet"/>
      <w:start w:val="1"/>
    </w:lvl>
    <w:lvl w:ilvl="1">
      <w:lvlJc w:val="left"/>
      <w:lvlText w:val="%2."/>
      <w:numFmt w:val="decimal"/>
      <w:start w:val="11"/>
    </w:lvl>
  </w:abstractNum>
  <w:abstractNum w:abstractNumId="12">
    <w:nsid w:val="3352255A"/>
    <w:multiLevelType w:val="hybridMultilevel"/>
    <w:lvl w:ilvl="0">
      <w:lvlJc w:val="left"/>
      <w:lvlText w:val="-"/>
      <w:numFmt w:val="bullet"/>
      <w:start w:val="1"/>
    </w:lvl>
    <w:lvl w:ilvl="1">
      <w:lvlJc w:val="left"/>
      <w:lvlText w:val="%2."/>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2019-12-14T21:12:55Z</dcterms:created>
  <dcterms:modified xsi:type="dcterms:W3CDTF">2019-12-14T21:12:55Z</dcterms:modified>
</cp:coreProperties>
</file>