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7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7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7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79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0"/>
          <w:szCs w:val="20"/>
          <w:color w:val="auto"/>
        </w:rPr>
      </w:pPr>
    </w:p>
    <w:p>
      <w:pPr>
        <w:jc w:val="center"/>
        <w:ind w:right="-7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0"/>
          <w:szCs w:val="20"/>
          <w:color w:val="auto"/>
        </w:rPr>
      </w:pPr>
    </w:p>
    <w:p>
      <w:pPr>
        <w:jc w:val="center"/>
        <w:ind w:right="-79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7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For the month of November, 2009</w:t>
      </w:r>
    </w:p>
    <w:p>
      <w:pPr>
        <w:spacing w:after="0" w:line="225"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Commission File Number 1-14840</w:t>
      </w:r>
    </w:p>
    <w:p>
      <w:pPr>
        <w:spacing w:after="0" w:line="200" w:lineRule="exact"/>
        <w:rPr>
          <w:sz w:val="20"/>
          <w:szCs w:val="20"/>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250"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Suite 5, Tower Hill House Le Bordage</w:t>
      </w:r>
    </w:p>
    <w:p>
      <w:pPr>
        <w:spacing w:after="0" w:line="23"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St. Peter Port, Island of Guernsey, GY1 3QT Channel Islands</w:t>
      </w:r>
    </w:p>
    <w:p>
      <w:pPr>
        <w:spacing w:after="0" w:line="211"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Amdocs, Inc.</w:t>
      </w:r>
    </w:p>
    <w:p>
      <w:pPr>
        <w:spacing w:after="0" w:line="23" w:lineRule="exact"/>
        <w:rPr>
          <w:sz w:val="20"/>
          <w:szCs w:val="20"/>
          <w:color w:val="auto"/>
        </w:rPr>
      </w:pPr>
    </w:p>
    <w:p>
      <w:pPr>
        <w:jc w:val="center"/>
        <w:ind w:right="-799"/>
        <w:spacing w:after="0"/>
        <w:rPr>
          <w:sz w:val="20"/>
          <w:szCs w:val="20"/>
          <w:color w:val="auto"/>
        </w:rPr>
      </w:pPr>
      <w:r>
        <w:rPr>
          <w:rFonts w:ascii="Arial" w:cs="Arial" w:eastAsia="Arial" w:hAnsi="Arial"/>
          <w:sz w:val="18"/>
          <w:szCs w:val="18"/>
          <w:color w:val="auto"/>
        </w:rPr>
        <w:t>1390 Timberlake Manor Parkway, Chesterfield, Missouri 63017</w:t>
      </w:r>
    </w:p>
    <w:p>
      <w:pPr>
        <w:spacing w:after="0" w:line="21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(Address of principal executive offices)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91" w:lineRule="exact"/>
        <w:rPr>
          <w:sz w:val="20"/>
          <w:szCs w:val="20"/>
          <w:color w:val="auto"/>
        </w:rPr>
      </w:pPr>
    </w:p>
    <w:p>
      <w:pPr>
        <w:ind w:left="4540"/>
        <w:spacing w:after="0" w:line="207" w:lineRule="exact"/>
        <w:tabs>
          <w:tab w:leader="none" w:pos="5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FORM 40-F 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0" w:lineRule="exact"/>
        <w:rPr>
          <w:sz w:val="20"/>
          <w:szCs w:val="20"/>
          <w:color w:val="auto"/>
        </w:rPr>
      </w:pPr>
    </w:p>
    <w:p>
      <w:pPr>
        <w:ind w:left="5140"/>
        <w:spacing w:after="0" w:line="207" w:lineRule="exact"/>
        <w:tabs>
          <w:tab w:leader="none" w:pos="58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591185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122" w:right="1039"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8"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rPr>
          <w:sz w:val="20"/>
          <w:szCs w:val="20"/>
          <w:color w:val="auto"/>
        </w:rPr>
      </w:pPr>
      <w:r>
        <w:rPr>
          <w:rFonts w:ascii="Arial" w:cs="Arial" w:eastAsia="Arial" w:hAnsi="Arial"/>
          <w:sz w:val="22"/>
          <w:szCs w:val="22"/>
          <w:u w:val="single" w:color="auto"/>
          <w:color w:val="0000EE"/>
        </w:rPr>
        <w:t>EX-99.1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00" w:firstLine="225"/>
        <w:spacing w:after="0" w:line="308" w:lineRule="auto"/>
        <w:rPr>
          <w:sz w:val="20"/>
          <w:szCs w:val="20"/>
          <w:color w:val="auto"/>
        </w:rPr>
      </w:pPr>
      <w:r>
        <w:rPr>
          <w:rFonts w:ascii="Arial" w:cs="Arial" w:eastAsia="Arial" w:hAnsi="Arial"/>
          <w:sz w:val="17"/>
          <w:szCs w:val="17"/>
          <w:color w:val="auto"/>
        </w:rPr>
        <w:t>On November 4, 2009, Amdocs Limited (“Amdocs”) issued a press release announcing financial results for the quarter and fiscal year ended September 30, 2009. A copy of the press release is furnished as Exhibit 99.1 to this Report of Foreign Private Issuer on Form 6-K.</w:t>
      </w:r>
    </w:p>
    <w:p>
      <w:pPr>
        <w:spacing w:after="0" w:line="38"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Thomas G. O’Brien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Treasurer and Secretary</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Authorized U.S. Representative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839"/>
        <w:spacing w:after="0"/>
        <w:rPr>
          <w:sz w:val="20"/>
          <w:szCs w:val="20"/>
          <w:color w:val="auto"/>
        </w:rPr>
      </w:pPr>
      <w:r>
        <w:rPr>
          <w:rFonts w:ascii="Arial" w:cs="Arial" w:eastAsia="Arial" w:hAnsi="Arial"/>
          <w:sz w:val="18"/>
          <w:szCs w:val="18"/>
          <w:color w:val="auto"/>
        </w:rPr>
        <w:t>EXHIBIT INDEX</w:t>
      </w:r>
    </w:p>
    <w:p>
      <w:pPr>
        <w:spacing w:after="0" w:line="221"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u w:val="single" w:color="auto"/>
          <w:color w:val="auto"/>
        </w:rPr>
        <w:t>EXHIBIT NO.</w:t>
      </w:r>
      <w:r>
        <w:rPr>
          <w:sz w:val="20"/>
          <w:szCs w:val="20"/>
          <w:color w:val="auto"/>
        </w:rPr>
        <w:tab/>
      </w:r>
      <w:r>
        <w:rPr>
          <w:rFonts w:ascii="Arial" w:cs="Arial" w:eastAsia="Arial" w:hAnsi="Arial"/>
          <w:sz w:val="13"/>
          <w:szCs w:val="13"/>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3810</wp:posOffset>
            </wp:positionV>
            <wp:extent cx="65690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69075" cy="8890"/>
                    </a:xfrm>
                    <a:prstGeom prst="rect">
                      <a:avLst/>
                    </a:prstGeom>
                    <a:noFill/>
                  </pic:spPr>
                </pic:pic>
              </a:graphicData>
            </a:graphic>
          </wp:anchor>
        </w:drawing>
      </w:r>
    </w:p>
    <w:p>
      <w:pPr>
        <w:spacing w:after="0" w:line="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Amdocs Limited Press Release dated November 4, 2009.</w:t>
      </w:r>
    </w:p>
    <w:p>
      <w:pPr>
        <w:sectPr>
          <w:pgSz w:w="11900" w:h="16838" w:orient="portrait"/>
          <w:cols w:equalWidth="0" w:num="1">
            <w:col w:w="10219"/>
          </w:cols>
          <w:pgMar w:left="240" w:top="419"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-130175</wp:posOffset>
            </wp:positionV>
            <wp:extent cx="1243330" cy="248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43330" cy="24892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Amdocs Limited Reports Quarterly Revenue of $707 Million,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Up Sequentially and Above Guidance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Key highlights:</w:t>
      </w:r>
    </w:p>
    <w:p>
      <w:pPr>
        <w:spacing w:after="0" w:line="104" w:lineRule="exact"/>
        <w:rPr>
          <w:sz w:val="20"/>
          <w:szCs w:val="20"/>
          <w:color w:val="auto"/>
        </w:rPr>
      </w:pPr>
    </w:p>
    <w:p>
      <w:pPr>
        <w:ind w:left="900" w:hanging="446"/>
        <w:spacing w:after="0"/>
        <w:tabs>
          <w:tab w:leader="none" w:pos="90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Fourth quarter revenue of $707 million, above the $670-$690 million guidance range</w:t>
      </w:r>
    </w:p>
    <w:p>
      <w:pPr>
        <w:spacing w:after="0" w:line="117" w:lineRule="exact"/>
        <w:rPr>
          <w:rFonts w:ascii="Arial" w:cs="Arial" w:eastAsia="Arial" w:hAnsi="Arial"/>
          <w:sz w:val="18"/>
          <w:szCs w:val="18"/>
          <w:b w:val="1"/>
          <w:bCs w:val="1"/>
          <w:color w:val="auto"/>
        </w:rPr>
      </w:pPr>
    </w:p>
    <w:p>
      <w:pPr>
        <w:ind w:left="900" w:right="480" w:hanging="446"/>
        <w:spacing w:after="0" w:line="246" w:lineRule="auto"/>
        <w:tabs>
          <w:tab w:leader="none" w:pos="90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Fourth quarter non-GAAP operating income of $128 million; non-GAAP operating margin of 18.1%; GAAP operating income of $97 million</w:t>
      </w:r>
    </w:p>
    <w:p>
      <w:pPr>
        <w:spacing w:after="0" w:line="102" w:lineRule="exact"/>
        <w:rPr>
          <w:rFonts w:ascii="Arial" w:cs="Arial" w:eastAsia="Arial" w:hAnsi="Arial"/>
          <w:sz w:val="18"/>
          <w:szCs w:val="18"/>
          <w:b w:val="1"/>
          <w:bCs w:val="1"/>
          <w:color w:val="auto"/>
        </w:rPr>
      </w:pPr>
    </w:p>
    <w:p>
      <w:pPr>
        <w:ind w:left="900" w:right="980" w:hanging="446"/>
        <w:spacing w:after="0" w:line="246" w:lineRule="auto"/>
        <w:tabs>
          <w:tab w:leader="none" w:pos="90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Fourth quarter diluted non-GAAP EPS of $0.53, excluding amortization of purchased intangible assets and equity-based compensation expense, net of related tax effects</w:t>
      </w:r>
    </w:p>
    <w:p>
      <w:pPr>
        <w:spacing w:after="0" w:line="102" w:lineRule="exact"/>
        <w:rPr>
          <w:rFonts w:ascii="Arial" w:cs="Arial" w:eastAsia="Arial" w:hAnsi="Arial"/>
          <w:sz w:val="18"/>
          <w:szCs w:val="18"/>
          <w:b w:val="1"/>
          <w:bCs w:val="1"/>
          <w:color w:val="auto"/>
        </w:rPr>
      </w:pPr>
    </w:p>
    <w:p>
      <w:pPr>
        <w:ind w:left="900" w:hanging="446"/>
        <w:spacing w:after="0"/>
        <w:tabs>
          <w:tab w:leader="none" w:pos="90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Diluted GAAP EPS of $0.42 for the fourth quarter</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Free cash flow of $166 million for the fourth quarter</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12-month backlog of $2.385 billion at the end of the fourth quarter</w:t>
      </w:r>
    </w:p>
    <w:p>
      <w:pPr>
        <w:spacing w:after="0" w:line="112" w:lineRule="exact"/>
        <w:rPr>
          <w:rFonts w:ascii="Arial" w:cs="Arial" w:eastAsia="Arial" w:hAnsi="Arial"/>
          <w:sz w:val="18"/>
          <w:szCs w:val="18"/>
          <w:b w:val="1"/>
          <w:bCs w:val="1"/>
          <w:color w:val="auto"/>
        </w:rPr>
      </w:pPr>
    </w:p>
    <w:p>
      <w:pPr>
        <w:ind w:left="900" w:hanging="446"/>
        <w:spacing w:after="0"/>
        <w:tabs>
          <w:tab w:leader="none" w:pos="90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First quarter fiscal 2010 guidance: Expected revenue of approximately $705-$725 million and diluted non-GAAP EPS of</w:t>
      </w:r>
    </w:p>
    <w:p>
      <w:pPr>
        <w:ind w:left="900" w:right="14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$0.51-$0.55, excluding acquisition-related costs and approximately $0.04-$0.05 per share of equity-based compensation expense, net of related tax effects. Diluted GAAP EPS is expected to be approximately $0.38-$0.44</w:t>
      </w:r>
    </w:p>
    <w:p>
      <w:pPr>
        <w:spacing w:after="0" w:line="67"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b w:val="1"/>
          <w:bCs w:val="1"/>
          <w:color w:val="auto"/>
        </w:rPr>
        <w:t xml:space="preserve">ST. LOUIS – November 4, 2009 </w:t>
      </w:r>
      <w:r>
        <w:rPr>
          <w:rFonts w:ascii="Arial" w:cs="Arial" w:eastAsia="Arial" w:hAnsi="Arial"/>
          <w:sz w:val="18"/>
          <w:szCs w:val="18"/>
          <w:color w:val="auto"/>
        </w:rPr>
        <w:t>– Amdocs Limited (NYSE: DOX) today reported that for its fiscal fourth quarter ended September 30, 2009,</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was $707.4 million, a decrease of 14.3% from last year’s fourth quarter and up 2.5% sequentially. Net income on a non-GAAP basis was $109.2 million, or $0.53 per diluted share, compared to non-GAAP net income of $117.2 million, or $0.54 per diluted share, in the fourth quarter of fiscal 2008. Non-GAAP net income excludes amortization of purchased intangible assets and equity-based compensation expenses of $23.4 million, net of related tax effects, in the fourth quarter of fiscal 2009 and excludes such amortization, equity-based compensation expenses and restructuring charges of $34.5 million, net of related tax effects, in the fourth quarter of fiscal 2008. The Company’s GAAP net income for the fourth quarter of fiscal 2009 was $85.8 million, or $0.42 per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share, compared to GAAP net income of $82.7 million, or $0.38 per diluted share, in the prior year’s fourth quarter.</w:t>
      </w:r>
    </w:p>
    <w:p>
      <w:pPr>
        <w:spacing w:after="0" w:line="10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“After experiencing a challenging fiscal year, we are pleased that our fourth quarter results demonstrated stronger-than-expected performance across our four key financial metrics: revenue, profitability, earnings and free cash flow. We believe this reflects positively on the value of Amdocs’ market leading offerings and strategic position against the backdrop of steadying economic conditions. While indicators are still mixed across our market and the global economy, we are cautiously optimistic that our business is stabilizing to slightly improving, as reflected in our fiscal first quarter guidance for 2010,” said Dov Baharav, chief executive officer of Amdocs Management Limited.</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Baharav continued, “Reflecting on our relative successes in 2009, we experienced rising interest and strong signings in managed services which we believe addresses the communications industry’s need to streamline cost structures, while concurrently offering the option to modernize systems. Additionally, we performed very well in cable and satellite in a tough economy, and we validated our market position by establishing and expanding important relationships with leading operators. We expect these two growth drivers – managed services and cable and satellite – to continue to perform well and provide a strong foundation for our results again in 2010. On the other hand, our project-oriented activities contracted in 2009 as they naturally reacted more sharply to deteriorating economic conditions. We believe, in aggregate, our project-oriented revenue is showing early signs of stabilization; however, decision cycles remain extended and results may still vary quarter to quarter in individual product areas and geographies.”</w:t>
      </w:r>
    </w:p>
    <w:p>
      <w:pPr>
        <w:spacing w:after="0" w:line="100"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Baharav concluded, “Lastly, we believe we have made the right investments to drive our future long-term growth. Over the course of the recession, we have deepened our relationships with key customers, led the industry in R&amp;D investment, and continued to streamline our cost structure. As a result, we truly believe we are emerging from the global economic crisis in a stronger competitive position than we entered.”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9" w:right="299" w:bottom="1440" w:gutter="0" w:footer="0" w:header="0"/>
        </w:sectPr>
      </w:pPr>
    </w:p>
    <w:bookmarkStart w:id="8" w:name="page9"/>
    <w:bookmarkEnd w:id="8"/>
    <w:p>
      <w:pPr>
        <w:ind w:right="260"/>
        <w:spacing w:after="0" w:line="246" w:lineRule="auto"/>
        <w:rPr>
          <w:sz w:val="20"/>
          <w:szCs w:val="20"/>
          <w:color w:val="auto"/>
        </w:rPr>
      </w:pPr>
      <w:r>
        <w:rPr>
          <w:rFonts w:ascii="Arial" w:cs="Arial" w:eastAsia="Arial" w:hAnsi="Arial"/>
          <w:sz w:val="18"/>
          <w:szCs w:val="18"/>
          <w:color w:val="auto"/>
        </w:rPr>
        <w:t>Free cash flow was $166 million for the quarter, comprised of cash flow from operations of $184 million less approximately $18 million in net capital expenditures and other.</w:t>
      </w:r>
    </w:p>
    <w:p>
      <w:pPr>
        <w:spacing w:after="0" w:line="8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Twelve-month backlog, which includes anticipated revenue related to contracts, estimated revenue from managed services contracts, letters of intent, maintenance and estimated on-going support activities, was $2.385 billion at the end of the fourth quarter of fiscal 2009.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126" w:lineRule="exact"/>
        <w:rPr>
          <w:sz w:val="20"/>
          <w:szCs w:val="20"/>
          <w:color w:val="auto"/>
        </w:rPr>
      </w:pPr>
    </w:p>
    <w:p>
      <w:pPr>
        <w:jc w:val="both"/>
        <w:ind w:right="140"/>
        <w:spacing w:after="0" w:line="239" w:lineRule="auto"/>
        <w:rPr>
          <w:sz w:val="20"/>
          <w:szCs w:val="20"/>
          <w:color w:val="auto"/>
        </w:rPr>
      </w:pPr>
      <w:r>
        <w:rPr>
          <w:rFonts w:ascii="Arial" w:cs="Arial" w:eastAsia="Arial" w:hAnsi="Arial"/>
          <w:sz w:val="18"/>
          <w:szCs w:val="18"/>
          <w:color w:val="auto"/>
        </w:rPr>
        <w:t>Amdocs expects that revenue for the first quarter of fiscal 2010 will be approximately $705-$725 million. Diluted earnings per share on a non-GAAP basis for the first quarter are expected to be $0.51-$0.55, excluding acquisition-related costs and approximately $0.04-$0.05 per share of equity-based compensation expense, net of related tax effects. Amdocs estimates GAAP diluted earnings per share for the first quarter will be $0.38-$0.44.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2009 Results</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For the fiscal year ended September 30, 2009, revenue decreased by 9.5% to $2.863 billion. Fiscal 2009 net income on a non-GAAP basis was $438.9 million, or $2.12 per diluted share (excluding acquisition-related costs, which include amortization of purchased intangible assets and in-process research and development write-off, and excluding restructuring charges and equity-based compensation expense, net of related tax effects, of $112.7 million), compared to non-GAAP net income of $499.6 million, or $2.29 per diluted share, in fiscal 2008 (excluding acquisition-related costs, which include amortization of purchased intangible assets and in-process research and development write-off, and excluding restructuring charges and equity-based compensation expense, net of related tax effects, of $ 120.7 million). The Company’s GAAP net income in fiscal 2009 was $326.2 million, or $1.58 per diluted share, compared to GAAP net income of $378.9 million, or $1.74 per diluted share, in fiscal 2008.</w:t>
      </w:r>
    </w:p>
    <w:p>
      <w:pPr>
        <w:spacing w:after="0" w:line="100"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Amdocs will host a conference call on November 4, 2009 at 5 p.m. Eastern Time to discuss the Company’s fourth quarter results. The call will be carried live on the Internet via the Amdocs website, www.amdocs.com.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Non-GAAP Financial Measures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This release includes non-GAAP diluted earnings per share and other non-GAAP financial measures, including free cash flow, non-GAAP cost of service, non-GAAP research and development, non-GAAP selling, general and administrative, non-GAAP operating income, non-GAAP operating margin, non-GAAP income taxes and non-GAAP net income. These non-GAAP measures exclude the following items:</w:t>
      </w:r>
    </w:p>
    <w:p>
      <w:pPr>
        <w:spacing w:after="0" w:line="95"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amortization of purchased intangible assets;</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in-process research and development write-off;</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restructuring charges;</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equity-based compensation expense; and</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tax effects related to the above.</w:t>
      </w:r>
    </w:p>
    <w:p>
      <w:pPr>
        <w:spacing w:after="0" w:line="10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95"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Amdocs believes that the presentation of non-GAAP diluted earnings per share and other financial measures, including free cash flow, non-GAAP cost of service, non-GAAP research and development, non-GAAP selling, general and administrative, non-GAAP operating income, non-GAAP operating margin, non-GAAP income taxes and non-GAAP net income,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27" w:right="339" w:bottom="1440" w:gutter="0" w:footer="0" w:header="0"/>
        </w:sectPr>
      </w:pPr>
    </w:p>
    <w:bookmarkStart w:id="10" w:name="page11"/>
    <w:bookmarkEnd w:id="10"/>
    <w:p>
      <w:pPr>
        <w:spacing w:after="0" w:line="253" w:lineRule="auto"/>
        <w:rPr>
          <w:sz w:val="20"/>
          <w:szCs w:val="20"/>
          <w:color w:val="auto"/>
        </w:rPr>
      </w:pPr>
      <w:r>
        <w:rPr>
          <w:rFonts w:ascii="Arial" w:cs="Arial" w:eastAsia="Arial" w:hAnsi="Arial"/>
          <w:sz w:val="17"/>
          <w:szCs w:val="17"/>
          <w:color w:val="auto"/>
        </w:rPr>
        <w:t>For its internal budgeting process and in monitoring the results of the business, Amdocs’ management uses financial statements that do not include amortization of purchased intangible assets, in-process research and development write-off, restructuring charges,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non-cash expenses in reviewing its results and those of its competitors, because the amounts of the expenses between companies can vary greatly depending on the assumptions used by an individual company in determining the amounts of the expenses.</w:t>
      </w:r>
    </w:p>
    <w:p>
      <w:pPr>
        <w:spacing w:after="0" w:line="8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service, research and development, selling, general and administrative, operating income, income taxes and net income), it is useful to investors to understand how these specific line items in the Consolidated Statements of Income are affected by these adjustments.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the Reconciliation of Selected Financial Metrics from GAAP to Non-GAAP tables 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6"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Amdocs is the market leader in customer experience systems innovation, enabling world-leading service providers to deliver an integrated, innovative and the intentional customer experience</w:t>
      </w:r>
      <w:r>
        <w:rPr>
          <w:rFonts w:ascii="Arial" w:cs="Arial" w:eastAsia="Arial" w:hAnsi="Arial"/>
          <w:sz w:val="15"/>
          <w:szCs w:val="15"/>
          <w:color w:val="auto"/>
        </w:rPr>
        <w:t>TM</w:t>
      </w:r>
      <w:r>
        <w:rPr>
          <w:rFonts w:ascii="Arial" w:cs="Arial" w:eastAsia="Arial" w:hAnsi="Arial"/>
          <w:sz w:val="18"/>
          <w:szCs w:val="18"/>
          <w:color w:val="auto"/>
        </w:rPr>
        <w:t xml:space="preserve"> – at every point of service. Amdocs provides solutions that deliver customer experience excellence, combining the software, service and expertise to help its customers execute their strategies and achieve service, operational and financial excellence. A global company with revenue of $2.86 billion in fiscal 2009, Amdocs has approximately 17,000 employees and serves customers in more than 60 countries around the world. 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95"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This press release includes information that constitutes forward-looking statements made pursuant to the safe harbor provision of the Private Securities Litigation Reform Act of 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1" w:name="page12"/>
    <w:bookmarkEnd w:id="11"/>
    <w:p>
      <w:pPr>
        <w:spacing w:after="0" w:line="236" w:lineRule="auto"/>
        <w:rPr>
          <w:sz w:val="20"/>
          <w:szCs w:val="20"/>
          <w:color w:val="auto"/>
        </w:rPr>
      </w:pPr>
      <w:r>
        <w:rPr>
          <w:rFonts w:ascii="Arial" w:cs="Arial" w:eastAsia="Arial" w:hAnsi="Arial"/>
          <w:sz w:val="18"/>
          <w:szCs w:val="18"/>
          <w:color w:val="auto"/>
        </w:rPr>
        <w:t>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2008 filed on December 8, 2008 and in our quarterly 6-Ks furnished on February 9, 2009, May 12, 2009 and August 10, 2009.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r>
        <w:rPr>
          <w:rFonts w:ascii="Arial" w:cs="Arial" w:eastAsia="Arial" w:hAnsi="Arial"/>
          <w:sz w:val="18"/>
          <w:szCs w:val="18"/>
          <w:color w:val="auto"/>
        </w:rPr>
        <w: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Elizabeth Grausam</w:t>
      </w:r>
    </w:p>
    <w:p>
      <w:pPr>
        <w:spacing w:after="0" w:line="234" w:lineRule="auto"/>
        <w:rPr>
          <w:sz w:val="20"/>
          <w:szCs w:val="20"/>
          <w:color w:val="auto"/>
        </w:rPr>
      </w:pPr>
      <w:r>
        <w:rPr>
          <w:rFonts w:ascii="Arial" w:cs="Arial" w:eastAsia="Arial" w:hAnsi="Arial"/>
          <w:sz w:val="18"/>
          <w:szCs w:val="18"/>
          <w:color w:val="auto"/>
        </w:rPr>
        <w:t>Director of Investor Relations</w:t>
      </w:r>
    </w:p>
    <w:p>
      <w:pPr>
        <w:spacing w:after="0" w:line="235" w:lineRule="auto"/>
        <w:rPr>
          <w:sz w:val="20"/>
          <w:szCs w:val="20"/>
          <w:color w:val="auto"/>
        </w:rPr>
      </w:pPr>
      <w:r>
        <w:rPr>
          <w:rFonts w:ascii="Arial" w:cs="Arial" w:eastAsia="Arial" w:hAnsi="Arial"/>
          <w:sz w:val="18"/>
          <w:szCs w:val="18"/>
          <w:color w:val="auto"/>
        </w:rPr>
        <w:t>Amdocs Limited</w:t>
      </w:r>
    </w:p>
    <w:p>
      <w:pPr>
        <w:spacing w:after="0" w:line="235" w:lineRule="auto"/>
        <w:rPr>
          <w:sz w:val="20"/>
          <w:szCs w:val="20"/>
          <w:color w:val="auto"/>
        </w:rPr>
      </w:pPr>
      <w:r>
        <w:rPr>
          <w:rFonts w:ascii="Arial" w:cs="Arial" w:eastAsia="Arial" w:hAnsi="Arial"/>
          <w:sz w:val="18"/>
          <w:szCs w:val="18"/>
          <w:color w:val="auto"/>
        </w:rPr>
        <w:t>314-212-8328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04"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Statements of Income</w:t>
      </w:r>
    </w:p>
    <w:p>
      <w:pPr>
        <w:spacing w:after="0" w:line="104"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2009</w:t>
            </w:r>
          </w:p>
        </w:tc>
        <w:tc>
          <w:tcPr>
            <w:tcW w:w="6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2009</w:t>
            </w:r>
          </w:p>
        </w:tc>
        <w:tc>
          <w:tcPr>
            <w:tcW w:w="6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200"/>
              <w:spacing w:after="0" w:line="202" w:lineRule="exact"/>
              <w:rPr>
                <w:sz w:val="20"/>
                <w:szCs w:val="20"/>
                <w:color w:val="auto"/>
              </w:rPr>
            </w:pPr>
            <w:r>
              <w:rPr>
                <w:rFonts w:ascii="Arial" w:cs="Arial" w:eastAsia="Arial" w:hAnsi="Arial"/>
                <w:sz w:val="18"/>
                <w:szCs w:val="18"/>
                <w:color w:val="auto"/>
              </w:rPr>
              <w:t>License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27,267</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41,917</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135,146</w:t>
            </w:r>
          </w:p>
        </w:tc>
        <w:tc>
          <w:tcPr>
            <w:tcW w:w="6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135,487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w w:val="98"/>
              </w:rPr>
              <w:t>680,152</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8"/>
              </w:rPr>
              <w:t>783,360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w w:val="99"/>
              </w:rPr>
              <w:t>2,727,461</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9"/>
              </w:rPr>
              <w:t>3,026,609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w w:val="98"/>
              </w:rPr>
              <w:t>707,419</w:t>
            </w:r>
          </w:p>
        </w:tc>
        <w:tc>
          <w:tcPr>
            <w:tcW w:w="10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825,277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2,862,607</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3,162,096</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200"/>
              <w:spacing w:after="0" w:line="202" w:lineRule="exact"/>
              <w:rPr>
                <w:sz w:val="20"/>
                <w:szCs w:val="20"/>
                <w:color w:val="auto"/>
              </w:rPr>
            </w:pPr>
            <w:r>
              <w:rPr>
                <w:rFonts w:ascii="Arial" w:cs="Arial" w:eastAsia="Arial" w:hAnsi="Arial"/>
                <w:sz w:val="18"/>
                <w:szCs w:val="18"/>
                <w:color w:val="auto"/>
              </w:rPr>
              <w:t>Cost of license</w:t>
            </w:r>
          </w:p>
        </w:tc>
        <w:tc>
          <w:tcPr>
            <w:tcW w:w="100" w:type="dxa"/>
            <w:vAlign w:val="bottom"/>
          </w:tcPr>
          <w:p>
            <w:pPr>
              <w:spacing w:after="0"/>
              <w:rPr>
                <w:sz w:val="17"/>
                <w:szCs w:val="17"/>
                <w:color w:val="auto"/>
              </w:rPr>
            </w:pPr>
          </w:p>
        </w:tc>
        <w:tc>
          <w:tcPr>
            <w:tcW w:w="130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589</w:t>
            </w:r>
          </w:p>
        </w:tc>
        <w:tc>
          <w:tcPr>
            <w:tcW w:w="100" w:type="dxa"/>
            <w:vAlign w:val="bottom"/>
          </w:tcPr>
          <w:p>
            <w:pPr>
              <w:spacing w:after="0"/>
              <w:rPr>
                <w:sz w:val="17"/>
                <w:szCs w:val="17"/>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462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2,686</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w w:val="98"/>
              </w:rPr>
              <w:t>450,122</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8"/>
              </w:rPr>
              <w:t>530,428</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w w:val="99"/>
              </w:rPr>
              <w:t>1,831,947</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9"/>
              </w:rPr>
              <w:t>2,023,562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7"/>
                <w:szCs w:val="17"/>
                <w:color w:val="auto"/>
              </w:rPr>
            </w:pPr>
          </w:p>
        </w:tc>
        <w:tc>
          <w:tcPr>
            <w:tcW w:w="130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50,274</w:t>
            </w:r>
          </w:p>
        </w:tc>
        <w:tc>
          <w:tcPr>
            <w:tcW w:w="100" w:type="dxa"/>
            <w:vAlign w:val="bottom"/>
          </w:tcPr>
          <w:p>
            <w:pPr>
              <w:spacing w:after="0"/>
              <w:rPr>
                <w:sz w:val="17"/>
                <w:szCs w:val="17"/>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57,252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210,387</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225,492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88,030</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8"/>
              </w:rPr>
              <w:t>103,171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344,335</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404,134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purchased intangible assets</w:t>
            </w:r>
          </w:p>
        </w:tc>
        <w:tc>
          <w:tcPr>
            <w:tcW w:w="100" w:type="dxa"/>
            <w:vAlign w:val="bottom"/>
          </w:tcPr>
          <w:p>
            <w:pPr>
              <w:spacing w:after="0"/>
              <w:rPr>
                <w:sz w:val="17"/>
                <w:szCs w:val="17"/>
                <w:color w:val="auto"/>
              </w:rPr>
            </w:pPr>
          </w:p>
        </w:tc>
        <w:tc>
          <w:tcPr>
            <w:tcW w:w="130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21,559</w:t>
            </w:r>
          </w:p>
        </w:tc>
        <w:tc>
          <w:tcPr>
            <w:tcW w:w="100" w:type="dxa"/>
            <w:vAlign w:val="bottom"/>
          </w:tcPr>
          <w:p>
            <w:pPr>
              <w:spacing w:after="0"/>
              <w:rPr>
                <w:sz w:val="17"/>
                <w:szCs w:val="17"/>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20,385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85,153</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86,687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Restructuring charges and in-process research and development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4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12,116</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40"/>
              <w:spacing w:after="0" w:line="203" w:lineRule="exact"/>
              <w:rPr>
                <w:sz w:val="20"/>
                <w:szCs w:val="20"/>
                <w:color w:val="auto"/>
              </w:rPr>
            </w:pPr>
            <w:r>
              <w:rPr>
                <w:rFonts w:ascii="Arial" w:cs="Arial" w:eastAsia="Arial" w:hAnsi="Arial"/>
                <w:sz w:val="18"/>
                <w:szCs w:val="18"/>
                <w:color w:val="auto"/>
              </w:rPr>
              <w:t>20,780</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13,896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w w:val="98"/>
              </w:rPr>
              <w:t>610,574</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723,814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2,495,288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2,756,500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96,845</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8"/>
              </w:rPr>
              <w:t>101,463</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367,319</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405,596</w:t>
            </w:r>
          </w:p>
        </w:tc>
        <w:tc>
          <w:tcPr>
            <w:tcW w:w="0" w:type="dxa"/>
            <w:vAlign w:val="bottom"/>
          </w:tcPr>
          <w:p>
            <w:pPr>
              <w:spacing w:after="0"/>
              <w:rPr>
                <w:sz w:val="1"/>
                <w:szCs w:val="1"/>
                <w:color w:val="auto"/>
              </w:rPr>
            </w:pPr>
          </w:p>
        </w:tc>
      </w:tr>
      <w:tr>
        <w:trPr>
          <w:trHeight w:val="405"/>
        </w:trPr>
        <w:tc>
          <w:tcPr>
            <w:tcW w:w="6040" w:type="dxa"/>
            <w:vAlign w:val="bottom"/>
            <w:gridSpan w:val="2"/>
          </w:tcPr>
          <w:p>
            <w:pPr>
              <w:spacing w:after="0"/>
              <w:rPr>
                <w:sz w:val="20"/>
                <w:szCs w:val="20"/>
                <w:color w:val="auto"/>
              </w:rPr>
            </w:pPr>
            <w:r>
              <w:rPr>
                <w:rFonts w:ascii="Arial" w:cs="Arial" w:eastAsia="Arial" w:hAnsi="Arial"/>
                <w:sz w:val="18"/>
                <w:szCs w:val="18"/>
                <w:color w:val="auto"/>
              </w:rPr>
              <w:t>Interest (expense) income and other, net</w:t>
            </w:r>
          </w:p>
        </w:tc>
        <w:tc>
          <w:tcPr>
            <w:tcW w:w="100" w:type="dxa"/>
            <w:vAlign w:val="bottom"/>
          </w:tcPr>
          <w:p>
            <w:pPr>
              <w:spacing w:after="0"/>
              <w:rPr>
                <w:sz w:val="24"/>
                <w:szCs w:val="2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(11,842)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11,955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96,694</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89,621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366,154</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417,551</w:t>
            </w:r>
          </w:p>
        </w:tc>
        <w:tc>
          <w:tcPr>
            <w:tcW w:w="0" w:type="dxa"/>
            <w:vAlign w:val="bottom"/>
          </w:tcPr>
          <w:p>
            <w:pPr>
              <w:spacing w:after="0"/>
              <w:rPr>
                <w:sz w:val="1"/>
                <w:szCs w:val="1"/>
                <w:color w:val="auto"/>
              </w:rPr>
            </w:pPr>
          </w:p>
        </w:tc>
      </w:tr>
      <w:tr>
        <w:trPr>
          <w:trHeight w:val="405"/>
        </w:trPr>
        <w:tc>
          <w:tcPr>
            <w:tcW w:w="60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4"/>
                <w:szCs w:val="24"/>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10,943</w:t>
            </w: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6,910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39,978</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38,645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85,751</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82,711</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326,176</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378,906</w:t>
            </w:r>
          </w:p>
        </w:tc>
        <w:tc>
          <w:tcPr>
            <w:tcW w:w="0" w:type="dxa"/>
            <w:vAlign w:val="bottom"/>
          </w:tcPr>
          <w:p>
            <w:pPr>
              <w:spacing w:after="0"/>
              <w:rPr>
                <w:sz w:val="1"/>
                <w:szCs w:val="1"/>
                <w:color w:val="auto"/>
              </w:rPr>
            </w:pPr>
          </w:p>
        </w:tc>
      </w:tr>
      <w:tr>
        <w:trPr>
          <w:trHeight w:val="20"/>
        </w:trPr>
        <w:tc>
          <w:tcPr>
            <w:tcW w:w="60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gridSpan w:val="2"/>
          </w:tcPr>
          <w:p>
            <w:pPr>
              <w:spacing w:after="0" w:line="196" w:lineRule="exact"/>
              <w:rPr>
                <w:sz w:val="20"/>
                <w:szCs w:val="20"/>
                <w:color w:val="auto"/>
              </w:rPr>
            </w:pPr>
            <w:r>
              <w:rPr>
                <w:rFonts w:ascii="Arial" w:cs="Arial" w:eastAsia="Arial" w:hAnsi="Arial"/>
                <w:sz w:val="18"/>
                <w:szCs w:val="18"/>
                <w:color w:val="auto"/>
              </w:rPr>
              <w:t>Basic earnings per share</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40"/>
              <w:spacing w:after="0" w:line="196" w:lineRule="exact"/>
              <w:rPr>
                <w:sz w:val="20"/>
                <w:szCs w:val="20"/>
                <w:color w:val="auto"/>
              </w:rPr>
            </w:pPr>
            <w:r>
              <w:rPr>
                <w:rFonts w:ascii="Arial" w:cs="Arial" w:eastAsia="Arial" w:hAnsi="Arial"/>
                <w:sz w:val="18"/>
                <w:szCs w:val="18"/>
                <w:color w:val="auto"/>
              </w:rPr>
              <w:t>0.42</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line="196" w:lineRule="exact"/>
              <w:rPr>
                <w:sz w:val="20"/>
                <w:szCs w:val="20"/>
                <w:color w:val="auto"/>
              </w:rPr>
            </w:pPr>
            <w:r>
              <w:rPr>
                <w:rFonts w:ascii="Arial" w:cs="Arial" w:eastAsia="Arial" w:hAnsi="Arial"/>
                <w:sz w:val="18"/>
                <w:szCs w:val="18"/>
                <w:color w:val="auto"/>
              </w:rPr>
              <w:t>0.40</w:t>
            </w: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1.61</w:t>
            </w:r>
          </w:p>
        </w:tc>
        <w:tc>
          <w:tcPr>
            <w:tcW w:w="64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earnings per share (2)</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40"/>
              <w:spacing w:after="0" w:line="196" w:lineRule="exact"/>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0.38</w:t>
            </w:r>
          </w:p>
        </w:tc>
        <w:tc>
          <w:tcPr>
            <w:tcW w:w="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1.58</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60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gridSpan w:val="2"/>
          </w:tcPr>
          <w:p>
            <w:pPr>
              <w:spacing w:after="0" w:line="196" w:lineRule="exact"/>
              <w:rPr>
                <w:sz w:val="20"/>
                <w:szCs w:val="20"/>
                <w:color w:val="auto"/>
              </w:rPr>
            </w:pPr>
            <w:r>
              <w:rPr>
                <w:rFonts w:ascii="Arial" w:cs="Arial" w:eastAsia="Arial" w:hAnsi="Arial"/>
                <w:sz w:val="18"/>
                <w:szCs w:val="18"/>
                <w:color w:val="auto"/>
              </w:rPr>
              <w:t>Basic weighted average number of shares outstanding</w:t>
            </w:r>
          </w:p>
        </w:tc>
        <w:tc>
          <w:tcPr>
            <w:tcW w:w="100" w:type="dxa"/>
            <w:vAlign w:val="bottom"/>
          </w:tcPr>
          <w:p>
            <w:pPr>
              <w:spacing w:after="0"/>
              <w:rPr>
                <w:sz w:val="17"/>
                <w:szCs w:val="17"/>
                <w:color w:val="auto"/>
              </w:rPr>
            </w:pPr>
          </w:p>
        </w:tc>
        <w:tc>
          <w:tcPr>
            <w:tcW w:w="1300" w:type="dxa"/>
            <w:vAlign w:val="bottom"/>
            <w:gridSpan w:val="2"/>
          </w:tcPr>
          <w:p>
            <w:pPr>
              <w:jc w:val="right"/>
              <w:ind w:right="640"/>
              <w:spacing w:after="0" w:line="196" w:lineRule="exact"/>
              <w:rPr>
                <w:sz w:val="20"/>
                <w:szCs w:val="20"/>
                <w:color w:val="auto"/>
              </w:rPr>
            </w:pPr>
            <w:r>
              <w:rPr>
                <w:rFonts w:ascii="Arial" w:cs="Arial" w:eastAsia="Arial" w:hAnsi="Arial"/>
                <w:sz w:val="18"/>
                <w:szCs w:val="18"/>
                <w:color w:val="auto"/>
                <w:w w:val="98"/>
              </w:rPr>
              <w:t>203,587</w:t>
            </w:r>
          </w:p>
        </w:tc>
        <w:tc>
          <w:tcPr>
            <w:tcW w:w="100" w:type="dxa"/>
            <w:vAlign w:val="bottom"/>
          </w:tcPr>
          <w:p>
            <w:pPr>
              <w:spacing w:after="0"/>
              <w:rPr>
                <w:sz w:val="17"/>
                <w:szCs w:val="17"/>
                <w:color w:val="auto"/>
              </w:rPr>
            </w:pPr>
          </w:p>
        </w:tc>
        <w:tc>
          <w:tcPr>
            <w:tcW w:w="1020" w:type="dxa"/>
            <w:vAlign w:val="bottom"/>
            <w:gridSpan w:val="2"/>
          </w:tcPr>
          <w:p>
            <w:pPr>
              <w:jc w:val="right"/>
              <w:ind w:right="360"/>
              <w:spacing w:after="0" w:line="196" w:lineRule="exact"/>
              <w:rPr>
                <w:sz w:val="20"/>
                <w:szCs w:val="20"/>
                <w:color w:val="auto"/>
              </w:rPr>
            </w:pPr>
            <w:r>
              <w:rPr>
                <w:rFonts w:ascii="Arial" w:cs="Arial" w:eastAsia="Arial" w:hAnsi="Arial"/>
                <w:sz w:val="18"/>
                <w:szCs w:val="18"/>
                <w:color w:val="auto"/>
                <w:w w:val="98"/>
              </w:rPr>
              <w:t>205,164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202,867</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206,590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40"/>
              <w:spacing w:after="0" w:line="196" w:lineRule="exact"/>
              <w:rPr>
                <w:sz w:val="20"/>
                <w:szCs w:val="20"/>
                <w:color w:val="auto"/>
              </w:rPr>
            </w:pPr>
            <w:r>
              <w:rPr>
                <w:rFonts w:ascii="Arial" w:cs="Arial" w:eastAsia="Arial" w:hAnsi="Arial"/>
                <w:sz w:val="18"/>
                <w:szCs w:val="18"/>
                <w:color w:val="auto"/>
                <w:w w:val="98"/>
              </w:rPr>
              <w:t>204,883</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w w:val="98"/>
              </w:rPr>
              <w:t>217,479</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207,606</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219,606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right="380" w:hanging="452"/>
        <w:spacing w:after="0" w:line="246"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Restructuring charges and in-process research and development for the twelve months ended September 30, 2009 and 2008 include restructuring charges of $15,140 and $12,116 and in-process research and development of $5,640 and $1,780, respectively.</w:t>
      </w:r>
    </w:p>
    <w:p>
      <w:pPr>
        <w:spacing w:after="0" w:line="48" w:lineRule="exact"/>
        <w:rPr>
          <w:rFonts w:ascii="Arial" w:cs="Arial" w:eastAsia="Arial" w:hAnsi="Arial"/>
          <w:sz w:val="18"/>
          <w:szCs w:val="18"/>
          <w:color w:val="auto"/>
        </w:rPr>
      </w:pPr>
    </w:p>
    <w:p>
      <w:pPr>
        <w:ind w:left="460" w:right="140" w:hanging="452"/>
        <w:spacing w:after="0" w:line="23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reflect the impact of assumed conversion of the convertible notes, $0 and $1,486, representing interest expense and amortization of issuance costs, were added back to net income for the three and twelve months ended September 30, 2009, respectively, and $985 and $3,940 were added back to net income for the three and twelve months ended September 30, 2008, respectively, for the purpose of computing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367030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80" w:type="dxa"/>
            <w:vAlign w:val="bottom"/>
            <w:gridSpan w:val="4"/>
          </w:tcPr>
          <w:p>
            <w:pPr>
              <w:jc w:val="right"/>
              <w:ind w:right="753"/>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7"/>
              <w:spacing w:after="0" w:line="196" w:lineRule="exact"/>
              <w:rPr>
                <w:sz w:val="20"/>
                <w:szCs w:val="20"/>
                <w:color w:val="auto"/>
              </w:rPr>
            </w:pPr>
            <w:r>
              <w:rPr>
                <w:rFonts w:ascii="Arial" w:cs="Arial" w:eastAsia="Arial" w:hAnsi="Arial"/>
                <w:sz w:val="18"/>
                <w:szCs w:val="18"/>
                <w:color w:val="auto"/>
                <w:w w:val="95"/>
              </w:rPr>
              <w:t>707,419</w:t>
            </w: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3"/>
              <w:spacing w:after="0" w:line="196" w:lineRule="exact"/>
              <w:rPr>
                <w:sz w:val="20"/>
                <w:szCs w:val="20"/>
                <w:color w:val="auto"/>
              </w:rPr>
            </w:pPr>
            <w:r>
              <w:rPr>
                <w:rFonts w:ascii="Arial" w:cs="Arial" w:eastAsia="Arial" w:hAnsi="Arial"/>
                <w:sz w:val="18"/>
                <w:szCs w:val="18"/>
                <w:color w:val="auto"/>
                <w:w w:val="98"/>
              </w:rPr>
              <w:t>825,277</w:t>
            </w: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7"/>
              <w:spacing w:after="0" w:line="196" w:lineRule="exact"/>
              <w:rPr>
                <w:sz w:val="20"/>
                <w:szCs w:val="20"/>
                <w:color w:val="auto"/>
              </w:rPr>
            </w:pPr>
            <w:r>
              <w:rPr>
                <w:rFonts w:ascii="Arial" w:cs="Arial" w:eastAsia="Arial" w:hAnsi="Arial"/>
                <w:sz w:val="18"/>
                <w:szCs w:val="18"/>
                <w:color w:val="auto"/>
                <w:w w:val="99"/>
              </w:rPr>
              <w:t>2,862,607</w:t>
            </w: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3"/>
              <w:spacing w:after="0" w:line="196" w:lineRule="exact"/>
              <w:rPr>
                <w:sz w:val="20"/>
                <w:szCs w:val="20"/>
                <w:color w:val="auto"/>
              </w:rPr>
            </w:pPr>
            <w:r>
              <w:rPr>
                <w:rFonts w:ascii="Arial" w:cs="Arial" w:eastAsia="Arial" w:hAnsi="Arial"/>
                <w:sz w:val="18"/>
                <w:szCs w:val="18"/>
                <w:color w:val="auto"/>
                <w:w w:val="99"/>
              </w:rPr>
              <w:t>3,162,096</w:t>
            </w:r>
          </w:p>
        </w:tc>
        <w:tc>
          <w:tcPr>
            <w:tcW w:w="0" w:type="dxa"/>
            <w:vAlign w:val="bottom"/>
          </w:tcPr>
          <w:p>
            <w:pPr>
              <w:spacing w:after="0"/>
              <w:rPr>
                <w:sz w:val="1"/>
                <w:szCs w:val="1"/>
                <w:color w:val="auto"/>
              </w:rPr>
            </w:pPr>
          </w:p>
        </w:tc>
      </w:tr>
      <w:tr>
        <w:trPr>
          <w:trHeight w:val="419"/>
        </w:trPr>
        <w:tc>
          <w:tcPr>
            <w:tcW w:w="4960" w:type="dxa"/>
            <w:vAlign w:val="bottom"/>
            <w:gridSpan w:val="2"/>
          </w:tcPr>
          <w:p>
            <w:pPr>
              <w:spacing w:after="0"/>
              <w:rPr>
                <w:sz w:val="20"/>
                <w:szCs w:val="20"/>
                <w:color w:val="auto"/>
              </w:rPr>
            </w:pPr>
            <w:r>
              <w:rPr>
                <w:rFonts w:ascii="Arial" w:cs="Arial" w:eastAsia="Arial" w:hAnsi="Arial"/>
                <w:sz w:val="18"/>
                <w:szCs w:val="18"/>
                <w:color w:val="auto"/>
              </w:rPr>
              <w:t>Non-GAAP operating income</w:t>
            </w:r>
          </w:p>
        </w:tc>
        <w:tc>
          <w:tcPr>
            <w:tcW w:w="300" w:type="dxa"/>
            <w:vAlign w:val="bottom"/>
          </w:tcPr>
          <w:p>
            <w:pPr>
              <w:spacing w:after="0"/>
              <w:rPr>
                <w:sz w:val="24"/>
                <w:szCs w:val="24"/>
                <w:color w:val="auto"/>
              </w:rPr>
            </w:pPr>
          </w:p>
        </w:tc>
        <w:tc>
          <w:tcPr>
            <w:tcW w:w="920" w:type="dxa"/>
            <w:vAlign w:val="bottom"/>
          </w:tcPr>
          <w:p>
            <w:pPr>
              <w:jc w:val="right"/>
              <w:ind w:right="197"/>
              <w:spacing w:after="0"/>
              <w:rPr>
                <w:sz w:val="20"/>
                <w:szCs w:val="20"/>
                <w:color w:val="auto"/>
              </w:rPr>
            </w:pPr>
            <w:r>
              <w:rPr>
                <w:rFonts w:ascii="Arial" w:cs="Arial" w:eastAsia="Arial" w:hAnsi="Arial"/>
                <w:sz w:val="18"/>
                <w:szCs w:val="18"/>
                <w:color w:val="auto"/>
                <w:w w:val="95"/>
              </w:rPr>
              <w:t>127,984</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173"/>
              <w:spacing w:after="0"/>
              <w:rPr>
                <w:sz w:val="20"/>
                <w:szCs w:val="20"/>
                <w:color w:val="auto"/>
              </w:rPr>
            </w:pPr>
            <w:r>
              <w:rPr>
                <w:rFonts w:ascii="Arial" w:cs="Arial" w:eastAsia="Arial" w:hAnsi="Arial"/>
                <w:sz w:val="18"/>
                <w:szCs w:val="18"/>
                <w:color w:val="auto"/>
                <w:w w:val="98"/>
              </w:rPr>
              <w:t>147,744</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177"/>
              <w:spacing w:after="0"/>
              <w:rPr>
                <w:sz w:val="20"/>
                <w:szCs w:val="20"/>
                <w:color w:val="auto"/>
              </w:rPr>
            </w:pPr>
            <w:r>
              <w:rPr>
                <w:rFonts w:ascii="Arial" w:cs="Arial" w:eastAsia="Arial" w:hAnsi="Arial"/>
                <w:sz w:val="18"/>
                <w:szCs w:val="18"/>
                <w:color w:val="auto"/>
              </w:rPr>
              <w:t>516,163</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563,669</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Non-GAAP net income</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7"/>
              <w:spacing w:after="0" w:line="202" w:lineRule="exact"/>
              <w:rPr>
                <w:sz w:val="20"/>
                <w:szCs w:val="20"/>
                <w:color w:val="auto"/>
              </w:rPr>
            </w:pPr>
            <w:r>
              <w:rPr>
                <w:rFonts w:ascii="Arial" w:cs="Arial" w:eastAsia="Arial" w:hAnsi="Arial"/>
                <w:sz w:val="18"/>
                <w:szCs w:val="18"/>
                <w:color w:val="auto"/>
                <w:w w:val="95"/>
              </w:rPr>
              <w:t>109,198</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w w:val="98"/>
              </w:rPr>
              <w:t>117,208</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77"/>
              <w:spacing w:after="0" w:line="202" w:lineRule="exact"/>
              <w:rPr>
                <w:sz w:val="20"/>
                <w:szCs w:val="20"/>
                <w:color w:val="auto"/>
              </w:rPr>
            </w:pPr>
            <w:r>
              <w:rPr>
                <w:rFonts w:ascii="Arial" w:cs="Arial" w:eastAsia="Arial" w:hAnsi="Arial"/>
                <w:sz w:val="18"/>
                <w:szCs w:val="18"/>
                <w:color w:val="auto"/>
              </w:rPr>
              <w:t>438,878</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499,608</w:t>
            </w:r>
          </w:p>
        </w:tc>
        <w:tc>
          <w:tcPr>
            <w:tcW w:w="0" w:type="dxa"/>
            <w:vAlign w:val="bottom"/>
          </w:tcPr>
          <w:p>
            <w:pPr>
              <w:spacing w:after="0"/>
              <w:rPr>
                <w:sz w:val="1"/>
                <w:szCs w:val="1"/>
                <w:color w:val="auto"/>
              </w:rPr>
            </w:pPr>
          </w:p>
        </w:tc>
      </w:tr>
      <w:tr>
        <w:trPr>
          <w:trHeight w:val="419"/>
        </w:trPr>
        <w:tc>
          <w:tcPr>
            <w:tcW w:w="4960" w:type="dxa"/>
            <w:vAlign w:val="bottom"/>
            <w:gridSpan w:val="2"/>
          </w:tcPr>
          <w:p>
            <w:pPr>
              <w:spacing w:after="0"/>
              <w:rPr>
                <w:sz w:val="20"/>
                <w:szCs w:val="20"/>
                <w:color w:val="auto"/>
              </w:rPr>
            </w:pPr>
            <w:r>
              <w:rPr>
                <w:rFonts w:ascii="Arial" w:cs="Arial" w:eastAsia="Arial" w:hAnsi="Arial"/>
                <w:sz w:val="18"/>
                <w:szCs w:val="18"/>
                <w:color w:val="auto"/>
              </w:rPr>
              <w:t>Non-GAAP diluted earnings per share (1)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7"/>
              <w:spacing w:after="0"/>
              <w:rPr>
                <w:sz w:val="20"/>
                <w:szCs w:val="20"/>
                <w:color w:val="auto"/>
              </w:rPr>
            </w:pPr>
            <w:r>
              <w:rPr>
                <w:rFonts w:ascii="Arial" w:cs="Arial" w:eastAsia="Arial" w:hAnsi="Arial"/>
                <w:sz w:val="18"/>
                <w:szCs w:val="18"/>
                <w:color w:val="auto"/>
              </w:rPr>
              <w:t>0.53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3"/>
              <w:spacing w:after="0"/>
              <w:rPr>
                <w:sz w:val="20"/>
                <w:szCs w:val="20"/>
                <w:color w:val="auto"/>
              </w:rPr>
            </w:pPr>
            <w:r>
              <w:rPr>
                <w:rFonts w:ascii="Arial" w:cs="Arial" w:eastAsia="Arial" w:hAnsi="Arial"/>
                <w:sz w:val="18"/>
                <w:szCs w:val="18"/>
                <w:color w:val="auto"/>
              </w:rPr>
              <w:t>0.54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7"/>
              <w:spacing w:after="0"/>
              <w:rPr>
                <w:sz w:val="20"/>
                <w:szCs w:val="20"/>
                <w:color w:val="auto"/>
              </w:rPr>
            </w:pPr>
            <w:r>
              <w:rPr>
                <w:rFonts w:ascii="Arial" w:cs="Arial" w:eastAsia="Arial" w:hAnsi="Arial"/>
                <w:sz w:val="18"/>
                <w:szCs w:val="18"/>
                <w:color w:val="auto"/>
              </w:rPr>
              <w:t>2.12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3"/>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weighted average number of shares outstanding</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97"/>
              <w:spacing w:after="0" w:line="202" w:lineRule="exact"/>
              <w:rPr>
                <w:sz w:val="20"/>
                <w:szCs w:val="20"/>
                <w:color w:val="auto"/>
              </w:rPr>
            </w:pPr>
            <w:r>
              <w:rPr>
                <w:rFonts w:ascii="Arial" w:cs="Arial" w:eastAsia="Arial" w:hAnsi="Arial"/>
                <w:sz w:val="18"/>
                <w:szCs w:val="18"/>
                <w:color w:val="auto"/>
                <w:w w:val="95"/>
              </w:rPr>
              <w:t>204,883</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w w:val="98"/>
              </w:rPr>
              <w:t>217,479</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77"/>
              <w:spacing w:after="0" w:line="202" w:lineRule="exact"/>
              <w:rPr>
                <w:sz w:val="20"/>
                <w:szCs w:val="20"/>
                <w:color w:val="auto"/>
              </w:rPr>
            </w:pPr>
            <w:r>
              <w:rPr>
                <w:rFonts w:ascii="Arial" w:cs="Arial" w:eastAsia="Arial" w:hAnsi="Arial"/>
                <w:sz w:val="18"/>
                <w:szCs w:val="18"/>
                <w:color w:val="auto"/>
              </w:rPr>
              <w:t>207,606</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219,606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40" w:hanging="452"/>
        <w:spacing w:after="0" w:line="23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reflect the impact of assumed conversion of the convertible notes, $0 and $1,486, representing interest expense and amortization of issuance costs, were added back to net income for the three and twelve months ended September 30, 2009, respectively, and $985 and $3,940 were added back to net income for the three and twelve months ended September 30, 2008, respectively, for the purpose of computing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367030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60" w:type="dxa"/>
            <w:vAlign w:val="bottom"/>
            <w:gridSpan w:val="2"/>
          </w:tcPr>
          <w:p>
            <w:pPr>
              <w:jc w:val="center"/>
              <w:ind w:right="3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4"/>
                <w:szCs w:val="14"/>
                <w:b w:val="1"/>
                <w:bCs w:val="1"/>
                <w:color w:val="auto"/>
              </w:rPr>
              <w:t>September 30, 2009</w:t>
            </w:r>
          </w:p>
        </w:tc>
        <w:tc>
          <w:tcPr>
            <w:tcW w:w="4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2"/>
          </w:tcPr>
          <w:p>
            <w:pPr>
              <w:jc w:val="center"/>
              <w:ind w:right="30"/>
              <w:spacing w:after="0" w:line="155" w:lineRule="exact"/>
              <w:rPr>
                <w:sz w:val="20"/>
                <w:szCs w:val="20"/>
                <w:color w:val="auto"/>
              </w:rPr>
            </w:pPr>
            <w:r>
              <w:rPr>
                <w:rFonts w:ascii="Arial" w:cs="Arial" w:eastAsia="Arial" w:hAnsi="Arial"/>
                <w:sz w:val="14"/>
                <w:szCs w:val="14"/>
                <w:b w:val="1"/>
                <w:bCs w:val="1"/>
                <w:color w:val="auto"/>
              </w:rPr>
              <w:t>Reconciliation items</w:t>
            </w:r>
          </w:p>
        </w:tc>
        <w:tc>
          <w:tcPr>
            <w:tcW w:w="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Amortization</w:t>
            </w:r>
          </w:p>
        </w:tc>
        <w:tc>
          <w:tcPr>
            <w:tcW w:w="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of purchased</w:t>
            </w:r>
          </w:p>
        </w:tc>
        <w:tc>
          <w:tcPr>
            <w:tcW w:w="1960" w:type="dxa"/>
            <w:vAlign w:val="bottom"/>
            <w:gridSpan w:val="2"/>
          </w:tcPr>
          <w:p>
            <w:pPr>
              <w:jc w:val="center"/>
              <w:ind w:left="144"/>
              <w:spacing w:after="0"/>
              <w:rPr>
                <w:sz w:val="20"/>
                <w:szCs w:val="20"/>
                <w:color w:val="auto"/>
              </w:rPr>
            </w:pPr>
            <w:r>
              <w:rPr>
                <w:rFonts w:ascii="Arial" w:cs="Arial" w:eastAsia="Arial" w:hAnsi="Arial"/>
                <w:sz w:val="14"/>
                <w:szCs w:val="14"/>
                <w:b w:val="1"/>
                <w:bCs w:val="1"/>
                <w:color w:val="auto"/>
              </w:rPr>
              <w:t>Equity based</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intangible</w:t>
            </w:r>
          </w:p>
        </w:tc>
        <w:tc>
          <w:tcPr>
            <w:tcW w:w="1960" w:type="dxa"/>
            <w:vAlign w:val="bottom"/>
            <w:gridSpan w:val="2"/>
          </w:tcPr>
          <w:p>
            <w:pPr>
              <w:jc w:val="center"/>
              <w:ind w:left="144"/>
              <w:spacing w:after="0"/>
              <w:rPr>
                <w:sz w:val="20"/>
                <w:szCs w:val="20"/>
                <w:color w:val="auto"/>
              </w:rPr>
            </w:pPr>
            <w:r>
              <w:rPr>
                <w:rFonts w:ascii="Arial" w:cs="Arial" w:eastAsia="Arial" w:hAnsi="Arial"/>
                <w:sz w:val="14"/>
                <w:szCs w:val="14"/>
                <w:b w:val="1"/>
                <w:bCs w:val="1"/>
                <w:color w:val="auto"/>
              </w:rPr>
              <w:t>compensation</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GAAP</w:t>
            </w: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rPr>
              <w:t>assets</w:t>
            </w:r>
          </w:p>
        </w:tc>
        <w:tc>
          <w:tcPr>
            <w:tcW w:w="1960" w:type="dxa"/>
            <w:vAlign w:val="bottom"/>
            <w:tcBorders>
              <w:bottom w:val="single" w:sz="8" w:color="auto"/>
            </w:tcBorders>
            <w:gridSpan w:val="2"/>
          </w:tcPr>
          <w:p>
            <w:pPr>
              <w:jc w:val="center"/>
              <w:ind w:left="144"/>
              <w:spacing w:after="0"/>
              <w:rPr>
                <w:sz w:val="20"/>
                <w:szCs w:val="20"/>
                <w:color w:val="auto"/>
              </w:rPr>
            </w:pPr>
            <w:r>
              <w:rPr>
                <w:rFonts w:ascii="Arial" w:cs="Arial" w:eastAsia="Arial" w:hAnsi="Arial"/>
                <w:sz w:val="14"/>
                <w:szCs w:val="14"/>
                <w:b w:val="1"/>
                <w:bCs w:val="1"/>
                <w:color w:val="auto"/>
              </w:rPr>
              <w:t>expense</w:t>
            </w:r>
          </w:p>
        </w:tc>
        <w:tc>
          <w:tcPr>
            <w:tcW w:w="120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Tax effect</w:t>
            </w:r>
          </w:p>
        </w:tc>
        <w:tc>
          <w:tcPr>
            <w:tcW w:w="15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Non-GAAP</w:t>
            </w: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00" w:type="dxa"/>
            <w:vAlign w:val="bottom"/>
          </w:tcPr>
          <w:p>
            <w:pPr>
              <w:ind w:left="200"/>
              <w:spacing w:after="0" w:line="202" w:lineRule="exact"/>
              <w:rPr>
                <w:sz w:val="20"/>
                <w:szCs w:val="20"/>
                <w:color w:val="auto"/>
              </w:rPr>
            </w:pPr>
            <w:r>
              <w:rPr>
                <w:rFonts w:ascii="Arial" w:cs="Arial" w:eastAsia="Arial" w:hAnsi="Arial"/>
                <w:sz w:val="18"/>
                <w:szCs w:val="18"/>
                <w:color w:val="auto"/>
              </w:rPr>
              <w:t>Cost of license</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532"/>
              <w:spacing w:after="0" w:line="202" w:lineRule="exact"/>
              <w:rPr>
                <w:sz w:val="20"/>
                <w:szCs w:val="20"/>
                <w:color w:val="auto"/>
              </w:rPr>
            </w:pPr>
            <w:r>
              <w:rPr>
                <w:rFonts w:ascii="Arial" w:cs="Arial" w:eastAsia="Arial" w:hAnsi="Arial"/>
                <w:sz w:val="18"/>
                <w:szCs w:val="18"/>
                <w:color w:val="auto"/>
              </w:rPr>
              <w:t>589</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ind w:left="36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589</w:t>
            </w: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service</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532"/>
              <w:spacing w:after="0" w:line="202" w:lineRule="exact"/>
              <w:rPr>
                <w:sz w:val="20"/>
                <w:szCs w:val="20"/>
                <w:color w:val="auto"/>
              </w:rPr>
            </w:pPr>
            <w:r>
              <w:rPr>
                <w:rFonts w:ascii="Arial" w:cs="Arial" w:eastAsia="Arial" w:hAnsi="Arial"/>
                <w:sz w:val="18"/>
                <w:szCs w:val="18"/>
                <w:color w:val="auto"/>
                <w:w w:val="98"/>
              </w:rPr>
              <w:t>450,122</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w w:val="94"/>
              </w:rPr>
              <w:t>(4,957)</w:t>
            </w: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w w:val="98"/>
              </w:rPr>
              <w:t>445,165</w:t>
            </w:r>
          </w:p>
        </w:tc>
      </w:tr>
      <w:tr>
        <w:trPr>
          <w:trHeight w:val="203"/>
        </w:trPr>
        <w:tc>
          <w:tcPr>
            <w:tcW w:w="20" w:type="dxa"/>
            <w:vAlign w:val="bottom"/>
          </w:tcPr>
          <w:p>
            <w:pPr>
              <w:spacing w:after="0"/>
              <w:rPr>
                <w:sz w:val="17"/>
                <w:szCs w:val="17"/>
                <w:color w:val="auto"/>
              </w:rPr>
            </w:pPr>
          </w:p>
        </w:tc>
        <w:tc>
          <w:tcPr>
            <w:tcW w:w="380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7"/>
                <w:szCs w:val="17"/>
                <w:color w:val="auto"/>
              </w:rPr>
            </w:pPr>
          </w:p>
        </w:tc>
        <w:tc>
          <w:tcPr>
            <w:tcW w:w="1280" w:type="dxa"/>
            <w:vAlign w:val="bottom"/>
          </w:tcPr>
          <w:p>
            <w:pPr>
              <w:jc w:val="right"/>
              <w:ind w:right="532"/>
              <w:spacing w:after="0" w:line="202" w:lineRule="exact"/>
              <w:rPr>
                <w:sz w:val="20"/>
                <w:szCs w:val="20"/>
                <w:color w:val="auto"/>
              </w:rPr>
            </w:pPr>
            <w:r>
              <w:rPr>
                <w:rFonts w:ascii="Arial" w:cs="Arial" w:eastAsia="Arial" w:hAnsi="Arial"/>
                <w:sz w:val="18"/>
                <w:szCs w:val="18"/>
                <w:color w:val="auto"/>
              </w:rPr>
              <w:t>50,274</w:t>
            </w:r>
          </w:p>
        </w:tc>
        <w:tc>
          <w:tcPr>
            <w:tcW w:w="380" w:type="dxa"/>
            <w:vAlign w:val="bottom"/>
          </w:tcPr>
          <w:p>
            <w:pPr>
              <w:spacing w:after="0"/>
              <w:rPr>
                <w:sz w:val="17"/>
                <w:szCs w:val="17"/>
                <w:color w:val="auto"/>
              </w:rPr>
            </w:pPr>
          </w:p>
        </w:tc>
        <w:tc>
          <w:tcPr>
            <w:tcW w:w="96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spacing w:after="0"/>
              <w:rPr>
                <w:sz w:val="17"/>
                <w:szCs w:val="17"/>
                <w:color w:val="auto"/>
              </w:rPr>
            </w:pPr>
          </w:p>
        </w:tc>
        <w:tc>
          <w:tcPr>
            <w:tcW w:w="112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(972)</w:t>
            </w:r>
          </w:p>
        </w:tc>
        <w:tc>
          <w:tcPr>
            <w:tcW w:w="460" w:type="dxa"/>
            <w:vAlign w:val="bottom"/>
          </w:tcPr>
          <w:p>
            <w:pPr>
              <w:spacing w:after="0"/>
              <w:rPr>
                <w:sz w:val="17"/>
                <w:szCs w:val="17"/>
                <w:color w:val="auto"/>
              </w:rPr>
            </w:pPr>
          </w:p>
        </w:tc>
        <w:tc>
          <w:tcPr>
            <w:tcW w:w="7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7"/>
                <w:szCs w:val="17"/>
                <w:color w:val="auto"/>
              </w:rPr>
            </w:pPr>
          </w:p>
        </w:tc>
        <w:tc>
          <w:tcPr>
            <w:tcW w:w="9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49,302</w:t>
            </w: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532"/>
              <w:spacing w:after="0" w:line="202" w:lineRule="exact"/>
              <w:rPr>
                <w:sz w:val="20"/>
                <w:szCs w:val="20"/>
                <w:color w:val="auto"/>
              </w:rPr>
            </w:pPr>
            <w:r>
              <w:rPr>
                <w:rFonts w:ascii="Arial" w:cs="Arial" w:eastAsia="Arial" w:hAnsi="Arial"/>
                <w:sz w:val="18"/>
                <w:szCs w:val="18"/>
                <w:color w:val="auto"/>
              </w:rPr>
              <w:t>88,030</w:t>
            </w: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w w:val="94"/>
              </w:rPr>
              <w:t>(3,651)</w:t>
            </w: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84,379</w:t>
            </w:r>
          </w:p>
        </w:tc>
      </w:tr>
      <w:tr>
        <w:trPr>
          <w:trHeight w:val="202"/>
        </w:trPr>
        <w:tc>
          <w:tcPr>
            <w:tcW w:w="20" w:type="dxa"/>
            <w:vAlign w:val="bottom"/>
          </w:tcPr>
          <w:p>
            <w:pPr>
              <w:spacing w:after="0"/>
              <w:rPr>
                <w:sz w:val="17"/>
                <w:szCs w:val="17"/>
                <w:color w:val="auto"/>
              </w:rPr>
            </w:pPr>
          </w:p>
        </w:tc>
        <w:tc>
          <w:tcPr>
            <w:tcW w:w="380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purchased intangible</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800" w:type="dxa"/>
            <w:vAlign w:val="bottom"/>
          </w:tcPr>
          <w:p>
            <w:pPr>
              <w:ind w:left="400"/>
              <w:spacing w:after="0" w:line="203" w:lineRule="exact"/>
              <w:rPr>
                <w:sz w:val="20"/>
                <w:szCs w:val="20"/>
                <w:color w:val="auto"/>
              </w:rPr>
            </w:pPr>
            <w:r>
              <w:rPr>
                <w:rFonts w:ascii="Arial" w:cs="Arial" w:eastAsia="Arial" w:hAnsi="Arial"/>
                <w:sz w:val="18"/>
                <w:szCs w:val="18"/>
                <w:color w:val="auto"/>
              </w:rPr>
              <w:t>assets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2"/>
              <w:spacing w:after="0" w:line="203" w:lineRule="exact"/>
              <w:rPr>
                <w:sz w:val="20"/>
                <w:szCs w:val="20"/>
                <w:color w:val="auto"/>
              </w:rPr>
            </w:pPr>
            <w:r>
              <w:rPr>
                <w:rFonts w:ascii="Arial" w:cs="Arial" w:eastAsia="Arial" w:hAnsi="Arial"/>
                <w:sz w:val="18"/>
                <w:szCs w:val="18"/>
                <w:color w:val="auto"/>
              </w:rPr>
              <w:t>21,559</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2"/>
              <w:spacing w:after="0" w:line="203" w:lineRule="exact"/>
              <w:rPr>
                <w:sz w:val="20"/>
                <w:szCs w:val="20"/>
                <w:color w:val="auto"/>
              </w:rPr>
            </w:pPr>
            <w:r>
              <w:rPr>
                <w:rFonts w:ascii="Arial" w:cs="Arial" w:eastAsia="Arial" w:hAnsi="Arial"/>
                <w:sz w:val="18"/>
                <w:szCs w:val="18"/>
                <w:color w:val="auto"/>
                <w:w w:val="98"/>
              </w:rPr>
              <w:t>(21,559)</w:t>
            </w:r>
          </w:p>
        </w:tc>
        <w:tc>
          <w:tcPr>
            <w:tcW w:w="8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0"/>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532"/>
              <w:spacing w:after="0" w:line="202" w:lineRule="exact"/>
              <w:rPr>
                <w:sz w:val="20"/>
                <w:szCs w:val="20"/>
                <w:color w:val="auto"/>
              </w:rPr>
            </w:pPr>
            <w:r>
              <w:rPr>
                <w:rFonts w:ascii="Arial" w:cs="Arial" w:eastAsia="Arial" w:hAnsi="Arial"/>
                <w:sz w:val="18"/>
                <w:szCs w:val="18"/>
                <w:color w:val="auto"/>
                <w:w w:val="98"/>
              </w:rPr>
              <w:t>610,574</w:t>
            </w:r>
          </w:p>
        </w:tc>
        <w:tc>
          <w:tcPr>
            <w:tcW w:w="3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w w:val="98"/>
              </w:rPr>
              <w:t>(21,559)</w:t>
            </w:r>
          </w:p>
        </w:tc>
        <w:tc>
          <w:tcPr>
            <w:tcW w:w="8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w w:val="94"/>
              </w:rPr>
              <w:t>(9,580)</w:t>
            </w:r>
          </w:p>
        </w:tc>
        <w:tc>
          <w:tcPr>
            <w:tcW w:w="4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w w:val="98"/>
              </w:rPr>
              <w:t>579,435</w:t>
            </w:r>
          </w:p>
        </w:tc>
      </w:tr>
      <w:tr>
        <w:trPr>
          <w:trHeight w:val="210"/>
        </w:trPr>
        <w:tc>
          <w:tcPr>
            <w:tcW w:w="3820" w:type="dxa"/>
            <w:vAlign w:val="bottom"/>
            <w:gridSpan w:val="2"/>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10"/>
        </w:trPr>
        <w:tc>
          <w:tcPr>
            <w:tcW w:w="38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96,845</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21,559</w:t>
            </w:r>
          </w:p>
        </w:tc>
        <w:tc>
          <w:tcPr>
            <w:tcW w:w="8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9,580</w:t>
            </w: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8"/>
              </w:rPr>
              <w:t>127,984</w:t>
            </w:r>
          </w:p>
        </w:tc>
      </w:tr>
      <w:tr>
        <w:trPr>
          <w:trHeight w:val="217"/>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532"/>
              <w:spacing w:after="0" w:line="202" w:lineRule="exact"/>
              <w:rPr>
                <w:sz w:val="20"/>
                <w:szCs w:val="20"/>
                <w:color w:val="auto"/>
              </w:rPr>
            </w:pPr>
            <w:r>
              <w:rPr>
                <w:rFonts w:ascii="Arial" w:cs="Arial" w:eastAsia="Arial" w:hAnsi="Arial"/>
                <w:sz w:val="18"/>
                <w:szCs w:val="18"/>
                <w:color w:val="auto"/>
              </w:rPr>
              <w:t>10,943</w:t>
            </w:r>
          </w:p>
        </w:tc>
        <w:tc>
          <w:tcPr>
            <w:tcW w:w="3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7,692</w:t>
            </w:r>
          </w:p>
        </w:tc>
        <w:tc>
          <w:tcPr>
            <w:tcW w:w="6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18,635</w:t>
            </w:r>
          </w:p>
        </w:tc>
      </w:tr>
      <w:tr>
        <w:trPr>
          <w:trHeight w:val="210"/>
        </w:trPr>
        <w:tc>
          <w:tcPr>
            <w:tcW w:w="3820" w:type="dxa"/>
            <w:vAlign w:val="bottom"/>
            <w:gridSpan w:val="2"/>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10"/>
        </w:trPr>
        <w:tc>
          <w:tcPr>
            <w:tcW w:w="38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85,751</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21,559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9,580</w:t>
            </w:r>
          </w:p>
        </w:tc>
        <w:tc>
          <w:tcPr>
            <w:tcW w:w="4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4"/>
              </w:rPr>
              <w:t>(7,692)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8"/>
              </w:rPr>
              <w:t>109,198</w:t>
            </w: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2008</w:t>
            </w:r>
          </w:p>
        </w:tc>
        <w:tc>
          <w:tcPr>
            <w:tcW w:w="1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Reconciliation items</w:t>
            </w:r>
          </w:p>
        </w:tc>
        <w:tc>
          <w:tcPr>
            <w:tcW w:w="1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gridSpan w:val="2"/>
          </w:tcPr>
          <w:p>
            <w:pPr>
              <w:jc w:val="center"/>
              <w:ind w:right="72"/>
              <w:spacing w:after="0" w:line="143" w:lineRule="exact"/>
              <w:rPr>
                <w:sz w:val="20"/>
                <w:szCs w:val="20"/>
                <w:color w:val="auto"/>
              </w:rPr>
            </w:pPr>
            <w:r>
              <w:rPr>
                <w:rFonts w:ascii="Arial" w:cs="Arial" w:eastAsia="Arial" w:hAnsi="Arial"/>
                <w:sz w:val="14"/>
                <w:szCs w:val="14"/>
                <w:b w:val="1"/>
                <w:bCs w:val="1"/>
                <w:color w:val="auto"/>
              </w:rPr>
              <w:t>Amortization</w:t>
            </w:r>
          </w:p>
        </w:tc>
        <w:tc>
          <w:tcPr>
            <w:tcW w:w="5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tcPr>
          <w:p>
            <w:pPr>
              <w:jc w:val="center"/>
              <w:ind w:right="52"/>
              <w:spacing w:after="0"/>
              <w:rPr>
                <w:sz w:val="20"/>
                <w:szCs w:val="20"/>
                <w:color w:val="auto"/>
              </w:rPr>
            </w:pPr>
            <w:r>
              <w:rPr>
                <w:rFonts w:ascii="Arial" w:cs="Arial" w:eastAsia="Arial" w:hAnsi="Arial"/>
                <w:sz w:val="14"/>
                <w:szCs w:val="14"/>
                <w:b w:val="1"/>
                <w:bCs w:val="1"/>
                <w:color w:val="auto"/>
              </w:rPr>
              <w:t>of purchased</w:t>
            </w:r>
          </w:p>
        </w:tc>
        <w:tc>
          <w:tcPr>
            <w:tcW w:w="5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rPr>
              <w:t>Equity based</w:t>
            </w: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tcPr>
          <w:p>
            <w:pPr>
              <w:jc w:val="center"/>
              <w:ind w:right="72"/>
              <w:spacing w:after="0"/>
              <w:rPr>
                <w:sz w:val="20"/>
                <w:szCs w:val="20"/>
                <w:color w:val="auto"/>
              </w:rPr>
            </w:pPr>
            <w:r>
              <w:rPr>
                <w:rFonts w:ascii="Arial" w:cs="Arial" w:eastAsia="Arial" w:hAnsi="Arial"/>
                <w:sz w:val="14"/>
                <w:szCs w:val="14"/>
                <w:b w:val="1"/>
                <w:bCs w:val="1"/>
                <w:color w:val="auto"/>
              </w:rPr>
              <w:t>intangible</w:t>
            </w:r>
          </w:p>
        </w:tc>
        <w:tc>
          <w:tcPr>
            <w:tcW w:w="1720" w:type="dxa"/>
            <w:vAlign w:val="bottom"/>
            <w:gridSpan w:val="2"/>
          </w:tcPr>
          <w:p>
            <w:pPr>
              <w:jc w:val="right"/>
              <w:ind w:right="315"/>
              <w:spacing w:after="0"/>
              <w:rPr>
                <w:sz w:val="20"/>
                <w:szCs w:val="20"/>
                <w:color w:val="auto"/>
              </w:rPr>
            </w:pPr>
            <w:r>
              <w:rPr>
                <w:rFonts w:ascii="Arial" w:cs="Arial" w:eastAsia="Arial" w:hAnsi="Arial"/>
                <w:sz w:val="14"/>
                <w:szCs w:val="14"/>
                <w:b w:val="1"/>
                <w:bCs w:val="1"/>
                <w:color w:val="auto"/>
              </w:rPr>
              <w:t>Restructuring</w:t>
            </w: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GAAP</w:t>
            </w: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432"/>
              <w:spacing w:after="0"/>
              <w:rPr>
                <w:sz w:val="20"/>
                <w:szCs w:val="20"/>
                <w:color w:val="auto"/>
              </w:rPr>
            </w:pPr>
            <w:r>
              <w:rPr>
                <w:rFonts w:ascii="Arial" w:cs="Arial" w:eastAsia="Arial" w:hAnsi="Arial"/>
                <w:sz w:val="14"/>
                <w:szCs w:val="14"/>
                <w:b w:val="1"/>
                <w:bCs w:val="1"/>
                <w:color w:val="auto"/>
              </w:rPr>
              <w:t>assets</w:t>
            </w:r>
          </w:p>
        </w:tc>
        <w:tc>
          <w:tcPr>
            <w:tcW w:w="5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charges</w:t>
            </w:r>
          </w:p>
        </w:tc>
        <w:tc>
          <w:tcPr>
            <w:tcW w:w="5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12"/>
              <w:spacing w:after="0"/>
              <w:rPr>
                <w:sz w:val="20"/>
                <w:szCs w:val="20"/>
                <w:color w:val="auto"/>
              </w:rPr>
            </w:pPr>
            <w:r>
              <w:rPr>
                <w:rFonts w:ascii="Arial" w:cs="Arial" w:eastAsia="Arial" w:hAnsi="Arial"/>
                <w:sz w:val="14"/>
                <w:szCs w:val="14"/>
                <w:b w:val="1"/>
                <w:bCs w:val="1"/>
                <w:color w:val="auto"/>
              </w:rPr>
              <w:t>expense</w:t>
            </w:r>
          </w:p>
        </w:tc>
        <w:tc>
          <w:tcPr>
            <w:tcW w:w="12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Tax effect</w:t>
            </w:r>
          </w:p>
        </w:tc>
        <w:tc>
          <w:tcPr>
            <w:tcW w:w="13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Non-GAAP</w:t>
            </w: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520" w:type="dxa"/>
            <w:vAlign w:val="bottom"/>
          </w:tcPr>
          <w:p>
            <w:pPr>
              <w:ind w:left="200"/>
              <w:spacing w:after="0" w:line="202" w:lineRule="exact"/>
              <w:rPr>
                <w:sz w:val="20"/>
                <w:szCs w:val="20"/>
                <w:color w:val="auto"/>
              </w:rPr>
            </w:pPr>
            <w:r>
              <w:rPr>
                <w:rFonts w:ascii="Arial" w:cs="Arial" w:eastAsia="Arial" w:hAnsi="Arial"/>
                <w:sz w:val="18"/>
                <w:szCs w:val="18"/>
                <w:color w:val="auto"/>
              </w:rPr>
              <w:t>Cost of license</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92"/>
              <w:spacing w:after="0" w:line="202" w:lineRule="exact"/>
              <w:rPr>
                <w:sz w:val="20"/>
                <w:szCs w:val="20"/>
                <w:color w:val="auto"/>
              </w:rPr>
            </w:pPr>
            <w:r>
              <w:rPr>
                <w:rFonts w:ascii="Arial" w:cs="Arial" w:eastAsia="Arial" w:hAnsi="Arial"/>
                <w:sz w:val="18"/>
                <w:szCs w:val="18"/>
                <w:color w:val="auto"/>
              </w:rPr>
              <w:t>462</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475"/>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412"/>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462</w:t>
            </w: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service</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w w:val="98"/>
              </w:rPr>
              <w:t>530,428</w:t>
            </w: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75"/>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(5,836)</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98"/>
              </w:rPr>
              <w:t>524,592</w:t>
            </w:r>
          </w:p>
        </w:tc>
      </w:tr>
      <w:tr>
        <w:trPr>
          <w:trHeight w:val="202"/>
        </w:trPr>
        <w:tc>
          <w:tcPr>
            <w:tcW w:w="20" w:type="dxa"/>
            <w:vAlign w:val="bottom"/>
          </w:tcPr>
          <w:p>
            <w:pPr>
              <w:spacing w:after="0"/>
              <w:rPr>
                <w:sz w:val="17"/>
                <w:szCs w:val="17"/>
                <w:color w:val="auto"/>
              </w:rPr>
            </w:pPr>
          </w:p>
        </w:tc>
        <w:tc>
          <w:tcPr>
            <w:tcW w:w="2520" w:type="dxa"/>
            <w:vAlign w:val="bottom"/>
          </w:tcPr>
          <w:p>
            <w:pPr>
              <w:ind w:left="200"/>
              <w:spacing w:after="0" w:line="201" w:lineRule="exact"/>
              <w:rPr>
                <w:sz w:val="20"/>
                <w:szCs w:val="20"/>
                <w:color w:val="auto"/>
              </w:rPr>
            </w:pPr>
            <w:r>
              <w:rPr>
                <w:rFonts w:ascii="Arial" w:cs="Arial" w:eastAsia="Arial" w:hAnsi="Arial"/>
                <w:sz w:val="18"/>
                <w:szCs w:val="18"/>
                <w:color w:val="auto"/>
              </w:rPr>
              <w:t>Research and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520" w:type="dxa"/>
            <w:vAlign w:val="bottom"/>
          </w:tcPr>
          <w:p>
            <w:pPr>
              <w:ind w:left="400"/>
              <w:spacing w:after="0" w:line="203" w:lineRule="exact"/>
              <w:rPr>
                <w:sz w:val="20"/>
                <w:szCs w:val="20"/>
                <w:color w:val="auto"/>
              </w:rPr>
            </w:pPr>
            <w:r>
              <w:rPr>
                <w:rFonts w:ascii="Arial" w:cs="Arial" w:eastAsia="Arial" w:hAnsi="Arial"/>
                <w:sz w:val="18"/>
                <w:szCs w:val="18"/>
                <w:color w:val="auto"/>
              </w:rPr>
              <w:t>development</w:t>
            </w:r>
          </w:p>
        </w:tc>
        <w:tc>
          <w:tcPr>
            <w:tcW w:w="220" w:type="dxa"/>
            <w:vAlign w:val="bottom"/>
          </w:tcPr>
          <w:p>
            <w:pPr>
              <w:spacing w:after="0"/>
              <w:rPr>
                <w:sz w:val="17"/>
                <w:szCs w:val="17"/>
                <w:color w:val="auto"/>
              </w:rPr>
            </w:pPr>
          </w:p>
        </w:tc>
        <w:tc>
          <w:tcPr>
            <w:tcW w:w="1140" w:type="dxa"/>
            <w:vAlign w:val="bottom"/>
          </w:tcPr>
          <w:p>
            <w:pPr>
              <w:jc w:val="right"/>
              <w:ind w:right="392"/>
              <w:spacing w:after="0" w:line="203" w:lineRule="exact"/>
              <w:rPr>
                <w:sz w:val="20"/>
                <w:szCs w:val="20"/>
                <w:color w:val="auto"/>
              </w:rPr>
            </w:pPr>
            <w:r>
              <w:rPr>
                <w:rFonts w:ascii="Arial" w:cs="Arial" w:eastAsia="Arial" w:hAnsi="Arial"/>
                <w:sz w:val="18"/>
                <w:szCs w:val="18"/>
                <w:color w:val="auto"/>
              </w:rPr>
              <w:t>57,252</w:t>
            </w:r>
          </w:p>
        </w:tc>
        <w:tc>
          <w:tcPr>
            <w:tcW w:w="380" w:type="dxa"/>
            <w:vAlign w:val="bottom"/>
          </w:tcPr>
          <w:p>
            <w:pPr>
              <w:spacing w:after="0"/>
              <w:rPr>
                <w:sz w:val="17"/>
                <w:szCs w:val="17"/>
                <w:color w:val="auto"/>
              </w:rPr>
            </w:pPr>
          </w:p>
        </w:tc>
        <w:tc>
          <w:tcPr>
            <w:tcW w:w="1140" w:type="dxa"/>
            <w:vAlign w:val="bottom"/>
          </w:tcPr>
          <w:p>
            <w:pPr>
              <w:jc w:val="right"/>
              <w:ind w:right="432"/>
              <w:spacing w:after="0" w:line="203"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180" w:type="dxa"/>
            <w:vAlign w:val="bottom"/>
          </w:tcPr>
          <w:p>
            <w:pPr>
              <w:jc w:val="right"/>
              <w:ind w:right="475"/>
              <w:spacing w:after="0" w:line="203"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120" w:type="dxa"/>
            <w:vAlign w:val="bottom"/>
          </w:tcPr>
          <w:p>
            <w:pPr>
              <w:jc w:val="right"/>
              <w:ind w:right="352"/>
              <w:spacing w:after="0" w:line="203" w:lineRule="exact"/>
              <w:rPr>
                <w:sz w:val="20"/>
                <w:szCs w:val="20"/>
                <w:color w:val="auto"/>
              </w:rPr>
            </w:pPr>
            <w:r>
              <w:rPr>
                <w:rFonts w:ascii="Arial" w:cs="Arial" w:eastAsia="Arial" w:hAnsi="Arial"/>
                <w:sz w:val="18"/>
                <w:szCs w:val="18"/>
                <w:color w:val="auto"/>
              </w:rPr>
              <w:t>(1,088)</w:t>
            </w:r>
          </w:p>
        </w:tc>
        <w:tc>
          <w:tcPr>
            <w:tcW w:w="420" w:type="dxa"/>
            <w:vAlign w:val="bottom"/>
          </w:tcPr>
          <w:p>
            <w:pPr>
              <w:spacing w:after="0"/>
              <w:rPr>
                <w:sz w:val="17"/>
                <w:szCs w:val="17"/>
                <w:color w:val="auto"/>
              </w:rPr>
            </w:pPr>
          </w:p>
        </w:tc>
        <w:tc>
          <w:tcPr>
            <w:tcW w:w="82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840" w:type="dxa"/>
            <w:vAlign w:val="bottom"/>
          </w:tcPr>
          <w:p>
            <w:pPr>
              <w:jc w:val="right"/>
              <w:ind w:right="90"/>
              <w:spacing w:after="0" w:line="203" w:lineRule="exact"/>
              <w:rPr>
                <w:sz w:val="20"/>
                <w:szCs w:val="20"/>
                <w:color w:val="auto"/>
              </w:rPr>
            </w:pPr>
            <w:r>
              <w:rPr>
                <w:rFonts w:ascii="Arial" w:cs="Arial" w:eastAsia="Arial" w:hAnsi="Arial"/>
                <w:sz w:val="18"/>
                <w:szCs w:val="18"/>
                <w:color w:val="auto"/>
              </w:rPr>
              <w:t>56,164</w:t>
            </w:r>
          </w:p>
        </w:tc>
      </w:tr>
      <w:tr>
        <w:trPr>
          <w:trHeight w:val="202"/>
        </w:trPr>
        <w:tc>
          <w:tcPr>
            <w:tcW w:w="20" w:type="dxa"/>
            <w:vAlign w:val="bottom"/>
          </w:tcPr>
          <w:p>
            <w:pPr>
              <w:spacing w:after="0"/>
              <w:rPr>
                <w:sz w:val="17"/>
                <w:szCs w:val="17"/>
                <w:color w:val="auto"/>
              </w:rPr>
            </w:pPr>
          </w:p>
        </w:tc>
        <w:tc>
          <w:tcPr>
            <w:tcW w:w="25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administrative</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2"/>
              <w:spacing w:after="0" w:line="203" w:lineRule="exact"/>
              <w:rPr>
                <w:sz w:val="20"/>
                <w:szCs w:val="20"/>
                <w:color w:val="auto"/>
              </w:rPr>
            </w:pPr>
            <w:r>
              <w:rPr>
                <w:rFonts w:ascii="Arial" w:cs="Arial" w:eastAsia="Arial" w:hAnsi="Arial"/>
                <w:sz w:val="18"/>
                <w:szCs w:val="18"/>
                <w:color w:val="auto"/>
                <w:w w:val="98"/>
              </w:rPr>
              <w:t>103,171</w:t>
            </w: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432"/>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75"/>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52"/>
              <w:spacing w:after="0" w:line="203" w:lineRule="exact"/>
              <w:rPr>
                <w:sz w:val="20"/>
                <w:szCs w:val="20"/>
                <w:color w:val="auto"/>
              </w:rPr>
            </w:pPr>
            <w:r>
              <w:rPr>
                <w:rFonts w:ascii="Arial" w:cs="Arial" w:eastAsia="Arial" w:hAnsi="Arial"/>
                <w:sz w:val="18"/>
                <w:szCs w:val="18"/>
                <w:color w:val="auto"/>
              </w:rPr>
              <w:t>(6,856)</w:t>
            </w: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96,315</w:t>
            </w:r>
          </w:p>
        </w:tc>
      </w:tr>
      <w:tr>
        <w:trPr>
          <w:trHeight w:val="202"/>
        </w:trPr>
        <w:tc>
          <w:tcPr>
            <w:tcW w:w="20" w:type="dxa"/>
            <w:vAlign w:val="bottom"/>
          </w:tcPr>
          <w:p>
            <w:pPr>
              <w:spacing w:after="0"/>
              <w:rPr>
                <w:sz w:val="17"/>
                <w:szCs w:val="17"/>
                <w:color w:val="auto"/>
              </w:rPr>
            </w:pPr>
          </w:p>
        </w:tc>
        <w:tc>
          <w:tcPr>
            <w:tcW w:w="252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520" w:type="dxa"/>
            <w:vAlign w:val="bottom"/>
          </w:tcPr>
          <w:p>
            <w:pPr>
              <w:ind w:left="400"/>
              <w:spacing w:after="0" w:line="202" w:lineRule="exact"/>
              <w:rPr>
                <w:sz w:val="20"/>
                <w:szCs w:val="20"/>
                <w:color w:val="auto"/>
              </w:rPr>
            </w:pPr>
            <w:r>
              <w:rPr>
                <w:rFonts w:ascii="Arial" w:cs="Arial" w:eastAsia="Arial" w:hAnsi="Arial"/>
                <w:sz w:val="18"/>
                <w:szCs w:val="18"/>
                <w:color w:val="auto"/>
              </w:rPr>
              <w:t>purchased intangible</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520" w:type="dxa"/>
            <w:vAlign w:val="bottom"/>
          </w:tcPr>
          <w:p>
            <w:pPr>
              <w:ind w:left="400"/>
              <w:spacing w:after="0" w:line="203" w:lineRule="exact"/>
              <w:rPr>
                <w:sz w:val="20"/>
                <w:szCs w:val="20"/>
                <w:color w:val="auto"/>
              </w:rPr>
            </w:pPr>
            <w:r>
              <w:rPr>
                <w:rFonts w:ascii="Arial" w:cs="Arial" w:eastAsia="Arial" w:hAnsi="Arial"/>
                <w:sz w:val="18"/>
                <w:szCs w:val="18"/>
                <w:color w:val="auto"/>
              </w:rPr>
              <w:t>assets</w:t>
            </w:r>
          </w:p>
        </w:tc>
        <w:tc>
          <w:tcPr>
            <w:tcW w:w="220" w:type="dxa"/>
            <w:vAlign w:val="bottom"/>
          </w:tcPr>
          <w:p>
            <w:pPr>
              <w:spacing w:after="0"/>
              <w:rPr>
                <w:sz w:val="17"/>
                <w:szCs w:val="17"/>
                <w:color w:val="auto"/>
              </w:rPr>
            </w:pPr>
          </w:p>
        </w:tc>
        <w:tc>
          <w:tcPr>
            <w:tcW w:w="1140" w:type="dxa"/>
            <w:vAlign w:val="bottom"/>
          </w:tcPr>
          <w:p>
            <w:pPr>
              <w:jc w:val="right"/>
              <w:ind w:right="392"/>
              <w:spacing w:after="0" w:line="203" w:lineRule="exact"/>
              <w:rPr>
                <w:sz w:val="20"/>
                <w:szCs w:val="20"/>
                <w:color w:val="auto"/>
              </w:rPr>
            </w:pPr>
            <w:r>
              <w:rPr>
                <w:rFonts w:ascii="Arial" w:cs="Arial" w:eastAsia="Arial" w:hAnsi="Arial"/>
                <w:sz w:val="18"/>
                <w:szCs w:val="18"/>
                <w:color w:val="auto"/>
              </w:rPr>
              <w:t>20,385</w:t>
            </w:r>
          </w:p>
        </w:tc>
        <w:tc>
          <w:tcPr>
            <w:tcW w:w="380" w:type="dxa"/>
            <w:vAlign w:val="bottom"/>
          </w:tcPr>
          <w:p>
            <w:pPr>
              <w:spacing w:after="0"/>
              <w:rPr>
                <w:sz w:val="17"/>
                <w:szCs w:val="17"/>
                <w:color w:val="auto"/>
              </w:rPr>
            </w:pPr>
          </w:p>
        </w:tc>
        <w:tc>
          <w:tcPr>
            <w:tcW w:w="1140" w:type="dxa"/>
            <w:vAlign w:val="bottom"/>
          </w:tcPr>
          <w:p>
            <w:pPr>
              <w:jc w:val="right"/>
              <w:ind w:right="372"/>
              <w:spacing w:after="0" w:line="203" w:lineRule="exact"/>
              <w:rPr>
                <w:sz w:val="20"/>
                <w:szCs w:val="20"/>
                <w:color w:val="auto"/>
              </w:rPr>
            </w:pPr>
            <w:r>
              <w:rPr>
                <w:rFonts w:ascii="Arial" w:cs="Arial" w:eastAsia="Arial" w:hAnsi="Arial"/>
                <w:sz w:val="18"/>
                <w:szCs w:val="18"/>
                <w:color w:val="auto"/>
                <w:w w:val="98"/>
              </w:rPr>
              <w:t>(20,385)</w:t>
            </w:r>
          </w:p>
        </w:tc>
        <w:tc>
          <w:tcPr>
            <w:tcW w:w="540" w:type="dxa"/>
            <w:vAlign w:val="bottom"/>
          </w:tcPr>
          <w:p>
            <w:pPr>
              <w:spacing w:after="0"/>
              <w:rPr>
                <w:sz w:val="17"/>
                <w:szCs w:val="17"/>
                <w:color w:val="auto"/>
              </w:rPr>
            </w:pPr>
          </w:p>
        </w:tc>
        <w:tc>
          <w:tcPr>
            <w:tcW w:w="1180" w:type="dxa"/>
            <w:vAlign w:val="bottom"/>
          </w:tcPr>
          <w:p>
            <w:pPr>
              <w:jc w:val="right"/>
              <w:ind w:right="475"/>
              <w:spacing w:after="0" w:line="203"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120" w:type="dxa"/>
            <w:vAlign w:val="bottom"/>
          </w:tcPr>
          <w:p>
            <w:pPr>
              <w:jc w:val="right"/>
              <w:ind w:right="412"/>
              <w:spacing w:after="0" w:line="203"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82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520" w:type="dxa"/>
            <w:vAlign w:val="bottom"/>
          </w:tcPr>
          <w:p>
            <w:pPr>
              <w:spacing w:after="0"/>
              <w:rPr>
                <w:sz w:val="17"/>
                <w:szCs w:val="17"/>
                <w:color w:val="auto"/>
              </w:rPr>
            </w:pPr>
          </w:p>
        </w:tc>
        <w:tc>
          <w:tcPr>
            <w:tcW w:w="840" w:type="dxa"/>
            <w:vAlign w:val="bottom"/>
          </w:tcPr>
          <w:p>
            <w:pPr>
              <w:jc w:val="right"/>
              <w:ind w:right="90"/>
              <w:spacing w:after="0" w:line="203" w:lineRule="exact"/>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25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Restructuring charges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and in-process</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research and</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development</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92"/>
              <w:spacing w:after="0" w:line="203" w:lineRule="exact"/>
              <w:rPr>
                <w:sz w:val="20"/>
                <w:szCs w:val="20"/>
                <w:color w:val="auto"/>
              </w:rPr>
            </w:pPr>
            <w:r>
              <w:rPr>
                <w:rFonts w:ascii="Arial" w:cs="Arial" w:eastAsia="Arial" w:hAnsi="Arial"/>
                <w:sz w:val="18"/>
                <w:szCs w:val="18"/>
                <w:color w:val="auto"/>
              </w:rPr>
              <w:t>12,116</w:t>
            </w:r>
          </w:p>
        </w:tc>
        <w:tc>
          <w:tcPr>
            <w:tcW w:w="3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432"/>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15"/>
              <w:spacing w:after="0" w:line="203" w:lineRule="exact"/>
              <w:rPr>
                <w:sz w:val="20"/>
                <w:szCs w:val="20"/>
                <w:color w:val="auto"/>
              </w:rPr>
            </w:pPr>
            <w:r>
              <w:rPr>
                <w:rFonts w:ascii="Arial" w:cs="Arial" w:eastAsia="Arial" w:hAnsi="Arial"/>
                <w:sz w:val="18"/>
                <w:szCs w:val="18"/>
                <w:color w:val="auto"/>
                <w:w w:val="98"/>
              </w:rPr>
              <w:t>(12,116)</w:t>
            </w:r>
          </w:p>
        </w:tc>
        <w:tc>
          <w:tcPr>
            <w:tcW w:w="5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12"/>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w:t>
            </w:r>
          </w:p>
        </w:tc>
      </w:tr>
      <w:tr>
        <w:trPr>
          <w:trHeight w:val="210"/>
        </w:trPr>
        <w:tc>
          <w:tcPr>
            <w:tcW w:w="25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w w:val="98"/>
              </w:rPr>
              <w:t>723,814</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98"/>
              </w:rPr>
              <w:t>(20,385)</w:t>
            </w: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color w:val="auto"/>
                <w:w w:val="98"/>
              </w:rPr>
              <w:t>(12,116)</w:t>
            </w: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98"/>
              </w:rPr>
              <w:t>(13,780)</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8"/>
              </w:rPr>
              <w:t>677,533</w:t>
            </w:r>
          </w:p>
        </w:tc>
      </w:tr>
      <w:tr>
        <w:trPr>
          <w:trHeight w:val="217"/>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w w:val="98"/>
              </w:rPr>
              <w:t>101,463</w:t>
            </w:r>
          </w:p>
        </w:tc>
        <w:tc>
          <w:tcPr>
            <w:tcW w:w="3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20,385</w:t>
            </w:r>
          </w:p>
        </w:tc>
        <w:tc>
          <w:tcPr>
            <w:tcW w:w="5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75"/>
              <w:spacing w:after="0" w:line="202" w:lineRule="exact"/>
              <w:rPr>
                <w:sz w:val="20"/>
                <w:szCs w:val="20"/>
                <w:color w:val="auto"/>
              </w:rPr>
            </w:pPr>
            <w:r>
              <w:rPr>
                <w:rFonts w:ascii="Arial" w:cs="Arial" w:eastAsia="Arial" w:hAnsi="Arial"/>
                <w:sz w:val="18"/>
                <w:szCs w:val="18"/>
                <w:color w:val="auto"/>
              </w:rPr>
              <w:t>12,116</w:t>
            </w:r>
          </w:p>
        </w:tc>
        <w:tc>
          <w:tcPr>
            <w:tcW w:w="5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13,780</w:t>
            </w:r>
          </w:p>
        </w:tc>
        <w:tc>
          <w:tcPr>
            <w:tcW w:w="4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98"/>
              </w:rPr>
              <w:t>147,744</w:t>
            </w:r>
          </w:p>
        </w:tc>
      </w:tr>
      <w:tr>
        <w:trPr>
          <w:trHeight w:val="210"/>
        </w:trPr>
        <w:tc>
          <w:tcPr>
            <w:tcW w:w="2540" w:type="dxa"/>
            <w:vAlign w:val="bottom"/>
            <w:gridSpan w:val="2"/>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10"/>
        </w:trPr>
        <w:tc>
          <w:tcPr>
            <w:tcW w:w="25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6,910</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11,784</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18,694</w:t>
            </w:r>
          </w:p>
        </w:tc>
      </w:tr>
      <w:tr>
        <w:trPr>
          <w:trHeight w:val="217"/>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82,711</w:t>
            </w: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20,385</w:t>
            </w: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475"/>
              <w:spacing w:after="0" w:line="202" w:lineRule="exact"/>
              <w:rPr>
                <w:sz w:val="20"/>
                <w:szCs w:val="20"/>
                <w:color w:val="auto"/>
              </w:rPr>
            </w:pPr>
            <w:r>
              <w:rPr>
                <w:rFonts w:ascii="Arial" w:cs="Arial" w:eastAsia="Arial" w:hAnsi="Arial"/>
                <w:sz w:val="18"/>
                <w:szCs w:val="18"/>
                <w:color w:val="auto"/>
              </w:rPr>
              <w:t>12,116</w:t>
            </w: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13,780</w:t>
            </w:r>
          </w:p>
        </w:tc>
        <w:tc>
          <w:tcPr>
            <w:tcW w:w="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98"/>
              </w:rPr>
              <w:t>(11,784)</w:t>
            </w: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98"/>
              </w:rPr>
              <w:t>117,208</w:t>
            </w:r>
          </w:p>
        </w:tc>
      </w:tr>
      <w:tr>
        <w:trPr>
          <w:trHeight w:val="625"/>
        </w:trPr>
        <w:tc>
          <w:tcPr>
            <w:tcW w:w="20" w:type="dxa"/>
            <w:vAlign w:val="bottom"/>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80" w:type="dxa"/>
            <w:vAlign w:val="bottom"/>
            <w:gridSpan w:val="2"/>
          </w:tcPr>
          <w:p>
            <w:pPr>
              <w:jc w:val="center"/>
              <w:ind w:left="95"/>
              <w:spacing w:after="0"/>
              <w:rPr>
                <w:sz w:val="20"/>
                <w:szCs w:val="20"/>
                <w:color w:val="auto"/>
              </w:rPr>
            </w:pPr>
            <w:r>
              <w:rPr>
                <w:rFonts w:ascii="Arial" w:cs="Arial" w:eastAsia="Arial" w:hAnsi="Arial"/>
                <w:sz w:val="14"/>
                <w:szCs w:val="14"/>
                <w:b w:val="1"/>
                <w:bCs w:val="1"/>
                <w:color w:val="auto"/>
              </w:rPr>
              <w:t>Twelve months ended</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jc w:val="center"/>
              <w:ind w:left="95"/>
              <w:spacing w:after="0"/>
              <w:rPr>
                <w:sz w:val="20"/>
                <w:szCs w:val="20"/>
                <w:color w:val="auto"/>
              </w:rPr>
            </w:pPr>
            <w:r>
              <w:rPr>
                <w:rFonts w:ascii="Arial" w:cs="Arial" w:eastAsia="Arial" w:hAnsi="Arial"/>
                <w:sz w:val="14"/>
                <w:szCs w:val="14"/>
                <w:b w:val="1"/>
                <w:bCs w:val="1"/>
                <w:color w:val="auto"/>
              </w:rPr>
              <w:t>September 30, 2009</w:t>
            </w:r>
          </w:p>
        </w:tc>
        <w:tc>
          <w:tcPr>
            <w:tcW w:w="10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center"/>
              <w:ind w:left="75"/>
              <w:spacing w:after="0" w:line="155" w:lineRule="exact"/>
              <w:rPr>
                <w:sz w:val="20"/>
                <w:szCs w:val="20"/>
                <w:color w:val="auto"/>
              </w:rPr>
            </w:pPr>
            <w:r>
              <w:rPr>
                <w:rFonts w:ascii="Arial" w:cs="Arial" w:eastAsia="Arial" w:hAnsi="Arial"/>
                <w:sz w:val="14"/>
                <w:szCs w:val="14"/>
                <w:b w:val="1"/>
                <w:bCs w:val="1"/>
                <w:color w:val="auto"/>
              </w:rPr>
              <w:t>Reconciliation items</w:t>
            </w:r>
          </w:p>
        </w:tc>
        <w:tc>
          <w:tcPr>
            <w:tcW w:w="10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60" w:type="dxa"/>
            <w:vAlign w:val="bottom"/>
            <w:gridSpan w:val="2"/>
          </w:tcPr>
          <w:p>
            <w:pPr>
              <w:jc w:val="right"/>
              <w:ind w:right="315"/>
              <w:spacing w:after="0" w:line="143" w:lineRule="exact"/>
              <w:rPr>
                <w:sz w:val="20"/>
                <w:szCs w:val="20"/>
                <w:color w:val="auto"/>
              </w:rPr>
            </w:pPr>
            <w:r>
              <w:rPr>
                <w:rFonts w:ascii="Arial" w:cs="Arial" w:eastAsia="Arial" w:hAnsi="Arial"/>
                <w:sz w:val="14"/>
                <w:szCs w:val="14"/>
                <w:b w:val="1"/>
                <w:bCs w:val="1"/>
                <w:color w:val="auto"/>
              </w:rPr>
              <w:t>Restructuring</w:t>
            </w:r>
          </w:p>
        </w:tc>
        <w:tc>
          <w:tcPr>
            <w:tcW w:w="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gridSpan w:val="2"/>
          </w:tcPr>
          <w:p>
            <w:pPr>
              <w:jc w:val="center"/>
              <w:ind w:right="92"/>
              <w:spacing w:after="0"/>
              <w:rPr>
                <w:sz w:val="20"/>
                <w:szCs w:val="20"/>
                <w:color w:val="auto"/>
              </w:rPr>
            </w:pPr>
            <w:r>
              <w:rPr>
                <w:rFonts w:ascii="Arial" w:cs="Arial" w:eastAsia="Arial" w:hAnsi="Arial"/>
                <w:sz w:val="14"/>
                <w:szCs w:val="14"/>
                <w:b w:val="1"/>
                <w:bCs w:val="1"/>
                <w:color w:val="auto"/>
              </w:rPr>
              <w:t>Amortization</w:t>
            </w:r>
          </w:p>
        </w:tc>
        <w:tc>
          <w:tcPr>
            <w:tcW w:w="1660" w:type="dxa"/>
            <w:vAlign w:val="bottom"/>
            <w:gridSpan w:val="2"/>
          </w:tcPr>
          <w:p>
            <w:pPr>
              <w:ind w:left="360"/>
              <w:spacing w:after="0"/>
              <w:rPr>
                <w:sz w:val="20"/>
                <w:szCs w:val="20"/>
                <w:color w:val="auto"/>
              </w:rPr>
            </w:pPr>
            <w:r>
              <w:rPr>
                <w:rFonts w:ascii="Arial" w:cs="Arial" w:eastAsia="Arial" w:hAnsi="Arial"/>
                <w:sz w:val="14"/>
                <w:szCs w:val="14"/>
                <w:b w:val="1"/>
                <w:bCs w:val="1"/>
                <w:color w:val="auto"/>
              </w:rPr>
              <w:t>charges and</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gridSpan w:val="2"/>
          </w:tcPr>
          <w:p>
            <w:pPr>
              <w:jc w:val="center"/>
              <w:ind w:right="92"/>
              <w:spacing w:after="0"/>
              <w:rPr>
                <w:sz w:val="20"/>
                <w:szCs w:val="20"/>
                <w:color w:val="auto"/>
              </w:rPr>
            </w:pPr>
            <w:r>
              <w:rPr>
                <w:rFonts w:ascii="Arial" w:cs="Arial" w:eastAsia="Arial" w:hAnsi="Arial"/>
                <w:sz w:val="14"/>
                <w:szCs w:val="14"/>
                <w:b w:val="1"/>
                <w:bCs w:val="1"/>
                <w:color w:val="auto"/>
              </w:rPr>
              <w:t>of purchased</w:t>
            </w:r>
          </w:p>
        </w:tc>
        <w:tc>
          <w:tcPr>
            <w:tcW w:w="1660" w:type="dxa"/>
            <w:vAlign w:val="bottom"/>
            <w:gridSpan w:val="2"/>
          </w:tcPr>
          <w:p>
            <w:pPr>
              <w:ind w:left="420"/>
              <w:spacing w:after="0"/>
              <w:rPr>
                <w:sz w:val="20"/>
                <w:szCs w:val="20"/>
                <w:color w:val="auto"/>
              </w:rPr>
            </w:pPr>
            <w:r>
              <w:rPr>
                <w:rFonts w:ascii="Arial" w:cs="Arial" w:eastAsia="Arial" w:hAnsi="Arial"/>
                <w:sz w:val="14"/>
                <w:szCs w:val="14"/>
                <w:b w:val="1"/>
                <w:bCs w:val="1"/>
                <w:color w:val="auto"/>
              </w:rPr>
              <w:t>in-process</w:t>
            </w: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Equity based</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gridSpan w:val="2"/>
          </w:tcPr>
          <w:p>
            <w:pPr>
              <w:jc w:val="center"/>
              <w:ind w:right="92"/>
              <w:spacing w:after="0"/>
              <w:rPr>
                <w:sz w:val="20"/>
                <w:szCs w:val="20"/>
                <w:color w:val="auto"/>
              </w:rPr>
            </w:pPr>
            <w:r>
              <w:rPr>
                <w:rFonts w:ascii="Arial" w:cs="Arial" w:eastAsia="Arial" w:hAnsi="Arial"/>
                <w:sz w:val="14"/>
                <w:szCs w:val="14"/>
                <w:b w:val="1"/>
                <w:bCs w:val="1"/>
                <w:color w:val="auto"/>
              </w:rPr>
              <w:t>intangible</w:t>
            </w:r>
          </w:p>
        </w:tc>
        <w:tc>
          <w:tcPr>
            <w:tcW w:w="1660" w:type="dxa"/>
            <w:vAlign w:val="bottom"/>
            <w:gridSpan w:val="2"/>
          </w:tcPr>
          <w:p>
            <w:pPr>
              <w:jc w:val="right"/>
              <w:ind w:right="335"/>
              <w:spacing w:after="0"/>
              <w:rPr>
                <w:sz w:val="20"/>
                <w:szCs w:val="20"/>
                <w:color w:val="auto"/>
              </w:rPr>
            </w:pPr>
            <w:r>
              <w:rPr>
                <w:rFonts w:ascii="Arial" w:cs="Arial" w:eastAsia="Arial" w:hAnsi="Arial"/>
                <w:sz w:val="14"/>
                <w:szCs w:val="14"/>
                <w:b w:val="1"/>
                <w:bCs w:val="1"/>
                <w:color w:val="auto"/>
              </w:rPr>
              <w:t>research and</w:t>
            </w:r>
          </w:p>
        </w:tc>
        <w:tc>
          <w:tcPr>
            <w:tcW w:w="1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GAAP</w:t>
            </w: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472"/>
              <w:spacing w:after="0"/>
              <w:rPr>
                <w:sz w:val="20"/>
                <w:szCs w:val="20"/>
                <w:color w:val="auto"/>
              </w:rPr>
            </w:pPr>
            <w:r>
              <w:rPr>
                <w:rFonts w:ascii="Arial" w:cs="Arial" w:eastAsia="Arial" w:hAnsi="Arial"/>
                <w:sz w:val="14"/>
                <w:szCs w:val="14"/>
                <w:b w:val="1"/>
                <w:bCs w:val="1"/>
                <w:color w:val="auto"/>
              </w:rPr>
              <w:t>assets</w:t>
            </w:r>
          </w:p>
        </w:tc>
        <w:tc>
          <w:tcPr>
            <w:tcW w:w="166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development</w:t>
            </w: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expense</w:t>
            </w:r>
          </w:p>
        </w:tc>
        <w:tc>
          <w:tcPr>
            <w:tcW w:w="11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Tax effect</w:t>
            </w:r>
          </w:p>
        </w:tc>
        <w:tc>
          <w:tcPr>
            <w:tcW w:w="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Non-GAAP</w:t>
            </w:r>
          </w:p>
        </w:tc>
      </w:tr>
      <w:tr>
        <w:trPr>
          <w:trHeight w:val="203"/>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Cost of license</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2,686</w:t>
            </w:r>
          </w:p>
        </w:tc>
        <w:tc>
          <w:tcPr>
            <w:tcW w:w="6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452"/>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ind w:left="38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475"/>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431"/>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2,686</w:t>
            </w:r>
          </w:p>
        </w:tc>
      </w:tr>
      <w:tr>
        <w:trPr>
          <w:trHeight w:val="203"/>
        </w:trPr>
        <w:tc>
          <w:tcPr>
            <w:tcW w:w="20" w:type="dxa"/>
            <w:vAlign w:val="bottom"/>
          </w:tcPr>
          <w:p>
            <w:pPr>
              <w:spacing w:after="0"/>
              <w:rPr>
                <w:sz w:val="17"/>
                <w:szCs w:val="17"/>
                <w:color w:val="auto"/>
              </w:rPr>
            </w:pPr>
          </w:p>
        </w:tc>
        <w:tc>
          <w:tcPr>
            <w:tcW w:w="24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service</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w w:val="97"/>
              </w:rPr>
              <w:t>1,831,947</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75"/>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371"/>
              <w:spacing w:after="0" w:line="202" w:lineRule="exact"/>
              <w:rPr>
                <w:sz w:val="20"/>
                <w:szCs w:val="20"/>
                <w:color w:val="auto"/>
              </w:rPr>
            </w:pPr>
            <w:r>
              <w:rPr>
                <w:rFonts w:ascii="Arial" w:cs="Arial" w:eastAsia="Arial" w:hAnsi="Arial"/>
                <w:sz w:val="18"/>
                <w:szCs w:val="18"/>
                <w:color w:val="auto"/>
              </w:rPr>
              <w:t>(21,733)</w:t>
            </w: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7"/>
              </w:rPr>
              <w:t>1,810,214</w:t>
            </w:r>
          </w:p>
        </w:tc>
      </w:tr>
      <w:tr>
        <w:trPr>
          <w:trHeight w:val="202"/>
        </w:trPr>
        <w:tc>
          <w:tcPr>
            <w:tcW w:w="20" w:type="dxa"/>
            <w:vAlign w:val="bottom"/>
          </w:tcPr>
          <w:p>
            <w:pPr>
              <w:spacing w:after="0"/>
              <w:rPr>
                <w:sz w:val="17"/>
                <w:szCs w:val="17"/>
                <w:color w:val="auto"/>
              </w:rPr>
            </w:pPr>
          </w:p>
        </w:tc>
        <w:tc>
          <w:tcPr>
            <w:tcW w:w="244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Research and</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tcPr>
          <w:p>
            <w:pPr>
              <w:ind w:left="400"/>
              <w:spacing w:after="0" w:line="203" w:lineRule="exact"/>
              <w:rPr>
                <w:sz w:val="20"/>
                <w:szCs w:val="20"/>
                <w:color w:val="auto"/>
              </w:rPr>
            </w:pPr>
            <w:r>
              <w:rPr>
                <w:rFonts w:ascii="Arial" w:cs="Arial" w:eastAsia="Arial" w:hAnsi="Arial"/>
                <w:sz w:val="18"/>
                <w:szCs w:val="18"/>
                <w:color w:val="auto"/>
              </w:rPr>
              <w:t>development</w:t>
            </w:r>
          </w:p>
        </w:tc>
        <w:tc>
          <w:tcPr>
            <w:tcW w:w="200" w:type="dxa"/>
            <w:vAlign w:val="bottom"/>
          </w:tcPr>
          <w:p>
            <w:pPr>
              <w:spacing w:after="0"/>
              <w:rPr>
                <w:sz w:val="17"/>
                <w:szCs w:val="17"/>
                <w:color w:val="auto"/>
              </w:rPr>
            </w:pPr>
          </w:p>
        </w:tc>
        <w:tc>
          <w:tcPr>
            <w:tcW w:w="1200" w:type="dxa"/>
            <w:vAlign w:val="bottom"/>
          </w:tcPr>
          <w:p>
            <w:pPr>
              <w:jc w:val="right"/>
              <w:ind w:right="312"/>
              <w:spacing w:after="0" w:line="203" w:lineRule="exact"/>
              <w:rPr>
                <w:sz w:val="20"/>
                <w:szCs w:val="20"/>
                <w:color w:val="auto"/>
              </w:rPr>
            </w:pPr>
            <w:r>
              <w:rPr>
                <w:rFonts w:ascii="Arial" w:cs="Arial" w:eastAsia="Arial" w:hAnsi="Arial"/>
                <w:sz w:val="18"/>
                <w:szCs w:val="18"/>
                <w:color w:val="auto"/>
              </w:rPr>
              <w:t>210,387</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120" w:type="dxa"/>
            <w:vAlign w:val="bottom"/>
          </w:tcPr>
          <w:p>
            <w:pPr>
              <w:jc w:val="right"/>
              <w:ind w:right="475"/>
              <w:spacing w:after="0" w:line="203"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080" w:type="dxa"/>
            <w:vAlign w:val="bottom"/>
          </w:tcPr>
          <w:p>
            <w:pPr>
              <w:jc w:val="right"/>
              <w:ind w:right="371"/>
              <w:spacing w:after="0" w:line="203" w:lineRule="exact"/>
              <w:rPr>
                <w:sz w:val="20"/>
                <w:szCs w:val="20"/>
                <w:color w:val="auto"/>
              </w:rPr>
            </w:pPr>
            <w:r>
              <w:rPr>
                <w:rFonts w:ascii="Arial" w:cs="Arial" w:eastAsia="Arial" w:hAnsi="Arial"/>
                <w:sz w:val="18"/>
                <w:szCs w:val="18"/>
                <w:color w:val="auto"/>
              </w:rPr>
              <w:t>(4,249)</w:t>
            </w:r>
          </w:p>
        </w:tc>
        <w:tc>
          <w:tcPr>
            <w:tcW w:w="440" w:type="dxa"/>
            <w:vAlign w:val="bottom"/>
          </w:tcPr>
          <w:p>
            <w:pPr>
              <w:spacing w:after="0"/>
              <w:rPr>
                <w:sz w:val="17"/>
                <w:szCs w:val="17"/>
                <w:color w:val="auto"/>
              </w:rPr>
            </w:pPr>
          </w:p>
        </w:tc>
        <w:tc>
          <w:tcPr>
            <w:tcW w:w="740" w:type="dxa"/>
            <w:vAlign w:val="bottom"/>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ind w:right="92"/>
              <w:spacing w:after="0" w:line="203" w:lineRule="exact"/>
              <w:rPr>
                <w:sz w:val="20"/>
                <w:szCs w:val="20"/>
                <w:color w:val="auto"/>
              </w:rPr>
            </w:pPr>
            <w:r>
              <w:rPr>
                <w:rFonts w:ascii="Arial" w:cs="Arial" w:eastAsia="Arial" w:hAnsi="Arial"/>
                <w:sz w:val="18"/>
                <w:szCs w:val="18"/>
                <w:color w:val="auto"/>
              </w:rPr>
              <w:t>206,138</w:t>
            </w:r>
          </w:p>
        </w:tc>
      </w:tr>
      <w:tr>
        <w:trPr>
          <w:trHeight w:val="202"/>
        </w:trPr>
        <w:tc>
          <w:tcPr>
            <w:tcW w:w="20" w:type="dxa"/>
            <w:vAlign w:val="bottom"/>
          </w:tcPr>
          <w:p>
            <w:pPr>
              <w:spacing w:after="0"/>
              <w:rPr>
                <w:sz w:val="17"/>
                <w:szCs w:val="17"/>
                <w:color w:val="auto"/>
              </w:rPr>
            </w:pPr>
          </w:p>
        </w:tc>
        <w:tc>
          <w:tcPr>
            <w:tcW w:w="24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rPr>
              <w:t>administrative</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12"/>
              <w:spacing w:after="0" w:line="203" w:lineRule="exact"/>
              <w:rPr>
                <w:sz w:val="20"/>
                <w:szCs w:val="20"/>
                <w:color w:val="auto"/>
              </w:rPr>
            </w:pPr>
            <w:r>
              <w:rPr>
                <w:rFonts w:ascii="Arial" w:cs="Arial" w:eastAsia="Arial" w:hAnsi="Arial"/>
                <w:sz w:val="18"/>
                <w:szCs w:val="18"/>
                <w:color w:val="auto"/>
              </w:rPr>
              <w:t>344,335</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52"/>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75"/>
              <w:spacing w:after="0" w:line="203"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371"/>
              <w:spacing w:after="0" w:line="203" w:lineRule="exact"/>
              <w:rPr>
                <w:sz w:val="20"/>
                <w:szCs w:val="20"/>
                <w:color w:val="auto"/>
              </w:rPr>
            </w:pPr>
            <w:r>
              <w:rPr>
                <w:rFonts w:ascii="Arial" w:cs="Arial" w:eastAsia="Arial" w:hAnsi="Arial"/>
                <w:sz w:val="18"/>
                <w:szCs w:val="18"/>
                <w:color w:val="auto"/>
              </w:rPr>
              <w:t>(16,929)</w:t>
            </w: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2"/>
              <w:spacing w:after="0" w:line="203" w:lineRule="exact"/>
              <w:rPr>
                <w:sz w:val="20"/>
                <w:szCs w:val="20"/>
                <w:color w:val="auto"/>
              </w:rPr>
            </w:pPr>
            <w:r>
              <w:rPr>
                <w:rFonts w:ascii="Arial" w:cs="Arial" w:eastAsia="Arial" w:hAnsi="Arial"/>
                <w:sz w:val="18"/>
                <w:szCs w:val="18"/>
                <w:color w:val="auto"/>
              </w:rPr>
              <w:t>327,406</w:t>
            </w:r>
          </w:p>
        </w:tc>
      </w:tr>
      <w:tr>
        <w:trPr>
          <w:trHeight w:val="202"/>
        </w:trPr>
        <w:tc>
          <w:tcPr>
            <w:tcW w:w="20" w:type="dxa"/>
            <w:vAlign w:val="bottom"/>
          </w:tcPr>
          <w:p>
            <w:pPr>
              <w:spacing w:after="0"/>
              <w:rPr>
                <w:sz w:val="17"/>
                <w:szCs w:val="17"/>
                <w:color w:val="auto"/>
              </w:rPr>
            </w:pPr>
          </w:p>
        </w:tc>
        <w:tc>
          <w:tcPr>
            <w:tcW w:w="244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Amortization of</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purchased intangible</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tcPr>
          <w:p>
            <w:pPr>
              <w:ind w:left="400"/>
              <w:spacing w:after="0" w:line="203" w:lineRule="exact"/>
              <w:rPr>
                <w:sz w:val="20"/>
                <w:szCs w:val="20"/>
                <w:color w:val="auto"/>
              </w:rPr>
            </w:pPr>
            <w:r>
              <w:rPr>
                <w:rFonts w:ascii="Arial" w:cs="Arial" w:eastAsia="Arial" w:hAnsi="Arial"/>
                <w:sz w:val="18"/>
                <w:szCs w:val="18"/>
                <w:color w:val="auto"/>
              </w:rPr>
              <w:t>assets</w:t>
            </w:r>
          </w:p>
        </w:tc>
        <w:tc>
          <w:tcPr>
            <w:tcW w:w="200" w:type="dxa"/>
            <w:vAlign w:val="bottom"/>
          </w:tcPr>
          <w:p>
            <w:pPr>
              <w:spacing w:after="0"/>
              <w:rPr>
                <w:sz w:val="17"/>
                <w:szCs w:val="17"/>
                <w:color w:val="auto"/>
              </w:rPr>
            </w:pPr>
          </w:p>
        </w:tc>
        <w:tc>
          <w:tcPr>
            <w:tcW w:w="1200" w:type="dxa"/>
            <w:vAlign w:val="bottom"/>
          </w:tcPr>
          <w:p>
            <w:pPr>
              <w:jc w:val="right"/>
              <w:ind w:right="312"/>
              <w:spacing w:after="0" w:line="203" w:lineRule="exact"/>
              <w:rPr>
                <w:sz w:val="20"/>
                <w:szCs w:val="20"/>
                <w:color w:val="auto"/>
              </w:rPr>
            </w:pPr>
            <w:r>
              <w:rPr>
                <w:rFonts w:ascii="Arial" w:cs="Arial" w:eastAsia="Arial" w:hAnsi="Arial"/>
                <w:sz w:val="18"/>
                <w:szCs w:val="18"/>
                <w:color w:val="auto"/>
              </w:rPr>
              <w:t>85,153</w:t>
            </w:r>
          </w:p>
        </w:tc>
        <w:tc>
          <w:tcPr>
            <w:tcW w:w="60" w:type="dxa"/>
            <w:vAlign w:val="bottom"/>
          </w:tcPr>
          <w:p>
            <w:pPr>
              <w:spacing w:after="0"/>
              <w:rPr>
                <w:sz w:val="17"/>
                <w:szCs w:val="17"/>
                <w:color w:val="auto"/>
              </w:rPr>
            </w:pPr>
          </w:p>
        </w:tc>
        <w:tc>
          <w:tcPr>
            <w:tcW w:w="1540" w:type="dxa"/>
            <w:vAlign w:val="bottom"/>
            <w:gridSpan w:val="2"/>
          </w:tcPr>
          <w:p>
            <w:pPr>
              <w:jc w:val="right"/>
              <w:ind w:right="392"/>
              <w:spacing w:after="0" w:line="203" w:lineRule="exact"/>
              <w:rPr>
                <w:sz w:val="20"/>
                <w:szCs w:val="20"/>
                <w:color w:val="auto"/>
              </w:rPr>
            </w:pPr>
            <w:r>
              <w:rPr>
                <w:rFonts w:ascii="Arial" w:cs="Arial" w:eastAsia="Arial" w:hAnsi="Arial"/>
                <w:sz w:val="18"/>
                <w:szCs w:val="18"/>
                <w:color w:val="auto"/>
              </w:rPr>
              <w:t>(85,153)</w:t>
            </w:r>
          </w:p>
        </w:tc>
        <w:tc>
          <w:tcPr>
            <w:tcW w:w="540" w:type="dxa"/>
            <w:vAlign w:val="bottom"/>
          </w:tcPr>
          <w:p>
            <w:pPr>
              <w:spacing w:after="0"/>
              <w:rPr>
                <w:sz w:val="17"/>
                <w:szCs w:val="17"/>
                <w:color w:val="auto"/>
              </w:rPr>
            </w:pPr>
          </w:p>
        </w:tc>
        <w:tc>
          <w:tcPr>
            <w:tcW w:w="1120" w:type="dxa"/>
            <w:vAlign w:val="bottom"/>
          </w:tcPr>
          <w:p>
            <w:pPr>
              <w:jc w:val="right"/>
              <w:ind w:right="475"/>
              <w:spacing w:after="0" w:line="203"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080" w:type="dxa"/>
            <w:vAlign w:val="bottom"/>
          </w:tcPr>
          <w:p>
            <w:pPr>
              <w:jc w:val="right"/>
              <w:ind w:right="431"/>
              <w:spacing w:after="0" w:line="203"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740" w:type="dxa"/>
            <w:vAlign w:val="bottom"/>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ind w:right="92"/>
              <w:spacing w:after="0" w:line="203" w:lineRule="exact"/>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24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Restructuring charges</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and in-process</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research and</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rPr>
              <w:t>development</w:t>
            </w: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12"/>
              <w:spacing w:after="0" w:line="203" w:lineRule="exact"/>
              <w:rPr>
                <w:sz w:val="20"/>
                <w:szCs w:val="20"/>
                <w:color w:val="auto"/>
              </w:rPr>
            </w:pPr>
            <w:r>
              <w:rPr>
                <w:rFonts w:ascii="Arial" w:cs="Arial" w:eastAsia="Arial" w:hAnsi="Arial"/>
                <w:sz w:val="18"/>
                <w:szCs w:val="18"/>
                <w:color w:val="auto"/>
              </w:rPr>
              <w:t>20,780</w:t>
            </w:r>
          </w:p>
        </w:tc>
        <w:tc>
          <w:tcPr>
            <w:tcW w:w="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52"/>
              <w:spacing w:after="0" w:line="203" w:lineRule="exact"/>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gridSpan w:val="2"/>
            <w:shd w:val="clear" w:color="auto" w:fill="CCEEFF"/>
          </w:tcPr>
          <w:p>
            <w:pPr>
              <w:jc w:val="right"/>
              <w:ind w:right="415"/>
              <w:spacing w:after="0" w:line="203" w:lineRule="exact"/>
              <w:rPr>
                <w:sz w:val="20"/>
                <w:szCs w:val="20"/>
                <w:color w:val="auto"/>
              </w:rPr>
            </w:pPr>
            <w:r>
              <w:rPr>
                <w:rFonts w:ascii="Arial" w:cs="Arial" w:eastAsia="Arial" w:hAnsi="Arial"/>
                <w:sz w:val="18"/>
                <w:szCs w:val="18"/>
                <w:color w:val="auto"/>
              </w:rPr>
              <w:t>(20,780)</w:t>
            </w: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31"/>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92"/>
              <w:spacing w:after="0" w:line="203" w:lineRule="exact"/>
              <w:rPr>
                <w:sz w:val="20"/>
                <w:szCs w:val="20"/>
                <w:color w:val="auto"/>
              </w:rPr>
            </w:pPr>
            <w:r>
              <w:rPr>
                <w:rFonts w:ascii="Arial" w:cs="Arial" w:eastAsia="Arial" w:hAnsi="Arial"/>
                <w:sz w:val="18"/>
                <w:szCs w:val="18"/>
                <w:color w:val="auto"/>
              </w:rPr>
              <w:t>—</w:t>
            </w:r>
          </w:p>
        </w:tc>
      </w:tr>
      <w:tr>
        <w:trPr>
          <w:trHeight w:val="210"/>
        </w:trPr>
        <w:tc>
          <w:tcPr>
            <w:tcW w:w="2460" w:type="dxa"/>
            <w:vAlign w:val="bottom"/>
            <w:gridSpan w:val="3"/>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97"/>
              </w:rPr>
              <w:t>2,495,288</w:t>
            </w:r>
          </w:p>
        </w:tc>
        <w:tc>
          <w:tcPr>
            <w:tcW w:w="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392"/>
              <w:spacing w:after="0"/>
              <w:rPr>
                <w:sz w:val="20"/>
                <w:szCs w:val="20"/>
                <w:color w:val="auto"/>
              </w:rPr>
            </w:pPr>
            <w:r>
              <w:rPr>
                <w:rFonts w:ascii="Arial" w:cs="Arial" w:eastAsia="Arial" w:hAnsi="Arial"/>
                <w:sz w:val="18"/>
                <w:szCs w:val="18"/>
                <w:color w:val="auto"/>
              </w:rPr>
              <w:t>(85,153)</w:t>
            </w:r>
          </w:p>
        </w:tc>
        <w:tc>
          <w:tcPr>
            <w:tcW w:w="1660" w:type="dxa"/>
            <w:vAlign w:val="bottom"/>
            <w:tcBorders>
              <w:bottom w:val="single" w:sz="8" w:color="auto"/>
            </w:tcBorders>
            <w:gridSpan w:val="2"/>
          </w:tcPr>
          <w:p>
            <w:pPr>
              <w:jc w:val="right"/>
              <w:ind w:right="415"/>
              <w:spacing w:after="0"/>
              <w:rPr>
                <w:sz w:val="20"/>
                <w:szCs w:val="20"/>
                <w:color w:val="auto"/>
              </w:rPr>
            </w:pPr>
            <w:r>
              <w:rPr>
                <w:rFonts w:ascii="Arial" w:cs="Arial" w:eastAsia="Arial" w:hAnsi="Arial"/>
                <w:sz w:val="18"/>
                <w:szCs w:val="18"/>
                <w:color w:val="auto"/>
              </w:rPr>
              <w:t>(20,780)</w:t>
            </w:r>
          </w:p>
        </w:tc>
        <w:tc>
          <w:tcPr>
            <w:tcW w:w="1640" w:type="dxa"/>
            <w:vAlign w:val="bottom"/>
            <w:tcBorders>
              <w:bottom w:val="single" w:sz="8" w:color="auto"/>
            </w:tcBorders>
            <w:gridSpan w:val="2"/>
          </w:tcPr>
          <w:p>
            <w:pPr>
              <w:jc w:val="right"/>
              <w:ind w:right="371"/>
              <w:spacing w:after="0"/>
              <w:rPr>
                <w:sz w:val="20"/>
                <w:szCs w:val="20"/>
                <w:color w:val="auto"/>
              </w:rPr>
            </w:pPr>
            <w:r>
              <w:rPr>
                <w:rFonts w:ascii="Arial" w:cs="Arial" w:eastAsia="Arial" w:hAnsi="Arial"/>
                <w:sz w:val="18"/>
                <w:szCs w:val="18"/>
                <w:color w:val="auto"/>
              </w:rPr>
              <w:t>(42,911)</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7"/>
              </w:rPr>
              <w:t>2,346,444</w:t>
            </w:r>
          </w:p>
        </w:tc>
      </w:tr>
      <w:tr>
        <w:trPr>
          <w:trHeight w:val="217"/>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367,319</w:t>
            </w:r>
          </w:p>
        </w:tc>
        <w:tc>
          <w:tcPr>
            <w:tcW w:w="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rPr>
              <w:t>85,153</w:t>
            </w:r>
          </w:p>
        </w:tc>
        <w:tc>
          <w:tcPr>
            <w:tcW w:w="5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75"/>
              <w:spacing w:after="0" w:line="202" w:lineRule="exact"/>
              <w:rPr>
                <w:sz w:val="20"/>
                <w:szCs w:val="20"/>
                <w:color w:val="auto"/>
              </w:rPr>
            </w:pPr>
            <w:r>
              <w:rPr>
                <w:rFonts w:ascii="Arial" w:cs="Arial" w:eastAsia="Arial" w:hAnsi="Arial"/>
                <w:sz w:val="18"/>
                <w:szCs w:val="18"/>
                <w:color w:val="auto"/>
                <w:w w:val="98"/>
              </w:rPr>
              <w:t>20,780</w:t>
            </w: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31"/>
              <w:spacing w:after="0" w:line="202" w:lineRule="exact"/>
              <w:rPr>
                <w:sz w:val="20"/>
                <w:szCs w:val="20"/>
                <w:color w:val="auto"/>
              </w:rPr>
            </w:pPr>
            <w:r>
              <w:rPr>
                <w:rFonts w:ascii="Arial" w:cs="Arial" w:eastAsia="Arial" w:hAnsi="Arial"/>
                <w:sz w:val="18"/>
                <w:szCs w:val="18"/>
                <w:color w:val="auto"/>
                <w:w w:val="98"/>
              </w:rPr>
              <w:t>42,911</w:t>
            </w:r>
          </w:p>
        </w:tc>
        <w:tc>
          <w:tcPr>
            <w:tcW w:w="4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516,163</w:t>
            </w:r>
          </w:p>
        </w:tc>
      </w:tr>
      <w:tr>
        <w:trPr>
          <w:trHeight w:val="210"/>
        </w:trPr>
        <w:tc>
          <w:tcPr>
            <w:tcW w:w="242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0"/>
        </w:trPr>
        <w:tc>
          <w:tcPr>
            <w:tcW w:w="2460" w:type="dxa"/>
            <w:vAlign w:val="bottom"/>
            <w:gridSpan w:val="3"/>
          </w:tcPr>
          <w:p>
            <w:pPr>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39,978</w:t>
            </w: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8"/>
              </w:rPr>
              <w:t>36,142</w:t>
            </w:r>
          </w:p>
        </w:tc>
        <w:tc>
          <w:tcPr>
            <w:tcW w:w="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76,120</w:t>
            </w:r>
          </w:p>
        </w:tc>
      </w:tr>
      <w:tr>
        <w:trPr>
          <w:trHeight w:val="217"/>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326,176</w:t>
            </w:r>
          </w:p>
        </w:tc>
        <w:tc>
          <w:tcPr>
            <w:tcW w:w="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gridSpan w:val="2"/>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rPr>
              <w:t>$ 85,153</w:t>
            </w:r>
          </w:p>
        </w:tc>
        <w:tc>
          <w:tcPr>
            <w:tcW w:w="1660" w:type="dxa"/>
            <w:vAlign w:val="bottom"/>
            <w:tcBorders>
              <w:bottom w:val="single" w:sz="8" w:color="auto"/>
            </w:tcBorders>
            <w:gridSpan w:val="2"/>
            <w:shd w:val="clear" w:color="auto" w:fill="CCEEFF"/>
          </w:tcPr>
          <w:p>
            <w:pPr>
              <w:jc w:val="right"/>
              <w:ind w:right="475"/>
              <w:spacing w:after="0" w:line="202" w:lineRule="exact"/>
              <w:rPr>
                <w:sz w:val="20"/>
                <w:szCs w:val="20"/>
                <w:color w:val="auto"/>
              </w:rPr>
            </w:pPr>
            <w:r>
              <w:rPr>
                <w:rFonts w:ascii="Arial" w:cs="Arial" w:eastAsia="Arial" w:hAnsi="Arial"/>
                <w:sz w:val="18"/>
                <w:szCs w:val="18"/>
                <w:color w:val="auto"/>
              </w:rPr>
              <w:t>$ 20,780</w:t>
            </w:r>
          </w:p>
        </w:tc>
        <w:tc>
          <w:tcPr>
            <w:tcW w:w="1640" w:type="dxa"/>
            <w:vAlign w:val="bottom"/>
            <w:tcBorders>
              <w:bottom w:val="single" w:sz="8" w:color="auto"/>
            </w:tcBorders>
            <w:gridSpan w:val="2"/>
            <w:shd w:val="clear" w:color="auto" w:fill="CCEEFF"/>
          </w:tcPr>
          <w:p>
            <w:pPr>
              <w:jc w:val="right"/>
              <w:ind w:right="431"/>
              <w:spacing w:after="0" w:line="202" w:lineRule="exact"/>
              <w:rPr>
                <w:sz w:val="20"/>
                <w:szCs w:val="20"/>
                <w:color w:val="auto"/>
              </w:rPr>
            </w:pPr>
            <w:r>
              <w:rPr>
                <w:rFonts w:ascii="Arial" w:cs="Arial" w:eastAsia="Arial" w:hAnsi="Arial"/>
                <w:sz w:val="18"/>
                <w:szCs w:val="18"/>
                <w:color w:val="auto"/>
              </w:rPr>
              <w:t>$ 42,911</w:t>
            </w:r>
          </w:p>
        </w:tc>
        <w:tc>
          <w:tcPr>
            <w:tcW w:w="1180" w:type="dxa"/>
            <w:vAlign w:val="bottom"/>
            <w:tcBorders>
              <w:bottom w:val="single" w:sz="8" w:color="auto"/>
            </w:tcBorders>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$(36,142)</w:t>
            </w:r>
          </w:p>
        </w:tc>
        <w:tc>
          <w:tcPr>
            <w:tcW w:w="5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438,878</w:t>
            </w:r>
          </w:p>
        </w:tc>
      </w:tr>
      <w:tr>
        <w:trPr>
          <w:trHeight w:val="358"/>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80" w:type="dxa"/>
            <w:vAlign w:val="bottom"/>
            <w:gridSpan w:val="2"/>
          </w:tcPr>
          <w:p>
            <w:pPr>
              <w:jc w:val="center"/>
              <w:ind w:left="55"/>
              <w:spacing w:after="0"/>
              <w:rPr>
                <w:sz w:val="20"/>
                <w:szCs w:val="20"/>
                <w:color w:val="auto"/>
              </w:rPr>
            </w:pPr>
            <w:r>
              <w:rPr>
                <w:rFonts w:ascii="Arial" w:cs="Arial" w:eastAsia="Arial" w:hAnsi="Arial"/>
                <w:sz w:val="14"/>
                <w:szCs w:val="14"/>
                <w:b w:val="1"/>
                <w:bCs w:val="1"/>
                <w:color w:val="auto"/>
              </w:rPr>
              <w:t>Twelve months ended</w:t>
            </w: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jc w:val="center"/>
              <w:ind w:left="55"/>
              <w:spacing w:after="0"/>
              <w:rPr>
                <w:sz w:val="20"/>
                <w:szCs w:val="20"/>
                <w:color w:val="auto"/>
              </w:rPr>
            </w:pPr>
            <w:r>
              <w:rPr>
                <w:rFonts w:ascii="Arial" w:cs="Arial" w:eastAsia="Arial" w:hAnsi="Arial"/>
                <w:sz w:val="14"/>
                <w:szCs w:val="14"/>
                <w:b w:val="1"/>
                <w:bCs w:val="1"/>
                <w:color w:val="auto"/>
              </w:rPr>
              <w:t>September 30, 2008</w:t>
            </w:r>
          </w:p>
        </w:tc>
        <w:tc>
          <w:tcPr>
            <w:tcW w:w="10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center"/>
              <w:ind w:left="75"/>
              <w:spacing w:after="0" w:line="155" w:lineRule="exact"/>
              <w:rPr>
                <w:sz w:val="20"/>
                <w:szCs w:val="20"/>
                <w:color w:val="auto"/>
              </w:rPr>
            </w:pPr>
            <w:r>
              <w:rPr>
                <w:rFonts w:ascii="Arial" w:cs="Arial" w:eastAsia="Arial" w:hAnsi="Arial"/>
                <w:sz w:val="14"/>
                <w:szCs w:val="14"/>
                <w:b w:val="1"/>
                <w:bCs w:val="1"/>
                <w:color w:val="auto"/>
              </w:rPr>
              <w:t>Reconciliation items</w:t>
            </w:r>
          </w:p>
        </w:tc>
        <w:tc>
          <w:tcPr>
            <w:tcW w:w="10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60" w:type="dxa"/>
            <w:vAlign w:val="bottom"/>
            <w:gridSpan w:val="2"/>
          </w:tcPr>
          <w:p>
            <w:pPr>
              <w:ind w:left="380"/>
              <w:spacing w:after="0" w:line="143" w:lineRule="exact"/>
              <w:rPr>
                <w:sz w:val="20"/>
                <w:szCs w:val="20"/>
                <w:color w:val="auto"/>
              </w:rPr>
            </w:pPr>
            <w:r>
              <w:rPr>
                <w:rFonts w:ascii="Arial" w:cs="Arial" w:eastAsia="Arial" w:hAnsi="Arial"/>
                <w:sz w:val="14"/>
                <w:szCs w:val="14"/>
                <w:b w:val="1"/>
                <w:bCs w:val="1"/>
                <w:color w:val="auto"/>
              </w:rPr>
              <w:t>Restructuring</w:t>
            </w:r>
          </w:p>
        </w:tc>
        <w:tc>
          <w:tcPr>
            <w:tcW w:w="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gridSpan w:val="2"/>
          </w:tcPr>
          <w:p>
            <w:pPr>
              <w:jc w:val="center"/>
              <w:ind w:right="72"/>
              <w:spacing w:after="0"/>
              <w:rPr>
                <w:sz w:val="20"/>
                <w:szCs w:val="20"/>
                <w:color w:val="auto"/>
              </w:rPr>
            </w:pPr>
            <w:r>
              <w:rPr>
                <w:rFonts w:ascii="Arial" w:cs="Arial" w:eastAsia="Arial" w:hAnsi="Arial"/>
                <w:sz w:val="14"/>
                <w:szCs w:val="14"/>
                <w:b w:val="1"/>
                <w:bCs w:val="1"/>
                <w:color w:val="auto"/>
              </w:rPr>
              <w:t>Amortization of</w:t>
            </w:r>
          </w:p>
        </w:tc>
        <w:tc>
          <w:tcPr>
            <w:tcW w:w="1660" w:type="dxa"/>
            <w:vAlign w:val="bottom"/>
            <w:gridSpan w:val="2"/>
          </w:tcPr>
          <w:p>
            <w:pPr>
              <w:ind w:left="440"/>
              <w:spacing w:after="0"/>
              <w:rPr>
                <w:sz w:val="20"/>
                <w:szCs w:val="20"/>
                <w:color w:val="auto"/>
              </w:rPr>
            </w:pPr>
            <w:r>
              <w:rPr>
                <w:rFonts w:ascii="Arial" w:cs="Arial" w:eastAsia="Arial" w:hAnsi="Arial"/>
                <w:sz w:val="14"/>
                <w:szCs w:val="14"/>
                <w:b w:val="1"/>
                <w:bCs w:val="1"/>
                <w:color w:val="auto"/>
              </w:rPr>
              <w:t>charges and</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gridSpan w:val="2"/>
          </w:tcPr>
          <w:p>
            <w:pPr>
              <w:jc w:val="center"/>
              <w:ind w:right="72"/>
              <w:spacing w:after="0"/>
              <w:rPr>
                <w:sz w:val="20"/>
                <w:szCs w:val="20"/>
                <w:color w:val="auto"/>
              </w:rPr>
            </w:pPr>
            <w:r>
              <w:rPr>
                <w:rFonts w:ascii="Arial" w:cs="Arial" w:eastAsia="Arial" w:hAnsi="Arial"/>
                <w:sz w:val="14"/>
                <w:szCs w:val="14"/>
                <w:b w:val="1"/>
                <w:bCs w:val="1"/>
                <w:color w:val="auto"/>
              </w:rPr>
              <w:t>purchased</w:t>
            </w:r>
          </w:p>
        </w:tc>
        <w:tc>
          <w:tcPr>
            <w:tcW w:w="1660" w:type="dxa"/>
            <w:vAlign w:val="bottom"/>
            <w:gridSpan w:val="2"/>
          </w:tcPr>
          <w:p>
            <w:pPr>
              <w:jc w:val="right"/>
              <w:ind w:right="355"/>
              <w:spacing w:after="0"/>
              <w:rPr>
                <w:sz w:val="20"/>
                <w:szCs w:val="20"/>
                <w:color w:val="auto"/>
              </w:rPr>
            </w:pPr>
            <w:r>
              <w:rPr>
                <w:rFonts w:ascii="Arial" w:cs="Arial" w:eastAsia="Arial" w:hAnsi="Arial"/>
                <w:sz w:val="14"/>
                <w:szCs w:val="14"/>
                <w:b w:val="1"/>
                <w:bCs w:val="1"/>
                <w:color w:val="auto"/>
              </w:rPr>
              <w:t>in-process</w:t>
            </w:r>
          </w:p>
        </w:tc>
        <w:tc>
          <w:tcPr>
            <w:tcW w:w="1640" w:type="dxa"/>
            <w:vAlign w:val="bottom"/>
            <w:gridSpan w:val="2"/>
          </w:tcPr>
          <w:p>
            <w:pPr>
              <w:jc w:val="center"/>
              <w:ind w:left="17"/>
              <w:spacing w:after="0"/>
              <w:rPr>
                <w:sz w:val="20"/>
                <w:szCs w:val="20"/>
                <w:color w:val="auto"/>
              </w:rPr>
            </w:pPr>
            <w:r>
              <w:rPr>
                <w:rFonts w:ascii="Arial" w:cs="Arial" w:eastAsia="Arial" w:hAnsi="Arial"/>
                <w:sz w:val="14"/>
                <w:szCs w:val="14"/>
                <w:b w:val="1"/>
                <w:bCs w:val="1"/>
                <w:color w:val="auto"/>
              </w:rPr>
              <w:t>Equity based</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gridSpan w:val="2"/>
          </w:tcPr>
          <w:p>
            <w:pPr>
              <w:jc w:val="center"/>
              <w:ind w:right="52"/>
              <w:spacing w:after="0"/>
              <w:rPr>
                <w:sz w:val="20"/>
                <w:szCs w:val="20"/>
                <w:color w:val="auto"/>
              </w:rPr>
            </w:pPr>
            <w:r>
              <w:rPr>
                <w:rFonts w:ascii="Arial" w:cs="Arial" w:eastAsia="Arial" w:hAnsi="Arial"/>
                <w:sz w:val="14"/>
                <w:szCs w:val="14"/>
                <w:b w:val="1"/>
                <w:bCs w:val="1"/>
                <w:color w:val="auto"/>
              </w:rPr>
              <w:t>intangible</w:t>
            </w:r>
          </w:p>
        </w:tc>
        <w:tc>
          <w:tcPr>
            <w:tcW w:w="1660" w:type="dxa"/>
            <w:vAlign w:val="bottom"/>
            <w:gridSpan w:val="2"/>
          </w:tcPr>
          <w:p>
            <w:pPr>
              <w:ind w:left="400"/>
              <w:spacing w:after="0"/>
              <w:rPr>
                <w:sz w:val="20"/>
                <w:szCs w:val="20"/>
                <w:color w:val="auto"/>
              </w:rPr>
            </w:pPr>
            <w:r>
              <w:rPr>
                <w:rFonts w:ascii="Arial" w:cs="Arial" w:eastAsia="Arial" w:hAnsi="Arial"/>
                <w:sz w:val="14"/>
                <w:szCs w:val="14"/>
                <w:b w:val="1"/>
                <w:bCs w:val="1"/>
                <w:color w:val="auto"/>
              </w:rPr>
              <w:t>research and</w:t>
            </w:r>
          </w:p>
        </w:tc>
        <w:tc>
          <w:tcPr>
            <w:tcW w:w="1640" w:type="dxa"/>
            <w:vAlign w:val="bottom"/>
            <w:gridSpan w:val="2"/>
          </w:tcPr>
          <w:p>
            <w:pPr>
              <w:jc w:val="center"/>
              <w:ind w:left="17"/>
              <w:spacing w:after="0"/>
              <w:rPr>
                <w:sz w:val="20"/>
                <w:szCs w:val="20"/>
                <w:color w:val="auto"/>
              </w:rPr>
            </w:pPr>
            <w:r>
              <w:rPr>
                <w:rFonts w:ascii="Arial" w:cs="Arial" w:eastAsia="Arial" w:hAnsi="Arial"/>
                <w:sz w:val="14"/>
                <w:szCs w:val="14"/>
                <w:b w:val="1"/>
                <w:bCs w:val="1"/>
                <w:color w:val="auto"/>
              </w:rPr>
              <w:t>compensation</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GAAP</w:t>
            </w: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452"/>
              <w:spacing w:after="0"/>
              <w:rPr>
                <w:sz w:val="20"/>
                <w:szCs w:val="20"/>
                <w:color w:val="auto"/>
              </w:rPr>
            </w:pPr>
            <w:r>
              <w:rPr>
                <w:rFonts w:ascii="Arial" w:cs="Arial" w:eastAsia="Arial" w:hAnsi="Arial"/>
                <w:sz w:val="14"/>
                <w:szCs w:val="14"/>
                <w:b w:val="1"/>
                <w:bCs w:val="1"/>
                <w:color w:val="auto"/>
              </w:rPr>
              <w:t>assets</w:t>
            </w:r>
          </w:p>
        </w:tc>
        <w:tc>
          <w:tcPr>
            <w:tcW w:w="166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development</w:t>
            </w:r>
          </w:p>
        </w:tc>
        <w:tc>
          <w:tcPr>
            <w:tcW w:w="5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371"/>
              <w:spacing w:after="0"/>
              <w:rPr>
                <w:sz w:val="20"/>
                <w:szCs w:val="20"/>
                <w:color w:val="auto"/>
              </w:rPr>
            </w:pPr>
            <w:r>
              <w:rPr>
                <w:rFonts w:ascii="Arial" w:cs="Arial" w:eastAsia="Arial" w:hAnsi="Arial"/>
                <w:sz w:val="14"/>
                <w:szCs w:val="14"/>
                <w:b w:val="1"/>
                <w:bCs w:val="1"/>
                <w:color w:val="auto"/>
              </w:rPr>
              <w:t>expense</w:t>
            </w:r>
          </w:p>
        </w:tc>
        <w:tc>
          <w:tcPr>
            <w:tcW w:w="11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Tax effect</w:t>
            </w:r>
          </w:p>
        </w:tc>
        <w:tc>
          <w:tcPr>
            <w:tcW w:w="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Non-GAAP</w:t>
            </w:r>
          </w:p>
        </w:tc>
      </w:tr>
      <w:tr>
        <w:trPr>
          <w:trHeight w:val="203"/>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Cost of license</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2,729</w:t>
            </w:r>
          </w:p>
        </w:tc>
        <w:tc>
          <w:tcPr>
            <w:tcW w:w="60" w:type="dxa"/>
            <w:vAlign w:val="bottom"/>
          </w:tcPr>
          <w:p>
            <w:pPr>
              <w:spacing w:after="0"/>
              <w:rPr>
                <w:sz w:val="17"/>
                <w:szCs w:val="17"/>
                <w:color w:val="auto"/>
              </w:rPr>
            </w:pP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452"/>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ind w:left="44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ind w:right="415"/>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71"/>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2,729</w:t>
            </w:r>
          </w:p>
        </w:tc>
      </w:tr>
      <w:tr>
        <w:trPr>
          <w:trHeight w:val="203"/>
        </w:trPr>
        <w:tc>
          <w:tcPr>
            <w:tcW w:w="20" w:type="dxa"/>
            <w:vAlign w:val="bottom"/>
          </w:tcPr>
          <w:p>
            <w:pPr>
              <w:spacing w:after="0"/>
              <w:rPr>
                <w:sz w:val="17"/>
                <w:szCs w:val="17"/>
                <w:color w:val="auto"/>
              </w:rPr>
            </w:pPr>
          </w:p>
        </w:tc>
        <w:tc>
          <w:tcPr>
            <w:tcW w:w="24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service</w:t>
            </w:r>
          </w:p>
        </w:tc>
        <w:tc>
          <w:tcPr>
            <w:tcW w:w="1400" w:type="dxa"/>
            <w:vAlign w:val="bottom"/>
            <w:gridSpan w:val="2"/>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2,023,562</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15"/>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11"/>
              <w:spacing w:after="0" w:line="202" w:lineRule="exact"/>
              <w:rPr>
                <w:sz w:val="20"/>
                <w:szCs w:val="20"/>
                <w:color w:val="auto"/>
              </w:rPr>
            </w:pPr>
            <w:r>
              <w:rPr>
                <w:rFonts w:ascii="Arial" w:cs="Arial" w:eastAsia="Arial" w:hAnsi="Arial"/>
                <w:sz w:val="18"/>
                <w:szCs w:val="18"/>
                <w:color w:val="auto"/>
                <w:w w:val="98"/>
              </w:rPr>
              <w:t>(23,547)</w:t>
            </w: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7"/>
              </w:rPr>
              <w:t>2,000,015</w:t>
            </w:r>
          </w:p>
        </w:tc>
      </w:tr>
      <w:tr>
        <w:trPr>
          <w:trHeight w:val="202"/>
        </w:trPr>
        <w:tc>
          <w:tcPr>
            <w:tcW w:w="20" w:type="dxa"/>
            <w:vAlign w:val="bottom"/>
          </w:tcPr>
          <w:p>
            <w:pPr>
              <w:spacing w:after="0"/>
              <w:rPr>
                <w:sz w:val="17"/>
                <w:szCs w:val="17"/>
                <w:color w:val="auto"/>
              </w:rPr>
            </w:pPr>
          </w:p>
        </w:tc>
        <w:tc>
          <w:tcPr>
            <w:tcW w:w="244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Research and</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tcPr>
          <w:p>
            <w:pPr>
              <w:ind w:left="400"/>
              <w:spacing w:after="0" w:line="203" w:lineRule="exact"/>
              <w:rPr>
                <w:sz w:val="20"/>
                <w:szCs w:val="20"/>
                <w:color w:val="auto"/>
              </w:rPr>
            </w:pPr>
            <w:r>
              <w:rPr>
                <w:rFonts w:ascii="Arial" w:cs="Arial" w:eastAsia="Arial" w:hAnsi="Arial"/>
                <w:sz w:val="18"/>
                <w:szCs w:val="18"/>
                <w:color w:val="auto"/>
              </w:rPr>
              <w:t>development</w:t>
            </w:r>
          </w:p>
        </w:tc>
        <w:tc>
          <w:tcPr>
            <w:tcW w:w="200" w:type="dxa"/>
            <w:vAlign w:val="bottom"/>
          </w:tcPr>
          <w:p>
            <w:pPr>
              <w:spacing w:after="0"/>
              <w:rPr>
                <w:sz w:val="17"/>
                <w:szCs w:val="17"/>
                <w:color w:val="auto"/>
              </w:rPr>
            </w:pPr>
          </w:p>
        </w:tc>
        <w:tc>
          <w:tcPr>
            <w:tcW w:w="1200" w:type="dxa"/>
            <w:vAlign w:val="bottom"/>
          </w:tcPr>
          <w:p>
            <w:pPr>
              <w:jc w:val="right"/>
              <w:ind w:right="352"/>
              <w:spacing w:after="0" w:line="203" w:lineRule="exact"/>
              <w:rPr>
                <w:sz w:val="20"/>
                <w:szCs w:val="20"/>
                <w:color w:val="auto"/>
              </w:rPr>
            </w:pPr>
            <w:r>
              <w:rPr>
                <w:rFonts w:ascii="Arial" w:cs="Arial" w:eastAsia="Arial" w:hAnsi="Arial"/>
                <w:sz w:val="18"/>
                <w:szCs w:val="18"/>
                <w:color w:val="auto"/>
              </w:rPr>
              <w:t>225,492</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120" w:type="dxa"/>
            <w:vAlign w:val="bottom"/>
          </w:tcPr>
          <w:p>
            <w:pPr>
              <w:jc w:val="right"/>
              <w:ind w:right="415"/>
              <w:spacing w:after="0" w:line="203"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080" w:type="dxa"/>
            <w:vAlign w:val="bottom"/>
          </w:tcPr>
          <w:p>
            <w:pPr>
              <w:jc w:val="right"/>
              <w:ind w:right="311"/>
              <w:spacing w:after="0" w:line="203" w:lineRule="exact"/>
              <w:rPr>
                <w:sz w:val="20"/>
                <w:szCs w:val="20"/>
                <w:color w:val="auto"/>
              </w:rPr>
            </w:pPr>
            <w:r>
              <w:rPr>
                <w:rFonts w:ascii="Arial" w:cs="Arial" w:eastAsia="Arial" w:hAnsi="Arial"/>
                <w:sz w:val="18"/>
                <w:szCs w:val="18"/>
                <w:color w:val="auto"/>
              </w:rPr>
              <w:t>(4,714)</w:t>
            </w:r>
          </w:p>
        </w:tc>
        <w:tc>
          <w:tcPr>
            <w:tcW w:w="440" w:type="dxa"/>
            <w:vAlign w:val="bottom"/>
          </w:tcPr>
          <w:p>
            <w:pPr>
              <w:spacing w:after="0"/>
              <w:rPr>
                <w:sz w:val="17"/>
                <w:szCs w:val="17"/>
                <w:color w:val="auto"/>
              </w:rPr>
            </w:pPr>
          </w:p>
        </w:tc>
        <w:tc>
          <w:tcPr>
            <w:tcW w:w="740" w:type="dxa"/>
            <w:vAlign w:val="bottom"/>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ind w:right="92"/>
              <w:spacing w:after="0" w:line="203" w:lineRule="exact"/>
              <w:rPr>
                <w:sz w:val="20"/>
                <w:szCs w:val="20"/>
                <w:color w:val="auto"/>
              </w:rPr>
            </w:pPr>
            <w:r>
              <w:rPr>
                <w:rFonts w:ascii="Arial" w:cs="Arial" w:eastAsia="Arial" w:hAnsi="Arial"/>
                <w:sz w:val="18"/>
                <w:szCs w:val="18"/>
                <w:color w:val="auto"/>
              </w:rPr>
              <w:t>220,778</w:t>
            </w:r>
          </w:p>
        </w:tc>
      </w:tr>
      <w:tr>
        <w:trPr>
          <w:trHeight w:val="202"/>
        </w:trPr>
        <w:tc>
          <w:tcPr>
            <w:tcW w:w="20" w:type="dxa"/>
            <w:vAlign w:val="bottom"/>
          </w:tcPr>
          <w:p>
            <w:pPr>
              <w:spacing w:after="0"/>
              <w:rPr>
                <w:sz w:val="17"/>
                <w:szCs w:val="17"/>
                <w:color w:val="auto"/>
              </w:rPr>
            </w:pPr>
          </w:p>
        </w:tc>
        <w:tc>
          <w:tcPr>
            <w:tcW w:w="24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rPr>
              <w:t>administrative</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52"/>
              <w:spacing w:after="0" w:line="203" w:lineRule="exact"/>
              <w:rPr>
                <w:sz w:val="20"/>
                <w:szCs w:val="20"/>
                <w:color w:val="auto"/>
              </w:rPr>
            </w:pPr>
            <w:r>
              <w:rPr>
                <w:rFonts w:ascii="Arial" w:cs="Arial" w:eastAsia="Arial" w:hAnsi="Arial"/>
                <w:sz w:val="18"/>
                <w:szCs w:val="18"/>
                <w:color w:val="auto"/>
              </w:rPr>
              <w:t>404,134</w:t>
            </w: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452"/>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15"/>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11"/>
              <w:spacing w:after="0" w:line="203" w:lineRule="exact"/>
              <w:rPr>
                <w:sz w:val="20"/>
                <w:szCs w:val="20"/>
                <w:color w:val="auto"/>
              </w:rPr>
            </w:pPr>
            <w:r>
              <w:rPr>
                <w:rFonts w:ascii="Arial" w:cs="Arial" w:eastAsia="Arial" w:hAnsi="Arial"/>
                <w:sz w:val="18"/>
                <w:szCs w:val="18"/>
                <w:color w:val="auto"/>
                <w:w w:val="98"/>
              </w:rPr>
              <w:t>(29,229)</w:t>
            </w: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2"/>
              <w:spacing w:after="0" w:line="203" w:lineRule="exact"/>
              <w:rPr>
                <w:sz w:val="20"/>
                <w:szCs w:val="20"/>
                <w:color w:val="auto"/>
              </w:rPr>
            </w:pPr>
            <w:r>
              <w:rPr>
                <w:rFonts w:ascii="Arial" w:cs="Arial" w:eastAsia="Arial" w:hAnsi="Arial"/>
                <w:sz w:val="18"/>
                <w:szCs w:val="18"/>
                <w:color w:val="auto"/>
              </w:rPr>
              <w:t>374,905</w:t>
            </w:r>
          </w:p>
        </w:tc>
      </w:tr>
      <w:tr>
        <w:trPr>
          <w:trHeight w:val="202"/>
        </w:trPr>
        <w:tc>
          <w:tcPr>
            <w:tcW w:w="20" w:type="dxa"/>
            <w:vAlign w:val="bottom"/>
          </w:tcPr>
          <w:p>
            <w:pPr>
              <w:spacing w:after="0"/>
              <w:rPr>
                <w:sz w:val="17"/>
                <w:szCs w:val="17"/>
                <w:color w:val="auto"/>
              </w:rPr>
            </w:pPr>
          </w:p>
        </w:tc>
        <w:tc>
          <w:tcPr>
            <w:tcW w:w="244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Amortization of</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purchased intangible</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tcPr>
          <w:p>
            <w:pPr>
              <w:ind w:left="400"/>
              <w:spacing w:after="0" w:line="203" w:lineRule="exact"/>
              <w:rPr>
                <w:sz w:val="20"/>
                <w:szCs w:val="20"/>
                <w:color w:val="auto"/>
              </w:rPr>
            </w:pPr>
            <w:r>
              <w:rPr>
                <w:rFonts w:ascii="Arial" w:cs="Arial" w:eastAsia="Arial" w:hAnsi="Arial"/>
                <w:sz w:val="18"/>
                <w:szCs w:val="18"/>
                <w:color w:val="auto"/>
              </w:rPr>
              <w:t>assets</w:t>
            </w:r>
          </w:p>
        </w:tc>
        <w:tc>
          <w:tcPr>
            <w:tcW w:w="200" w:type="dxa"/>
            <w:vAlign w:val="bottom"/>
          </w:tcPr>
          <w:p>
            <w:pPr>
              <w:spacing w:after="0"/>
              <w:rPr>
                <w:sz w:val="17"/>
                <w:szCs w:val="17"/>
                <w:color w:val="auto"/>
              </w:rPr>
            </w:pPr>
          </w:p>
        </w:tc>
        <w:tc>
          <w:tcPr>
            <w:tcW w:w="1200" w:type="dxa"/>
            <w:vAlign w:val="bottom"/>
          </w:tcPr>
          <w:p>
            <w:pPr>
              <w:jc w:val="right"/>
              <w:ind w:right="352"/>
              <w:spacing w:after="0" w:line="203" w:lineRule="exact"/>
              <w:rPr>
                <w:sz w:val="20"/>
                <w:szCs w:val="20"/>
                <w:color w:val="auto"/>
              </w:rPr>
            </w:pPr>
            <w:r>
              <w:rPr>
                <w:rFonts w:ascii="Arial" w:cs="Arial" w:eastAsia="Arial" w:hAnsi="Arial"/>
                <w:sz w:val="18"/>
                <w:szCs w:val="18"/>
                <w:color w:val="auto"/>
              </w:rPr>
              <w:t>86,687</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392"/>
              <w:spacing w:after="0" w:line="203" w:lineRule="exact"/>
              <w:rPr>
                <w:sz w:val="20"/>
                <w:szCs w:val="20"/>
                <w:color w:val="auto"/>
              </w:rPr>
            </w:pPr>
            <w:r>
              <w:rPr>
                <w:rFonts w:ascii="Arial" w:cs="Arial" w:eastAsia="Arial" w:hAnsi="Arial"/>
                <w:sz w:val="18"/>
                <w:szCs w:val="18"/>
                <w:color w:val="auto"/>
                <w:w w:val="98"/>
              </w:rPr>
              <w:t>(86,687)</w:t>
            </w:r>
          </w:p>
        </w:tc>
        <w:tc>
          <w:tcPr>
            <w:tcW w:w="540" w:type="dxa"/>
            <w:vAlign w:val="bottom"/>
          </w:tcPr>
          <w:p>
            <w:pPr>
              <w:spacing w:after="0"/>
              <w:rPr>
                <w:sz w:val="17"/>
                <w:szCs w:val="17"/>
                <w:color w:val="auto"/>
              </w:rPr>
            </w:pPr>
          </w:p>
        </w:tc>
        <w:tc>
          <w:tcPr>
            <w:tcW w:w="1120" w:type="dxa"/>
            <w:vAlign w:val="bottom"/>
          </w:tcPr>
          <w:p>
            <w:pPr>
              <w:jc w:val="right"/>
              <w:ind w:right="415"/>
              <w:spacing w:after="0" w:line="203"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080" w:type="dxa"/>
            <w:vAlign w:val="bottom"/>
          </w:tcPr>
          <w:p>
            <w:pPr>
              <w:jc w:val="right"/>
              <w:ind w:right="371"/>
              <w:spacing w:after="0" w:line="203"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740" w:type="dxa"/>
            <w:vAlign w:val="bottom"/>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ind w:right="92"/>
              <w:spacing w:after="0" w:line="203" w:lineRule="exact"/>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24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Restructuring charges</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and in-process</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research and</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development</w:t>
            </w: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52"/>
              <w:spacing w:after="0" w:line="203" w:lineRule="exact"/>
              <w:rPr>
                <w:sz w:val="20"/>
                <w:szCs w:val="20"/>
                <w:color w:val="auto"/>
              </w:rPr>
            </w:pPr>
            <w:r>
              <w:rPr>
                <w:rFonts w:ascii="Arial" w:cs="Arial" w:eastAsia="Arial" w:hAnsi="Arial"/>
                <w:sz w:val="18"/>
                <w:szCs w:val="18"/>
                <w:color w:val="auto"/>
              </w:rPr>
              <w:t>13,896</w:t>
            </w:r>
          </w:p>
        </w:tc>
        <w:tc>
          <w:tcPr>
            <w:tcW w:w="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52"/>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55"/>
              <w:spacing w:after="0" w:line="203" w:lineRule="exact"/>
              <w:rPr>
                <w:sz w:val="20"/>
                <w:szCs w:val="20"/>
                <w:color w:val="auto"/>
              </w:rPr>
            </w:pPr>
            <w:r>
              <w:rPr>
                <w:rFonts w:ascii="Arial" w:cs="Arial" w:eastAsia="Arial" w:hAnsi="Arial"/>
                <w:sz w:val="18"/>
                <w:szCs w:val="18"/>
                <w:color w:val="auto"/>
                <w:w w:val="98"/>
              </w:rPr>
              <w:t>(13,896)</w:t>
            </w: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71"/>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92"/>
              <w:spacing w:after="0" w:line="203" w:lineRule="exact"/>
              <w:rPr>
                <w:sz w:val="20"/>
                <w:szCs w:val="20"/>
                <w:color w:val="auto"/>
              </w:rPr>
            </w:pPr>
            <w:r>
              <w:rPr>
                <w:rFonts w:ascii="Arial" w:cs="Arial" w:eastAsia="Arial" w:hAnsi="Arial"/>
                <w:sz w:val="18"/>
                <w:szCs w:val="18"/>
                <w:color w:val="auto"/>
              </w:rPr>
              <w:t>—</w:t>
            </w:r>
          </w:p>
        </w:tc>
      </w:tr>
      <w:tr>
        <w:trPr>
          <w:trHeight w:val="210"/>
        </w:trPr>
        <w:tc>
          <w:tcPr>
            <w:tcW w:w="2460" w:type="dxa"/>
            <w:vAlign w:val="bottom"/>
            <w:gridSpan w:val="3"/>
          </w:tcPr>
          <w:p>
            <w:pPr>
              <w:spacing w:after="0"/>
              <w:rPr>
                <w:sz w:val="20"/>
                <w:szCs w:val="20"/>
                <w:color w:val="auto"/>
              </w:rPr>
            </w:pPr>
            <w:r>
              <w:rPr>
                <w:rFonts w:ascii="Arial" w:cs="Arial" w:eastAsia="Arial" w:hAnsi="Arial"/>
                <w:sz w:val="18"/>
                <w:szCs w:val="18"/>
                <w:color w:val="auto"/>
              </w:rPr>
              <w:t>Total operating expenses</w:t>
            </w:r>
          </w:p>
        </w:tc>
        <w:tc>
          <w:tcPr>
            <w:tcW w:w="1400" w:type="dxa"/>
            <w:vAlign w:val="bottom"/>
            <w:gridSpan w:val="2"/>
          </w:tcPr>
          <w:p>
            <w:pPr>
              <w:jc w:val="right"/>
              <w:ind w:right="352"/>
              <w:spacing w:after="0"/>
              <w:rPr>
                <w:sz w:val="20"/>
                <w:szCs w:val="20"/>
                <w:color w:val="auto"/>
              </w:rPr>
            </w:pPr>
            <w:r>
              <w:rPr>
                <w:rFonts w:ascii="Arial" w:cs="Arial" w:eastAsia="Arial" w:hAnsi="Arial"/>
                <w:sz w:val="18"/>
                <w:szCs w:val="18"/>
                <w:color w:val="auto"/>
              </w:rPr>
              <w:t>2,756,500</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392"/>
              <w:spacing w:after="0"/>
              <w:rPr>
                <w:sz w:val="20"/>
                <w:szCs w:val="20"/>
                <w:color w:val="auto"/>
              </w:rPr>
            </w:pPr>
            <w:r>
              <w:rPr>
                <w:rFonts w:ascii="Arial" w:cs="Arial" w:eastAsia="Arial" w:hAnsi="Arial"/>
                <w:sz w:val="18"/>
                <w:szCs w:val="18"/>
                <w:color w:val="auto"/>
                <w:w w:val="98"/>
              </w:rPr>
              <w:t>(86,687)</w:t>
            </w:r>
          </w:p>
        </w:tc>
        <w:tc>
          <w:tcPr>
            <w:tcW w:w="540" w:type="dxa"/>
            <w:vAlign w:val="bottom"/>
          </w:tcPr>
          <w:p>
            <w:pPr>
              <w:spacing w:after="0"/>
              <w:rPr>
                <w:sz w:val="18"/>
                <w:szCs w:val="18"/>
                <w:color w:val="auto"/>
              </w:rPr>
            </w:pPr>
          </w:p>
        </w:tc>
        <w:tc>
          <w:tcPr>
            <w:tcW w:w="1120" w:type="dxa"/>
            <w:vAlign w:val="bottom"/>
          </w:tcPr>
          <w:p>
            <w:pPr>
              <w:jc w:val="right"/>
              <w:ind w:right="355"/>
              <w:spacing w:after="0"/>
              <w:rPr>
                <w:sz w:val="20"/>
                <w:szCs w:val="20"/>
                <w:color w:val="auto"/>
              </w:rPr>
            </w:pPr>
            <w:r>
              <w:rPr>
                <w:rFonts w:ascii="Arial" w:cs="Arial" w:eastAsia="Arial" w:hAnsi="Arial"/>
                <w:sz w:val="18"/>
                <w:szCs w:val="18"/>
                <w:color w:val="auto"/>
                <w:w w:val="98"/>
              </w:rPr>
              <w:t>(13,896)</w:t>
            </w:r>
          </w:p>
        </w:tc>
        <w:tc>
          <w:tcPr>
            <w:tcW w:w="560" w:type="dxa"/>
            <w:vAlign w:val="bottom"/>
          </w:tcPr>
          <w:p>
            <w:pPr>
              <w:spacing w:after="0"/>
              <w:rPr>
                <w:sz w:val="18"/>
                <w:szCs w:val="18"/>
                <w:color w:val="auto"/>
              </w:rPr>
            </w:pPr>
          </w:p>
        </w:tc>
        <w:tc>
          <w:tcPr>
            <w:tcW w:w="1080" w:type="dxa"/>
            <w:vAlign w:val="bottom"/>
          </w:tcPr>
          <w:p>
            <w:pPr>
              <w:jc w:val="right"/>
              <w:ind w:right="311"/>
              <w:spacing w:after="0"/>
              <w:rPr>
                <w:sz w:val="20"/>
                <w:szCs w:val="20"/>
                <w:color w:val="auto"/>
              </w:rPr>
            </w:pPr>
            <w:r>
              <w:rPr>
                <w:rFonts w:ascii="Arial" w:cs="Arial" w:eastAsia="Arial" w:hAnsi="Arial"/>
                <w:sz w:val="18"/>
                <w:szCs w:val="18"/>
                <w:color w:val="auto"/>
                <w:w w:val="98"/>
              </w:rPr>
              <w:t>(57,490)</w:t>
            </w:r>
          </w:p>
        </w:tc>
        <w:tc>
          <w:tcPr>
            <w:tcW w:w="4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w w:val="97"/>
              </w:rPr>
              <w:t>2,598,427</w:t>
            </w:r>
          </w:p>
        </w:tc>
      </w:tr>
      <w:tr>
        <w:trPr>
          <w:trHeight w:val="217"/>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405,596</w:t>
            </w:r>
          </w:p>
        </w:tc>
        <w:tc>
          <w:tcPr>
            <w:tcW w:w="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rPr>
              <w:t>86,687</w:t>
            </w:r>
          </w:p>
        </w:tc>
        <w:tc>
          <w:tcPr>
            <w:tcW w:w="5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15"/>
              <w:spacing w:after="0" w:line="202" w:lineRule="exact"/>
              <w:rPr>
                <w:sz w:val="20"/>
                <w:szCs w:val="20"/>
                <w:color w:val="auto"/>
              </w:rPr>
            </w:pPr>
            <w:r>
              <w:rPr>
                <w:rFonts w:ascii="Arial" w:cs="Arial" w:eastAsia="Arial" w:hAnsi="Arial"/>
                <w:sz w:val="18"/>
                <w:szCs w:val="18"/>
                <w:color w:val="auto"/>
              </w:rPr>
              <w:t>13,896</w:t>
            </w:r>
          </w:p>
        </w:tc>
        <w:tc>
          <w:tcPr>
            <w:tcW w:w="5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71"/>
              <w:spacing w:after="0" w:line="202" w:lineRule="exact"/>
              <w:rPr>
                <w:sz w:val="20"/>
                <w:szCs w:val="20"/>
                <w:color w:val="auto"/>
              </w:rPr>
            </w:pPr>
            <w:r>
              <w:rPr>
                <w:rFonts w:ascii="Arial" w:cs="Arial" w:eastAsia="Arial" w:hAnsi="Arial"/>
                <w:sz w:val="18"/>
                <w:szCs w:val="18"/>
                <w:color w:val="auto"/>
              </w:rPr>
              <w:t>57,490</w:t>
            </w:r>
          </w:p>
        </w:tc>
        <w:tc>
          <w:tcPr>
            <w:tcW w:w="4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563,669</w:t>
            </w:r>
          </w:p>
        </w:tc>
      </w:tr>
      <w:tr>
        <w:trPr>
          <w:trHeight w:val="210"/>
        </w:trPr>
        <w:tc>
          <w:tcPr>
            <w:tcW w:w="2420" w:type="dxa"/>
            <w:vAlign w:val="bottom"/>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0"/>
        </w:trPr>
        <w:tc>
          <w:tcPr>
            <w:tcW w:w="2460" w:type="dxa"/>
            <w:vAlign w:val="bottom"/>
            <w:gridSpan w:val="3"/>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8"/>
                <w:szCs w:val="18"/>
                <w:color w:val="auto"/>
              </w:rPr>
            </w:pPr>
          </w:p>
        </w:tc>
        <w:tc>
          <w:tcPr>
            <w:tcW w:w="1200" w:type="dxa"/>
            <w:vAlign w:val="bottom"/>
          </w:tcPr>
          <w:p>
            <w:pPr>
              <w:jc w:val="right"/>
              <w:ind w:right="352"/>
              <w:spacing w:after="0"/>
              <w:rPr>
                <w:sz w:val="20"/>
                <w:szCs w:val="20"/>
                <w:color w:val="auto"/>
              </w:rPr>
            </w:pPr>
            <w:r>
              <w:rPr>
                <w:rFonts w:ascii="Arial" w:cs="Arial" w:eastAsia="Arial" w:hAnsi="Arial"/>
                <w:sz w:val="18"/>
                <w:szCs w:val="18"/>
                <w:color w:val="auto"/>
              </w:rPr>
              <w:t>38,645</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120" w:type="dxa"/>
            <w:vAlign w:val="bottom"/>
          </w:tcPr>
          <w:p>
            <w:pPr>
              <w:jc w:val="right"/>
              <w:ind w:right="415"/>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80" w:type="dxa"/>
            <w:vAlign w:val="bottom"/>
          </w:tcPr>
          <w:p>
            <w:pPr>
              <w:jc w:val="right"/>
              <w:ind w:right="37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37,371</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76,016</w:t>
            </w:r>
          </w:p>
        </w:tc>
      </w:tr>
      <w:tr>
        <w:trPr>
          <w:trHeight w:val="217"/>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378,906</w:t>
            </w:r>
          </w:p>
        </w:tc>
        <w:tc>
          <w:tcPr>
            <w:tcW w:w="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452"/>
              <w:spacing w:after="0" w:line="202" w:lineRule="exact"/>
              <w:rPr>
                <w:sz w:val="20"/>
                <w:szCs w:val="20"/>
                <w:color w:val="auto"/>
              </w:rPr>
            </w:pPr>
            <w:r>
              <w:rPr>
                <w:rFonts w:ascii="Arial" w:cs="Arial" w:eastAsia="Arial" w:hAnsi="Arial"/>
                <w:sz w:val="18"/>
                <w:szCs w:val="18"/>
                <w:color w:val="auto"/>
              </w:rPr>
              <w:t>$ 86,687</w:t>
            </w:r>
          </w:p>
        </w:tc>
        <w:tc>
          <w:tcPr>
            <w:tcW w:w="1660" w:type="dxa"/>
            <w:vAlign w:val="bottom"/>
            <w:gridSpan w:val="2"/>
            <w:shd w:val="clear" w:color="auto" w:fill="CCEEFF"/>
          </w:tcPr>
          <w:p>
            <w:pPr>
              <w:jc w:val="right"/>
              <w:ind w:right="415"/>
              <w:spacing w:after="0" w:line="202" w:lineRule="exact"/>
              <w:rPr>
                <w:sz w:val="20"/>
                <w:szCs w:val="20"/>
                <w:color w:val="auto"/>
              </w:rPr>
            </w:pPr>
            <w:r>
              <w:rPr>
                <w:rFonts w:ascii="Arial" w:cs="Arial" w:eastAsia="Arial" w:hAnsi="Arial"/>
                <w:sz w:val="18"/>
                <w:szCs w:val="18"/>
                <w:color w:val="auto"/>
              </w:rPr>
              <w:t>$ 13,896</w:t>
            </w:r>
          </w:p>
        </w:tc>
        <w:tc>
          <w:tcPr>
            <w:tcW w:w="1640" w:type="dxa"/>
            <w:vAlign w:val="bottom"/>
            <w:gridSpan w:val="2"/>
            <w:shd w:val="clear" w:color="auto" w:fill="CCEEFF"/>
          </w:tcPr>
          <w:p>
            <w:pPr>
              <w:jc w:val="right"/>
              <w:ind w:right="371"/>
              <w:spacing w:after="0" w:line="202" w:lineRule="exact"/>
              <w:rPr>
                <w:sz w:val="20"/>
                <w:szCs w:val="20"/>
                <w:color w:val="auto"/>
              </w:rPr>
            </w:pPr>
            <w:r>
              <w:rPr>
                <w:rFonts w:ascii="Arial" w:cs="Arial" w:eastAsia="Arial" w:hAnsi="Arial"/>
                <w:sz w:val="18"/>
                <w:szCs w:val="18"/>
                <w:color w:val="auto"/>
              </w:rPr>
              <w:t>$ 57,490</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$(37,371)</w:t>
            </w:r>
          </w:p>
        </w:tc>
        <w:tc>
          <w:tcPr>
            <w:tcW w:w="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499,608</w:t>
            </w:r>
          </w:p>
        </w:tc>
      </w:tr>
      <w:tr>
        <w:trPr>
          <w:trHeight w:val="625"/>
        </w:trPr>
        <w:tc>
          <w:tcPr>
            <w:tcW w:w="20" w:type="dxa"/>
            <w:vAlign w:val="bottom"/>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40" w:type="dxa"/>
            <w:vAlign w:val="bottom"/>
            <w:tcBorders>
              <w:top w:val="single" w:sz="8" w:color="auto"/>
              <w:bottom w:val="single" w:sz="8" w:color="808080"/>
            </w:tcBorders>
          </w:tcPr>
          <w:p>
            <w:pPr>
              <w:spacing w:after="0"/>
              <w:rPr>
                <w:sz w:val="24"/>
                <w:szCs w:val="24"/>
                <w:color w:val="auto"/>
              </w:rPr>
            </w:pPr>
          </w:p>
        </w:tc>
        <w:tc>
          <w:tcPr>
            <w:tcW w:w="200" w:type="dxa"/>
            <w:vAlign w:val="bottom"/>
            <w:tcBorders>
              <w:top w:val="single" w:sz="8" w:color="auto"/>
              <w:bottom w:val="single" w:sz="8" w:color="808080"/>
            </w:tcBorders>
          </w:tcPr>
          <w:p>
            <w:pPr>
              <w:spacing w:after="0"/>
              <w:rPr>
                <w:sz w:val="24"/>
                <w:szCs w:val="24"/>
                <w:color w:val="auto"/>
              </w:rPr>
            </w:pPr>
          </w:p>
        </w:tc>
        <w:tc>
          <w:tcPr>
            <w:tcW w:w="1200" w:type="dxa"/>
            <w:vAlign w:val="bottom"/>
            <w:tcBorders>
              <w:top w:val="single" w:sz="8" w:color="auto"/>
              <w:bottom w:val="single" w:sz="8" w:color="808080"/>
            </w:tcBorders>
          </w:tcPr>
          <w:p>
            <w:pPr>
              <w:spacing w:after="0"/>
              <w:rPr>
                <w:sz w:val="24"/>
                <w:szCs w:val="24"/>
                <w:color w:val="auto"/>
              </w:rPr>
            </w:pPr>
          </w:p>
        </w:tc>
        <w:tc>
          <w:tcPr>
            <w:tcW w:w="60" w:type="dxa"/>
            <w:vAlign w:val="bottom"/>
            <w:tcBorders>
              <w:top w:val="single" w:sz="8" w:color="auto"/>
              <w:bottom w:val="single" w:sz="8" w:color="808080"/>
            </w:tcBorders>
          </w:tcPr>
          <w:p>
            <w:pPr>
              <w:spacing w:after="0"/>
              <w:rPr>
                <w:sz w:val="24"/>
                <w:szCs w:val="24"/>
                <w:color w:val="auto"/>
              </w:rPr>
            </w:pPr>
          </w:p>
        </w:tc>
        <w:tc>
          <w:tcPr>
            <w:tcW w:w="380" w:type="dxa"/>
            <w:vAlign w:val="bottom"/>
            <w:tcBorders>
              <w:top w:val="single" w:sz="8" w:color="auto"/>
              <w:bottom w:val="single" w:sz="8" w:color="808080"/>
            </w:tcBorders>
          </w:tcPr>
          <w:p>
            <w:pPr>
              <w:spacing w:after="0"/>
              <w:rPr>
                <w:sz w:val="24"/>
                <w:szCs w:val="24"/>
                <w:color w:val="auto"/>
              </w:rPr>
            </w:pPr>
          </w:p>
        </w:tc>
        <w:tc>
          <w:tcPr>
            <w:tcW w:w="1160" w:type="dxa"/>
            <w:vAlign w:val="bottom"/>
            <w:tcBorders>
              <w:top w:val="single" w:sz="8" w:color="auto"/>
              <w:bottom w:val="single" w:sz="8" w:color="808080"/>
            </w:tcBorders>
          </w:tcPr>
          <w:p>
            <w:pPr>
              <w:spacing w:after="0"/>
              <w:rPr>
                <w:sz w:val="24"/>
                <w:szCs w:val="24"/>
                <w:color w:val="auto"/>
              </w:rPr>
            </w:pPr>
          </w:p>
        </w:tc>
        <w:tc>
          <w:tcPr>
            <w:tcW w:w="540" w:type="dxa"/>
            <w:vAlign w:val="bottom"/>
            <w:tcBorders>
              <w:top w:val="single" w:sz="8" w:color="auto"/>
              <w:bottom w:val="single" w:sz="8" w:color="808080"/>
            </w:tcBorders>
          </w:tcPr>
          <w:p>
            <w:pPr>
              <w:spacing w:after="0"/>
              <w:rPr>
                <w:sz w:val="24"/>
                <w:szCs w:val="24"/>
                <w:color w:val="auto"/>
              </w:rPr>
            </w:pPr>
          </w:p>
        </w:tc>
        <w:tc>
          <w:tcPr>
            <w:tcW w:w="1120" w:type="dxa"/>
            <w:vAlign w:val="bottom"/>
            <w:tcBorders>
              <w:top w:val="single" w:sz="8" w:color="auto"/>
              <w:bottom w:val="single" w:sz="8" w:color="808080"/>
            </w:tcBorders>
          </w:tcPr>
          <w:p>
            <w:pPr>
              <w:spacing w:after="0"/>
              <w:rPr>
                <w:sz w:val="24"/>
                <w:szCs w:val="24"/>
                <w:color w:val="auto"/>
              </w:rPr>
            </w:pPr>
          </w:p>
        </w:tc>
        <w:tc>
          <w:tcPr>
            <w:tcW w:w="560" w:type="dxa"/>
            <w:vAlign w:val="bottom"/>
            <w:tcBorders>
              <w:top w:val="single" w:sz="8" w:color="auto"/>
              <w:bottom w:val="single" w:sz="8" w:color="808080"/>
            </w:tcBorders>
          </w:tcPr>
          <w:p>
            <w:pPr>
              <w:spacing w:after="0"/>
              <w:rPr>
                <w:sz w:val="24"/>
                <w:szCs w:val="24"/>
                <w:color w:val="auto"/>
              </w:rPr>
            </w:pPr>
          </w:p>
        </w:tc>
        <w:tc>
          <w:tcPr>
            <w:tcW w:w="1080" w:type="dxa"/>
            <w:vAlign w:val="bottom"/>
            <w:tcBorders>
              <w:top w:val="single" w:sz="8" w:color="auto"/>
              <w:bottom w:val="single" w:sz="8" w:color="808080"/>
            </w:tcBorders>
          </w:tcPr>
          <w:p>
            <w:pPr>
              <w:spacing w:after="0"/>
              <w:rPr>
                <w:sz w:val="24"/>
                <w:szCs w:val="24"/>
                <w:color w:val="auto"/>
              </w:rPr>
            </w:pPr>
          </w:p>
        </w:tc>
        <w:tc>
          <w:tcPr>
            <w:tcW w:w="440" w:type="dxa"/>
            <w:vAlign w:val="bottom"/>
            <w:tcBorders>
              <w:top w:val="single" w:sz="8" w:color="auto"/>
              <w:bottom w:val="single" w:sz="8" w:color="808080"/>
            </w:tcBorders>
          </w:tcPr>
          <w:p>
            <w:pPr>
              <w:spacing w:after="0"/>
              <w:rPr>
                <w:sz w:val="24"/>
                <w:szCs w:val="24"/>
                <w:color w:val="auto"/>
              </w:rPr>
            </w:pPr>
          </w:p>
        </w:tc>
        <w:tc>
          <w:tcPr>
            <w:tcW w:w="740" w:type="dxa"/>
            <w:vAlign w:val="bottom"/>
            <w:tcBorders>
              <w:top w:val="single" w:sz="8" w:color="auto"/>
              <w:bottom w:val="single" w:sz="8" w:color="808080"/>
            </w:tcBorders>
          </w:tcPr>
          <w:p>
            <w:pPr>
              <w:spacing w:after="0"/>
              <w:rPr>
                <w:sz w:val="24"/>
                <w:szCs w:val="24"/>
                <w:color w:val="auto"/>
              </w:rPr>
            </w:pPr>
          </w:p>
        </w:tc>
        <w:tc>
          <w:tcPr>
            <w:tcW w:w="40" w:type="dxa"/>
            <w:vAlign w:val="bottom"/>
            <w:tcBorders>
              <w:top w:val="single" w:sz="8" w:color="auto"/>
              <w:bottom w:val="single" w:sz="8" w:color="808080"/>
            </w:tcBorders>
          </w:tcPr>
          <w:p>
            <w:pPr>
              <w:spacing w:after="0"/>
              <w:rPr>
                <w:sz w:val="24"/>
                <w:szCs w:val="24"/>
                <w:color w:val="auto"/>
              </w:rPr>
            </w:pPr>
          </w:p>
        </w:tc>
        <w:tc>
          <w:tcPr>
            <w:tcW w:w="460" w:type="dxa"/>
            <w:vAlign w:val="bottom"/>
            <w:tcBorders>
              <w:top w:val="single" w:sz="8" w:color="auto"/>
              <w:bottom w:val="single" w:sz="8" w:color="808080"/>
            </w:tcBorders>
          </w:tcPr>
          <w:p>
            <w:pPr>
              <w:spacing w:after="0"/>
              <w:rPr>
                <w:sz w:val="24"/>
                <w:szCs w:val="24"/>
                <w:color w:val="auto"/>
              </w:rPr>
            </w:pPr>
          </w:p>
        </w:tc>
        <w:tc>
          <w:tcPr>
            <w:tcW w:w="980" w:type="dxa"/>
            <w:vAlign w:val="bottom"/>
            <w:tcBorders>
              <w:top w:val="single" w:sz="8" w:color="auto"/>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04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September 30,</w:t>
            </w:r>
          </w:p>
        </w:tc>
        <w:tc>
          <w:tcPr>
            <w:tcW w:w="580" w:type="dxa"/>
            <w:vAlign w:val="bottom"/>
          </w:tcPr>
          <w:p>
            <w:pPr>
              <w:spacing w:after="0"/>
              <w:rPr>
                <w:sz w:val="12"/>
                <w:szCs w:val="12"/>
                <w:color w:val="auto"/>
              </w:rPr>
            </w:pPr>
          </w:p>
        </w:tc>
        <w:tc>
          <w:tcPr>
            <w:tcW w:w="98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87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short-term interest-bearing investments</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1,173,041</w:t>
            </w:r>
          </w:p>
        </w:tc>
        <w:tc>
          <w:tcPr>
            <w:tcW w:w="72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1,244,378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Pr>
          <w:p>
            <w:pPr>
              <w:spacing w:after="0" w:line="202" w:lineRule="exact"/>
              <w:rPr>
                <w:sz w:val="20"/>
                <w:szCs w:val="20"/>
                <w:color w:val="auto"/>
              </w:rPr>
            </w:pPr>
            <w:r>
              <w:rPr>
                <w:rFonts w:ascii="Arial" w:cs="Arial" w:eastAsia="Arial" w:hAnsi="Arial"/>
                <w:sz w:val="18"/>
                <w:szCs w:val="18"/>
                <w:color w:val="auto"/>
              </w:rPr>
              <w:t>Accounts receivable, net, including unbilled of $21,749 and $48,264 respectively</w:t>
            </w:r>
          </w:p>
        </w:tc>
        <w:tc>
          <w:tcPr>
            <w:tcW w:w="14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454,965</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573,764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 and taxes receivable</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117,848</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84,515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126,704</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102,930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1,872,558</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2,005,587</w:t>
            </w:r>
          </w:p>
        </w:tc>
        <w:tc>
          <w:tcPr>
            <w:tcW w:w="0" w:type="dxa"/>
            <w:vAlign w:val="bottom"/>
          </w:tcPr>
          <w:p>
            <w:pPr>
              <w:spacing w:after="0"/>
              <w:rPr>
                <w:sz w:val="1"/>
                <w:szCs w:val="1"/>
                <w:color w:val="auto"/>
              </w:rPr>
            </w:pPr>
          </w:p>
        </w:tc>
      </w:tr>
      <w:tr>
        <w:trPr>
          <w:trHeight w:val="405"/>
        </w:trPr>
        <w:tc>
          <w:tcPr>
            <w:tcW w:w="8720" w:type="dxa"/>
            <w:vAlign w:val="bottom"/>
            <w:gridSpan w:val="2"/>
          </w:tcPr>
          <w:p>
            <w:pPr>
              <w:spacing w:after="0"/>
              <w:rPr>
                <w:sz w:val="20"/>
                <w:szCs w:val="20"/>
                <w:color w:val="auto"/>
              </w:rPr>
            </w:pPr>
            <w:r>
              <w:rPr>
                <w:rFonts w:ascii="Arial" w:cs="Arial" w:eastAsia="Arial" w:hAnsi="Arial"/>
                <w:sz w:val="18"/>
                <w:szCs w:val="18"/>
                <w:color w:val="auto"/>
              </w:rPr>
              <w:t>Equipment, vehicles and leasehold improvements, net</w:t>
            </w:r>
          </w:p>
        </w:tc>
        <w:tc>
          <w:tcPr>
            <w:tcW w:w="14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279,659</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317,081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and other intangible assets, net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1,766,761</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1,796,922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409,439</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459,473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4,328,417</w:t>
            </w:r>
          </w:p>
        </w:tc>
        <w:tc>
          <w:tcPr>
            <w:tcW w:w="72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4,579,063</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7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Pr>
          <w:p>
            <w:pPr>
              <w:spacing w:after="0" w:line="202" w:lineRule="exact"/>
              <w:rPr>
                <w:sz w:val="20"/>
                <w:szCs w:val="20"/>
                <w:color w:val="auto"/>
              </w:rPr>
            </w:pPr>
            <w:r>
              <w:rPr>
                <w:rFonts w:ascii="Arial" w:cs="Arial" w:eastAsia="Arial" w:hAnsi="Arial"/>
                <w:sz w:val="18"/>
                <w:szCs w:val="18"/>
                <w:color w:val="auto"/>
              </w:rPr>
              <w:t>Accounts payable, accruals and other</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415,371</w:t>
            </w:r>
          </w:p>
        </w:tc>
        <w:tc>
          <w:tcPr>
            <w:tcW w:w="72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601,945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186,158</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197,851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Pr>
          <w:p>
            <w:pPr>
              <w:spacing w:after="0" w:line="202" w:lineRule="exact"/>
              <w:rPr>
                <w:sz w:val="20"/>
                <w:szCs w:val="20"/>
                <w:color w:val="auto"/>
              </w:rPr>
            </w:pPr>
            <w:r>
              <w:rPr>
                <w:rFonts w:ascii="Arial" w:cs="Arial" w:eastAsia="Arial" w:hAnsi="Arial"/>
                <w:sz w:val="18"/>
                <w:szCs w:val="18"/>
                <w:color w:val="auto"/>
              </w:rPr>
              <w:t>Deferred income taxes and taxes payable</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9,338</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610,867</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830,024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Pr>
          <w:p>
            <w:pPr>
              <w:spacing w:after="0" w:line="202" w:lineRule="exact"/>
              <w:rPr>
                <w:sz w:val="20"/>
                <w:szCs w:val="20"/>
                <w:color w:val="auto"/>
              </w:rPr>
            </w:pPr>
            <w:r>
              <w:rPr>
                <w:rFonts w:ascii="Arial" w:cs="Arial" w:eastAsia="Arial" w:hAnsi="Arial"/>
                <w:sz w:val="18"/>
                <w:szCs w:val="18"/>
                <w:color w:val="auto"/>
              </w:rPr>
              <w:t>0.50% Convertible notes</w:t>
            </w:r>
          </w:p>
        </w:tc>
        <w:tc>
          <w:tcPr>
            <w:tcW w:w="14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1,020</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Noncurrent liabilities and other</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503,477</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493,848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Pr>
          <w:p>
            <w:pPr>
              <w:spacing w:after="0" w:line="202" w:lineRule="exact"/>
              <w:rPr>
                <w:sz w:val="20"/>
                <w:szCs w:val="20"/>
                <w:color w:val="auto"/>
              </w:rPr>
            </w:pPr>
            <w:r>
              <w:rPr>
                <w:rFonts w:ascii="Arial" w:cs="Arial" w:eastAsia="Arial" w:hAnsi="Arial"/>
                <w:sz w:val="18"/>
                <w:szCs w:val="18"/>
                <w:color w:val="auto"/>
              </w:rPr>
              <w:t>Shareholders’ equity</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3,213,053</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2,805,191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 and shareholders’ equity</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4,328,417</w:t>
            </w:r>
          </w:p>
        </w:tc>
        <w:tc>
          <w:tcPr>
            <w:tcW w:w="72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4,579,063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20" w:type="dxa"/>
            <w:vAlign w:val="bottom"/>
          </w:tcPr>
          <w:p>
            <w:pPr>
              <w:spacing w:after="0"/>
              <w:rPr>
                <w:sz w:val="24"/>
                <w:szCs w:val="24"/>
                <w:color w:val="auto"/>
              </w:rPr>
            </w:pPr>
          </w:p>
        </w:tc>
        <w:tc>
          <w:tcPr>
            <w:tcW w:w="87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326,176</w:t>
            </w:r>
          </w:p>
        </w:tc>
        <w:tc>
          <w:tcPr>
            <w:tcW w:w="360" w:type="dxa"/>
            <w:vAlign w:val="bottom"/>
          </w:tcPr>
          <w:p>
            <w:pPr>
              <w:spacing w:after="0"/>
              <w:rPr>
                <w:sz w:val="17"/>
                <w:szCs w:val="17"/>
                <w:color w:val="auto"/>
              </w:rPr>
            </w:pPr>
          </w:p>
        </w:tc>
        <w:tc>
          <w:tcPr>
            <w:tcW w:w="12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$ 378,906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Reconciliation of net income to net cash provided by operating activities: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tcPr>
          <w:p>
            <w:pPr>
              <w:ind w:left="400"/>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198,119</w:t>
            </w:r>
          </w:p>
        </w:tc>
        <w:tc>
          <w:tcPr>
            <w:tcW w:w="360" w:type="dxa"/>
            <w:vAlign w:val="bottom"/>
          </w:tcPr>
          <w:p>
            <w:pPr>
              <w:spacing w:after="0"/>
              <w:rPr>
                <w:sz w:val="17"/>
                <w:szCs w:val="17"/>
                <w:color w:val="auto"/>
              </w:rPr>
            </w:pPr>
          </w:p>
        </w:tc>
        <w:tc>
          <w:tcPr>
            <w:tcW w:w="12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192,937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In-process research and development expenses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5,640</w:t>
            </w:r>
          </w:p>
        </w:tc>
        <w:tc>
          <w:tcPr>
            <w:tcW w:w="36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tcPr>
          <w:p>
            <w:pPr>
              <w:ind w:left="400"/>
              <w:spacing w:after="0" w:line="202" w:lineRule="exact"/>
              <w:rPr>
                <w:sz w:val="20"/>
                <w:szCs w:val="20"/>
                <w:color w:val="auto"/>
              </w:rPr>
            </w:pPr>
            <w:r>
              <w:rPr>
                <w:rFonts w:ascii="Arial" w:cs="Arial" w:eastAsia="Arial" w:hAnsi="Arial"/>
                <w:sz w:val="18"/>
                <w:szCs w:val="18"/>
                <w:color w:val="auto"/>
              </w:rPr>
              <w:t>Equity-based compensation expense</w:t>
            </w:r>
          </w:p>
        </w:tc>
        <w:tc>
          <w:tcPr>
            <w:tcW w:w="120" w:type="dxa"/>
            <w:vAlign w:val="bottom"/>
          </w:tcPr>
          <w:p>
            <w:pPr>
              <w:spacing w:after="0"/>
              <w:rPr>
                <w:sz w:val="17"/>
                <w:szCs w:val="17"/>
                <w:color w:val="auto"/>
              </w:rPr>
            </w:pPr>
          </w:p>
        </w:tc>
        <w:tc>
          <w:tcPr>
            <w:tcW w:w="11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42,911</w:t>
            </w:r>
          </w:p>
        </w:tc>
        <w:tc>
          <w:tcPr>
            <w:tcW w:w="12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57,490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Loss (gain) on sale of equipment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w:t>
            </w:r>
          </w:p>
        </w:tc>
        <w:tc>
          <w:tcPr>
            <w:tcW w:w="36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tcPr>
          <w:p>
            <w:pPr>
              <w:ind w:left="400"/>
              <w:spacing w:after="0" w:line="202" w:lineRule="exact"/>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7"/>
                <w:szCs w:val="17"/>
                <w:color w:val="auto"/>
              </w:rPr>
            </w:pPr>
          </w:p>
        </w:tc>
        <w:tc>
          <w:tcPr>
            <w:tcW w:w="11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16,249</w:t>
            </w:r>
          </w:p>
        </w:tc>
        <w:tc>
          <w:tcPr>
            <w:tcW w:w="12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Gain on repurchase of convertible notes</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(2,185)</w:t>
            </w: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tcPr>
          <w:p>
            <w:pPr>
              <w:ind w:left="400"/>
              <w:spacing w:after="0" w:line="202" w:lineRule="exact"/>
              <w:rPr>
                <w:sz w:val="20"/>
                <w:szCs w:val="20"/>
                <w:color w:val="auto"/>
              </w:rPr>
            </w:pPr>
            <w:r>
              <w:rPr>
                <w:rFonts w:ascii="Arial" w:cs="Arial" w:eastAsia="Arial" w:hAnsi="Arial"/>
                <w:sz w:val="18"/>
                <w:szCs w:val="18"/>
                <w:color w:val="auto"/>
              </w:rPr>
              <w:t>Excess tax benefit from equity-based compensation</w:t>
            </w:r>
          </w:p>
        </w:tc>
        <w:tc>
          <w:tcPr>
            <w:tcW w:w="12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(18)</w:t>
            </w:r>
          </w:p>
        </w:tc>
        <w:tc>
          <w:tcPr>
            <w:tcW w:w="12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Loss from short-term interest-bearing investments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4,449</w:t>
            </w:r>
          </w:p>
        </w:tc>
        <w:tc>
          <w:tcPr>
            <w:tcW w:w="36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tcPr>
          <w:p>
            <w:pPr>
              <w:spacing w:after="0" w:line="202" w:lineRule="exact"/>
              <w:rPr>
                <w:sz w:val="20"/>
                <w:szCs w:val="20"/>
                <w:color w:val="auto"/>
              </w:rPr>
            </w:pPr>
            <w:r>
              <w:rPr>
                <w:rFonts w:ascii="Arial" w:cs="Arial" w:eastAsia="Arial" w:hAnsi="Arial"/>
                <w:sz w:val="18"/>
                <w:szCs w:val="18"/>
                <w:color w:val="auto"/>
              </w:rPr>
              <w:t>Net changes in operating assets and liabilities, net of amounts acquired: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131,527</w:t>
            </w:r>
          </w:p>
        </w:tc>
        <w:tc>
          <w:tcPr>
            <w:tcW w:w="36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(118,291)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(13,614)</w:t>
            </w:r>
          </w:p>
        </w:tc>
        <w:tc>
          <w:tcPr>
            <w:tcW w:w="12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4,173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noncurrent assets</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(2,690)</w:t>
            </w:r>
          </w:p>
        </w:tc>
        <w:tc>
          <w:tcPr>
            <w:tcW w:w="12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(31,739)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 accrued expenses and accrued personnel</w:t>
            </w:r>
          </w:p>
        </w:tc>
        <w:tc>
          <w:tcPr>
            <w:tcW w:w="12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(160,321)</w:t>
            </w:r>
          </w:p>
        </w:tc>
        <w:tc>
          <w:tcPr>
            <w:tcW w:w="12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(27,501)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20,956</w:t>
            </w:r>
          </w:p>
        </w:tc>
        <w:tc>
          <w:tcPr>
            <w:tcW w:w="12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28,408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tcPr>
          <w:p>
            <w:pPr>
              <w:ind w:left="200"/>
              <w:spacing w:after="0" w:line="202" w:lineRule="exact"/>
              <w:rPr>
                <w:sz w:val="20"/>
                <w:szCs w:val="20"/>
                <w:color w:val="auto"/>
              </w:rPr>
            </w:pPr>
            <w:r>
              <w:rPr>
                <w:rFonts w:ascii="Arial" w:cs="Arial" w:eastAsia="Arial" w:hAnsi="Arial"/>
                <w:sz w:val="18"/>
                <w:szCs w:val="18"/>
                <w:color w:val="auto"/>
              </w:rPr>
              <w:t>Income taxes payable, net</w:t>
            </w:r>
          </w:p>
        </w:tc>
        <w:tc>
          <w:tcPr>
            <w:tcW w:w="12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(19,980)</w:t>
            </w:r>
          </w:p>
        </w:tc>
        <w:tc>
          <w:tcPr>
            <w:tcW w:w="12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(26,824)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Noncurrent liabilities and other</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(28,260)</w:t>
            </w:r>
          </w:p>
        </w:tc>
        <w:tc>
          <w:tcPr>
            <w:tcW w:w="12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18,799</w:t>
            </w:r>
          </w:p>
        </w:tc>
        <w:tc>
          <w:tcPr>
            <w:tcW w:w="0" w:type="dxa"/>
            <w:vAlign w:val="bottom"/>
          </w:tcPr>
          <w:p>
            <w:pPr>
              <w:spacing w:after="0"/>
              <w:rPr>
                <w:sz w:val="1"/>
                <w:szCs w:val="1"/>
                <w:color w:val="auto"/>
              </w:rPr>
            </w:pPr>
          </w:p>
        </w:tc>
      </w:tr>
      <w:tr>
        <w:trPr>
          <w:trHeight w:val="210"/>
        </w:trPr>
        <w:tc>
          <w:tcPr>
            <w:tcW w:w="89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519,156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 from Investing Activities: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tcPr>
          <w:p>
            <w:pPr>
              <w:spacing w:after="0" w:line="202" w:lineRule="exact"/>
              <w:rPr>
                <w:sz w:val="20"/>
                <w:szCs w:val="20"/>
                <w:color w:val="auto"/>
              </w:rPr>
            </w:pPr>
            <w:r>
              <w:rPr>
                <w:rFonts w:ascii="Arial" w:cs="Arial" w:eastAsia="Arial" w:hAnsi="Arial"/>
                <w:sz w:val="18"/>
                <w:szCs w:val="18"/>
                <w:color w:val="auto"/>
              </w:rPr>
              <w:t>Proceeds from sale of equipment, vehicles and leasehold improvements</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994</w:t>
            </w:r>
          </w:p>
        </w:tc>
        <w:tc>
          <w:tcPr>
            <w:tcW w:w="360" w:type="dxa"/>
            <w:vAlign w:val="bottom"/>
          </w:tcPr>
          <w:p>
            <w:pPr>
              <w:spacing w:after="0"/>
              <w:rPr>
                <w:sz w:val="17"/>
                <w:szCs w:val="17"/>
                <w:color w:val="auto"/>
              </w:rPr>
            </w:pPr>
          </w:p>
        </w:tc>
        <w:tc>
          <w:tcPr>
            <w:tcW w:w="12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for purchase of equipment and leasehold improvements</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(83,325)</w:t>
            </w:r>
          </w:p>
        </w:tc>
        <w:tc>
          <w:tcPr>
            <w:tcW w:w="12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(135,823)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tcPr>
          <w:p>
            <w:pPr>
              <w:spacing w:after="0" w:line="202" w:lineRule="exact"/>
              <w:rPr>
                <w:sz w:val="20"/>
                <w:szCs w:val="20"/>
                <w:color w:val="auto"/>
              </w:rPr>
            </w:pPr>
            <w:r>
              <w:rPr>
                <w:rFonts w:ascii="Arial" w:cs="Arial" w:eastAsia="Arial" w:hAnsi="Arial"/>
                <w:sz w:val="18"/>
                <w:szCs w:val="18"/>
                <w:color w:val="auto"/>
              </w:rPr>
              <w:t>Proceeds from sale of short-term interest-bearing investments</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7"/>
              </w:rPr>
              <w:t>1,045,278</w:t>
            </w:r>
          </w:p>
        </w:tc>
        <w:tc>
          <w:tcPr>
            <w:tcW w:w="360" w:type="dxa"/>
            <w:vAlign w:val="bottom"/>
          </w:tcPr>
          <w:p>
            <w:pPr>
              <w:spacing w:after="0"/>
              <w:rPr>
                <w:sz w:val="17"/>
                <w:szCs w:val="17"/>
                <w:color w:val="auto"/>
              </w:rPr>
            </w:pPr>
          </w:p>
        </w:tc>
        <w:tc>
          <w:tcPr>
            <w:tcW w:w="12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708,708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short-term interest-bearing investments</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(963,433)</w:t>
            </w:r>
          </w:p>
        </w:tc>
        <w:tc>
          <w:tcPr>
            <w:tcW w:w="12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(685,873)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tcPr>
          <w:p>
            <w:pPr>
              <w:spacing w:after="0" w:line="202" w:lineRule="exact"/>
              <w:rPr>
                <w:sz w:val="20"/>
                <w:szCs w:val="20"/>
                <w:color w:val="auto"/>
              </w:rPr>
            </w:pPr>
            <w:r>
              <w:rPr>
                <w:rFonts w:ascii="Arial" w:cs="Arial" w:eastAsia="Arial" w:hAnsi="Arial"/>
                <w:sz w:val="18"/>
                <w:szCs w:val="18"/>
                <w:color w:val="auto"/>
              </w:rPr>
              <w:t>Net cash paid for acquisitions</w:t>
            </w:r>
          </w:p>
        </w:tc>
        <w:tc>
          <w:tcPr>
            <w:tcW w:w="12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(65,890)</w:t>
            </w:r>
          </w:p>
        </w:tc>
        <w:tc>
          <w:tcPr>
            <w:tcW w:w="12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(58,772)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(66,376)</w:t>
            </w:r>
          </w:p>
        </w:tc>
        <w:tc>
          <w:tcPr>
            <w:tcW w:w="12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(169,105)</w:t>
            </w:r>
          </w:p>
        </w:tc>
        <w:tc>
          <w:tcPr>
            <w:tcW w:w="0" w:type="dxa"/>
            <w:vAlign w:val="bottom"/>
          </w:tcPr>
          <w:p>
            <w:pPr>
              <w:spacing w:after="0"/>
              <w:rPr>
                <w:sz w:val="1"/>
                <w:szCs w:val="1"/>
                <w:color w:val="auto"/>
              </w:rPr>
            </w:pPr>
          </w:p>
        </w:tc>
      </w:tr>
      <w:tr>
        <w:trPr>
          <w:trHeight w:val="412"/>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Borrowings under long-term financing arrangements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450,000</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tcPr>
          <w:p>
            <w:pPr>
              <w:spacing w:after="0" w:line="202" w:lineRule="exact"/>
              <w:rPr>
                <w:sz w:val="20"/>
                <w:szCs w:val="20"/>
                <w:color w:val="auto"/>
              </w:rPr>
            </w:pPr>
            <w:r>
              <w:rPr>
                <w:rFonts w:ascii="Arial" w:cs="Arial" w:eastAsia="Arial" w:hAnsi="Arial"/>
                <w:sz w:val="18"/>
                <w:szCs w:val="18"/>
                <w:color w:val="auto"/>
              </w:rPr>
              <w:t>Payments under long-term financing arrangements</w:t>
            </w:r>
          </w:p>
        </w:tc>
        <w:tc>
          <w:tcPr>
            <w:tcW w:w="12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(450,000)</w:t>
            </w: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Redemption of convertible notes</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(330,780)</w:t>
            </w:r>
          </w:p>
        </w:tc>
        <w:tc>
          <w:tcPr>
            <w:tcW w:w="12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tcPr>
          <w:p>
            <w:pPr>
              <w:spacing w:after="0" w:line="202" w:lineRule="exact"/>
              <w:rPr>
                <w:sz w:val="20"/>
                <w:szCs w:val="20"/>
                <w:color w:val="auto"/>
              </w:rPr>
            </w:pPr>
            <w:r>
              <w:rPr>
                <w:rFonts w:ascii="Arial" w:cs="Arial" w:eastAsia="Arial" w:hAnsi="Arial"/>
                <w:sz w:val="18"/>
                <w:szCs w:val="18"/>
                <w:color w:val="auto"/>
              </w:rPr>
              <w:t>Repurchase of convertible notes</w:t>
            </w:r>
          </w:p>
        </w:tc>
        <w:tc>
          <w:tcPr>
            <w:tcW w:w="120" w:type="dxa"/>
            <w:vAlign w:val="bottom"/>
          </w:tcPr>
          <w:p>
            <w:pPr>
              <w:spacing w:after="0"/>
              <w:rPr>
                <w:sz w:val="17"/>
                <w:szCs w:val="17"/>
                <w:color w:val="auto"/>
              </w:rPr>
            </w:pPr>
          </w:p>
        </w:tc>
        <w:tc>
          <w:tcPr>
            <w:tcW w:w="11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(116,015)</w:t>
            </w: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Repurchase of shares</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(20,014)</w:t>
            </w:r>
          </w:p>
        </w:tc>
        <w:tc>
          <w:tcPr>
            <w:tcW w:w="12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(247,630)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tcPr>
          <w:p>
            <w:pPr>
              <w:spacing w:after="0" w:line="202" w:lineRule="exact"/>
              <w:rPr>
                <w:sz w:val="20"/>
                <w:szCs w:val="20"/>
                <w:color w:val="auto"/>
              </w:rPr>
            </w:pPr>
            <w:r>
              <w:rPr>
                <w:rFonts w:ascii="Arial" w:cs="Arial" w:eastAsia="Arial" w:hAnsi="Arial"/>
                <w:sz w:val="18"/>
                <w:szCs w:val="18"/>
                <w:color w:val="auto"/>
              </w:rPr>
              <w:t>Proceeds from employee stock options exercised</w:t>
            </w:r>
          </w:p>
        </w:tc>
        <w:tc>
          <w:tcPr>
            <w:tcW w:w="120" w:type="dxa"/>
            <w:vAlign w:val="bottom"/>
          </w:tcPr>
          <w:p>
            <w:pPr>
              <w:spacing w:after="0"/>
              <w:rPr>
                <w:sz w:val="17"/>
                <w:szCs w:val="17"/>
                <w:color w:val="auto"/>
              </w:rPr>
            </w:pPr>
          </w:p>
        </w:tc>
        <w:tc>
          <w:tcPr>
            <w:tcW w:w="116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27,893</w:t>
            </w:r>
          </w:p>
        </w:tc>
        <w:tc>
          <w:tcPr>
            <w:tcW w:w="124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37,577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under capital lease and short-term financing arrangements</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(3,970)</w:t>
            </w:r>
          </w:p>
        </w:tc>
        <w:tc>
          <w:tcPr>
            <w:tcW w:w="12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tcPr>
          <w:p>
            <w:pPr>
              <w:spacing w:after="0" w:line="202" w:lineRule="exact"/>
              <w:rPr>
                <w:sz w:val="20"/>
                <w:szCs w:val="20"/>
                <w:color w:val="auto"/>
              </w:rPr>
            </w:pPr>
            <w:r>
              <w:rPr>
                <w:rFonts w:ascii="Arial" w:cs="Arial" w:eastAsia="Arial" w:hAnsi="Arial"/>
                <w:sz w:val="18"/>
                <w:szCs w:val="18"/>
                <w:color w:val="auto"/>
              </w:rPr>
              <w:t>Excess tax benefit from equity-based compensation</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financing activities</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(442,868)</w:t>
            </w:r>
          </w:p>
        </w:tc>
        <w:tc>
          <w:tcPr>
            <w:tcW w:w="124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(210,559)</w:t>
            </w:r>
          </w:p>
        </w:tc>
        <w:tc>
          <w:tcPr>
            <w:tcW w:w="0" w:type="dxa"/>
            <w:vAlign w:val="bottom"/>
          </w:tcPr>
          <w:p>
            <w:pPr>
              <w:spacing w:after="0"/>
              <w:rPr>
                <w:sz w:val="1"/>
                <w:szCs w:val="1"/>
                <w:color w:val="auto"/>
              </w:rPr>
            </w:pPr>
          </w:p>
        </w:tc>
      </w:tr>
      <w:tr>
        <w:trPr>
          <w:trHeight w:val="412"/>
        </w:trPr>
        <w:tc>
          <w:tcPr>
            <w:tcW w:w="89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9,912</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103,349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beginning of year</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718,850</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615,501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9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728,762</w:t>
            </w:r>
          </w:p>
        </w:tc>
        <w:tc>
          <w:tcPr>
            <w:tcW w:w="36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$ 718,850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20" w:type="dxa"/>
            <w:vAlign w:val="bottom"/>
          </w:tcPr>
          <w:p>
            <w:pPr>
              <w:spacing w:after="0"/>
              <w:rPr>
                <w:sz w:val="24"/>
                <w:szCs w:val="24"/>
                <w:color w:val="auto"/>
              </w:rPr>
            </w:pPr>
          </w:p>
        </w:tc>
        <w:tc>
          <w:tcPr>
            <w:tcW w:w="88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w:t>
      </w: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center"/>
              <w:ind w:left="36"/>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2"/>
                <w:szCs w:val="12"/>
                <w:color w:val="auto"/>
              </w:rPr>
            </w:pPr>
          </w:p>
        </w:tc>
        <w:tc>
          <w:tcPr>
            <w:tcW w:w="860" w:type="dxa"/>
            <w:vAlign w:val="bottom"/>
            <w:gridSpan w:val="3"/>
          </w:tcPr>
          <w:p>
            <w:pPr>
              <w:jc w:val="center"/>
              <w:ind w:right="200"/>
              <w:spacing w:after="0" w:line="143" w:lineRule="exact"/>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2"/>
                <w:szCs w:val="12"/>
                <w:color w:val="auto"/>
              </w:rPr>
            </w:pPr>
          </w:p>
        </w:tc>
        <w:tc>
          <w:tcPr>
            <w:tcW w:w="124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March 31,</w:t>
            </w:r>
          </w:p>
        </w:tc>
        <w:tc>
          <w:tcPr>
            <w:tcW w:w="1620" w:type="dxa"/>
            <w:vAlign w:val="bottom"/>
            <w:gridSpan w:val="4"/>
          </w:tcPr>
          <w:p>
            <w:pPr>
              <w:ind w:left="60"/>
              <w:spacing w:after="0" w:line="143" w:lineRule="exact"/>
              <w:rPr>
                <w:sz w:val="20"/>
                <w:szCs w:val="20"/>
                <w:color w:val="auto"/>
              </w:rPr>
            </w:pPr>
            <w:r>
              <w:rPr>
                <w:rFonts w:ascii="Arial" w:cs="Arial" w:eastAsia="Arial" w:hAnsi="Arial"/>
                <w:sz w:val="14"/>
                <w:szCs w:val="14"/>
                <w:b w:val="1"/>
                <w:bCs w:val="1"/>
                <w:color w:val="auto"/>
              </w:rPr>
              <w:t>December 31,</w:t>
            </w:r>
          </w:p>
        </w:tc>
        <w:tc>
          <w:tcPr>
            <w:tcW w:w="98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North America</w:t>
            </w:r>
          </w:p>
        </w:tc>
        <w:tc>
          <w:tcPr>
            <w:tcW w:w="2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528.0</w:t>
            </w:r>
          </w:p>
        </w:tc>
        <w:tc>
          <w:tcPr>
            <w:tcW w:w="320" w:type="dxa"/>
            <w:vAlign w:val="bottom"/>
            <w:tcBorders>
              <w:left w:val="single" w:sz="8" w:color="CCEEFF"/>
            </w:tcBorders>
            <w:shd w:val="clear" w:color="auto" w:fill="CCEEFF"/>
          </w:tcPr>
          <w:p>
            <w:pPr>
              <w:spacing w:after="0"/>
              <w:rPr>
                <w:sz w:val="17"/>
                <w:szCs w:val="17"/>
                <w:color w:val="auto"/>
              </w:rPr>
            </w:pPr>
          </w:p>
        </w:tc>
        <w:tc>
          <w:tcPr>
            <w:tcW w:w="4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527.7</w:t>
            </w:r>
          </w:p>
        </w:tc>
        <w:tc>
          <w:tcPr>
            <w:tcW w:w="560" w:type="dxa"/>
            <w:vAlign w:val="bottom"/>
            <w:gridSpan w:val="2"/>
            <w:shd w:val="clear" w:color="auto" w:fill="CCEEFF"/>
          </w:tcPr>
          <w:p>
            <w:pPr>
              <w:ind w:left="44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560"/>
              <w:spacing w:after="0" w:line="196" w:lineRule="exact"/>
              <w:rPr>
                <w:sz w:val="20"/>
                <w:szCs w:val="20"/>
                <w:color w:val="auto"/>
              </w:rPr>
            </w:pPr>
            <w:r>
              <w:rPr>
                <w:rFonts w:ascii="Arial" w:cs="Arial" w:eastAsia="Arial" w:hAnsi="Arial"/>
                <w:sz w:val="18"/>
                <w:szCs w:val="18"/>
                <w:color w:val="auto"/>
              </w:rPr>
              <w:t>539.8</w:t>
            </w:r>
          </w:p>
        </w:tc>
        <w:tc>
          <w:tcPr>
            <w:tcW w:w="260" w:type="dxa"/>
            <w:vAlign w:val="bottom"/>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20"/>
              <w:spacing w:after="0" w:line="196" w:lineRule="exact"/>
              <w:rPr>
                <w:sz w:val="20"/>
                <w:szCs w:val="20"/>
                <w:color w:val="auto"/>
              </w:rPr>
            </w:pPr>
            <w:r>
              <w:rPr>
                <w:rFonts w:ascii="Arial" w:cs="Arial" w:eastAsia="Arial" w:hAnsi="Arial"/>
                <w:sz w:val="18"/>
                <w:szCs w:val="18"/>
                <w:color w:val="auto"/>
              </w:rPr>
              <w:t>561.6</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558.7</w:t>
            </w:r>
          </w:p>
        </w:tc>
        <w:tc>
          <w:tcPr>
            <w:tcW w:w="0" w:type="dxa"/>
            <w:vAlign w:val="bottom"/>
          </w:tcPr>
          <w:p>
            <w:pPr>
              <w:spacing w:after="0"/>
              <w:rPr>
                <w:sz w:val="1"/>
                <w:szCs w:val="1"/>
                <w:color w:val="auto"/>
              </w:rPr>
            </w:pP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Europe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93.0</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84.4</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105.0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111.4</w:t>
            </w:r>
          </w:p>
        </w:tc>
        <w:tc>
          <w:tcPr>
            <w:tcW w:w="22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Rest of World</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86.4</w:t>
            </w:r>
          </w:p>
        </w:tc>
        <w:tc>
          <w:tcPr>
            <w:tcW w:w="320" w:type="dxa"/>
            <w:vAlign w:val="bottom"/>
            <w:tcBorders>
              <w:lef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78.2</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66.3</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80.8</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tcPr>
          <w:p>
            <w:pPr>
              <w:spacing w:after="0"/>
              <w:rPr>
                <w:sz w:val="20"/>
                <w:szCs w:val="20"/>
                <w:color w:val="auto"/>
              </w:rPr>
            </w:pPr>
            <w:r>
              <w:rPr>
                <w:rFonts w:ascii="Arial" w:cs="Arial" w:eastAsia="Arial" w:hAnsi="Arial"/>
                <w:sz w:val="18"/>
                <w:szCs w:val="18"/>
                <w:color w:val="auto"/>
              </w:rPr>
              <w:t>Total Revenue</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707.4</w:t>
            </w:r>
          </w:p>
        </w:tc>
        <w:tc>
          <w:tcPr>
            <w:tcW w:w="3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690.3</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711.1</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753.8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825.3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ind w:left="76"/>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2"/>
                <w:szCs w:val="12"/>
                <w:color w:val="auto"/>
              </w:rPr>
            </w:pPr>
          </w:p>
        </w:tc>
        <w:tc>
          <w:tcPr>
            <w:tcW w:w="860" w:type="dxa"/>
            <w:vAlign w:val="bottom"/>
            <w:gridSpan w:val="3"/>
          </w:tcPr>
          <w:p>
            <w:pPr>
              <w:jc w:val="center"/>
              <w:ind w:right="200"/>
              <w:spacing w:after="0" w:line="143" w:lineRule="exact"/>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2"/>
                <w:szCs w:val="12"/>
                <w:color w:val="auto"/>
              </w:rPr>
            </w:pPr>
          </w:p>
        </w:tc>
        <w:tc>
          <w:tcPr>
            <w:tcW w:w="124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March 31,</w:t>
            </w:r>
          </w:p>
        </w:tc>
        <w:tc>
          <w:tcPr>
            <w:tcW w:w="1620" w:type="dxa"/>
            <w:vAlign w:val="bottom"/>
            <w:gridSpan w:val="4"/>
          </w:tcPr>
          <w:p>
            <w:pPr>
              <w:ind w:left="60"/>
              <w:spacing w:after="0" w:line="143" w:lineRule="exact"/>
              <w:rPr>
                <w:sz w:val="20"/>
                <w:szCs w:val="20"/>
                <w:color w:val="auto"/>
              </w:rPr>
            </w:pPr>
            <w:r>
              <w:rPr>
                <w:rFonts w:ascii="Arial" w:cs="Arial" w:eastAsia="Arial" w:hAnsi="Arial"/>
                <w:sz w:val="14"/>
                <w:szCs w:val="14"/>
                <w:b w:val="1"/>
                <w:bCs w:val="1"/>
                <w:color w:val="auto"/>
              </w:rPr>
              <w:t>December 31,</w:t>
            </w:r>
          </w:p>
        </w:tc>
        <w:tc>
          <w:tcPr>
            <w:tcW w:w="98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Customer Experience</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tcBorders>
              <w:lef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ind w:left="220"/>
              <w:spacing w:after="0" w:line="202" w:lineRule="exact"/>
              <w:rPr>
                <w:sz w:val="20"/>
                <w:szCs w:val="20"/>
                <w:color w:val="auto"/>
              </w:rPr>
            </w:pPr>
            <w:r>
              <w:rPr>
                <w:rFonts w:ascii="Arial" w:cs="Arial" w:eastAsia="Arial" w:hAnsi="Arial"/>
                <w:sz w:val="18"/>
                <w:szCs w:val="18"/>
                <w:color w:val="auto"/>
              </w:rPr>
              <w:t>Systems</w:t>
            </w:r>
          </w:p>
        </w:tc>
        <w:tc>
          <w:tcPr>
            <w:tcW w:w="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668.6</w:t>
            </w: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647.9</w:t>
            </w:r>
          </w:p>
        </w:tc>
        <w:tc>
          <w:tcPr>
            <w:tcW w:w="560" w:type="dxa"/>
            <w:vAlign w:val="bottom"/>
            <w:gridSpan w:val="2"/>
          </w:tcPr>
          <w:p>
            <w:pPr>
              <w:ind w:left="44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668.0</w:t>
            </w:r>
          </w:p>
        </w:tc>
        <w:tc>
          <w:tcPr>
            <w:tcW w:w="26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701.0</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756.5</w:t>
            </w:r>
          </w:p>
        </w:tc>
        <w:tc>
          <w:tcPr>
            <w:tcW w:w="0" w:type="dxa"/>
            <w:vAlign w:val="bottom"/>
          </w:tcPr>
          <w:p>
            <w:pPr>
              <w:spacing w:after="0"/>
              <w:rPr>
                <w:sz w:val="1"/>
                <w:szCs w:val="1"/>
                <w:color w:val="auto"/>
              </w:rPr>
            </w:pPr>
          </w:p>
        </w:tc>
      </w:tr>
      <w:tr>
        <w:trPr>
          <w:trHeight w:val="203"/>
        </w:trPr>
        <w:tc>
          <w:tcPr>
            <w:tcW w:w="4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Directory</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38.8</w:t>
            </w:r>
          </w:p>
        </w:tc>
        <w:tc>
          <w:tcPr>
            <w:tcW w:w="320" w:type="dxa"/>
            <w:vAlign w:val="bottom"/>
            <w:tcBorders>
              <w:lef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42.4</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43.1</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52.8</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tcPr>
          <w:p>
            <w:pPr>
              <w:spacing w:after="0"/>
              <w:rPr>
                <w:sz w:val="20"/>
                <w:szCs w:val="20"/>
                <w:color w:val="auto"/>
              </w:rPr>
            </w:pPr>
            <w:r>
              <w:rPr>
                <w:rFonts w:ascii="Arial" w:cs="Arial" w:eastAsia="Arial" w:hAnsi="Arial"/>
                <w:sz w:val="18"/>
                <w:szCs w:val="18"/>
                <w:color w:val="auto"/>
              </w:rPr>
              <w:t>Total Revenue</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707.4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690.3</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711.1</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753.8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825.3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As of</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2"/>
                <w:szCs w:val="12"/>
                <w:color w:val="auto"/>
              </w:rPr>
            </w:pPr>
          </w:p>
        </w:tc>
        <w:tc>
          <w:tcPr>
            <w:tcW w:w="860" w:type="dxa"/>
            <w:vAlign w:val="bottom"/>
            <w:gridSpan w:val="3"/>
          </w:tcPr>
          <w:p>
            <w:pPr>
              <w:jc w:val="center"/>
              <w:ind w:right="200"/>
              <w:spacing w:after="0" w:line="143" w:lineRule="exact"/>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2"/>
                <w:szCs w:val="12"/>
                <w:color w:val="auto"/>
              </w:rPr>
            </w:pPr>
          </w:p>
        </w:tc>
        <w:tc>
          <w:tcPr>
            <w:tcW w:w="124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March 31,</w:t>
            </w:r>
          </w:p>
        </w:tc>
        <w:tc>
          <w:tcPr>
            <w:tcW w:w="1620" w:type="dxa"/>
            <w:vAlign w:val="bottom"/>
            <w:gridSpan w:val="4"/>
          </w:tcPr>
          <w:p>
            <w:pPr>
              <w:ind w:left="60"/>
              <w:spacing w:after="0" w:line="143" w:lineRule="exact"/>
              <w:rPr>
                <w:sz w:val="20"/>
                <w:szCs w:val="20"/>
                <w:color w:val="auto"/>
              </w:rPr>
            </w:pPr>
            <w:r>
              <w:rPr>
                <w:rFonts w:ascii="Arial" w:cs="Arial" w:eastAsia="Arial" w:hAnsi="Arial"/>
                <w:sz w:val="14"/>
                <w:szCs w:val="14"/>
                <w:b w:val="1"/>
                <w:bCs w:val="1"/>
                <w:color w:val="auto"/>
              </w:rPr>
              <w:t>December 31,</w:t>
            </w:r>
          </w:p>
        </w:tc>
        <w:tc>
          <w:tcPr>
            <w:tcW w:w="98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600" w:type="dxa"/>
            <w:vAlign w:val="bottom"/>
            <w:vMerge w:val="restart"/>
          </w:tcPr>
          <w:p>
            <w:pPr>
              <w:spacing w:after="0"/>
              <w:rPr>
                <w:sz w:val="20"/>
                <w:szCs w:val="20"/>
                <w:color w:val="auto"/>
              </w:rPr>
            </w:pPr>
            <w:r>
              <w:rPr>
                <w:rFonts w:ascii="Arial" w:cs="Arial" w:eastAsia="Arial" w:hAnsi="Arial"/>
                <w:sz w:val="18"/>
                <w:szCs w:val="18"/>
                <w:color w:val="auto"/>
              </w:rPr>
              <w:t>12-Month Backlog</w:t>
            </w: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00" w:type="dxa"/>
            <w:vAlign w:val="bottom"/>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2,385</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2,370</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2,370</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2,400</w:t>
            </w:r>
          </w:p>
        </w:tc>
        <w:tc>
          <w:tcPr>
            <w:tcW w:w="62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 #</w:t>
      </w:r>
    </w:p>
    <w:sectPr>
      <w:pgSz w:w="11900" w:h="16838" w:orient="portrait"/>
      <w:cols w:equalWidth="0" w:num="1">
        <w:col w:w="11420"/>
      </w:cols>
      <w:pgMar w:left="240" w:top="9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2019-12-10T16:18:31Z</dcterms:created>
  <dcterms:modified xsi:type="dcterms:W3CDTF">2019-12-10T16:18:31Z</dcterms:modified>
</cp:coreProperties>
</file>