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AMDOCS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G02602103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G02602103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PZENA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4,401,835.00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6,482,552.00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6,482,552.00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AMDOCS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HIRZEL HOUSE, SMITH STREET, ST. PETER PORT, GUERNSEY, UNITED KINGDOM, GY1 2NG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Pzena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320 Park Avenue, 8th floor New York, NY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New York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G02602103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6,482,552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7"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4,401,835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6,482,552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CLIENTS OF THE FILING INVESTMENT MANAGER HAVE THE RIGHT TO RECEIVE AND THE ULTIMATE POWER TO DIRECT THE RECEIPT OF DIVIDENDS FROM, OR THE PROCEEDS OF SALE OF THE SECURITIES REPORTED ON HEREINABOVE. NO INTEREST OF ANY ONE OF SUCH CLIENTS RELATES TO MORE THAN FIVE PERCENT OF THE CLASS.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7"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67" w:orient="portrait"/>
          <w:cols w:equalWidth="0" w:num="1">
            <w:col w:w="11140"/>
          </w:cols>
          <w:pgMar w:left="360" w:top="111" w:right="399" w:bottom="0" w:gutter="0" w:footer="0" w:header="0"/>
          <w:type w:val="continuous"/>
        </w:sectPr>
      </w:pPr>
    </w:p>
    <w:bookmarkStart w:id="3" w:name="page4"/>
    <w:bookmarkEnd w:id="3"/>
    <w:p>
      <w:pPr>
        <w:ind w:left="3320"/>
        <w:spacing w:after="0"/>
        <w:rPr>
          <w:sz w:val="20"/>
          <w:szCs w:val="20"/>
          <w:color w:val="auto"/>
        </w:rPr>
      </w:pPr>
      <w:r>
        <w:rPr>
          <w:rFonts w:ascii="Times New Roman" w:cs="Times New Roman" w:eastAsia="Times New Roman" w:hAnsi="Times New Roman"/>
          <w:sz w:val="22"/>
          <w:szCs w:val="22"/>
          <w:color w:val="auto"/>
        </w:rPr>
        <w:t>PZENA INVESTMENT MANAGEMENT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s/Steven Coffey</w:t>
      </w:r>
    </w:p>
    <w:p>
      <w:pPr>
        <w:spacing w:after="0" w:line="29" w:lineRule="exact"/>
        <w:rPr>
          <w:sz w:val="20"/>
          <w:szCs w:val="20"/>
          <w:color w:val="auto"/>
        </w:rPr>
      </w:pPr>
    </w:p>
    <w:p>
      <w:pPr>
        <w:ind w:left="5660" w:hanging="1093"/>
        <w:spacing w:after="0" w:line="181" w:lineRule="auto"/>
        <w:rPr>
          <w:sz w:val="20"/>
          <w:szCs w:val="20"/>
          <w:color w:val="auto"/>
        </w:rPr>
      </w:pPr>
      <w:r>
        <w:rPr>
          <w:rFonts w:ascii="Times New Roman" w:cs="Times New Roman" w:eastAsia="Times New Roman" w:hAnsi="Times New Roman"/>
          <w:sz w:val="41"/>
          <w:szCs w:val="41"/>
          <w:color w:val="auto"/>
          <w:vertAlign w:val="subscript"/>
        </w:rPr>
        <w:t>Name/Title:</w:t>
      </w:r>
      <w:r>
        <w:rPr>
          <w:rFonts w:ascii="Times New Roman" w:cs="Times New Roman" w:eastAsia="Times New Roman" w:hAnsi="Times New Roman"/>
          <w:sz w:val="21"/>
          <w:szCs w:val="21"/>
          <w:color w:val="auto"/>
        </w:rPr>
        <w:t xml:space="preserve"> Chief Legal Risk Officer &amp; Chief Compliance Officer</w:t>
      </w:r>
    </w:p>
    <w:p>
      <w:pPr>
        <w:spacing w:after="0" w:line="1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10/21/2024</w:t>
      </w:r>
    </w:p>
    <w:sectPr>
      <w:pgSz w:w="11900" w:h="16838" w:orient="portrait"/>
      <w:cols w:equalWidth="0" w:num="1">
        <w:col w:w="9660"/>
      </w:cols>
      <w:pgMar w:left="1440" w:top="477"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2024-10-21T12:44:04Z</dcterms:created>
  <dcterms:modified xsi:type="dcterms:W3CDTF">2024-10-21T12:44:04Z</dcterms:modified>
</cp:coreProperties>
</file>