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SECURITIES AND EXCHANGE COMMISSION</w:t>
      </w:r>
    </w:p>
    <w:p>
      <w:pPr>
        <w:ind w:left="42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PURSUANT TO RULE 13a-16 OR 15d-16</w:t>
      </w:r>
    </w:p>
    <w:p>
      <w:pPr>
        <w:jc w:val="center"/>
        <w:ind w:right="-43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For the month of July, 2018</w:t>
      </w:r>
    </w:p>
    <w:p>
      <w:pPr>
        <w:spacing w:after="0" w:line="225"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240665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ind w:left="3540"/>
        <w:spacing w:after="0"/>
        <w:rPr>
          <w:sz w:val="20"/>
          <w:szCs w:val="20"/>
          <w:color w:val="auto"/>
        </w:rPr>
      </w:pPr>
      <w:r>
        <w:rPr>
          <w:rFonts w:ascii="Arial" w:cs="Arial" w:eastAsia="Arial" w:hAnsi="Arial"/>
          <w:sz w:val="43"/>
          <w:szCs w:val="43"/>
          <w:b w:val="1"/>
          <w:bCs w:val="1"/>
          <w:color w:val="auto"/>
        </w:rPr>
        <w:t>AMDOCS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262255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Hirzel House, Smith Street,</w:t>
      </w:r>
    </w:p>
    <w:p>
      <w:pPr>
        <w:spacing w:after="0" w:line="27"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St. Peter Port, Island of Guernsey, GY1 2NG</w:t>
      </w:r>
    </w:p>
    <w:p>
      <w:pPr>
        <w:spacing w:after="0" w:line="207"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Amdocs, Inc.</w:t>
      </w:r>
    </w:p>
    <w:p>
      <w:pPr>
        <w:spacing w:after="0" w:line="27"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1390 Timberlake Manor Parkway, Chesterfield, Missouri 63017</w:t>
      </w:r>
    </w:p>
    <w:p>
      <w:pPr>
        <w:spacing w:after="0" w:line="2" w:lineRule="exact"/>
        <w:rPr>
          <w:sz w:val="24"/>
          <w:szCs w:val="24"/>
          <w:color w:val="auto"/>
        </w:rPr>
      </w:pPr>
    </w:p>
    <w:p>
      <w:pPr>
        <w:ind w:left="43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4080"/>
        <w:spacing w:after="0" w:line="207" w:lineRule="exact"/>
        <w:tabs>
          <w:tab w:leader="none" w:pos="57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by furnishing the information contained in this form is also thereby furnishing the information to the</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Commission pursuant to Rule 12g3-2(b) under the Securities Exchange Act of 1934:</w:t>
      </w:r>
    </w:p>
    <w:p>
      <w:pPr>
        <w:spacing w:after="0" w:line="178" w:lineRule="exact"/>
        <w:rPr>
          <w:sz w:val="24"/>
          <w:szCs w:val="24"/>
          <w:color w:val="auto"/>
        </w:rPr>
      </w:pPr>
    </w:p>
    <w:p>
      <w:pPr>
        <w:ind w:left="4660"/>
        <w:spacing w:after="0" w:line="207" w:lineRule="exact"/>
        <w:tabs>
          <w:tab w:leader="none" w:pos="58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82-_________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220980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580"/>
          </w:cols>
          <w:pgMar w:left="440" w:top="368" w:right="879" w:bottom="1440" w:gutter="0" w:footer="0" w:header="0"/>
        </w:sectPr>
      </w:pPr>
    </w:p>
    <w:bookmarkStart w:id="1" w:name="page2"/>
    <w:bookmarkEnd w:id="1"/>
    <w:p>
      <w:pPr>
        <w:ind w:right="1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July 31, 2018, Amdocs Limited (“Amdocs”) issued a press release announcing financial results for the quarter ended June 30, 2018. A copy of the press release is furnished as Exhibit 99.1 to this Report of Foreign Private Issuer on Form 6-K.</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information in this Form 6-K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ectPr>
          <w:pgSz w:w="11900" w:h="16838" w:orient="portrait"/>
          <w:cols w:equalWidth="0" w:num="1">
            <w:col w:w="10920"/>
          </w:cols>
          <w:pgMar w:left="440" w:top="274" w:right="539" w:bottom="1440" w:gutter="0" w:footer="0" w:header="0"/>
        </w:sectPr>
      </w:pPr>
    </w:p>
    <w:bookmarkStart w:id="2" w:name="page3"/>
    <w:bookmarkEnd w:id="2"/>
    <w:p>
      <w:pPr>
        <w:ind w:left="49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Matthew E. Smith</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i w:val="1"/>
          <w:iCs w:val="1"/>
          <w:color w:val="auto"/>
        </w:rPr>
        <w:t>Secretary and Authorized Signatory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July 31, 2018</w:t>
      </w:r>
    </w:p>
    <w:p>
      <w:pPr>
        <w:sectPr>
          <w:pgSz w:w="11900" w:h="16838" w:orient="portrait"/>
          <w:cols w:equalWidth="0" w:num="1">
            <w:col w:w="10280"/>
          </w:cols>
          <w:pgMar w:left="440" w:top="270" w:right="11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820" w:type="dxa"/>
            <w:vAlign w:val="bottom"/>
          </w:tcPr>
          <w:p>
            <w:pPr>
              <w:ind w:left="3640"/>
              <w:spacing w:after="0"/>
              <w:rPr>
                <w:sz w:val="20"/>
                <w:szCs w:val="20"/>
                <w:color w:val="auto"/>
              </w:rPr>
            </w:pPr>
            <w:r>
              <w:rPr>
                <w:rFonts w:ascii="Arial" w:cs="Arial" w:eastAsia="Arial" w:hAnsi="Arial"/>
                <w:sz w:val="18"/>
                <w:szCs w:val="18"/>
                <w:color w:val="auto"/>
              </w:rPr>
              <w:t>EXHIBIT INDEX</w:t>
            </w:r>
          </w:p>
        </w:tc>
      </w:tr>
      <w:tr>
        <w:trPr>
          <w:trHeight w:val="373"/>
        </w:trPr>
        <w:tc>
          <w:tcPr>
            <w:tcW w:w="600" w:type="dxa"/>
            <w:vAlign w:val="bottom"/>
          </w:tcPr>
          <w:p>
            <w:pPr>
              <w:spacing w:after="0"/>
              <w:rPr>
                <w:sz w:val="20"/>
                <w:szCs w:val="20"/>
                <w:color w:val="auto"/>
              </w:rPr>
            </w:pPr>
            <w:r>
              <w:rPr>
                <w:rFonts w:ascii="Arial" w:cs="Arial" w:eastAsia="Arial" w:hAnsi="Arial"/>
                <w:sz w:val="14"/>
                <w:szCs w:val="14"/>
                <w:color w:val="auto"/>
              </w:rPr>
              <w:t>EXHIBIT</w:t>
            </w:r>
          </w:p>
        </w:tc>
        <w:tc>
          <w:tcPr>
            <w:tcW w:w="620" w:type="dxa"/>
            <w:vAlign w:val="bottom"/>
          </w:tcPr>
          <w:p>
            <w:pPr>
              <w:spacing w:after="0"/>
              <w:rPr>
                <w:sz w:val="24"/>
                <w:szCs w:val="24"/>
                <w:color w:val="auto"/>
              </w:rPr>
            </w:pPr>
          </w:p>
        </w:tc>
        <w:tc>
          <w:tcPr>
            <w:tcW w:w="9820" w:type="dxa"/>
            <w:vAlign w:val="bottom"/>
          </w:tcPr>
          <w:p>
            <w:pPr>
              <w:spacing w:after="0"/>
              <w:rPr>
                <w:sz w:val="24"/>
                <w:szCs w:val="24"/>
                <w:color w:val="auto"/>
              </w:rPr>
            </w:pPr>
          </w:p>
        </w:tc>
      </w:tr>
      <w:tr>
        <w:trPr>
          <w:trHeight w:val="187"/>
        </w:trPr>
        <w:tc>
          <w:tcPr>
            <w:tcW w:w="6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NO.</w:t>
            </w:r>
          </w:p>
        </w:tc>
        <w:tc>
          <w:tcPr>
            <w:tcW w:w="620" w:type="dxa"/>
            <w:vAlign w:val="bottom"/>
          </w:tcPr>
          <w:p>
            <w:pPr>
              <w:spacing w:after="0"/>
              <w:rPr>
                <w:sz w:val="16"/>
                <w:szCs w:val="16"/>
                <w:color w:val="auto"/>
              </w:rPr>
            </w:pPr>
          </w:p>
        </w:tc>
        <w:tc>
          <w:tcPr>
            <w:tcW w:w="9820" w:type="dxa"/>
            <w:vAlign w:val="bottom"/>
            <w:tcBorders>
              <w:bottom w:val="single" w:sz="8" w:color="auto"/>
            </w:tcBorders>
          </w:tcPr>
          <w:p>
            <w:pPr>
              <w:ind w:left="4440"/>
              <w:spacing w:after="0"/>
              <w:rPr>
                <w:sz w:val="20"/>
                <w:szCs w:val="20"/>
                <w:color w:val="auto"/>
              </w:rPr>
            </w:pPr>
            <w:r>
              <w:rPr>
                <w:rFonts w:ascii="Arial" w:cs="Arial" w:eastAsia="Arial" w:hAnsi="Arial"/>
                <w:sz w:val="14"/>
                <w:szCs w:val="14"/>
                <w:color w:val="auto"/>
              </w:rPr>
              <w:t>DESCRIPTION</w:t>
            </w:r>
          </w:p>
        </w:tc>
      </w:tr>
      <w:tr>
        <w:trPr>
          <w:trHeight w:val="217"/>
        </w:trPr>
        <w:tc>
          <w:tcPr>
            <w:tcW w:w="600" w:type="dxa"/>
            <w:vAlign w:val="bottom"/>
          </w:tcPr>
          <w:p>
            <w:pPr>
              <w:spacing w:after="0"/>
              <w:rPr>
                <w:sz w:val="20"/>
                <w:szCs w:val="20"/>
                <w:color w:val="auto"/>
              </w:rPr>
            </w:pPr>
            <w:r>
              <w:rPr>
                <w:rFonts w:ascii="Arial" w:cs="Arial" w:eastAsia="Arial" w:hAnsi="Arial"/>
                <w:sz w:val="18"/>
                <w:szCs w:val="18"/>
                <w:color w:val="auto"/>
              </w:rPr>
              <w:t>99.1</w:t>
            </w:r>
          </w:p>
        </w:tc>
        <w:tc>
          <w:tcPr>
            <w:tcW w:w="620" w:type="dxa"/>
            <w:vAlign w:val="bottom"/>
          </w:tcPr>
          <w:p>
            <w:pPr>
              <w:spacing w:after="0"/>
              <w:rPr>
                <w:sz w:val="18"/>
                <w:szCs w:val="18"/>
                <w:color w:val="auto"/>
              </w:rPr>
            </w:pPr>
          </w:p>
        </w:tc>
        <w:tc>
          <w:tcPr>
            <w:tcW w:w="9820" w:type="dxa"/>
            <w:vAlign w:val="bottom"/>
          </w:tcPr>
          <w:p>
            <w:pPr>
              <w:spacing w:after="0"/>
              <w:rPr>
                <w:sz w:val="20"/>
                <w:szCs w:val="20"/>
                <w:color w:val="auto"/>
              </w:rPr>
            </w:pPr>
            <w:r>
              <w:rPr>
                <w:rFonts w:ascii="Arial" w:cs="Arial" w:eastAsia="Arial" w:hAnsi="Arial"/>
                <w:sz w:val="18"/>
                <w:szCs w:val="18"/>
                <w:color w:val="auto"/>
              </w:rPr>
              <w:t>Amdocs Limited Press Release dated July 31, 2018.</w:t>
            </w:r>
          </w:p>
        </w:tc>
      </w:tr>
    </w:tbl>
    <w:p>
      <w:pPr>
        <w:spacing w:after="0"/>
        <w:rPr>
          <w:sz w:val="20"/>
          <w:szCs w:val="20"/>
          <w:color w:val="auto"/>
        </w:rPr>
        <w:sectPr>
          <w:pgSz w:w="11900" w:h="16838" w:orient="portrait"/>
          <w:cols w:equalWidth="0" w:num="1">
            <w:col w:w="11040"/>
          </w:cols>
          <w:pgMar w:left="440" w:top="274" w:right="4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 w:name="page5"/>
    <w:bookmarkEnd w:id="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172085</wp:posOffset>
            </wp:positionV>
            <wp:extent cx="5994400" cy="12947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94400" cy="1294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left="460" w:right="2500"/>
        <w:spacing w:after="0" w:line="259" w:lineRule="auto"/>
        <w:rPr>
          <w:sz w:val="20"/>
          <w:szCs w:val="20"/>
          <w:color w:val="auto"/>
        </w:rPr>
      </w:pPr>
      <w:r>
        <w:rPr>
          <w:rFonts w:ascii="Arial" w:cs="Arial" w:eastAsia="Arial" w:hAnsi="Arial"/>
          <w:sz w:val="18"/>
          <w:szCs w:val="18"/>
          <w:b w:val="1"/>
          <w:bCs w:val="1"/>
          <w:i w:val="1"/>
          <w:iCs w:val="1"/>
          <w:color w:val="auto"/>
        </w:rPr>
        <w:t>Amdocs Limited Reports Third Quarter Fiscal 2018 Results Record Quarterly Revenue Exceeding $1B for First Time Expects Fiscal 2018 GAAP Diluted EPS Growth Outlook of (3.0)%-0.0% YoY Expects Fiscal 2018 Non-GAAP Diluted EPS Growth Outlook of 5.0%-7.0% YoY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Fiscal 2018 Highlights</w:t>
      </w:r>
    </w:p>
    <w:p>
      <w:pPr>
        <w:spacing w:after="0" w:line="135" w:lineRule="exact"/>
        <w:rPr>
          <w:sz w:val="20"/>
          <w:szCs w:val="20"/>
          <w:color w:val="auto"/>
        </w:rPr>
      </w:pPr>
    </w:p>
    <w:p>
      <w:pPr>
        <w:ind w:left="860" w:right="160" w:hanging="316"/>
        <w:spacing w:after="0" w:line="264" w:lineRule="auto"/>
        <w:tabs>
          <w:tab w:leader="none" w:pos="8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Revenue of $1 billion, at the midpoint of the $990-$1,030 million guidance range adjusting for the negative impact from foreign currency movements of approximately $9 million relative to the second quarter of fiscal 2018. Revenue guidance had included a minimal sequential impact from foreign currency fluctuations</w:t>
      </w:r>
    </w:p>
    <w:p>
      <w:pPr>
        <w:spacing w:after="0" w:line="86" w:lineRule="exact"/>
        <w:rPr>
          <w:rFonts w:ascii="Arial" w:cs="Arial" w:eastAsia="Arial" w:hAnsi="Arial"/>
          <w:sz w:val="18"/>
          <w:szCs w:val="18"/>
          <w:color w:val="auto"/>
        </w:rPr>
      </w:pPr>
    </w:p>
    <w:p>
      <w:pPr>
        <w:ind w:left="860" w:hanging="316"/>
        <w:spacing w:after="0"/>
        <w:tabs>
          <w:tab w:leader="none" w:pos="860" w:val="left"/>
        </w:tabs>
        <w:numPr>
          <w:ilvl w:val="0"/>
          <w:numId w:val="1"/>
        </w:numPr>
        <w:rPr>
          <w:rFonts w:ascii="Arial" w:cs="Arial" w:eastAsia="Arial" w:hAnsi="Arial"/>
          <w:sz w:val="18"/>
          <w:szCs w:val="18"/>
          <w:color w:val="auto"/>
        </w:rPr>
      </w:pPr>
      <w:r>
        <w:rPr>
          <w:rFonts w:ascii="Arial" w:cs="Arial" w:eastAsia="Arial" w:hAnsi="Arial"/>
          <w:sz w:val="18"/>
          <w:szCs w:val="18"/>
          <w:color w:val="auto"/>
        </w:rPr>
        <w:t>GAAP diluted EPS of $0.64, below the $0.71-$0.81 guidance range due to nonrecurring restructuring charges, net of tax effects</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Non-GAAP diluted EPS of $1.03, at the midpoint of the $1.00-$1.06 guidance range</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1"/>
        </w:numPr>
        <w:rPr>
          <w:rFonts w:ascii="Arial" w:cs="Arial" w:eastAsia="Arial" w:hAnsi="Arial"/>
          <w:sz w:val="18"/>
          <w:szCs w:val="18"/>
          <w:color w:val="auto"/>
        </w:rPr>
      </w:pPr>
      <w:r>
        <w:rPr>
          <w:rFonts w:ascii="Arial" w:cs="Arial" w:eastAsia="Arial" w:hAnsi="Arial"/>
          <w:sz w:val="18"/>
          <w:szCs w:val="18"/>
          <w:color w:val="auto"/>
        </w:rPr>
        <w:t>GAAP operating income of $106 million; GAAP operating margin of 10.5%</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Non-GAAP operating income of $174 million; non-GAAP operating margin of 17.3%</w:t>
      </w:r>
    </w:p>
    <w:p>
      <w:pPr>
        <w:spacing w:after="0" w:line="130" w:lineRule="exact"/>
        <w:rPr>
          <w:rFonts w:ascii="Arial" w:cs="Arial" w:eastAsia="Arial" w:hAnsi="Arial"/>
          <w:sz w:val="18"/>
          <w:szCs w:val="18"/>
          <w:color w:val="auto"/>
        </w:rPr>
      </w:pPr>
    </w:p>
    <w:p>
      <w:pPr>
        <w:ind w:left="860" w:right="320" w:hanging="316"/>
        <w:spacing w:after="0" w:line="277" w:lineRule="auto"/>
        <w:tabs>
          <w:tab w:leader="none" w:pos="860" w:val="left"/>
        </w:tabs>
        <w:numPr>
          <w:ilvl w:val="0"/>
          <w:numId w:val="1"/>
        </w:numPr>
        <w:rPr>
          <w:rFonts w:ascii="Arial" w:cs="Arial" w:eastAsia="Arial" w:hAnsi="Arial"/>
          <w:sz w:val="18"/>
          <w:szCs w:val="18"/>
          <w:color w:val="auto"/>
        </w:rPr>
      </w:pPr>
      <w:r>
        <w:rPr>
          <w:rFonts w:ascii="Arial" w:cs="Arial" w:eastAsia="Arial" w:hAnsi="Arial"/>
          <w:sz w:val="18"/>
          <w:szCs w:val="18"/>
          <w:color w:val="auto"/>
        </w:rPr>
        <w:t>Free cash flow of $128 million, comprised of cash flow from operations of $164 million, less $36 million in net capital expenditures and other</w:t>
      </w:r>
    </w:p>
    <w:p>
      <w:pPr>
        <w:spacing w:after="0" w:line="75" w:lineRule="exact"/>
        <w:rPr>
          <w:rFonts w:ascii="Arial" w:cs="Arial" w:eastAsia="Arial" w:hAnsi="Arial"/>
          <w:sz w:val="18"/>
          <w:szCs w:val="18"/>
          <w:color w:val="auto"/>
        </w:rPr>
      </w:pPr>
    </w:p>
    <w:p>
      <w:pPr>
        <w:ind w:left="860" w:hanging="316"/>
        <w:spacing w:after="0"/>
        <w:tabs>
          <w:tab w:leader="none" w:pos="8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Twelve-month backlog of $3.33 billion, up $10 million sequentially</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cash dividend of $0.25 per share, to be paid on October 19, 2018</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ST. LOUIS – July 31, 2018 </w:t>
      </w:r>
      <w:r>
        <w:rPr>
          <w:rFonts w:ascii="Arial" w:cs="Arial" w:eastAsia="Arial" w:hAnsi="Arial"/>
          <w:sz w:val="17"/>
          <w:szCs w:val="17"/>
          <w:color w:val="auto"/>
        </w:rPr>
        <w:t>– Amdocs Limited (NASDAQ: DOX) today reported operating results for the three months ended June 30, 2018.</w:t>
      </w:r>
    </w:p>
    <w:p>
      <w:pPr>
        <w:spacing w:after="0" w:line="24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are pleased to report a solid performance in our third fiscal quarter. Revenue exceeded $1 billion for the first time in our history and was in line with the midpoint of our guidance adjusting for currency. On a regional basis, North America showed some early signs of stabilization while Europe and Rest of World delivered solid year-over-year growth that reflected the benefit of recent customer awards and our continued focus on project delivery and execution,” said Eli Gelman, president and chief executive officer of Amdocs Management Limited.</w:t>
      </w:r>
    </w:p>
    <w:p>
      <w:pPr>
        <w:sectPr>
          <w:pgSz w:w="11900" w:h="16838" w:orient="portrait"/>
          <w:cols w:equalWidth="0" w:num="1">
            <w:col w:w="11020"/>
          </w:cols>
          <w:pgMar w:left="440" w:top="270" w:right="439" w:bottom="1440" w:gutter="0" w:footer="0" w:header="0"/>
        </w:sectPr>
      </w:pPr>
    </w:p>
    <w:bookmarkStart w:id="5" w:name="page6"/>
    <w:bookmarkEnd w:id="5"/>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Gelman continued, “Q3 included positive developments relating to Network Functions Virtualization (NFV). First, we are today excited to announce that Amdocs is supporting the commercial availability of Comcast’s software-defined wide area networking (SD-WAN) service for enterprise businesses which leverages Amdocs’ leading NFV portfolio of orchestration, fulfillment and automation capabilities. Second, Telstra has partnered with Amdocs to implement a next generation OSS platform for its B2B line of business that will enable Telstra’s network domains to evolve toward virtualization while minimizing the impact to its existing support systems.”</w:t>
      </w:r>
    </w:p>
    <w:p>
      <w:pPr>
        <w:spacing w:after="0" w:line="18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Gelman concluded, “We enter the fourth fiscal quarter encouraged by our recent win rate, which remains strong and well balanced across our various business lines, recent acquisitions and operating regions. Naturally, we continue to monitor the many moving parts affecting our outlook, but with our record 12-month backlog and focus on execution we are on-track to deliver diluted non-GAAP earnings per share growth in the mid-to-high single digit range for the seventh consecutive year.”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Revenue for the third fiscal quarter ended June 30, 2018 was $1.0 billion, up 1.0% or $9.9 million sequentially from the second fiscal quarter of 2018 and up 3.7% as compared to last year’s third fiscal quarter. Revenue for the third fiscal quarter of 2018 includes a negative impact from foreign currency movements of approximately $9 million relative to the second quarter of fiscal 2018. Revenue was at the midpoint of Amdocs’ guidance, excluding the negative impact of foreign currency movements.</w:t>
      </w:r>
    </w:p>
    <w:p>
      <w:pPr>
        <w:sectPr>
          <w:pgSz w:w="11900" w:h="16838" w:orient="portrait"/>
          <w:cols w:equalWidth="0" w:num="1">
            <w:col w:w="11000"/>
          </w:cols>
          <w:pgMar w:left="440" w:top="274" w:right="4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Net Income and Earnings Per Share</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Company’s GAAP net income for the third quarter of fiscal 2018 was $91.5 million, or $0.64 per diluted share, compared to GAAP net income of $119.3 million, or $0.81 per diluted share, in the prior fiscal year’s third quarter. Net income on a non-GAAP basis was $147.5 million, or $1.03 per diluted share, compared to non-GAAP net income of $150.4 million, or $1.02 per diluted share, in the third quarter of fiscal 2017. Non-GAAP net income excludes amortization of purchased intangible assets and other acquisition-related costs, nonrecurring restructuring charges primarily associated with recently completed acquisitions and internal business realignment actions in North America, and equity-based compensation expenses of $10.5 million, net of tax effects, in the third quarter of fiscal 2018.</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Returning Cash to Shareholders</w:t>
      </w:r>
    </w:p>
    <w:p>
      <w:pPr>
        <w:spacing w:after="0" w:line="135" w:lineRule="exact"/>
        <w:rPr>
          <w:sz w:val="20"/>
          <w:szCs w:val="20"/>
          <w:color w:val="auto"/>
        </w:rPr>
      </w:pPr>
    </w:p>
    <w:p>
      <w:pPr>
        <w:ind w:left="860" w:right="200" w:hanging="316"/>
        <w:spacing w:after="0" w:line="264" w:lineRule="auto"/>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Quarterly Cash Dividend Program: </w:t>
      </w:r>
      <w:r>
        <w:rPr>
          <w:rFonts w:ascii="Arial" w:cs="Arial" w:eastAsia="Arial" w:hAnsi="Arial"/>
          <w:sz w:val="18"/>
          <w:szCs w:val="18"/>
          <w:color w:val="auto"/>
        </w:rPr>
        <w:t>On July 31, 2018, the Board approved the Company’s next quarterly cash dividend payment of $0.25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 share and set September 28, 2018 as the record date for determining the shareholders entitled to receive the dividend, which will be payable on October 19, 2018.</w:t>
      </w:r>
    </w:p>
    <w:p>
      <w:pPr>
        <w:spacing w:after="0" w:line="86" w:lineRule="exact"/>
        <w:rPr>
          <w:rFonts w:ascii="Arial" w:cs="Arial" w:eastAsia="Arial" w:hAnsi="Arial"/>
          <w:sz w:val="18"/>
          <w:szCs w:val="18"/>
          <w:color w:val="auto"/>
        </w:rPr>
      </w:pPr>
    </w:p>
    <w:p>
      <w:pPr>
        <w:ind w:left="860" w:hanging="316"/>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Share Repurchase Activity: </w:t>
      </w:r>
      <w:r>
        <w:rPr>
          <w:rFonts w:ascii="Arial" w:cs="Arial" w:eastAsia="Arial" w:hAnsi="Arial"/>
          <w:sz w:val="18"/>
          <w:szCs w:val="18"/>
          <w:color w:val="auto"/>
        </w:rPr>
        <w:t>Repurchased $90 million of ordinary shares during the third quarter of fiscal 2018.</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Twelve-month Backlog</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Twelve-month backlog, which includes anticipated revenue related to contracts, estimated revenue from managed services contracts, letters of intent, maintenance and estimated on-going support activities, was $3.33 billion at the end of the third quarter of fiscal 2018, up $10 million from the end of the prior quarter.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Fiscal 2018 Outlook</w:t>
      </w:r>
    </w:p>
    <w:p>
      <w:pPr>
        <w:spacing w:after="0" w:line="256" w:lineRule="exact"/>
        <w:rPr>
          <w:sz w:val="20"/>
          <w:szCs w:val="20"/>
          <w:color w:val="auto"/>
        </w:rPr>
      </w:pPr>
    </w:p>
    <w:p>
      <w:pPr>
        <w:ind w:left="860" w:right="40" w:hanging="316"/>
        <w:spacing w:after="0" w:line="277" w:lineRule="auto"/>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of approximately $980-$1,020 million, including a negative sequential impact from foreign currency fluctuations of approximately $5 million as compared to the third quarter of fiscal 2018</w:t>
      </w:r>
    </w:p>
    <w:p>
      <w:pPr>
        <w:spacing w:after="0" w:line="197" w:lineRule="exact"/>
        <w:rPr>
          <w:rFonts w:ascii="Arial" w:cs="Arial" w:eastAsia="Arial" w:hAnsi="Arial"/>
          <w:sz w:val="18"/>
          <w:szCs w:val="18"/>
          <w:color w:val="auto"/>
        </w:rPr>
      </w:pPr>
    </w:p>
    <w:p>
      <w:pPr>
        <w:ind w:left="860" w:right="180" w:hanging="316"/>
        <w:spacing w:after="0" w:line="277" w:lineRule="auto"/>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Diluted GAAP EPS of approximately $0.71-$0.79. The impact on diluted GAAP EPS of the acquisitions during fiscal year 2018 is subject to finalization of the purchase price allocation and other acquisition-related costs.</w:t>
      </w:r>
    </w:p>
    <w:p>
      <w:pPr>
        <w:spacing w:after="0" w:line="75" w:lineRule="exact"/>
        <w:rPr>
          <w:rFonts w:ascii="Arial" w:cs="Arial" w:eastAsia="Arial" w:hAnsi="Arial"/>
          <w:sz w:val="18"/>
          <w:szCs w:val="18"/>
          <w:color w:val="auto"/>
        </w:rPr>
      </w:pPr>
    </w:p>
    <w:p>
      <w:pPr>
        <w:jc w:val="both"/>
        <w:ind w:left="860" w:right="100" w:hanging="316"/>
        <w:spacing w:after="0" w:line="286" w:lineRule="auto"/>
        <w:tabs>
          <w:tab w:leader="none" w:pos="860" w:val="left"/>
        </w:tabs>
        <w:numPr>
          <w:ilvl w:val="0"/>
          <w:numId w:val="3"/>
        </w:numPr>
        <w:rPr>
          <w:rFonts w:ascii="Arial" w:cs="Arial" w:eastAsia="Arial" w:hAnsi="Arial"/>
          <w:sz w:val="17"/>
          <w:szCs w:val="17"/>
          <w:color w:val="auto"/>
        </w:rPr>
      </w:pPr>
      <w:r>
        <w:rPr>
          <w:rFonts w:ascii="Arial" w:cs="Arial" w:eastAsia="Arial" w:hAnsi="Arial"/>
          <w:sz w:val="17"/>
          <w:szCs w:val="17"/>
          <w:color w:val="auto"/>
        </w:rPr>
        <w:t>Diluted non-GAAP EPS of approximately $0.95-$1.01, excluding amortization of purchased intangible assets and other acquisition-related costs and approximately $0.05-$0.07 per share of equity-based compensation expense, net of tax effects. Expected non-GAAP effective tax rate above the high-end of the annual target range of 13%-17% in the fourth quarter fiscal 2018</w:t>
      </w:r>
    </w:p>
    <w:p>
      <w:pPr>
        <w:sectPr>
          <w:pgSz w:w="11900" w:h="16838" w:orient="portrait"/>
          <w:cols w:equalWidth="0" w:num="1">
            <w:col w:w="11020"/>
          </w:cols>
          <w:pgMar w:left="440" w:top="270" w:right="4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Full Year Fiscal 2018 Outlook</w:t>
      </w:r>
    </w:p>
    <w:p>
      <w:pPr>
        <w:spacing w:after="0" w:line="135" w:lineRule="exact"/>
        <w:rPr>
          <w:sz w:val="20"/>
          <w:szCs w:val="20"/>
          <w:color w:val="auto"/>
        </w:rPr>
      </w:pPr>
    </w:p>
    <w:p>
      <w:pPr>
        <w:ind w:left="860" w:hanging="316"/>
        <w:spacing w:after="0"/>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 growth of 2.2%-3.2% year-over-year as reported compared with previous guidance of 2.3%-4.3% year-over-year</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Revenue growth of 1.7%-2.7% year-over-year on a constant currency basis compared with previous guidance of 1.3%-3.3% year-over-year</w:t>
      </w:r>
    </w:p>
    <w:p>
      <w:pPr>
        <w:spacing w:after="0" w:line="153" w:lineRule="exact"/>
        <w:rPr>
          <w:rFonts w:ascii="Arial" w:cs="Arial" w:eastAsia="Arial" w:hAnsi="Arial"/>
          <w:sz w:val="16"/>
          <w:szCs w:val="16"/>
          <w:color w:val="auto"/>
        </w:rPr>
      </w:pPr>
    </w:p>
    <w:p>
      <w:pPr>
        <w:ind w:left="860" w:hanging="316"/>
        <w:spacing w:after="0" w:line="277" w:lineRule="auto"/>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Full year fiscal 2018 revenue guidance incorporates an expected positive impact from foreign currency fluctuations of about 0.5% year-over-year, compared with previous guidance for a positive impact of about 1.0%</w:t>
      </w:r>
    </w:p>
    <w:p>
      <w:pPr>
        <w:spacing w:after="0" w:line="75" w:lineRule="exact"/>
        <w:rPr>
          <w:rFonts w:ascii="Arial" w:cs="Arial" w:eastAsia="Arial" w:hAnsi="Arial"/>
          <w:sz w:val="18"/>
          <w:szCs w:val="18"/>
          <w:color w:val="auto"/>
        </w:rPr>
      </w:pPr>
    </w:p>
    <w:p>
      <w:pPr>
        <w:ind w:left="860" w:right="100" w:hanging="316"/>
        <w:spacing w:after="0" w:line="259" w:lineRule="auto"/>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Expects GAAP diluted earnings per share growth of roughly (3.0)%-0.0% year-over-year compared with previous guidance of 0.0%-6.0%, primarily due to nonrecurring restructuring charges primarily associated with recently completed acquisitions and internal business realignment actions in North America. The impact on diluted GAAP EPS of acquisition activity in fiscal year 2018 is subject to finalization of the purchase price allocation and other acquisition-related costs</w:t>
      </w:r>
    </w:p>
    <w:p>
      <w:pPr>
        <w:spacing w:after="0" w:line="92" w:lineRule="exact"/>
        <w:rPr>
          <w:rFonts w:ascii="Arial" w:cs="Arial" w:eastAsia="Arial" w:hAnsi="Arial"/>
          <w:sz w:val="18"/>
          <w:szCs w:val="18"/>
          <w:color w:val="auto"/>
        </w:rPr>
      </w:pPr>
    </w:p>
    <w:p>
      <w:pPr>
        <w:ind w:left="860" w:right="20" w:hanging="316"/>
        <w:spacing w:after="0" w:line="276" w:lineRule="auto"/>
        <w:tabs>
          <w:tab w:leader="none" w:pos="860" w:val="left"/>
        </w:tabs>
        <w:numPr>
          <w:ilvl w:val="0"/>
          <w:numId w:val="4"/>
        </w:numPr>
        <w:rPr>
          <w:rFonts w:ascii="Arial" w:cs="Arial" w:eastAsia="Arial" w:hAnsi="Arial"/>
          <w:sz w:val="17"/>
          <w:szCs w:val="17"/>
          <w:color w:val="auto"/>
        </w:rPr>
      </w:pPr>
      <w:r>
        <w:rPr>
          <w:rFonts w:ascii="Arial" w:cs="Arial" w:eastAsia="Arial" w:hAnsi="Arial"/>
          <w:sz w:val="17"/>
          <w:szCs w:val="17"/>
          <w:color w:val="auto"/>
        </w:rPr>
        <w:t>Non-GAAP diluted earnings per share growth of roughly 5.0%-7.0% year-over-year compared with previous guidance of 4.0%-8.0%. Non-GAAP diluted earnings per share excludes amortization of purchased intangible assets and other acquisition-related costs, nonrecurring restructuring charges primarily associated with recently completed acquisitions and internal business realignment actions in North America, and approximately $0.26-$0.28 per share of equity-based compensation expense, net of tax effects. Expected non-GAAP effective tax rate to remain within the same target range of 13%-17% for the full year fiscal 2018</w:t>
      </w:r>
    </w:p>
    <w:p>
      <w:pPr>
        <w:sectPr>
          <w:pgSz w:w="11900" w:h="16838" w:orient="portrait"/>
          <w:cols w:equalWidth="0" w:num="1">
            <w:col w:w="11020"/>
          </w:cols>
          <w:pgMar w:left="440" w:top="270" w:right="439" w:bottom="1440" w:gutter="0" w:footer="0" w:header="0"/>
        </w:sectPr>
      </w:pPr>
    </w:p>
    <w:bookmarkStart w:id="8" w:name="page9"/>
    <w:bookmarkEnd w:id="8"/>
    <w:p>
      <w:pPr>
        <w:ind w:right="2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fourth fiscal quarter 2018 and full year fiscal 2018 outlook takes into consideration the Company’s expectations regarding macro and industry specific risks and various uncertainties and certain assumptions that we will discuss on our earnings conference call. However, Amdocs notes market dynamics continue to shift rapidly and that it cannot predict all possible outcomes, including those resulting from T-Mobile’s proposed merger with Sprint, or from other current and potential customer consolidation activity in North America.</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Details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Amdocs will host a conference call on July 31, 2018 at 5:00 p.m. Eastern Time to discuss the Company’s third quarter of fiscal 2018 results. To participate, please dial +1 (844) 513-7152, or +1 (508) 637-5600 outside the United States, approximately 15 minutes before the call and enter passcode 8127189. The call will also be carried live on the Internet via the Amdocs website, www.amdocs.com.</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This release includes non-GAAP diluted earnings per share and other non-GAAP financial measures, including free cash flow, non-GAAP cost of revenue, non-GAAP research and development, non-GAAP selling, general and administrative, non-GAAP operating income, non-GAAP operating margin, non-GAAP income taxes, non-GAAP effective tax rate, non-GAAP net income and non-GAAP diluted earnings per share growth. These non-GAAP measures exclude the following items:</w:t>
      </w:r>
    </w:p>
    <w:p>
      <w:pPr>
        <w:spacing w:after="0" w:line="92" w:lineRule="exact"/>
        <w:rPr>
          <w:sz w:val="20"/>
          <w:szCs w:val="20"/>
          <w:color w:val="auto"/>
        </w:rPr>
      </w:pPr>
    </w:p>
    <w:p>
      <w:pPr>
        <w:ind w:left="860" w:hanging="316"/>
        <w:spacing w:after="0"/>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amortization of purchased intangible assets and other acquisition-related costs;</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fair value of certain acquisition-related liabilities;</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nonrecurring restructuring charges;</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equity-based compensation expense; and</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tax effects.</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These non-GAAP financial measures are not in accordance with, or an alternative for, generally accepted accounting principles and may be different from non-GAAP financial measures used by other companies. In addition, these non-GAAP financial measures are not based on any comprehensive set of accounting rules or principles. Amdocs believes</w:t>
      </w:r>
    </w:p>
    <w:p>
      <w:pPr>
        <w:sectPr>
          <w:pgSz w:w="11900" w:h="16838" w:orient="portrait"/>
          <w:cols w:equalWidth="0" w:num="1">
            <w:col w:w="10960"/>
          </w:cols>
          <w:pgMar w:left="440" w:top="274" w:right="499" w:bottom="1440" w:gutter="0" w:footer="0" w:header="0"/>
        </w:sectPr>
      </w:pPr>
    </w:p>
    <w:bookmarkStart w:id="9" w:name="page10"/>
    <w:bookmarkEnd w:id="9"/>
    <w:p>
      <w:pPr>
        <w:ind w:right="2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that non-GAAP financial measures have limitations in that they do not reflect all of the amounts associated with Amdocs’ results of operations as determined in accordance with GAAP and that these measures should only be used to evaluate Amdocs’ results of operations in conjunction with the corresponding GAAP measures.</w:t>
      </w:r>
    </w:p>
    <w:p>
      <w:pPr>
        <w:spacing w:after="0" w:line="18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Amdocs believes that the presentation of non-GAAP diluted earnings per share and other financial measures, including free cash flow, non-GAAP cost of revenue, non-GAAP research and development, non-GAAP selling, general and administrative, non-GAAP operating income, non-GAAP operating margin, non-GAAP income taxes, non-GAAP effective tax rate, non-GAAP net income and non-GAAP diluted earnings per share growth when shown in conjunction with the corresponding GAAP measures, provides useful information to investors and management regarding financial and business trends relating to its financial condition and results of operations, as well as the net amount of cash generated by its business operations after taking into account capital spending required to maintain or expand the business.</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its internal budgeting process and in monitoring the results of the business, Amdocs’ management uses financial statements that do not include amortization of purchased intangible assets and other acquisition-related costs, nonrecurring restructuring charges primarily associated with internal business realignment actions in North America, changes in fair value of certain acquisition-related liabilities, equity-based compensation expense and tax effects. Amdocs’ management also uses the foregoing non-GAAP financial measures, in addition to the corresponding GAAP measures, in reviewing the financial results of Amdocs. In addition, Amdocs believes that significant groups of investors exclude these items in reviewing its results and those of its competitors, because the amounts of the items between companies can vary greatly depending on the assumptions used by an individual company in determining the amounts of the items.</w:t>
      </w:r>
    </w:p>
    <w:p>
      <w:pPr>
        <w:sectPr>
          <w:pgSz w:w="11900" w:h="16838" w:orient="portrait"/>
          <w:cols w:equalWidth="0" w:num="1">
            <w:col w:w="10940"/>
          </w:cols>
          <w:pgMar w:left="440" w:top="274" w:right="519" w:bottom="1440" w:gutter="0" w:footer="0" w:header="0"/>
        </w:sectPr>
      </w:pPr>
    </w:p>
    <w:bookmarkStart w:id="10" w:name="page11"/>
    <w:bookmarkEnd w:id="10"/>
    <w:p>
      <w:pPr>
        <w:ind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further believes that, where the adjustments used in calculating non-GAAP diluted earnings per share are based on specific, identified amounts that impact different line items in the Consolidated Statements of Income (including cost of revenue, research and development, selling, general and administrative, operating income, income taxes and net income), it is useful to investors to understand how these specific line items in the Consolidated Statements of Income are affected by these adjustments. Please refer to the Reconciliation of Selected Financial Metrics from GAAP to Non-GAAP tables below.</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Supporting Resources</w:t>
      </w:r>
    </w:p>
    <w:p>
      <w:pPr>
        <w:spacing w:after="0" w:line="135" w:lineRule="exact"/>
        <w:rPr>
          <w:sz w:val="20"/>
          <w:szCs w:val="20"/>
          <w:color w:val="auto"/>
        </w:rPr>
      </w:pPr>
    </w:p>
    <w:p>
      <w:pPr>
        <w:ind w:left="440" w:hanging="328"/>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Keep up with Amdocs news by visiting the Company’s </w:t>
      </w:r>
      <w:r>
        <w:rPr>
          <w:rFonts w:ascii="Arial" w:cs="Arial" w:eastAsia="Arial" w:hAnsi="Arial"/>
          <w:sz w:val="18"/>
          <w:szCs w:val="18"/>
          <w:u w:val="single" w:color="auto"/>
          <w:color w:val="auto"/>
        </w:rPr>
        <w:t>website</w:t>
      </w:r>
    </w:p>
    <w:p>
      <w:pPr>
        <w:spacing w:after="0" w:line="130" w:lineRule="exact"/>
        <w:rPr>
          <w:rFonts w:ascii="Arial" w:cs="Arial" w:eastAsia="Arial" w:hAnsi="Arial"/>
          <w:sz w:val="18"/>
          <w:szCs w:val="18"/>
          <w:color w:val="auto"/>
        </w:rPr>
      </w:pPr>
    </w:p>
    <w:p>
      <w:pPr>
        <w:ind w:left="440" w:hanging="328"/>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Subscribe to Amdocs’ </w:t>
      </w:r>
      <w:r>
        <w:rPr>
          <w:rFonts w:ascii="Arial" w:cs="Arial" w:eastAsia="Arial" w:hAnsi="Arial"/>
          <w:sz w:val="18"/>
          <w:szCs w:val="18"/>
          <w:u w:val="single" w:color="auto"/>
          <w:color w:val="auto"/>
        </w:rPr>
        <w:t>RSS Feed</w:t>
      </w:r>
      <w:r>
        <w:rPr>
          <w:rFonts w:ascii="Arial" w:cs="Arial" w:eastAsia="Arial" w:hAnsi="Arial"/>
          <w:sz w:val="18"/>
          <w:szCs w:val="18"/>
          <w:color w:val="auto"/>
        </w:rPr>
        <w:t xml:space="preserve"> and follow us on </w:t>
      </w:r>
      <w:r>
        <w:rPr>
          <w:rFonts w:ascii="Arial" w:cs="Arial" w:eastAsia="Arial" w:hAnsi="Arial"/>
          <w:sz w:val="18"/>
          <w:szCs w:val="18"/>
          <w:u w:val="single" w:color="auto"/>
          <w:color w:val="auto"/>
        </w:rPr>
        <w:t>Twitter</w:t>
      </w:r>
      <w:r>
        <w:rPr>
          <w:rFonts w:ascii="Arial" w:cs="Arial" w:eastAsia="Arial" w:hAnsi="Arial"/>
          <w:sz w:val="18"/>
          <w:szCs w:val="18"/>
          <w:color w:val="auto"/>
        </w:rPr>
        <w:t xml:space="preserve">, </w:t>
      </w:r>
      <w:r>
        <w:rPr>
          <w:rFonts w:ascii="Arial" w:cs="Arial" w:eastAsia="Arial" w:hAnsi="Arial"/>
          <w:sz w:val="18"/>
          <w:szCs w:val="18"/>
          <w:u w:val="single" w:color="auto"/>
          <w:color w:val="auto"/>
        </w:rPr>
        <w:t>Facebook</w:t>
      </w:r>
      <w:r>
        <w:rPr>
          <w:rFonts w:ascii="Arial" w:cs="Arial" w:eastAsia="Arial" w:hAnsi="Arial"/>
          <w:sz w:val="18"/>
          <w:szCs w:val="18"/>
          <w:color w:val="auto"/>
        </w:rPr>
        <w:t xml:space="preserve">, </w:t>
      </w:r>
      <w:r>
        <w:rPr>
          <w:rFonts w:ascii="Arial" w:cs="Arial" w:eastAsia="Arial" w:hAnsi="Arial"/>
          <w:sz w:val="18"/>
          <w:szCs w:val="18"/>
          <w:u w:val="single" w:color="auto"/>
          <w:color w:val="auto"/>
        </w:rPr>
        <w:t>LinkedIn</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YouTube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Amdocs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Amdocs is a leading software and services provider to communications and media companies of all sizes, accelerating the industry’s dynamic and continuous digital transformation. With a rich set of innovative solutions, long-term business relationships with 350 communications and media providers, and technology and distribution ties to 600 content creators, Amdocs delivers business improvements to drive growth. Amdocs and its 25,000 employees serve customers in over 85 countries. Listed on the NASDAQ Global Select Market, Amdocs had revenue of $3.9 billion in fiscal 2017. For more information, visit Amdocs at www.amdocs.com.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visit Amdocs at </w:t>
      </w:r>
      <w:r>
        <w:rPr>
          <w:rFonts w:ascii="Arial" w:cs="Arial" w:eastAsia="Arial" w:hAnsi="Arial"/>
          <w:sz w:val="18"/>
          <w:szCs w:val="18"/>
          <w:u w:val="single" w:color="auto"/>
          <w:color w:val="auto"/>
        </w:rPr>
        <w:t>www.amdocs.com</w:t>
      </w:r>
      <w:r>
        <w:rPr>
          <w:rFonts w:ascii="Arial" w:cs="Arial" w:eastAsia="Arial" w:hAnsi="Arial"/>
          <w:sz w:val="18"/>
          <w:szCs w:val="18"/>
          <w:color w:val="auto"/>
        </w:rPr>
        <w:t>.</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This press release includes information that constitutes forward-looking statements made pursuant to the safe harbor provision of the Private Securities Litigation Reform Act of 1995, including statements about Amdocs’ growth and business results in future quarters. Although we believe the expectations reflected in such forward-looking statements are based upon reasonable assumptions, we can give no assurance that our expectations will be obtained or that any deviations will not be material. Such statements involve risks and uncertainties that may cause future results to differ from those anticipated. These risks include, but are not limited to, the effects of general economic conditions, Amdocs’ ability to grow in the business markets that it serves, Amdocs’ ability to successfully integrate acquired businesses, adverse effects of market competition, rapid technological shifts that</w:t>
      </w:r>
    </w:p>
    <w:p>
      <w:pPr>
        <w:sectPr>
          <w:pgSz w:w="11900" w:h="16838" w:orient="portrait"/>
          <w:cols w:equalWidth="0" w:num="1">
            <w:col w:w="10980"/>
          </w:cols>
          <w:pgMar w:left="440" w:top="274" w:right="479" w:bottom="1440" w:gutter="0" w:footer="0" w:header="0"/>
        </w:sectPr>
      </w:pPr>
    </w:p>
    <w:bookmarkStart w:id="11" w:name="page12"/>
    <w:bookmarkEnd w:id="11"/>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may render the Company’s products and services obsolete, potential loss of a major customer, our ability to develop long-term relationships with our customers, and risks associated with operating businesses in the international market. Amdocs may elect to update these forward-looking statements at some point in the future; however, Amdocs specifically disclaims any obligation to do so. These and other risks are discussed at greater length in Amdocs’ filings with the Securities and Exchange Commission, including in our Annual Report on Form 20-F for the fiscal year ended September 30, 2017 filed on December 11, 2017 and our Form 6-K furnished for the first quarter of fiscal 2018 on February 12, 2018 and for the second quarter of fiscal 2018 on May 21, 2018.</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Matthew Smith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Amdocs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314-212-8328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dox_info@amdocs.com</w:t>
      </w:r>
    </w:p>
    <w:p>
      <w:pPr>
        <w:sectPr>
          <w:pgSz w:w="11900" w:h="16838" w:orient="portrait"/>
          <w:cols w:equalWidth="0" w:num="1">
            <w:col w:w="10860"/>
          </w:cols>
          <w:pgMar w:left="440" w:top="274" w:right="599" w:bottom="1440" w:gutter="0" w:footer="0" w:header="0"/>
        </w:sectPr>
      </w:pPr>
    </w:p>
    <w:bookmarkStart w:id="12" w:name="page13"/>
    <w:bookmarkEnd w:id="1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25"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(in thousands, except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5"/>
          </w:tcPr>
          <w:p>
            <w:pPr>
              <w:jc w:val="right"/>
              <w:ind w:right="211"/>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1,002,198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966,695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2,972,249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2,887,431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650,569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628,640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1,940,353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1,871,211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72,729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67,118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205,832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194,411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116,396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113,997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355,263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352,541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340"/>
              <w:spacing w:after="0"/>
              <w:rPr>
                <w:sz w:val="20"/>
                <w:szCs w:val="20"/>
                <w:color w:val="auto"/>
              </w:rPr>
            </w:pPr>
            <w:r>
              <w:rPr>
                <w:rFonts w:ascii="Arial" w:cs="Arial" w:eastAsia="Arial" w:hAnsi="Arial"/>
                <w:sz w:val="18"/>
                <w:szCs w:val="18"/>
                <w:color w:val="auto"/>
              </w:rPr>
              <w:t>Amortization of purchased intangible assets and 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26,929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27,028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81,256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83,982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Restructuring charges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30,057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30,057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896,680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836,783</w:t>
            </w: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2,612,761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2,502,145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105,518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129,912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359,488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385,286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Interest and other (expense) income, net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(3,212)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1,152</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(3,330)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102,306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131,064</w:t>
            </w: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356,158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383,207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Income taxes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10,776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11,800</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46,028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91,530</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119,264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310,130</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329,617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share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0.82</w:t>
            </w:r>
          </w:p>
        </w:tc>
        <w:tc>
          <w:tcPr>
            <w:tcW w:w="2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spacing w:after="0"/>
              <w:rPr>
                <w:sz w:val="20"/>
                <w:szCs w:val="20"/>
                <w:color w:val="auto"/>
              </w:rPr>
            </w:pPr>
            <w:r>
              <w:rPr>
                <w:rFonts w:ascii="Arial" w:cs="Arial" w:eastAsia="Arial" w:hAnsi="Arial"/>
                <w:sz w:val="18"/>
                <w:szCs w:val="18"/>
                <w:color w:val="auto"/>
              </w:rPr>
              <w:t>Basic weighted average number of shares outstanding</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141,972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145,904</w:t>
            </w: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142,982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146,439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number of shares outstanding</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143,196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147,259</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144,320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147,865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spacing w:after="0"/>
              <w:rPr>
                <w:sz w:val="20"/>
                <w:szCs w:val="20"/>
                <w:color w:val="auto"/>
              </w:rPr>
            </w:pPr>
            <w:r>
              <w:rPr>
                <w:rFonts w:ascii="Arial" w:cs="Arial" w:eastAsia="Arial" w:hAnsi="Arial"/>
                <w:sz w:val="18"/>
                <w:szCs w:val="18"/>
                <w:color w:val="auto"/>
              </w:rPr>
              <w:t>Cash dividends declared per share</w:t>
            </w:r>
          </w:p>
        </w:tc>
        <w:tc>
          <w:tcPr>
            <w:tcW w:w="1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6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0.250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0.220</w:t>
            </w:r>
          </w:p>
        </w:tc>
        <w:tc>
          <w:tcPr>
            <w:tcW w:w="2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0.720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40"/>
          </w:cols>
          <w:pgMar w:left="440" w:top="270" w:right="419" w:bottom="1440" w:gutter="0" w:footer="0" w:header="0"/>
        </w:sectPr>
      </w:pPr>
    </w:p>
    <w:bookmarkStart w:id="13" w:name="page14"/>
    <w:bookmarkEnd w:id="13"/>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Selected Financial Metrics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4"/>
          </w:tcPr>
          <w:p>
            <w:pPr>
              <w:jc w:val="right"/>
              <w:ind w:right="173"/>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0"/>
              </w:rPr>
              <w:t>Nine months ended</w:t>
            </w:r>
          </w:p>
        </w:tc>
      </w:tr>
      <w:tr>
        <w:trPr>
          <w:trHeight w:val="17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9"/>
              </w:rPr>
              <w:t>June 30,</w:t>
            </w:r>
          </w:p>
        </w:tc>
      </w:tr>
      <w:tr>
        <w:trPr>
          <w:trHeight w:val="142"/>
        </w:trPr>
        <w:tc>
          <w:tcPr>
            <w:tcW w:w="20" w:type="dxa"/>
            <w:vAlign w:val="bottom"/>
          </w:tcPr>
          <w:p>
            <w:pPr>
              <w:spacing w:after="0"/>
              <w:rPr>
                <w:sz w:val="12"/>
                <w:szCs w:val="12"/>
                <w:color w:val="auto"/>
              </w:rPr>
            </w:pPr>
          </w:p>
        </w:tc>
        <w:tc>
          <w:tcPr>
            <w:tcW w:w="5500" w:type="dxa"/>
            <w:vAlign w:val="bottom"/>
            <w:tcBorders>
              <w:bottom w:val="single" w:sz="8" w:color="CCEEFF"/>
            </w:tcBorders>
          </w:tcPr>
          <w:p>
            <w:pPr>
              <w:spacing w:after="0"/>
              <w:rPr>
                <w:sz w:val="12"/>
                <w:szCs w:val="12"/>
                <w:color w:val="auto"/>
              </w:rPr>
            </w:pPr>
          </w:p>
        </w:tc>
        <w:tc>
          <w:tcPr>
            <w:tcW w:w="14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1,002,198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966,695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2,972,249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2,887,431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Non-GAAP operating income</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173,590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167,193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514,414</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497,275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Non-GAAP net income</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147,547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150,440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439,363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423,171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Non-GAAP diluted earnings per share</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3.04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2.86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number of shares outstanding</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143,196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147,259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144,320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147,865</w:t>
            </w:r>
          </w:p>
        </w:tc>
        <w:tc>
          <w:tcPr>
            <w:tcW w:w="60" w:type="dxa"/>
            <w:vAlign w:val="bottom"/>
            <w:shd w:val="clear" w:color="auto" w:fill="CCEEFF"/>
          </w:tcPr>
          <w:p>
            <w:pPr>
              <w:spacing w:after="0"/>
              <w:rPr>
                <w:sz w:val="18"/>
                <w:szCs w:val="18"/>
                <w:color w:val="auto"/>
              </w:rPr>
            </w:pPr>
          </w:p>
        </w:tc>
      </w:tr>
    </w:tbl>
    <w:p>
      <w:pPr>
        <w:sectPr>
          <w:pgSz w:w="11900" w:h="16838" w:orient="portrait"/>
          <w:cols w:equalWidth="0" w:num="1">
            <w:col w:w="11040"/>
          </w:cols>
          <w:pgMar w:left="440" w:top="270" w:right="419" w:bottom="1440" w:gutter="0" w:footer="0" w:header="0"/>
        </w:sectPr>
      </w:pPr>
    </w:p>
    <w:bookmarkStart w:id="14" w:name="page15"/>
    <w:bookmarkEnd w:id="14"/>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Reconciliation of Selected Financial Metrics from GAAP to Non-GAAP</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80" w:type="dxa"/>
            <w:vAlign w:val="bottom"/>
            <w:gridSpan w:val="7"/>
          </w:tcPr>
          <w:p>
            <w:pPr>
              <w:jc w:val="right"/>
              <w:ind w:right="4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5"/>
          </w:tcPr>
          <w:p>
            <w:pPr>
              <w:jc w:val="center"/>
              <w:ind w:right="160"/>
              <w:spacing w:after="0"/>
              <w:rPr>
                <w:sz w:val="20"/>
                <w:szCs w:val="20"/>
                <w:color w:val="auto"/>
              </w:rPr>
            </w:pPr>
            <w:r>
              <w:rPr>
                <w:rFonts w:ascii="Arial" w:cs="Arial" w:eastAsia="Arial" w:hAnsi="Arial"/>
                <w:sz w:val="14"/>
                <w:szCs w:val="14"/>
                <w:b w:val="1"/>
                <w:bCs w:val="1"/>
                <w:color w:val="auto"/>
                <w:w w:val="92"/>
              </w:rPr>
              <w:t>June 30, 2018</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980" w:type="dxa"/>
            <w:vAlign w:val="bottom"/>
            <w:tcBorders>
              <w:bottom w:val="single" w:sz="8" w:color="auto"/>
            </w:tcBorders>
            <w:gridSpan w:val="7"/>
          </w:tcPr>
          <w:p>
            <w:pPr>
              <w:jc w:val="right"/>
              <w:ind w:right="80"/>
              <w:spacing w:after="0" w:line="142" w:lineRule="exact"/>
              <w:rPr>
                <w:sz w:val="20"/>
                <w:szCs w:val="20"/>
                <w:color w:val="auto"/>
              </w:rPr>
            </w:pPr>
            <w:r>
              <w:rPr>
                <w:rFonts w:ascii="Arial" w:cs="Arial" w:eastAsia="Arial" w:hAnsi="Arial"/>
                <w:sz w:val="14"/>
                <w:szCs w:val="14"/>
                <w:b w:val="1"/>
                <w:bCs w:val="1"/>
                <w:color w:val="auto"/>
              </w:rPr>
              <w:t>Reconciliation items</w:t>
            </w: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4"/>
            <w:vMerge w:val="restart"/>
          </w:tcPr>
          <w:p>
            <w:pPr>
              <w:jc w:val="center"/>
              <w:ind w:right="60"/>
              <w:spacing w:after="0"/>
              <w:rPr>
                <w:sz w:val="20"/>
                <w:szCs w:val="20"/>
                <w:color w:val="auto"/>
              </w:rPr>
            </w:pPr>
            <w:r>
              <w:rPr>
                <w:rFonts w:ascii="Arial" w:cs="Arial" w:eastAsia="Arial" w:hAnsi="Arial"/>
                <w:sz w:val="14"/>
                <w:szCs w:val="14"/>
                <w:b w:val="1"/>
                <w:bCs w:val="1"/>
                <w:color w:val="auto"/>
                <w:w w:val="95"/>
              </w:rPr>
              <w:t>Amortization</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gridSpan w:val="4"/>
          </w:tcPr>
          <w:p>
            <w:pPr>
              <w:jc w:val="center"/>
              <w:ind w:right="260"/>
              <w:spacing w:after="0" w:line="119" w:lineRule="exact"/>
              <w:rPr>
                <w:sz w:val="20"/>
                <w:szCs w:val="20"/>
                <w:color w:val="auto"/>
              </w:rPr>
            </w:pPr>
            <w:r>
              <w:rPr>
                <w:rFonts w:ascii="Arial" w:cs="Arial" w:eastAsia="Arial" w:hAnsi="Arial"/>
                <w:sz w:val="13"/>
                <w:szCs w:val="13"/>
                <w:b w:val="1"/>
                <w:bCs w:val="1"/>
                <w:color w:val="auto"/>
                <w:w w:val="96"/>
              </w:rPr>
              <w:t>Changes in</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fair value</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of purchased</w:t>
            </w:r>
          </w:p>
        </w:tc>
        <w:tc>
          <w:tcPr>
            <w:tcW w:w="120" w:type="dxa"/>
            <w:vAlign w:val="bottom"/>
          </w:tcPr>
          <w:p>
            <w:pPr>
              <w:spacing w:after="0"/>
              <w:rPr>
                <w:sz w:val="12"/>
                <w:szCs w:val="12"/>
                <w:color w:val="auto"/>
              </w:rPr>
            </w:pPr>
          </w:p>
        </w:tc>
        <w:tc>
          <w:tcPr>
            <w:tcW w:w="960" w:type="dxa"/>
            <w:vAlign w:val="bottom"/>
            <w:gridSpan w:val="3"/>
            <w:vMerge w:val="restart"/>
          </w:tcPr>
          <w:p>
            <w:pPr>
              <w:jc w:val="right"/>
              <w:ind w:right="68"/>
              <w:spacing w:after="0"/>
              <w:rPr>
                <w:sz w:val="20"/>
                <w:szCs w:val="20"/>
                <w:color w:val="auto"/>
              </w:rPr>
            </w:pPr>
            <w:r>
              <w:rPr>
                <w:rFonts w:ascii="Arial" w:cs="Arial" w:eastAsia="Arial" w:hAnsi="Arial"/>
                <w:sz w:val="14"/>
                <w:szCs w:val="14"/>
                <w:b w:val="1"/>
                <w:bCs w:val="1"/>
                <w:color w:val="auto"/>
                <w:w w:val="91"/>
              </w:rPr>
              <w:t>Equity based</w:t>
            </w:r>
          </w:p>
        </w:tc>
        <w:tc>
          <w:tcPr>
            <w:tcW w:w="180" w:type="dxa"/>
            <w:vAlign w:val="bottom"/>
          </w:tcPr>
          <w:p>
            <w:pPr>
              <w:spacing w:after="0"/>
              <w:rPr>
                <w:sz w:val="12"/>
                <w:szCs w:val="12"/>
                <w:color w:val="auto"/>
              </w:rPr>
            </w:pPr>
          </w:p>
        </w:tc>
        <w:tc>
          <w:tcPr>
            <w:tcW w:w="98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of certain</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intangible</w:t>
            </w:r>
          </w:p>
        </w:tc>
        <w:tc>
          <w:tcPr>
            <w:tcW w:w="12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1160" w:type="dxa"/>
            <w:vAlign w:val="bottom"/>
            <w:gridSpan w:val="5"/>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98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Restructuring</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GAAP</w:t>
            </w:r>
          </w:p>
        </w:tc>
        <w:tc>
          <w:tcPr>
            <w:tcW w:w="140" w:type="dxa"/>
            <w:vAlign w:val="bottom"/>
          </w:tcPr>
          <w:p>
            <w:pPr>
              <w:spacing w:after="0"/>
              <w:rPr>
                <w:sz w:val="12"/>
                <w:szCs w:val="12"/>
                <w:color w:val="auto"/>
              </w:rPr>
            </w:pPr>
          </w:p>
        </w:tc>
        <w:tc>
          <w:tcPr>
            <w:tcW w:w="9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assets and</w:t>
            </w:r>
          </w:p>
        </w:tc>
        <w:tc>
          <w:tcPr>
            <w:tcW w:w="1080" w:type="dxa"/>
            <w:vAlign w:val="bottom"/>
            <w:gridSpan w:val="4"/>
          </w:tcPr>
          <w:p>
            <w:pPr>
              <w:ind w:left="120"/>
              <w:spacing w:after="0" w:line="149" w:lineRule="exact"/>
              <w:rPr>
                <w:sz w:val="20"/>
                <w:szCs w:val="20"/>
                <w:color w:val="auto"/>
              </w:rPr>
            </w:pPr>
            <w:r>
              <w:rPr>
                <w:rFonts w:ascii="Arial" w:cs="Arial" w:eastAsia="Arial" w:hAnsi="Arial"/>
                <w:sz w:val="14"/>
                <w:szCs w:val="14"/>
                <w:b w:val="1"/>
                <w:bCs w:val="1"/>
                <w:color w:val="auto"/>
                <w:w w:val="98"/>
              </w:rPr>
              <w:t>compensation</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related</w:t>
            </w:r>
          </w:p>
        </w:tc>
        <w:tc>
          <w:tcPr>
            <w:tcW w:w="980" w:type="dxa"/>
            <w:vAlign w:val="bottom"/>
            <w:gridSpan w:val="5"/>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4"/>
            <w:vMerge w:val="restart"/>
          </w:tcPr>
          <w:p>
            <w:pPr>
              <w:jc w:val="right"/>
              <w:ind w:right="120"/>
              <w:spacing w:after="0"/>
              <w:rPr>
                <w:sz w:val="20"/>
                <w:szCs w:val="20"/>
                <w:color w:val="auto"/>
              </w:rPr>
            </w:pPr>
            <w:r>
              <w:rPr>
                <w:rFonts w:ascii="Arial" w:cs="Arial" w:eastAsia="Arial" w:hAnsi="Arial"/>
                <w:sz w:val="14"/>
                <w:szCs w:val="14"/>
                <w:b w:val="1"/>
                <w:bCs w:val="1"/>
                <w:color w:val="auto"/>
                <w:w w:val="91"/>
              </w:rPr>
              <w:t>Tax effect</w:t>
            </w:r>
          </w:p>
        </w:tc>
        <w:tc>
          <w:tcPr>
            <w:tcW w:w="90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other</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w w:val="89"/>
              </w:rPr>
              <w:t>expense</w:t>
            </w:r>
          </w:p>
        </w:tc>
        <w:tc>
          <w:tcPr>
            <w:tcW w:w="180" w:type="dxa"/>
            <w:vAlign w:val="bottom"/>
          </w:tcPr>
          <w:p>
            <w:pPr>
              <w:spacing w:after="0"/>
              <w:rPr>
                <w:sz w:val="14"/>
                <w:szCs w:val="14"/>
                <w:color w:val="auto"/>
              </w:rPr>
            </w:pPr>
          </w:p>
        </w:tc>
        <w:tc>
          <w:tcPr>
            <w:tcW w:w="9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3"/>
              </w:rPr>
              <w:t>liabilities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3"/>
              </w:rPr>
              <w:t>charges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4"/>
            <w:vMerge w:val="continue"/>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Cost of revenue</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$650,569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(5,074)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200"/>
              <w:spacing w:after="0"/>
              <w:rPr>
                <w:sz w:val="20"/>
                <w:szCs w:val="20"/>
                <w:color w:val="auto"/>
              </w:rPr>
            </w:pPr>
            <w:r>
              <w:rPr>
                <w:rFonts w:ascii="Arial" w:cs="Arial" w:eastAsia="Arial" w:hAnsi="Arial"/>
                <w:sz w:val="18"/>
                <w:szCs w:val="18"/>
                <w:color w:val="auto"/>
              </w:rPr>
              <w:t>(572)</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$ 644,923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72,729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71,658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116,396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(4,369)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112,027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Amortization of purchased intangible assets and</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26,929</w:t>
            </w:r>
          </w:p>
        </w:tc>
        <w:tc>
          <w:tcPr>
            <w:tcW w:w="120" w:type="dxa"/>
            <w:vAlign w:val="bottom"/>
            <w:shd w:val="clear" w:color="auto" w:fill="CCEEFF"/>
          </w:tcPr>
          <w:p>
            <w:pPr>
              <w:spacing w:after="0"/>
              <w:rPr>
                <w:sz w:val="20"/>
                <w:szCs w:val="20"/>
                <w:color w:val="auto"/>
              </w:rPr>
            </w:pPr>
          </w:p>
        </w:tc>
        <w:tc>
          <w:tcPr>
            <w:tcW w:w="11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(26,929)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Restructuring charges</w:t>
            </w:r>
          </w:p>
        </w:tc>
        <w:tc>
          <w:tcPr>
            <w:tcW w:w="2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30,057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(30,057)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896,680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(26,929)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(10,514)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(572)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(30,057)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828,608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2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60" w:type="dxa"/>
            <w:vAlign w:val="bottom"/>
          </w:tcPr>
          <w:p>
            <w:pPr>
              <w:spacing w:after="0"/>
              <w:rPr>
                <w:sz w:val="20"/>
                <w:szCs w:val="20"/>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105,518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26,929</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gridSpan w:val="2"/>
          </w:tcPr>
          <w:p>
            <w:pPr>
              <w:ind w:left="340"/>
              <w:spacing w:after="0"/>
              <w:rPr>
                <w:sz w:val="20"/>
                <w:szCs w:val="20"/>
                <w:color w:val="auto"/>
              </w:rPr>
            </w:pPr>
            <w:r>
              <w:rPr>
                <w:rFonts w:ascii="Arial" w:cs="Arial" w:eastAsia="Arial" w:hAnsi="Arial"/>
                <w:sz w:val="18"/>
                <w:szCs w:val="18"/>
                <w:color w:val="auto"/>
                <w:w w:val="86"/>
              </w:rPr>
              <w:t>572</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30,057</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gridSpan w:val="2"/>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173,590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10,776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12,055</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6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$ 91,530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   26,929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gridSpan w:val="2"/>
          </w:tcPr>
          <w:p>
            <w:pPr>
              <w:ind w:left="340"/>
              <w:spacing w:after="0"/>
              <w:rPr>
                <w:sz w:val="20"/>
                <w:szCs w:val="20"/>
                <w:color w:val="auto"/>
              </w:rPr>
            </w:pPr>
            <w:r>
              <w:rPr>
                <w:rFonts w:ascii="Arial" w:cs="Arial" w:eastAsia="Arial" w:hAnsi="Arial"/>
                <w:sz w:val="18"/>
                <w:szCs w:val="18"/>
                <w:color w:val="auto"/>
                <w:w w:val="86"/>
              </w:rPr>
              <w:t>572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30,057</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(12,055</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$ 147,547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6"/>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20" w:type="dxa"/>
            <w:vAlign w:val="bottom"/>
            <w:gridSpan w:val="8"/>
          </w:tcPr>
          <w:p>
            <w:pPr>
              <w:ind w:left="20"/>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5"/>
          </w:tcPr>
          <w:p>
            <w:pPr>
              <w:jc w:val="right"/>
              <w:ind w:right="200"/>
              <w:spacing w:after="0"/>
              <w:rPr>
                <w:sz w:val="20"/>
                <w:szCs w:val="20"/>
                <w:color w:val="auto"/>
              </w:rPr>
            </w:pPr>
            <w:r>
              <w:rPr>
                <w:rFonts w:ascii="Arial" w:cs="Arial" w:eastAsia="Arial" w:hAnsi="Arial"/>
                <w:sz w:val="14"/>
                <w:szCs w:val="14"/>
                <w:b w:val="1"/>
                <w:bCs w:val="1"/>
                <w:color w:val="auto"/>
              </w:rPr>
              <w:t>June 30, 2017</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980" w:type="dxa"/>
            <w:vAlign w:val="bottom"/>
            <w:tcBorders>
              <w:bottom w:val="single" w:sz="8" w:color="auto"/>
            </w:tcBorders>
            <w:gridSpan w:val="7"/>
          </w:tcPr>
          <w:p>
            <w:pPr>
              <w:jc w:val="center"/>
              <w:ind w:left="613"/>
              <w:spacing w:after="0" w:line="142" w:lineRule="exact"/>
              <w:rPr>
                <w:sz w:val="20"/>
                <w:szCs w:val="20"/>
                <w:color w:val="auto"/>
              </w:rPr>
            </w:pPr>
            <w:r>
              <w:rPr>
                <w:rFonts w:ascii="Arial" w:cs="Arial" w:eastAsia="Arial" w:hAnsi="Arial"/>
                <w:sz w:val="14"/>
                <w:szCs w:val="14"/>
                <w:b w:val="1"/>
                <w:bCs w:val="1"/>
                <w:color w:val="auto"/>
                <w:w w:val="91"/>
              </w:rPr>
              <w:t>Reconciliation items</w:t>
            </w: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GAAP</w:t>
            </w: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760" w:type="dxa"/>
            <w:vAlign w:val="bottom"/>
            <w:gridSpan w:val="6"/>
          </w:tcPr>
          <w:p>
            <w:pPr>
              <w:spacing w:after="0" w:line="119" w:lineRule="exact"/>
              <w:rPr>
                <w:sz w:val="20"/>
                <w:szCs w:val="20"/>
                <w:color w:val="auto"/>
              </w:rPr>
            </w:pPr>
            <w:r>
              <w:rPr>
                <w:rFonts w:ascii="Arial" w:cs="Arial" w:eastAsia="Arial" w:hAnsi="Arial"/>
                <w:sz w:val="13"/>
                <w:szCs w:val="13"/>
                <w:b w:val="1"/>
                <w:bCs w:val="1"/>
                <w:color w:val="auto"/>
              </w:rPr>
              <w:t>Amortization of purchased</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80" w:type="dxa"/>
            <w:vAlign w:val="bottom"/>
            <w:gridSpan w:val="7"/>
          </w:tcPr>
          <w:p>
            <w:pPr>
              <w:ind w:left="280"/>
              <w:spacing w:after="0" w:line="119" w:lineRule="exact"/>
              <w:rPr>
                <w:sz w:val="20"/>
                <w:szCs w:val="20"/>
                <w:color w:val="auto"/>
              </w:rPr>
            </w:pPr>
            <w:r>
              <w:rPr>
                <w:rFonts w:ascii="Arial" w:cs="Arial" w:eastAsia="Arial" w:hAnsi="Arial"/>
                <w:sz w:val="13"/>
                <w:szCs w:val="13"/>
                <w:b w:val="1"/>
                <w:bCs w:val="1"/>
                <w:color w:val="auto"/>
              </w:rPr>
              <w:t>Equity based</w:t>
            </w:r>
          </w:p>
        </w:tc>
        <w:tc>
          <w:tcPr>
            <w:tcW w:w="1020" w:type="dxa"/>
            <w:vAlign w:val="bottom"/>
            <w:gridSpan w:val="6"/>
            <w:vMerge w:val="restart"/>
          </w:tcPr>
          <w:p>
            <w:pPr>
              <w:jc w:val="right"/>
              <w:ind w:right="280"/>
              <w:spacing w:after="0"/>
              <w:rPr>
                <w:sz w:val="20"/>
                <w:szCs w:val="20"/>
                <w:color w:val="auto"/>
              </w:rPr>
            </w:pPr>
            <w:r>
              <w:rPr>
                <w:rFonts w:ascii="Arial" w:cs="Arial" w:eastAsia="Arial" w:hAnsi="Arial"/>
                <w:sz w:val="14"/>
                <w:szCs w:val="14"/>
                <w:b w:val="1"/>
                <w:bCs w:val="1"/>
                <w:color w:val="auto"/>
                <w:w w:val="97"/>
              </w:rPr>
              <w:t>Tax effect</w:t>
            </w:r>
          </w:p>
        </w:tc>
        <w:tc>
          <w:tcPr>
            <w:tcW w:w="90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60" w:type="dxa"/>
            <w:vAlign w:val="bottom"/>
            <w:gridSpan w:val="6"/>
          </w:tcPr>
          <w:p>
            <w:pPr>
              <w:spacing w:after="0"/>
              <w:rPr>
                <w:sz w:val="20"/>
                <w:szCs w:val="20"/>
                <w:color w:val="auto"/>
              </w:rPr>
            </w:pPr>
            <w:r>
              <w:rPr>
                <w:rFonts w:ascii="Arial" w:cs="Arial" w:eastAsia="Arial" w:hAnsi="Arial"/>
                <w:sz w:val="14"/>
                <w:szCs w:val="14"/>
                <w:b w:val="1"/>
                <w:bCs w:val="1"/>
                <w:color w:val="auto"/>
                <w:w w:val="95"/>
              </w:rPr>
              <w:t>intangible assets and other</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8"/>
          </w:tcPr>
          <w:p>
            <w:pPr>
              <w:ind w:left="80"/>
              <w:spacing w:after="0"/>
              <w:rPr>
                <w:sz w:val="20"/>
                <w:szCs w:val="20"/>
                <w:color w:val="auto"/>
              </w:rPr>
            </w:pPr>
            <w:r>
              <w:rPr>
                <w:rFonts w:ascii="Arial" w:cs="Arial" w:eastAsia="Arial" w:hAnsi="Arial"/>
                <w:sz w:val="14"/>
                <w:szCs w:val="14"/>
                <w:b w:val="1"/>
                <w:bCs w:val="1"/>
                <w:color w:val="auto"/>
              </w:rPr>
              <w:t>compensation expense</w:t>
            </w:r>
          </w:p>
        </w:tc>
        <w:tc>
          <w:tcPr>
            <w:tcW w:w="1020" w:type="dxa"/>
            <w:vAlign w:val="bottom"/>
            <w:gridSpan w:val="6"/>
            <w:vMerge w:val="continue"/>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Cost of revenue</w:t>
            </w: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$628,640</w:t>
            </w:r>
          </w:p>
        </w:tc>
        <w:tc>
          <w:tcPr>
            <w:tcW w:w="96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00" w:type="dxa"/>
            <w:vAlign w:val="bottom"/>
            <w:gridSpan w:val="4"/>
          </w:tcPr>
          <w:p>
            <w:pPr>
              <w:jc w:val="right"/>
              <w:ind w:right="190"/>
              <w:spacing w:after="0"/>
              <w:rPr>
                <w:sz w:val="20"/>
                <w:szCs w:val="20"/>
                <w:color w:val="auto"/>
              </w:rPr>
            </w:pPr>
            <w:r>
              <w:rPr>
                <w:rFonts w:ascii="Arial" w:cs="Arial" w:eastAsia="Arial" w:hAnsi="Arial"/>
                <w:sz w:val="18"/>
                <w:szCs w:val="18"/>
                <w:color w:val="auto"/>
              </w:rPr>
              <w:t>(4,763)</w:t>
            </w:r>
          </w:p>
        </w:tc>
        <w:tc>
          <w:tcPr>
            <w:tcW w:w="80" w:type="dxa"/>
            <w:vAlign w:val="bottom"/>
          </w:tcPr>
          <w:p>
            <w:pPr>
              <w:spacing w:after="0"/>
              <w:rPr>
                <w:sz w:val="18"/>
                <w:szCs w:val="18"/>
                <w:color w:val="auto"/>
              </w:rPr>
            </w:pP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$ 623,877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67,118</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(914)</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66,204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113,997</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4"/>
          </w:tcPr>
          <w:p>
            <w:pPr>
              <w:jc w:val="right"/>
              <w:ind w:right="190"/>
              <w:spacing w:after="0"/>
              <w:rPr>
                <w:sz w:val="20"/>
                <w:szCs w:val="20"/>
                <w:color w:val="auto"/>
              </w:rPr>
            </w:pPr>
            <w:r>
              <w:rPr>
                <w:rFonts w:ascii="Arial" w:cs="Arial" w:eastAsia="Arial" w:hAnsi="Arial"/>
                <w:sz w:val="18"/>
                <w:szCs w:val="18"/>
                <w:color w:val="auto"/>
              </w:rPr>
              <w:t>(4,576)</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109,421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Amortization of purchased intangible assets and</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27,028</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(27,028)</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2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360" w:type="dxa"/>
            <w:vAlign w:val="bottom"/>
            <w:gridSpan w:val="2"/>
          </w:tcPr>
          <w:p>
            <w:pPr>
              <w:spacing w:after="0"/>
              <w:rPr>
                <w:sz w:val="20"/>
                <w:szCs w:val="20"/>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836,783</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(27,028)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0"/>
              </w:rPr>
              <w:t>(10,253)</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36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799,502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129,912</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27,028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10,253</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167,193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2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360" w:type="dxa"/>
            <w:vAlign w:val="bottom"/>
            <w:gridSpan w:val="2"/>
          </w:tcPr>
          <w:p>
            <w:pPr>
              <w:spacing w:after="0"/>
              <w:rPr>
                <w:sz w:val="20"/>
                <w:szCs w:val="20"/>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11,800</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6,105</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17,905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60" w:type="dxa"/>
            <w:vAlign w:val="bottom"/>
            <w:gridSpan w:val="2"/>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119,264</w:t>
            </w:r>
          </w:p>
        </w:tc>
        <w:tc>
          <w:tcPr>
            <w:tcW w:w="9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27,028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10,253</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5"/>
            <w:shd w:val="clear" w:color="auto" w:fill="CCEEFF"/>
          </w:tcPr>
          <w:p>
            <w:pPr>
              <w:ind w:left="60"/>
              <w:spacing w:after="0"/>
              <w:rPr>
                <w:sz w:val="20"/>
                <w:szCs w:val="20"/>
                <w:color w:val="auto"/>
              </w:rPr>
            </w:pPr>
            <w:r>
              <w:rPr>
                <w:rFonts w:ascii="Arial" w:cs="Arial" w:eastAsia="Arial" w:hAnsi="Arial"/>
                <w:sz w:val="18"/>
                <w:szCs w:val="18"/>
                <w:color w:val="auto"/>
              </w:rPr>
              <w:t>$ (6,105)</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$ 150,440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40"/>
          </w:cols>
          <w:pgMar w:left="440" w:top="270" w:right="419" w:bottom="1440" w:gutter="0" w:footer="0" w:header="0"/>
        </w:sectPr>
      </w:pPr>
    </w:p>
    <w:bookmarkStart w:id="15" w:name="page16"/>
    <w:bookmarkEnd w:id="15"/>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Reconciliation of Selected Financial Metrics from GAAP to Non-GAAP</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gridSpan w:val="5"/>
          </w:tcPr>
          <w:p>
            <w:pPr>
              <w:jc w:val="center"/>
              <w:spacing w:after="0"/>
              <w:rPr>
                <w:sz w:val="20"/>
                <w:szCs w:val="20"/>
                <w:color w:val="auto"/>
              </w:rPr>
            </w:pPr>
            <w:r>
              <w:rPr>
                <w:rFonts w:ascii="Arial" w:cs="Arial" w:eastAsia="Arial" w:hAnsi="Arial"/>
                <w:sz w:val="14"/>
                <w:szCs w:val="14"/>
                <w:b w:val="1"/>
                <w:bCs w:val="1"/>
                <w:color w:val="auto"/>
                <w:w w:val="90"/>
              </w:rPr>
              <w:t>Nine months ended</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June 30, 2018</w:t>
            </w: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5"/>
          </w:tcPr>
          <w:p>
            <w:pPr>
              <w:ind w:left="20"/>
              <w:spacing w:after="0" w:line="142" w:lineRule="exact"/>
              <w:rPr>
                <w:sz w:val="20"/>
                <w:szCs w:val="20"/>
                <w:color w:val="auto"/>
              </w:rPr>
            </w:pPr>
            <w:r>
              <w:rPr>
                <w:rFonts w:ascii="Arial" w:cs="Arial" w:eastAsia="Arial" w:hAnsi="Arial"/>
                <w:sz w:val="14"/>
                <w:szCs w:val="14"/>
                <w:b w:val="1"/>
                <w:bCs w:val="1"/>
                <w:color w:val="auto"/>
                <w:w w:val="93"/>
              </w:rPr>
              <w:t>Reconciliation items</w:t>
            </w: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4"/>
          </w:tcPr>
          <w:p>
            <w:pPr>
              <w:jc w:val="center"/>
              <w:ind w:right="180"/>
              <w:spacing w:after="0" w:line="119" w:lineRule="exact"/>
              <w:rPr>
                <w:sz w:val="20"/>
                <w:szCs w:val="20"/>
                <w:color w:val="auto"/>
              </w:rPr>
            </w:pPr>
            <w:r>
              <w:rPr>
                <w:rFonts w:ascii="Arial" w:cs="Arial" w:eastAsia="Arial" w:hAnsi="Arial"/>
                <w:sz w:val="13"/>
                <w:szCs w:val="13"/>
                <w:b w:val="1"/>
                <w:bCs w:val="1"/>
                <w:color w:val="auto"/>
              </w:rPr>
              <w:t>Amortization</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2"/>
              </w:rPr>
              <w:t>Changes in fair</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of purchased</w:t>
            </w:r>
          </w:p>
        </w:tc>
        <w:tc>
          <w:tcPr>
            <w:tcW w:w="100" w:type="dxa"/>
            <w:vAlign w:val="bottom"/>
          </w:tcPr>
          <w:p>
            <w:pPr>
              <w:spacing w:after="0"/>
              <w:rPr>
                <w:sz w:val="12"/>
                <w:szCs w:val="12"/>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Equity based</w:t>
            </w:r>
          </w:p>
        </w:tc>
        <w:tc>
          <w:tcPr>
            <w:tcW w:w="20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intangible</w:t>
            </w:r>
          </w:p>
        </w:tc>
        <w:tc>
          <w:tcPr>
            <w:tcW w:w="100" w:type="dxa"/>
            <w:vAlign w:val="bottom"/>
          </w:tcPr>
          <w:p>
            <w:pPr>
              <w:spacing w:after="0"/>
              <w:rPr>
                <w:sz w:val="12"/>
                <w:szCs w:val="12"/>
                <w:color w:val="auto"/>
              </w:rPr>
            </w:pPr>
          </w:p>
        </w:tc>
        <w:tc>
          <w:tcPr>
            <w:tcW w:w="920" w:type="dxa"/>
            <w:vAlign w:val="bottom"/>
            <w:gridSpan w:val="4"/>
            <w:vMerge w:val="continue"/>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w w:val="91"/>
              </w:rPr>
              <w:t>value of certain</w:t>
            </w:r>
          </w:p>
        </w:tc>
        <w:tc>
          <w:tcPr>
            <w:tcW w:w="100" w:type="dxa"/>
            <w:vAlign w:val="bottom"/>
          </w:tcPr>
          <w:p>
            <w:pPr>
              <w:spacing w:after="0"/>
              <w:rPr>
                <w:sz w:val="12"/>
                <w:szCs w:val="12"/>
                <w:color w:val="auto"/>
              </w:rPr>
            </w:pPr>
          </w:p>
        </w:tc>
        <w:tc>
          <w:tcPr>
            <w:tcW w:w="1180" w:type="dxa"/>
            <w:vAlign w:val="bottom"/>
            <w:gridSpan w:val="5"/>
            <w:vMerge w:val="restart"/>
          </w:tcPr>
          <w:p>
            <w:pPr>
              <w:jc w:val="right"/>
              <w:ind w:right="140"/>
              <w:spacing w:after="0"/>
              <w:rPr>
                <w:sz w:val="20"/>
                <w:szCs w:val="20"/>
                <w:color w:val="auto"/>
              </w:rPr>
            </w:pPr>
            <w:r>
              <w:rPr>
                <w:rFonts w:ascii="Arial" w:cs="Arial" w:eastAsia="Arial" w:hAnsi="Arial"/>
                <w:sz w:val="14"/>
                <w:szCs w:val="14"/>
                <w:b w:val="1"/>
                <w:bCs w:val="1"/>
                <w:color w:val="auto"/>
              </w:rPr>
              <w:t>Restructuring</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GAAP</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assets and</w:t>
            </w:r>
          </w:p>
        </w:tc>
        <w:tc>
          <w:tcPr>
            <w:tcW w:w="1020" w:type="dxa"/>
            <w:vAlign w:val="bottom"/>
            <w:gridSpan w:val="5"/>
          </w:tcPr>
          <w:p>
            <w:pPr>
              <w:ind w:left="100"/>
              <w:spacing w:after="0" w:line="149" w:lineRule="exact"/>
              <w:rPr>
                <w:sz w:val="20"/>
                <w:szCs w:val="20"/>
                <w:color w:val="auto"/>
              </w:rPr>
            </w:pPr>
            <w:r>
              <w:rPr>
                <w:rFonts w:ascii="Arial" w:cs="Arial" w:eastAsia="Arial" w:hAnsi="Arial"/>
                <w:sz w:val="14"/>
                <w:szCs w:val="14"/>
                <w:b w:val="1"/>
                <w:bCs w:val="1"/>
                <w:color w:val="auto"/>
                <w:w w:val="94"/>
              </w:rPr>
              <w:t>compensation</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70"/>
              <w:spacing w:after="0" w:line="149" w:lineRule="exact"/>
              <w:rPr>
                <w:sz w:val="20"/>
                <w:szCs w:val="20"/>
                <w:color w:val="auto"/>
              </w:rPr>
            </w:pPr>
            <w:r>
              <w:rPr>
                <w:rFonts w:ascii="Arial" w:cs="Arial" w:eastAsia="Arial" w:hAnsi="Arial"/>
                <w:sz w:val="14"/>
                <w:szCs w:val="14"/>
                <w:b w:val="1"/>
                <w:bCs w:val="1"/>
                <w:color w:val="auto"/>
                <w:w w:val="96"/>
              </w:rPr>
              <w:t>acquisition-</w:t>
            </w:r>
          </w:p>
        </w:tc>
        <w:tc>
          <w:tcPr>
            <w:tcW w:w="100" w:type="dxa"/>
            <w:vAlign w:val="bottom"/>
          </w:tcPr>
          <w:p>
            <w:pPr>
              <w:spacing w:after="0"/>
              <w:rPr>
                <w:sz w:val="12"/>
                <w:szCs w:val="12"/>
                <w:color w:val="auto"/>
              </w:rPr>
            </w:pPr>
          </w:p>
        </w:tc>
        <w:tc>
          <w:tcPr>
            <w:tcW w:w="118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Tax effect</w:t>
            </w:r>
          </w:p>
        </w:tc>
        <w:tc>
          <w:tcPr>
            <w:tcW w:w="120" w:type="dxa"/>
            <w:vAlign w:val="bottom"/>
          </w:tcPr>
          <w:p>
            <w:pPr>
              <w:spacing w:after="0"/>
              <w:rPr>
                <w:sz w:val="12"/>
                <w:szCs w:val="12"/>
                <w:color w:val="auto"/>
              </w:rPr>
            </w:pPr>
          </w:p>
        </w:tc>
        <w:tc>
          <w:tcPr>
            <w:tcW w:w="8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7"/>
              </w:rPr>
              <w:t>other</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3"/>
          </w:tcPr>
          <w:p>
            <w:pPr>
              <w:ind w:left="40"/>
              <w:spacing w:after="0"/>
              <w:rPr>
                <w:sz w:val="20"/>
                <w:szCs w:val="20"/>
                <w:color w:val="auto"/>
              </w:rPr>
            </w:pPr>
            <w:r>
              <w:rPr>
                <w:rFonts w:ascii="Arial" w:cs="Arial" w:eastAsia="Arial" w:hAnsi="Arial"/>
                <w:sz w:val="14"/>
                <w:szCs w:val="14"/>
                <w:b w:val="1"/>
                <w:bCs w:val="1"/>
                <w:color w:val="auto"/>
              </w:rPr>
              <w:t>expense</w:t>
            </w:r>
          </w:p>
        </w:tc>
        <w:tc>
          <w:tcPr>
            <w:tcW w:w="1320" w:type="dxa"/>
            <w:vAlign w:val="bottom"/>
            <w:gridSpan w:val="5"/>
          </w:tcPr>
          <w:p>
            <w:pPr>
              <w:ind w:left="200"/>
              <w:spacing w:after="0"/>
              <w:rPr>
                <w:sz w:val="20"/>
                <w:szCs w:val="20"/>
                <w:color w:val="auto"/>
              </w:rPr>
            </w:pPr>
            <w:r>
              <w:rPr>
                <w:rFonts w:ascii="Arial" w:cs="Arial" w:eastAsia="Arial" w:hAnsi="Arial"/>
                <w:sz w:val="14"/>
                <w:szCs w:val="14"/>
                <w:b w:val="1"/>
                <w:bCs w:val="1"/>
                <w:color w:val="auto"/>
              </w:rPr>
              <w:t>related liabilities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3"/>
              </w:rPr>
              <w:t>charges</w:t>
            </w:r>
          </w:p>
        </w:tc>
        <w:tc>
          <w:tcPr>
            <w:tcW w:w="14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left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right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left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340"/>
              <w:spacing w:after="0"/>
              <w:rPr>
                <w:sz w:val="20"/>
                <w:szCs w:val="20"/>
                <w:color w:val="auto"/>
              </w:rPr>
            </w:pPr>
            <w:r>
              <w:rPr>
                <w:rFonts w:ascii="Arial" w:cs="Arial" w:eastAsia="Arial" w:hAnsi="Arial"/>
                <w:sz w:val="18"/>
                <w:szCs w:val="18"/>
                <w:color w:val="auto"/>
              </w:rPr>
              <w:t>Cost of revenue</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$1,940,353</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80" w:type="dxa"/>
            <w:vAlign w:val="bottom"/>
            <w:gridSpan w:val="3"/>
          </w:tcPr>
          <w:p>
            <w:pPr>
              <w:ind w:left="160"/>
              <w:spacing w:after="0"/>
              <w:rPr>
                <w:sz w:val="20"/>
                <w:szCs w:val="20"/>
                <w:color w:val="auto"/>
              </w:rPr>
            </w:pPr>
            <w:r>
              <w:rPr>
                <w:rFonts w:ascii="Arial" w:cs="Arial" w:eastAsia="Arial" w:hAnsi="Arial"/>
                <w:sz w:val="18"/>
                <w:szCs w:val="18"/>
                <w:color w:val="auto"/>
                <w:w w:val="89"/>
              </w:rPr>
              <w:t>(14,502)</w:t>
            </w:r>
          </w:p>
        </w:tc>
        <w:tc>
          <w:tcPr>
            <w:tcW w:w="280" w:type="dxa"/>
            <w:vAlign w:val="bottom"/>
            <w:gridSpan w:val="2"/>
          </w:tcPr>
          <w:p>
            <w:pPr>
              <w:ind w:left="200"/>
              <w:spacing w:after="0"/>
              <w:rPr>
                <w:sz w:val="20"/>
                <w:szCs w:val="20"/>
                <w:color w:val="auto"/>
              </w:rPr>
            </w:pPr>
            <w:r>
              <w:rPr>
                <w:rFonts w:ascii="Arial" w:cs="Arial" w:eastAsia="Arial" w:hAnsi="Arial"/>
                <w:sz w:val="15"/>
                <w:szCs w:val="15"/>
                <w:color w:val="auto"/>
                <w:w w:val="71"/>
              </w:rPr>
              <w:t>$</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(9,033)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$1,916,818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205,832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(2,664)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355,263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ind w:left="160"/>
              <w:spacing w:after="0"/>
              <w:rPr>
                <w:sz w:val="20"/>
                <w:szCs w:val="20"/>
                <w:color w:val="auto"/>
              </w:rPr>
            </w:pPr>
            <w:r>
              <w:rPr>
                <w:rFonts w:ascii="Arial" w:cs="Arial" w:eastAsia="Arial" w:hAnsi="Arial"/>
                <w:sz w:val="18"/>
                <w:szCs w:val="18"/>
                <w:color w:val="auto"/>
                <w:w w:val="89"/>
              </w:rPr>
              <w:t>(17,414)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337,849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9"/>
              </w:rPr>
              <w:t>Amortization of purchased intangible</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assets and other</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81,256</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tcBorders>
              <w:left w:val="single" w:sz="8" w:color="CCEEFF"/>
            </w:tcBorders>
            <w:shd w:val="clear" w:color="auto" w:fill="CCEEFF"/>
          </w:tcPr>
          <w:p>
            <w:pPr>
              <w:spacing w:after="0"/>
              <w:rPr>
                <w:sz w:val="20"/>
                <w:szCs w:val="20"/>
                <w:color w:val="auto"/>
              </w:rPr>
            </w:pP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(81,256)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340"/>
              <w:spacing w:after="0"/>
              <w:rPr>
                <w:sz w:val="20"/>
                <w:szCs w:val="20"/>
                <w:color w:val="auto"/>
              </w:rPr>
            </w:pPr>
            <w:r>
              <w:rPr>
                <w:rFonts w:ascii="Arial" w:cs="Arial" w:eastAsia="Arial" w:hAnsi="Arial"/>
                <w:sz w:val="18"/>
                <w:szCs w:val="18"/>
                <w:color w:val="auto"/>
              </w:rPr>
              <w:t>Restructuring charges</w:t>
            </w:r>
          </w:p>
        </w:tc>
        <w:tc>
          <w:tcPr>
            <w:tcW w:w="2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30,057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(30,057)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left w:val="single" w:sz="8" w:color="auto"/>
            </w:tcBorders>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Borders>
              <w:lef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2,612,761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(81,256)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89"/>
              </w:rPr>
              <w:t>(34,580)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(9,033)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(30,057)</w:t>
            </w: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2,457,835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8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20" w:type="dxa"/>
            <w:vAlign w:val="bottom"/>
          </w:tcPr>
          <w:p>
            <w:pPr>
              <w:spacing w:after="0"/>
              <w:rPr>
                <w:sz w:val="20"/>
                <w:szCs w:val="20"/>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359,488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81,256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34,580</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9,033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30,057</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514,414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46,028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25,693</w:t>
            </w:r>
          </w:p>
        </w:tc>
        <w:tc>
          <w:tcPr>
            <w:tcW w:w="24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19"/>
                <w:szCs w:val="19"/>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  310,130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81,256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34,580</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9,033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30,057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u w:val="single" w:color="auto"/>
                <w:color w:val="auto"/>
                <w:w w:val="78"/>
              </w:rPr>
              <w:t>$</w:t>
            </w:r>
            <w:r>
              <w:rPr>
                <w:rFonts w:ascii="Arial" w:cs="Arial" w:eastAsia="Arial" w:hAnsi="Arial"/>
                <w:sz w:val="18"/>
                <w:szCs w:val="18"/>
                <w:color w:val="auto"/>
                <w:w w:val="78"/>
              </w:rPr>
              <w:t>(25,693</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439,363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6"/>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gridSpan w:val="6"/>
          </w:tcPr>
          <w:p>
            <w:pPr>
              <w:ind w:left="20"/>
              <w:spacing w:after="0"/>
              <w:rPr>
                <w:sz w:val="20"/>
                <w:szCs w:val="20"/>
                <w:color w:val="auto"/>
              </w:rPr>
            </w:pPr>
            <w:r>
              <w:rPr>
                <w:rFonts w:ascii="Arial" w:cs="Arial" w:eastAsia="Arial" w:hAnsi="Arial"/>
                <w:sz w:val="14"/>
                <w:szCs w:val="14"/>
                <w:b w:val="1"/>
                <w:bCs w:val="1"/>
                <w:color w:val="auto"/>
              </w:rPr>
              <w:t>Nine months ended</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ind w:right="38"/>
              <w:spacing w:after="0"/>
              <w:rPr>
                <w:sz w:val="20"/>
                <w:szCs w:val="20"/>
                <w:color w:val="auto"/>
              </w:rPr>
            </w:pPr>
            <w:r>
              <w:rPr>
                <w:rFonts w:ascii="Arial" w:cs="Arial" w:eastAsia="Arial" w:hAnsi="Arial"/>
                <w:sz w:val="14"/>
                <w:szCs w:val="14"/>
                <w:b w:val="1"/>
                <w:bCs w:val="1"/>
                <w:color w:val="auto"/>
              </w:rPr>
              <w:t>June 30, 2017</w:t>
            </w: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7"/>
          </w:tcPr>
          <w:p>
            <w:pPr>
              <w:ind w:left="160"/>
              <w:spacing w:after="0" w:line="142" w:lineRule="exact"/>
              <w:rPr>
                <w:sz w:val="20"/>
                <w:szCs w:val="20"/>
                <w:color w:val="auto"/>
              </w:rPr>
            </w:pPr>
            <w:r>
              <w:rPr>
                <w:rFonts w:ascii="Arial" w:cs="Arial" w:eastAsia="Arial" w:hAnsi="Arial"/>
                <w:sz w:val="14"/>
                <w:szCs w:val="14"/>
                <w:b w:val="1"/>
                <w:bCs w:val="1"/>
                <w:color w:val="auto"/>
              </w:rPr>
              <w:t>Reconciliation items</w:t>
            </w:r>
          </w:p>
        </w:tc>
        <w:tc>
          <w:tcPr>
            <w:tcW w:w="5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40" w:type="dxa"/>
            <w:vAlign w:val="bottom"/>
            <w:gridSpan w:val="7"/>
            <w:vMerge w:val="restart"/>
          </w:tcPr>
          <w:p>
            <w:pPr>
              <w:jc w:val="right"/>
              <w:ind w:right="520"/>
              <w:spacing w:after="0"/>
              <w:rPr>
                <w:sz w:val="20"/>
                <w:szCs w:val="20"/>
                <w:color w:val="auto"/>
              </w:rPr>
            </w:pPr>
            <w:r>
              <w:rPr>
                <w:rFonts w:ascii="Arial" w:cs="Arial" w:eastAsia="Arial" w:hAnsi="Arial"/>
                <w:sz w:val="14"/>
                <w:szCs w:val="14"/>
                <w:b w:val="1"/>
                <w:bCs w:val="1"/>
                <w:color w:val="auto"/>
              </w:rPr>
              <w:t>Amortization of</w:t>
            </w:r>
          </w:p>
        </w:tc>
        <w:tc>
          <w:tcPr>
            <w:tcW w:w="122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Equity based</w:t>
            </w:r>
          </w:p>
        </w:tc>
        <w:tc>
          <w:tcPr>
            <w:tcW w:w="1280" w:type="dxa"/>
            <w:vAlign w:val="bottom"/>
            <w:gridSpan w:val="6"/>
          </w:tcPr>
          <w:p>
            <w:pPr>
              <w:jc w:val="center"/>
              <w:ind w:right="300"/>
              <w:spacing w:after="0" w:line="119" w:lineRule="exact"/>
              <w:rPr>
                <w:sz w:val="20"/>
                <w:szCs w:val="20"/>
                <w:color w:val="auto"/>
              </w:rPr>
            </w:pPr>
            <w:r>
              <w:rPr>
                <w:rFonts w:ascii="Arial" w:cs="Arial" w:eastAsia="Arial" w:hAnsi="Arial"/>
                <w:sz w:val="13"/>
                <w:szCs w:val="13"/>
                <w:b w:val="1"/>
                <w:bCs w:val="1"/>
                <w:color w:val="auto"/>
              </w:rPr>
              <w:t>Changes in fair</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gridSpan w:val="7"/>
            <w:vMerge w:val="continue"/>
          </w:tcPr>
          <w:p>
            <w:pPr>
              <w:spacing w:after="0"/>
              <w:rPr>
                <w:sz w:val="12"/>
                <w:szCs w:val="12"/>
                <w:color w:val="auto"/>
              </w:rPr>
            </w:pPr>
          </w:p>
        </w:tc>
        <w:tc>
          <w:tcPr>
            <w:tcW w:w="1220" w:type="dxa"/>
            <w:vAlign w:val="bottom"/>
            <w:gridSpan w:val="4"/>
            <w:vMerge w:val="continue"/>
          </w:tcPr>
          <w:p>
            <w:pPr>
              <w:spacing w:after="0"/>
              <w:rPr>
                <w:sz w:val="12"/>
                <w:szCs w:val="12"/>
                <w:color w:val="auto"/>
              </w:rPr>
            </w:pPr>
          </w:p>
        </w:tc>
        <w:tc>
          <w:tcPr>
            <w:tcW w:w="1280" w:type="dxa"/>
            <w:vAlign w:val="bottom"/>
            <w:gridSpan w:val="6"/>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value of certain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GAAP</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8"/>
          </w:tcPr>
          <w:p>
            <w:pPr>
              <w:jc w:val="right"/>
              <w:ind w:right="360"/>
              <w:spacing w:after="0" w:line="149" w:lineRule="exact"/>
              <w:rPr>
                <w:sz w:val="20"/>
                <w:szCs w:val="20"/>
                <w:color w:val="auto"/>
              </w:rPr>
            </w:pPr>
            <w:r>
              <w:rPr>
                <w:rFonts w:ascii="Arial" w:cs="Arial" w:eastAsia="Arial" w:hAnsi="Arial"/>
                <w:sz w:val="14"/>
                <w:szCs w:val="14"/>
                <w:b w:val="1"/>
                <w:bCs w:val="1"/>
                <w:color w:val="auto"/>
              </w:rPr>
              <w:t>purchased intangible</w:t>
            </w:r>
          </w:p>
        </w:tc>
        <w:tc>
          <w:tcPr>
            <w:tcW w:w="12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00" w:type="dxa"/>
            <w:vAlign w:val="bottom"/>
          </w:tcPr>
          <w:p>
            <w:pPr>
              <w:spacing w:after="0"/>
              <w:rPr>
                <w:sz w:val="12"/>
                <w:szCs w:val="12"/>
                <w:color w:val="auto"/>
              </w:rPr>
            </w:pPr>
          </w:p>
        </w:tc>
        <w:tc>
          <w:tcPr>
            <w:tcW w:w="1180" w:type="dxa"/>
            <w:vAlign w:val="bottom"/>
            <w:gridSpan w:val="5"/>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140" w:type="dxa"/>
            <w:vAlign w:val="bottom"/>
          </w:tcPr>
          <w:p>
            <w:pPr>
              <w:spacing w:after="0"/>
              <w:rPr>
                <w:sz w:val="12"/>
                <w:szCs w:val="12"/>
                <w:color w:val="auto"/>
              </w:rPr>
            </w:pPr>
          </w:p>
        </w:tc>
        <w:tc>
          <w:tcPr>
            <w:tcW w:w="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Tax effect</w:t>
            </w:r>
          </w:p>
        </w:tc>
        <w:tc>
          <w:tcPr>
            <w:tcW w:w="120" w:type="dxa"/>
            <w:vAlign w:val="bottom"/>
          </w:tcPr>
          <w:p>
            <w:pPr>
              <w:spacing w:after="0"/>
              <w:rPr>
                <w:sz w:val="12"/>
                <w:szCs w:val="12"/>
                <w:color w:val="auto"/>
              </w:rPr>
            </w:pPr>
          </w:p>
        </w:tc>
        <w:tc>
          <w:tcPr>
            <w:tcW w:w="8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gridSpan w:val="7"/>
          </w:tcPr>
          <w:p>
            <w:pPr>
              <w:jc w:val="right"/>
              <w:ind w:right="520"/>
              <w:spacing w:after="0"/>
              <w:rPr>
                <w:sz w:val="20"/>
                <w:szCs w:val="20"/>
                <w:color w:val="auto"/>
              </w:rPr>
            </w:pPr>
            <w:r>
              <w:rPr>
                <w:rFonts w:ascii="Arial" w:cs="Arial" w:eastAsia="Arial" w:hAnsi="Arial"/>
                <w:sz w:val="14"/>
                <w:szCs w:val="14"/>
                <w:b w:val="1"/>
                <w:bCs w:val="1"/>
                <w:color w:val="auto"/>
                <w:w w:val="98"/>
              </w:rPr>
              <w:t>assets and other</w:t>
            </w:r>
          </w:p>
        </w:tc>
        <w:tc>
          <w:tcPr>
            <w:tcW w:w="1220" w:type="dxa"/>
            <w:vAlign w:val="bottom"/>
            <w:gridSpan w:val="4"/>
          </w:tcPr>
          <w:p>
            <w:pPr>
              <w:ind w:left="180"/>
              <w:spacing w:after="0"/>
              <w:rPr>
                <w:sz w:val="20"/>
                <w:szCs w:val="20"/>
                <w:color w:val="auto"/>
              </w:rPr>
            </w:pPr>
            <w:r>
              <w:rPr>
                <w:rFonts w:ascii="Arial" w:cs="Arial" w:eastAsia="Arial" w:hAnsi="Arial"/>
                <w:sz w:val="14"/>
                <w:szCs w:val="14"/>
                <w:b w:val="1"/>
                <w:bCs w:val="1"/>
                <w:color w:val="auto"/>
              </w:rPr>
              <w:t>expense</w:t>
            </w:r>
          </w:p>
        </w:tc>
        <w:tc>
          <w:tcPr>
            <w:tcW w:w="128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1"/>
              </w:rPr>
              <w:t>related liabilities</w:t>
            </w:r>
          </w:p>
        </w:tc>
        <w:tc>
          <w:tcPr>
            <w:tcW w:w="14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left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left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340"/>
              <w:spacing w:after="0"/>
              <w:rPr>
                <w:sz w:val="20"/>
                <w:szCs w:val="20"/>
                <w:color w:val="auto"/>
              </w:rPr>
            </w:pPr>
            <w:r>
              <w:rPr>
                <w:rFonts w:ascii="Arial" w:cs="Arial" w:eastAsia="Arial" w:hAnsi="Arial"/>
                <w:sz w:val="18"/>
                <w:szCs w:val="18"/>
                <w:color w:val="auto"/>
              </w:rPr>
              <w:t>Cost of revenue</w:t>
            </w:r>
          </w:p>
        </w:tc>
        <w:tc>
          <w:tcPr>
            <w:tcW w:w="1260" w:type="dxa"/>
            <w:vAlign w:val="bottom"/>
            <w:gridSpan w:val="5"/>
          </w:tcPr>
          <w:p>
            <w:pPr>
              <w:jc w:val="right"/>
              <w:spacing w:after="0"/>
              <w:rPr>
                <w:sz w:val="20"/>
                <w:szCs w:val="20"/>
                <w:color w:val="auto"/>
              </w:rPr>
            </w:pPr>
            <w:r>
              <w:rPr>
                <w:rFonts w:ascii="Arial" w:cs="Arial" w:eastAsia="Arial" w:hAnsi="Arial"/>
                <w:sz w:val="18"/>
                <w:szCs w:val="18"/>
                <w:color w:val="auto"/>
              </w:rPr>
              <w:t>$ 1,871,211</w:t>
            </w:r>
          </w:p>
        </w:tc>
        <w:tc>
          <w:tcPr>
            <w:tcW w:w="100" w:type="dxa"/>
            <w:vAlign w:val="bottom"/>
          </w:tcPr>
          <w:p>
            <w:pPr>
              <w:spacing w:after="0"/>
              <w:rPr>
                <w:sz w:val="18"/>
                <w:szCs w:val="18"/>
                <w:color w:val="auto"/>
              </w:rPr>
            </w:pPr>
          </w:p>
        </w:tc>
        <w:tc>
          <w:tcPr>
            <w:tcW w:w="740" w:type="dxa"/>
            <w:vAlign w:val="bottom"/>
            <w:gridSpan w:val="2"/>
          </w:tcPr>
          <w:p>
            <w:pPr>
              <w:jc w:val="center"/>
              <w:ind w:right="35"/>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40" w:type="dxa"/>
            <w:vAlign w:val="bottom"/>
            <w:gridSpan w:val="2"/>
          </w:tcPr>
          <w:p>
            <w:pPr>
              <w:jc w:val="right"/>
              <w:ind w:right="230"/>
              <w:spacing w:after="0"/>
              <w:rPr>
                <w:sz w:val="20"/>
                <w:szCs w:val="20"/>
                <w:color w:val="auto"/>
              </w:rPr>
            </w:pPr>
            <w:r>
              <w:rPr>
                <w:rFonts w:ascii="Arial" w:cs="Arial" w:eastAsia="Arial" w:hAnsi="Arial"/>
                <w:sz w:val="18"/>
                <w:szCs w:val="18"/>
                <w:color w:val="auto"/>
                <w:w w:val="89"/>
              </w:rPr>
              <w:t>(14,734)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6,691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center"/>
              <w:ind w:right="30"/>
              <w:spacing w:after="0"/>
              <w:rPr>
                <w:sz w:val="20"/>
                <w:szCs w:val="20"/>
                <w:color w:val="auto"/>
              </w:rPr>
            </w:pPr>
            <w:r>
              <w:rPr>
                <w:rFonts w:ascii="Arial" w:cs="Arial" w:eastAsia="Arial" w:hAnsi="Arial"/>
                <w:sz w:val="18"/>
                <w:szCs w:val="18"/>
                <w:color w:val="auto"/>
                <w:w w:val="99"/>
              </w:rPr>
              <w:t>—</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$1,863,168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12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194,411</w:t>
            </w:r>
          </w:p>
        </w:tc>
        <w:tc>
          <w:tcPr>
            <w:tcW w:w="10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(2,714)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right="3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1260" w:type="dxa"/>
            <w:vAlign w:val="bottom"/>
            <w:gridSpan w:val="5"/>
          </w:tcPr>
          <w:p>
            <w:pPr>
              <w:jc w:val="right"/>
              <w:spacing w:after="0"/>
              <w:rPr>
                <w:sz w:val="20"/>
                <w:szCs w:val="20"/>
                <w:color w:val="auto"/>
              </w:rPr>
            </w:pPr>
            <w:r>
              <w:rPr>
                <w:rFonts w:ascii="Arial" w:cs="Arial" w:eastAsia="Arial" w:hAnsi="Arial"/>
                <w:sz w:val="18"/>
                <w:szCs w:val="18"/>
                <w:color w:val="auto"/>
              </w:rPr>
              <w:t>352,541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30"/>
              <w:spacing w:after="0"/>
              <w:rPr>
                <w:sz w:val="20"/>
                <w:szCs w:val="20"/>
                <w:color w:val="auto"/>
              </w:rPr>
            </w:pPr>
            <w:r>
              <w:rPr>
                <w:rFonts w:ascii="Arial" w:cs="Arial" w:eastAsia="Arial" w:hAnsi="Arial"/>
                <w:sz w:val="18"/>
                <w:szCs w:val="18"/>
                <w:color w:val="auto"/>
                <w:w w:val="89"/>
              </w:rPr>
              <w:t>(17,250)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center"/>
              <w:ind w:right="3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335,291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9"/>
              </w:rPr>
              <w:t>Amortization of purchased intangible</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assets and other</w:t>
            </w:r>
          </w:p>
        </w:tc>
        <w:tc>
          <w:tcPr>
            <w:tcW w:w="12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83,982</w:t>
            </w:r>
          </w:p>
        </w:tc>
        <w:tc>
          <w:tcPr>
            <w:tcW w:w="100" w:type="dxa"/>
            <w:vAlign w:val="bottom"/>
            <w:tcBorders>
              <w:left w:val="single" w:sz="8" w:color="CCEEFF"/>
            </w:tcBorders>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4"/>
            <w:shd w:val="clear" w:color="auto" w:fill="CCEEFF"/>
          </w:tcPr>
          <w:p>
            <w:pPr>
              <w:jc w:val="right"/>
              <w:ind w:right="150"/>
              <w:spacing w:after="0"/>
              <w:rPr>
                <w:sz w:val="20"/>
                <w:szCs w:val="20"/>
                <w:color w:val="auto"/>
              </w:rPr>
            </w:pPr>
            <w:r>
              <w:rPr>
                <w:rFonts w:ascii="Arial" w:cs="Arial" w:eastAsia="Arial" w:hAnsi="Arial"/>
                <w:sz w:val="18"/>
                <w:szCs w:val="18"/>
                <w:color w:val="auto"/>
              </w:rPr>
              <w:t>(83,982)</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tcBorders>
              <w:right w:val="single" w:sz="8" w:color="CCEEFF"/>
            </w:tcBorders>
            <w:gridSpan w:val="2"/>
            <w:shd w:val="clear" w:color="auto" w:fill="CCEEFF"/>
          </w:tcPr>
          <w:p>
            <w:pPr>
              <w:jc w:val="center"/>
              <w:ind w:right="7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center"/>
              <w:ind w:right="3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28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500" w:type="dxa"/>
            <w:vAlign w:val="bottom"/>
            <w:gridSpan w:val="2"/>
          </w:tcPr>
          <w:p>
            <w:pPr>
              <w:spacing w:after="0"/>
              <w:rPr>
                <w:sz w:val="20"/>
                <w:szCs w:val="20"/>
                <w:color w:val="auto"/>
              </w:rPr>
            </w:pPr>
          </w:p>
        </w:tc>
        <w:tc>
          <w:tcPr>
            <w:tcW w:w="7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9"/>
              </w:rPr>
              <w:t>2,502,145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5"/>
              </w:rPr>
              <w:t>(83,982)</w:t>
            </w: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(34,698)</w:t>
            </w:r>
          </w:p>
        </w:tc>
        <w:tc>
          <w:tcPr>
            <w:tcW w:w="3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6,691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center"/>
              <w:ind w:left="3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2,390,156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2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385,286</w:t>
            </w:r>
          </w:p>
        </w:tc>
        <w:tc>
          <w:tcPr>
            <w:tcW w:w="10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83,982</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34,698</w:t>
            </w:r>
          </w:p>
        </w:tc>
        <w:tc>
          <w:tcPr>
            <w:tcW w:w="3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(6,691)</w:t>
            </w:r>
          </w:p>
        </w:tc>
        <w:tc>
          <w:tcPr>
            <w:tcW w:w="1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right="3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497,275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8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500" w:type="dxa"/>
            <w:vAlign w:val="bottom"/>
            <w:gridSpan w:val="2"/>
          </w:tcPr>
          <w:p>
            <w:pPr>
              <w:spacing w:after="0"/>
              <w:rPr>
                <w:sz w:val="20"/>
                <w:szCs w:val="20"/>
                <w:color w:val="auto"/>
              </w:rPr>
            </w:pPr>
          </w:p>
        </w:tc>
        <w:tc>
          <w:tcPr>
            <w:tcW w:w="7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53,590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360" w:type="dxa"/>
            <w:vAlign w:val="bottom"/>
            <w:gridSpan w:val="2"/>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center"/>
              <w:ind w:left="113"/>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3"/>
              </w:rPr>
              <w:t>18,435</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72,025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329,617</w:t>
            </w:r>
          </w:p>
        </w:tc>
        <w:tc>
          <w:tcPr>
            <w:tcW w:w="100" w:type="dxa"/>
            <w:vAlign w:val="bottom"/>
            <w:tcBorders>
              <w:left w:val="single" w:sz="8" w:color="CCEEFF"/>
            </w:tcBorders>
            <w:shd w:val="clear" w:color="auto" w:fill="CCEEFF"/>
          </w:tcPr>
          <w:p>
            <w:pPr>
              <w:spacing w:after="0"/>
              <w:rPr>
                <w:sz w:val="18"/>
                <w:szCs w:val="18"/>
                <w:color w:val="auto"/>
              </w:rPr>
            </w:pPr>
          </w:p>
        </w:tc>
        <w:tc>
          <w:tcPr>
            <w:tcW w:w="740" w:type="dxa"/>
            <w:vAlign w:val="bottom"/>
            <w:gridSpan w:val="2"/>
            <w:shd w:val="clear" w:color="auto" w:fill="CCEEFF"/>
          </w:tcPr>
          <w:p>
            <w:pPr>
              <w:jc w:val="center"/>
              <w:ind w:right="35"/>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83,982</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34,698</w:t>
            </w:r>
          </w:p>
        </w:tc>
        <w:tc>
          <w:tcPr>
            <w:tcW w:w="3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(6,691)</w:t>
            </w: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ind w:left="80"/>
              <w:spacing w:after="0"/>
              <w:rPr>
                <w:sz w:val="20"/>
                <w:szCs w:val="20"/>
                <w:color w:val="auto"/>
              </w:rPr>
            </w:pPr>
            <w:r>
              <w:rPr>
                <w:rFonts w:ascii="Arial" w:cs="Arial" w:eastAsia="Arial" w:hAnsi="Arial"/>
                <w:sz w:val="18"/>
                <w:szCs w:val="18"/>
                <w:u w:val="single" w:color="auto"/>
                <w:color w:val="auto"/>
                <w:w w:val="80"/>
              </w:rPr>
              <w:t>$</w:t>
            </w:r>
            <w:r>
              <w:rPr>
                <w:rFonts w:ascii="Arial" w:cs="Arial" w:eastAsia="Arial" w:hAnsi="Arial"/>
                <w:sz w:val="18"/>
                <w:szCs w:val="18"/>
                <w:color w:val="auto"/>
                <w:w w:val="80"/>
              </w:rPr>
              <w:t>(18,435)</w:t>
            </w:r>
          </w:p>
        </w:tc>
        <w:tc>
          <w:tcPr>
            <w:tcW w:w="240" w:type="dxa"/>
            <w:vAlign w:val="bottom"/>
            <w:tcBorders>
              <w:left w:val="single" w:sz="8" w:color="CCEEFF"/>
            </w:tcBorders>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423,171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40"/>
          </w:cols>
          <w:pgMar w:left="440" w:top="270" w:right="419" w:bottom="1440" w:gutter="0" w:footer="0" w:header="0"/>
        </w:sectPr>
      </w:pPr>
    </w:p>
    <w:bookmarkStart w:id="16" w:name="page17"/>
    <w:bookmarkEnd w:id="1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jc w:val="right"/>
              <w:ind w:right="65"/>
              <w:spacing w:after="0"/>
              <w:rPr>
                <w:sz w:val="20"/>
                <w:szCs w:val="20"/>
                <w:color w:val="auto"/>
              </w:rPr>
            </w:pPr>
            <w:r>
              <w:rPr>
                <w:rFonts w:ascii="Arial" w:cs="Arial" w:eastAsia="Arial" w:hAnsi="Arial"/>
                <w:sz w:val="14"/>
                <w:szCs w:val="14"/>
                <w:b w:val="1"/>
                <w:bCs w:val="1"/>
                <w:color w:val="auto"/>
                <w:w w:val="97"/>
              </w:rPr>
              <w:t>As of</w:t>
            </w:r>
          </w:p>
        </w:tc>
        <w:tc>
          <w:tcPr>
            <w:tcW w:w="7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8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jc w:val="right"/>
              <w:ind w:right="72"/>
              <w:spacing w:after="0" w:line="119" w:lineRule="exact"/>
              <w:rPr>
                <w:sz w:val="20"/>
                <w:szCs w:val="20"/>
                <w:color w:val="auto"/>
              </w:rPr>
            </w:pPr>
            <w:r>
              <w:rPr>
                <w:rFonts w:ascii="Arial" w:cs="Arial" w:eastAsia="Arial" w:hAnsi="Arial"/>
                <w:sz w:val="13"/>
                <w:szCs w:val="13"/>
                <w:b w:val="1"/>
                <w:bCs w:val="1"/>
                <w:color w:val="auto"/>
              </w:rPr>
              <w:t>June 30,</w:t>
            </w:r>
          </w:p>
        </w:tc>
        <w:tc>
          <w:tcPr>
            <w:tcW w:w="1260" w:type="dxa"/>
            <w:vAlign w:val="bottom"/>
            <w:gridSpan w:val="3"/>
          </w:tcPr>
          <w:p>
            <w:pPr>
              <w:jc w:val="right"/>
              <w:spacing w:after="0" w:line="119" w:lineRule="exact"/>
              <w:rPr>
                <w:sz w:val="20"/>
                <w:szCs w:val="20"/>
                <w:color w:val="auto"/>
              </w:rPr>
            </w:pPr>
            <w:r>
              <w:rPr>
                <w:rFonts w:ascii="Arial" w:cs="Arial" w:eastAsia="Arial" w:hAnsi="Arial"/>
                <w:sz w:val="13"/>
                <w:szCs w:val="13"/>
                <w:b w:val="1"/>
                <w:bCs w:val="1"/>
                <w:color w:val="auto"/>
              </w:rPr>
              <w:t>September 30,</w:t>
            </w:r>
          </w:p>
        </w:tc>
        <w:tc>
          <w:tcPr>
            <w:tcW w:w="6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88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88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short-term interest-bearing investments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561,041</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979,608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Accounts receivable, net, including unbilled of $248,938 and $229,695, respectively</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982,213</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865,068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236,988</w:t>
            </w:r>
          </w:p>
        </w:tc>
        <w:tc>
          <w:tcPr>
            <w:tcW w:w="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203,810</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8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1,780,242</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2,048,486</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476,126</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355,685</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Goodwill and other intangible assets, net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2,751,266</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2,398,535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435,834</w:t>
            </w:r>
          </w:p>
        </w:tc>
        <w:tc>
          <w:tcPr>
            <w:tcW w:w="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476,674</w:t>
            </w:r>
          </w:p>
        </w:tc>
        <w:tc>
          <w:tcPr>
            <w:tcW w:w="60" w:type="dxa"/>
            <w:vAlign w:val="bottom"/>
            <w:shd w:val="clear" w:color="auto" w:fill="CCEEFF"/>
          </w:tcPr>
          <w:p>
            <w:pPr>
              <w:spacing w:after="0"/>
              <w:rPr>
                <w:sz w:val="18"/>
                <w:szCs w:val="18"/>
                <w:color w:val="auto"/>
              </w:rPr>
            </w:pPr>
          </w:p>
        </w:tc>
      </w:tr>
      <w:tr>
        <w:trPr>
          <w:trHeight w:val="223"/>
        </w:trPr>
        <w:tc>
          <w:tcPr>
            <w:tcW w:w="890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5,443,468</w:t>
            </w:r>
          </w:p>
        </w:tc>
        <w:tc>
          <w:tcPr>
            <w:tcW w:w="3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5,279,380</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accruals and other</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1,176,102</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1,059,855</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142,655</w:t>
            </w:r>
          </w:p>
        </w:tc>
        <w:tc>
          <w:tcPr>
            <w:tcW w:w="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113,091</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1,318,757</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1,172,946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561,842</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532,364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Total Amdocs Limited Shareholders’ equity</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3,519,706</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3,574,070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43,163</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Total equity</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3,562,869</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3,574,070</w:t>
            </w:r>
          </w:p>
        </w:tc>
        <w:tc>
          <w:tcPr>
            <w:tcW w:w="60" w:type="dxa"/>
            <w:vAlign w:val="bottom"/>
            <w:shd w:val="clear" w:color="auto" w:fill="CCEEFF"/>
          </w:tcPr>
          <w:p>
            <w:pPr>
              <w:spacing w:after="0"/>
              <w:rPr>
                <w:sz w:val="18"/>
                <w:szCs w:val="18"/>
                <w:color w:val="auto"/>
              </w:rPr>
            </w:pPr>
          </w:p>
        </w:tc>
      </w:tr>
      <w:tr>
        <w:trPr>
          <w:trHeight w:val="223"/>
        </w:trPr>
        <w:tc>
          <w:tcPr>
            <w:tcW w:w="8900" w:type="dxa"/>
            <w:vAlign w:val="bottom"/>
            <w:gridSpan w:val="2"/>
          </w:tcPr>
          <w:p>
            <w:pPr>
              <w:spacing w:after="0"/>
              <w:rPr>
                <w:sz w:val="20"/>
                <w:szCs w:val="20"/>
                <w:color w:val="auto"/>
              </w:rPr>
            </w:pPr>
            <w:r>
              <w:rPr>
                <w:rFonts w:ascii="Arial" w:cs="Arial" w:eastAsia="Arial" w:hAnsi="Arial"/>
                <w:sz w:val="18"/>
                <w:szCs w:val="18"/>
                <w:color w:val="auto"/>
              </w:rPr>
              <w:t>Total liabilities and equity</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5,443,468</w:t>
            </w:r>
          </w:p>
        </w:tc>
        <w:tc>
          <w:tcPr>
            <w:tcW w:w="3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5,279,380</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ectPr>
          <w:pgSz w:w="11900" w:h="16838" w:orient="portrait"/>
          <w:cols w:equalWidth="0" w:num="1">
            <w:col w:w="11040"/>
          </w:cols>
          <w:pgMar w:left="440" w:top="270" w:right="419" w:bottom="1440" w:gutter="0" w:footer="0" w:header="0"/>
        </w:sectPr>
      </w:pPr>
    </w:p>
    <w:bookmarkStart w:id="17" w:name="page18"/>
    <w:bookmarkEnd w:id="17"/>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(in thousands)</w:t>
      </w:r>
    </w:p>
    <w:p>
      <w:pPr>
        <w:spacing w:after="0" w:line="215" w:lineRule="exact"/>
        <w:rPr>
          <w:sz w:val="20"/>
          <w:szCs w:val="20"/>
          <w:color w:val="auto"/>
        </w:rPr>
      </w:pPr>
    </w:p>
    <w:p>
      <w:pPr>
        <w:jc w:val="center"/>
        <w:ind w:left="9000"/>
        <w:spacing w:after="0"/>
        <w:rPr>
          <w:sz w:val="20"/>
          <w:szCs w:val="20"/>
          <w:color w:val="auto"/>
        </w:rPr>
      </w:pPr>
      <w:r>
        <w:rPr>
          <w:rFonts w:ascii="Arial" w:cs="Arial" w:eastAsia="Arial" w:hAnsi="Arial"/>
          <w:sz w:val="14"/>
          <w:szCs w:val="14"/>
          <w:b w:val="1"/>
          <w:bCs w:val="1"/>
          <w:color w:val="auto"/>
        </w:rPr>
        <w:t>Nine months ended</w:t>
      </w:r>
    </w:p>
    <w:p>
      <w:pPr>
        <w:jc w:val="center"/>
        <w:ind w:left="900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740" w:type="dxa"/>
            <w:vAlign w:val="bottom"/>
            <w:tcBorders>
              <w:top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150"/>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7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 from Operating Activities:</w:t>
            </w:r>
          </w:p>
        </w:tc>
        <w:tc>
          <w:tcPr>
            <w:tcW w:w="19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Net income</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$ 310,130</w:t>
            </w:r>
          </w:p>
        </w:tc>
        <w:tc>
          <w:tcPr>
            <w:tcW w:w="1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$ 329,617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19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157,421</w:t>
            </w:r>
          </w:p>
        </w:tc>
        <w:tc>
          <w:tcPr>
            <w:tcW w:w="1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163,533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Equity-based compensation expense</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34,580</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34,698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7,947</w:t>
            </w:r>
          </w:p>
        </w:tc>
        <w:tc>
          <w:tcPr>
            <w:tcW w:w="1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7,201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Excess tax benefit from equity-based compensation</w:t>
            </w:r>
          </w:p>
        </w:tc>
        <w:tc>
          <w:tcPr>
            <w:tcW w:w="19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(3,716)</w:t>
            </w:r>
          </w:p>
        </w:tc>
      </w:tr>
      <w:tr>
        <w:trPr>
          <w:trHeight w:val="216"/>
        </w:trPr>
        <w:tc>
          <w:tcPr>
            <w:tcW w:w="20" w:type="dxa"/>
            <w:vAlign w:val="bottom"/>
          </w:tcPr>
          <w:p>
            <w:pPr>
              <w:spacing w:after="0"/>
              <w:rPr>
                <w:sz w:val="18"/>
                <w:szCs w:val="18"/>
                <w:color w:val="auto"/>
              </w:rPr>
            </w:pPr>
          </w:p>
        </w:tc>
        <w:tc>
          <w:tcPr>
            <w:tcW w:w="7180" w:type="dxa"/>
            <w:vAlign w:val="bottom"/>
          </w:tcPr>
          <w:p>
            <w:pPr>
              <w:ind w:left="340"/>
              <w:spacing w:after="0"/>
              <w:rPr>
                <w:sz w:val="20"/>
                <w:szCs w:val="20"/>
                <w:color w:val="auto"/>
              </w:rPr>
            </w:pPr>
            <w:r>
              <w:rPr>
                <w:rFonts w:ascii="Arial" w:cs="Arial" w:eastAsia="Arial" w:hAnsi="Arial"/>
                <w:sz w:val="18"/>
                <w:szCs w:val="18"/>
                <w:color w:val="auto"/>
              </w:rPr>
              <w:t>Loss (gain) from short-term interest-bearing investments</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1,324</w:t>
            </w:r>
          </w:p>
        </w:tc>
        <w:tc>
          <w:tcPr>
            <w:tcW w:w="18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(144)</w:t>
            </w: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Net changes in operating assets and liabilities, net of amounts acquired:</w:t>
            </w:r>
          </w:p>
        </w:tc>
        <w:tc>
          <w:tcPr>
            <w:tcW w:w="19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2840" w:type="dxa"/>
            <w:vAlign w:val="bottom"/>
            <w:gridSpan w:val="3"/>
          </w:tcPr>
          <w:p>
            <w:pPr>
              <w:jc w:val="right"/>
              <w:ind w:right="100"/>
              <w:spacing w:after="0"/>
              <w:rPr>
                <w:sz w:val="20"/>
                <w:szCs w:val="20"/>
                <w:color w:val="auto"/>
              </w:rPr>
            </w:pPr>
            <w:r>
              <w:rPr>
                <w:rFonts w:ascii="Arial" w:cs="Arial" w:eastAsia="Arial" w:hAnsi="Arial"/>
                <w:sz w:val="18"/>
                <w:szCs w:val="18"/>
                <w:color w:val="auto"/>
              </w:rPr>
              <w:t>(81,690)</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(73,033)</w:t>
            </w: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(21,796)</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(1,258)</w:t>
            </w:r>
          </w:p>
        </w:tc>
      </w:tr>
      <w:tr>
        <w:trPr>
          <w:trHeight w:val="216"/>
        </w:trPr>
        <w:tc>
          <w:tcPr>
            <w:tcW w:w="20" w:type="dxa"/>
            <w:vAlign w:val="bottom"/>
          </w:tcPr>
          <w:p>
            <w:pPr>
              <w:spacing w:after="0"/>
              <w:rPr>
                <w:sz w:val="18"/>
                <w:szCs w:val="18"/>
                <w:color w:val="auto"/>
              </w:rPr>
            </w:pPr>
          </w:p>
        </w:tc>
        <w:tc>
          <w:tcPr>
            <w:tcW w:w="7180" w:type="dxa"/>
            <w:vAlign w:val="bottom"/>
          </w:tcPr>
          <w:p>
            <w:pPr>
              <w:ind w:left="340"/>
              <w:spacing w:after="0"/>
              <w:rPr>
                <w:sz w:val="20"/>
                <w:szCs w:val="20"/>
                <w:color w:val="auto"/>
              </w:rPr>
            </w:pPr>
            <w:r>
              <w:rPr>
                <w:rFonts w:ascii="Arial" w:cs="Arial" w:eastAsia="Arial" w:hAnsi="Arial"/>
                <w:sz w:val="18"/>
                <w:szCs w:val="18"/>
                <w:color w:val="auto"/>
              </w:rPr>
              <w:t>Other noncurrent assets</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2,006</w:t>
            </w:r>
          </w:p>
        </w:tc>
        <w:tc>
          <w:tcPr>
            <w:tcW w:w="18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(60,949)</w:t>
            </w: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accrued expenses and accrued personnel</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42,374</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75,178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21,221</w:t>
            </w:r>
          </w:p>
        </w:tc>
        <w:tc>
          <w:tcPr>
            <w:tcW w:w="18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(38,817)</w:t>
            </w: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payable</w:t>
            </w:r>
          </w:p>
        </w:tc>
        <w:tc>
          <w:tcPr>
            <w:tcW w:w="2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(15,428)</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(7,726)</w:t>
            </w:r>
          </w:p>
        </w:tc>
      </w:tr>
      <w:tr>
        <w:trPr>
          <w:trHeight w:val="223"/>
        </w:trPr>
        <w:tc>
          <w:tcPr>
            <w:tcW w:w="20" w:type="dxa"/>
            <w:vAlign w:val="bottom"/>
          </w:tcPr>
          <w:p>
            <w:pPr>
              <w:spacing w:after="0"/>
              <w:rPr>
                <w:sz w:val="19"/>
                <w:szCs w:val="19"/>
                <w:color w:val="auto"/>
              </w:rPr>
            </w:pPr>
          </w:p>
        </w:tc>
        <w:tc>
          <w:tcPr>
            <w:tcW w:w="7180" w:type="dxa"/>
            <w:vAlign w:val="bottom"/>
          </w:tcPr>
          <w:p>
            <w:pPr>
              <w:ind w:left="340"/>
              <w:spacing w:after="0"/>
              <w:rPr>
                <w:sz w:val="20"/>
                <w:szCs w:val="20"/>
                <w:color w:val="auto"/>
              </w:rPr>
            </w:pPr>
            <w:r>
              <w:rPr>
                <w:rFonts w:ascii="Arial" w:cs="Arial" w:eastAsia="Arial" w:hAnsi="Arial"/>
                <w:sz w:val="18"/>
                <w:szCs w:val="18"/>
                <w:color w:val="auto"/>
              </w:rPr>
              <w:t>Other noncurrent liabilities</w:t>
            </w:r>
          </w:p>
        </w:tc>
        <w:tc>
          <w:tcPr>
            <w:tcW w:w="19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(16,189)</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12,520</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920" w:type="dxa"/>
            <w:vAlign w:val="bottom"/>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441,900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437,104</w:t>
            </w:r>
          </w:p>
        </w:tc>
        <w:tc>
          <w:tcPr>
            <w:tcW w:w="120" w:type="dxa"/>
            <w:vAlign w:val="bottom"/>
            <w:shd w:val="clear" w:color="auto" w:fill="CCEEFF"/>
          </w:tcPr>
          <w:p>
            <w:pPr>
              <w:spacing w:after="0"/>
              <w:rPr>
                <w:sz w:val="18"/>
                <w:szCs w:val="18"/>
                <w:color w:val="auto"/>
              </w:rPr>
            </w:pPr>
          </w:p>
        </w:tc>
      </w:tr>
      <w:tr>
        <w:trPr>
          <w:trHeight w:val="223"/>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1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and equipment</w:t>
            </w:r>
          </w:p>
        </w:tc>
        <w:tc>
          <w:tcPr>
            <w:tcW w:w="2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(197,253)</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(98,565)</w:t>
            </w: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Proceeds from sale of short-term interest-bearing investments</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302,949</w:t>
            </w:r>
          </w:p>
        </w:tc>
        <w:tc>
          <w:tcPr>
            <w:tcW w:w="1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218,395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Purchase of short-term interest-bearing investments</w:t>
            </w:r>
          </w:p>
        </w:tc>
        <w:tc>
          <w:tcPr>
            <w:tcW w:w="2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(76,037)</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(218,772)</w:t>
            </w: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Net cash paid for acquisitions</w:t>
            </w:r>
          </w:p>
        </w:tc>
        <w:tc>
          <w:tcPr>
            <w:tcW w:w="2840" w:type="dxa"/>
            <w:vAlign w:val="bottom"/>
            <w:gridSpan w:val="3"/>
          </w:tcPr>
          <w:p>
            <w:pPr>
              <w:jc w:val="right"/>
              <w:ind w:right="100"/>
              <w:spacing w:after="0"/>
              <w:rPr>
                <w:sz w:val="20"/>
                <w:szCs w:val="20"/>
                <w:color w:val="auto"/>
              </w:rPr>
            </w:pPr>
            <w:r>
              <w:rPr>
                <w:rFonts w:ascii="Arial" w:cs="Arial" w:eastAsia="Arial" w:hAnsi="Arial"/>
                <w:sz w:val="18"/>
                <w:szCs w:val="18"/>
                <w:color w:val="auto"/>
              </w:rPr>
              <w:t>(352,599)</w:t>
            </w:r>
          </w:p>
        </w:tc>
        <w:tc>
          <w:tcPr>
            <w:tcW w:w="1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(2,414)</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(10,022)</w:t>
            </w:r>
          </w:p>
        </w:tc>
      </w:tr>
      <w:tr>
        <w:trPr>
          <w:trHeight w:val="230"/>
        </w:trPr>
        <w:tc>
          <w:tcPr>
            <w:tcW w:w="720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192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(325,354</w:t>
            </w:r>
          </w:p>
        </w:tc>
        <w:tc>
          <w:tcPr>
            <w:tcW w:w="180" w:type="dxa"/>
            <w:vAlign w:val="bottom"/>
          </w:tcPr>
          <w:p>
            <w:pPr>
              <w:jc w:val="right"/>
              <w:ind w:right="100"/>
              <w:spacing w:after="0"/>
              <w:rPr>
                <w:sz w:val="20"/>
                <w:szCs w:val="20"/>
                <w:color w:val="auto"/>
              </w:rPr>
            </w:pPr>
            <w:r>
              <w:rPr>
                <w:rFonts w:ascii="Arial" w:cs="Arial" w:eastAsia="Arial" w:hAnsi="Arial"/>
                <w:sz w:val="8"/>
                <w:szCs w:val="8"/>
                <w:color w:val="auto"/>
                <w:w w:val="73"/>
              </w:rPr>
              <w:t>)</w:t>
            </w:r>
          </w:p>
        </w:tc>
        <w:tc>
          <w:tcPr>
            <w:tcW w:w="14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(108,964</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19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Borrowings under financing arrangements</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200,000</w:t>
            </w:r>
          </w:p>
        </w:tc>
        <w:tc>
          <w:tcPr>
            <w:tcW w:w="1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200,000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Payments under financing arrangements</w:t>
            </w:r>
          </w:p>
        </w:tc>
        <w:tc>
          <w:tcPr>
            <w:tcW w:w="2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(200,000)</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(400,000)</w:t>
            </w: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Repurchase of shares</w:t>
            </w:r>
          </w:p>
        </w:tc>
        <w:tc>
          <w:tcPr>
            <w:tcW w:w="2840" w:type="dxa"/>
            <w:vAlign w:val="bottom"/>
            <w:gridSpan w:val="3"/>
          </w:tcPr>
          <w:p>
            <w:pPr>
              <w:jc w:val="right"/>
              <w:ind w:right="100"/>
              <w:spacing w:after="0"/>
              <w:rPr>
                <w:sz w:val="20"/>
                <w:szCs w:val="20"/>
                <w:color w:val="auto"/>
              </w:rPr>
            </w:pPr>
            <w:r>
              <w:rPr>
                <w:rFonts w:ascii="Arial" w:cs="Arial" w:eastAsia="Arial" w:hAnsi="Arial"/>
                <w:sz w:val="18"/>
                <w:szCs w:val="18"/>
                <w:color w:val="auto"/>
              </w:rPr>
              <w:t>(329,593)</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(250,231)</w:t>
            </w: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employee stock options exercised</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76,236</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75,763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Payments of dividends</w:t>
            </w:r>
          </w:p>
        </w:tc>
        <w:tc>
          <w:tcPr>
            <w:tcW w:w="2840" w:type="dxa"/>
            <w:vAlign w:val="bottom"/>
            <w:gridSpan w:val="3"/>
          </w:tcPr>
          <w:p>
            <w:pPr>
              <w:jc w:val="right"/>
              <w:ind w:right="100"/>
              <w:spacing w:after="0"/>
              <w:rPr>
                <w:sz w:val="20"/>
                <w:szCs w:val="20"/>
                <w:color w:val="auto"/>
              </w:rPr>
            </w:pPr>
            <w:r>
              <w:rPr>
                <w:rFonts w:ascii="Arial" w:cs="Arial" w:eastAsia="Arial" w:hAnsi="Arial"/>
                <w:sz w:val="18"/>
                <w:szCs w:val="18"/>
                <w:color w:val="auto"/>
              </w:rPr>
              <w:t>(98,929)</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(89,522)</w:t>
            </w: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Investment by noncontrolling interests, net</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47,013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Excess tax benefit from equity-based compensation and other</w:t>
            </w:r>
          </w:p>
        </w:tc>
        <w:tc>
          <w:tcPr>
            <w:tcW w:w="19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3,716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(323)</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200" w:type="dxa"/>
            <w:vAlign w:val="bottom"/>
            <w:gridSpan w:val="2"/>
          </w:tcPr>
          <w:p>
            <w:pPr>
              <w:spacing w:after="0"/>
              <w:rPr>
                <w:sz w:val="20"/>
                <w:szCs w:val="20"/>
                <w:color w:val="auto"/>
              </w:rPr>
            </w:pPr>
            <w:r>
              <w:rPr>
                <w:rFonts w:ascii="Arial" w:cs="Arial" w:eastAsia="Arial" w:hAnsi="Arial"/>
                <w:sz w:val="18"/>
                <w:szCs w:val="18"/>
                <w:color w:val="auto"/>
              </w:rPr>
              <w:t>Net cash used in financing activities</w:t>
            </w:r>
          </w:p>
        </w:tc>
        <w:tc>
          <w:tcPr>
            <w:tcW w:w="192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(305,596</w:t>
            </w:r>
          </w:p>
        </w:tc>
        <w:tc>
          <w:tcPr>
            <w:tcW w:w="180" w:type="dxa"/>
            <w:vAlign w:val="bottom"/>
          </w:tcPr>
          <w:p>
            <w:pPr>
              <w:jc w:val="right"/>
              <w:ind w:right="100"/>
              <w:spacing w:after="0"/>
              <w:rPr>
                <w:sz w:val="20"/>
                <w:szCs w:val="20"/>
                <w:color w:val="auto"/>
              </w:rPr>
            </w:pPr>
            <w:r>
              <w:rPr>
                <w:rFonts w:ascii="Arial" w:cs="Arial" w:eastAsia="Arial" w:hAnsi="Arial"/>
                <w:sz w:val="8"/>
                <w:szCs w:val="8"/>
                <w:color w:val="auto"/>
                <w:w w:val="73"/>
              </w:rPr>
              <w:t>)</w:t>
            </w:r>
          </w:p>
        </w:tc>
        <w:tc>
          <w:tcPr>
            <w:tcW w:w="14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(460,274</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2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(189,050)</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(132,134)</w:t>
            </w:r>
          </w:p>
        </w:tc>
      </w:tr>
      <w:tr>
        <w:trPr>
          <w:trHeight w:val="223"/>
        </w:trPr>
        <w:tc>
          <w:tcPr>
            <w:tcW w:w="2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9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649,611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768,660</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$ 460,561</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$ 636,526</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ectPr>
          <w:pgSz w:w="11900" w:h="16838" w:orient="portrait"/>
          <w:cols w:equalWidth="0" w:num="1">
            <w:col w:w="11040"/>
          </w:cols>
          <w:pgMar w:left="440" w:top="270" w:right="419" w:bottom="1440" w:gutter="0" w:footer="0" w:header="0"/>
        </w:sectPr>
      </w:pPr>
    </w:p>
    <w:bookmarkStart w:id="18" w:name="page19"/>
    <w:bookmarkEnd w:id="18"/>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Supplementary Information</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5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June 30,</w:t>
            </w:r>
          </w:p>
        </w:tc>
        <w:tc>
          <w:tcPr>
            <w:tcW w:w="1080" w:type="dxa"/>
            <w:vAlign w:val="bottom"/>
            <w:gridSpan w:val="3"/>
          </w:tcPr>
          <w:p>
            <w:pPr>
              <w:jc w:val="right"/>
              <w:spacing w:after="0" w:line="119" w:lineRule="exact"/>
              <w:rPr>
                <w:sz w:val="20"/>
                <w:szCs w:val="20"/>
                <w:color w:val="auto"/>
              </w:rPr>
            </w:pPr>
            <w:r>
              <w:rPr>
                <w:rFonts w:ascii="Arial" w:cs="Arial" w:eastAsia="Arial" w:hAnsi="Arial"/>
                <w:sz w:val="13"/>
                <w:szCs w:val="13"/>
                <w:b w:val="1"/>
                <w:bCs w:val="1"/>
                <w:color w:val="auto"/>
              </w:rPr>
              <w:t>March 31,</w:t>
            </w:r>
          </w:p>
        </w:tc>
        <w:tc>
          <w:tcPr>
            <w:tcW w:w="1600" w:type="dxa"/>
            <w:vAlign w:val="bottom"/>
            <w:gridSpan w:val="4"/>
          </w:tcPr>
          <w:p>
            <w:pPr>
              <w:jc w:val="right"/>
              <w:ind w:right="340"/>
              <w:spacing w:after="0" w:line="119" w:lineRule="exact"/>
              <w:rPr>
                <w:sz w:val="20"/>
                <w:szCs w:val="20"/>
                <w:color w:val="auto"/>
              </w:rPr>
            </w:pPr>
            <w:r>
              <w:rPr>
                <w:rFonts w:ascii="Arial" w:cs="Arial" w:eastAsia="Arial" w:hAnsi="Arial"/>
                <w:sz w:val="13"/>
                <w:szCs w:val="13"/>
                <w:b w:val="1"/>
                <w:bCs w:val="1"/>
                <w:color w:val="auto"/>
              </w:rPr>
              <w:t>December 31,</w:t>
            </w:r>
          </w:p>
        </w:tc>
        <w:tc>
          <w:tcPr>
            <w:tcW w:w="980" w:type="dxa"/>
            <w:vAlign w:val="bottom"/>
            <w:gridSpan w:val="3"/>
          </w:tcPr>
          <w:p>
            <w:pPr>
              <w:jc w:val="right"/>
              <w:spacing w:after="0" w:line="119" w:lineRule="exact"/>
              <w:rPr>
                <w:sz w:val="20"/>
                <w:szCs w:val="20"/>
                <w:color w:val="auto"/>
              </w:rPr>
            </w:pPr>
            <w:r>
              <w:rPr>
                <w:rFonts w:ascii="Arial" w:cs="Arial" w:eastAsia="Arial" w:hAnsi="Arial"/>
                <w:sz w:val="13"/>
                <w:szCs w:val="13"/>
                <w:b w:val="1"/>
                <w:bCs w:val="1"/>
                <w:color w:val="auto"/>
              </w:rPr>
              <w:t>September 30,</w:t>
            </w:r>
          </w:p>
        </w:tc>
        <w:tc>
          <w:tcPr>
            <w:tcW w:w="94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June 30,</w:t>
            </w:r>
          </w:p>
        </w:tc>
        <w:tc>
          <w:tcPr>
            <w:tcW w:w="6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94"/>
              <w:spacing w:after="0"/>
              <w:rPr>
                <w:sz w:val="20"/>
                <w:szCs w:val="20"/>
                <w:color w:val="auto"/>
              </w:rPr>
            </w:pPr>
            <w:r>
              <w:rPr>
                <w:rFonts w:ascii="Arial" w:cs="Arial" w:eastAsia="Arial" w:hAnsi="Arial"/>
                <w:sz w:val="14"/>
                <w:szCs w:val="14"/>
                <w:b w:val="1"/>
                <w:bCs w:val="1"/>
                <w:color w:val="auto"/>
              </w:rPr>
              <w:t>2018</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ind w:right="94"/>
              <w:spacing w:after="0"/>
              <w:rPr>
                <w:sz w:val="20"/>
                <w:szCs w:val="20"/>
                <w:color w:val="auto"/>
              </w:rPr>
            </w:pPr>
            <w:r>
              <w:rPr>
                <w:rFonts w:ascii="Arial" w:cs="Arial" w:eastAsia="Arial" w:hAnsi="Arial"/>
                <w:sz w:val="14"/>
                <w:szCs w:val="14"/>
                <w:b w:val="1"/>
                <w:bCs w:val="1"/>
                <w:color w:val="auto"/>
              </w:rPr>
              <w:t>2018</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4"/>
              <w:spacing w:after="0"/>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234"/>
              <w:spacing w:after="0"/>
              <w:rPr>
                <w:sz w:val="20"/>
                <w:szCs w:val="20"/>
                <w:color w:val="auto"/>
              </w:rPr>
            </w:pPr>
            <w:r>
              <w:rPr>
                <w:rFonts w:ascii="Arial" w:cs="Arial" w:eastAsia="Arial" w:hAnsi="Arial"/>
                <w:sz w:val="14"/>
                <w:szCs w:val="14"/>
                <w:b w:val="1"/>
                <w:bCs w:val="1"/>
                <w:color w:val="auto"/>
              </w:rPr>
              <w:t>2017</w:t>
            </w:r>
          </w:p>
        </w:tc>
        <w:tc>
          <w:tcPr>
            <w:tcW w:w="94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North America</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644.8</w:t>
            </w:r>
          </w:p>
        </w:tc>
        <w:tc>
          <w:tcPr>
            <w:tcW w:w="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624.2</w:t>
            </w:r>
          </w:p>
        </w:tc>
        <w:tc>
          <w:tcPr>
            <w:tcW w:w="4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643.0</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644.1</w:t>
            </w:r>
          </w:p>
        </w:tc>
        <w:tc>
          <w:tcPr>
            <w:tcW w:w="4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$637.9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Europe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139.3</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148.6</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133.7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129.8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125.2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Rest of the World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218.1</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219.5</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203.6</w:t>
            </w:r>
          </w:p>
        </w:tc>
        <w:tc>
          <w:tcPr>
            <w:tcW w:w="60" w:type="dxa"/>
            <w:vAlign w:val="bottom"/>
            <w:shd w:val="clear" w:color="auto" w:fill="CCEEFF"/>
          </w:tcPr>
          <w:p>
            <w:pPr>
              <w:spacing w:after="0"/>
              <w:rPr>
                <w:sz w:val="18"/>
                <w:szCs w:val="18"/>
                <w:color w:val="auto"/>
              </w:rPr>
            </w:pPr>
          </w:p>
        </w:tc>
      </w:tr>
      <w:tr>
        <w:trPr>
          <w:trHeight w:val="223"/>
        </w:trPr>
        <w:tc>
          <w:tcPr>
            <w:tcW w:w="574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1,002.2</w:t>
            </w:r>
          </w:p>
        </w:tc>
        <w:tc>
          <w:tcPr>
            <w:tcW w:w="4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992.3</w:t>
            </w:r>
          </w:p>
        </w:tc>
        <w:tc>
          <w:tcPr>
            <w:tcW w:w="4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977.7</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979.7</w:t>
            </w:r>
          </w:p>
        </w:tc>
        <w:tc>
          <w:tcPr>
            <w:tcW w:w="42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966.7</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1"/>
              </w:rPr>
              <w:t>Three months ended</w:t>
            </w: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6"/>
              </w:rPr>
              <w:t>June 30,</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4"/>
          </w:tcPr>
          <w:p>
            <w:pPr>
              <w:ind w:left="160"/>
              <w:spacing w:after="0" w:line="119" w:lineRule="exact"/>
              <w:rPr>
                <w:sz w:val="20"/>
                <w:szCs w:val="20"/>
                <w:color w:val="auto"/>
              </w:rPr>
            </w:pPr>
            <w:r>
              <w:rPr>
                <w:rFonts w:ascii="Arial" w:cs="Arial" w:eastAsia="Arial" w:hAnsi="Arial"/>
                <w:sz w:val="13"/>
                <w:szCs w:val="13"/>
                <w:b w:val="1"/>
                <w:bCs w:val="1"/>
                <w:color w:val="auto"/>
              </w:rPr>
              <w:t>March 31,</w:t>
            </w:r>
          </w:p>
        </w:tc>
        <w:tc>
          <w:tcPr>
            <w:tcW w:w="140" w:type="dxa"/>
            <w:vAlign w:val="bottom"/>
          </w:tcPr>
          <w:p>
            <w:pPr>
              <w:spacing w:after="0"/>
              <w:rPr>
                <w:sz w:val="10"/>
                <w:szCs w:val="10"/>
                <w:color w:val="auto"/>
              </w:rPr>
            </w:pPr>
          </w:p>
        </w:tc>
        <w:tc>
          <w:tcPr>
            <w:tcW w:w="1200" w:type="dxa"/>
            <w:vAlign w:val="bottom"/>
            <w:gridSpan w:val="5"/>
          </w:tcPr>
          <w:p>
            <w:pPr>
              <w:jc w:val="right"/>
              <w:ind w:right="180"/>
              <w:spacing w:after="0" w:line="119" w:lineRule="exact"/>
              <w:rPr>
                <w:sz w:val="20"/>
                <w:szCs w:val="20"/>
                <w:color w:val="auto"/>
              </w:rPr>
            </w:pPr>
            <w:r>
              <w:rPr>
                <w:rFonts w:ascii="Arial" w:cs="Arial" w:eastAsia="Arial" w:hAnsi="Arial"/>
                <w:sz w:val="13"/>
                <w:szCs w:val="13"/>
                <w:b w:val="1"/>
                <w:bCs w:val="1"/>
                <w:color w:val="auto"/>
              </w:rPr>
              <w:t>December 31,</w:t>
            </w:r>
          </w:p>
        </w:tc>
        <w:tc>
          <w:tcPr>
            <w:tcW w:w="80" w:type="dxa"/>
            <w:vAlign w:val="bottom"/>
          </w:tcPr>
          <w:p>
            <w:pPr>
              <w:spacing w:after="0"/>
              <w:rPr>
                <w:sz w:val="10"/>
                <w:szCs w:val="10"/>
                <w:color w:val="auto"/>
              </w:rPr>
            </w:pPr>
          </w:p>
        </w:tc>
        <w:tc>
          <w:tcPr>
            <w:tcW w:w="960" w:type="dxa"/>
            <w:vAlign w:val="bottom"/>
            <w:gridSpan w:val="4"/>
          </w:tcPr>
          <w:p>
            <w:pPr>
              <w:ind w:left="8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86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June 30,</w:t>
            </w:r>
          </w:p>
        </w:tc>
        <w:tc>
          <w:tcPr>
            <w:tcW w:w="6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780" w:type="dxa"/>
            <w:vAlign w:val="bottom"/>
            <w:gridSpan w:val="4"/>
          </w:tcPr>
          <w:p>
            <w:pPr>
              <w:jc w:val="center"/>
              <w:ind w:left="2184"/>
              <w:spacing w:after="0"/>
              <w:rPr>
                <w:sz w:val="20"/>
                <w:szCs w:val="20"/>
                <w:color w:val="auto"/>
              </w:rPr>
            </w:pPr>
            <w:r>
              <w:rPr>
                <w:rFonts w:ascii="Arial" w:cs="Arial" w:eastAsia="Arial" w:hAnsi="Arial"/>
                <w:sz w:val="14"/>
                <w:szCs w:val="14"/>
                <w:b w:val="1"/>
                <w:bCs w:val="1"/>
                <w:color w:val="auto"/>
                <w:w w:val="89"/>
              </w:rPr>
              <w:t>2018</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jc w:val="right"/>
              <w:ind w:right="17"/>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137"/>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4"/>
                <w:szCs w:val="14"/>
                <w:color w:val="auto"/>
              </w:rPr>
            </w:pPr>
          </w:p>
        </w:tc>
        <w:tc>
          <w:tcPr>
            <w:tcW w:w="860" w:type="dxa"/>
            <w:vAlign w:val="bottom"/>
            <w:gridSpan w:val="2"/>
          </w:tcPr>
          <w:p>
            <w:pPr>
              <w:jc w:val="center"/>
              <w:ind w:left="248"/>
              <w:spacing w:after="0"/>
              <w:rPr>
                <w:sz w:val="20"/>
                <w:szCs w:val="20"/>
                <w:color w:val="auto"/>
              </w:rPr>
            </w:pPr>
            <w:r>
              <w:rPr>
                <w:rFonts w:ascii="Arial" w:cs="Arial" w:eastAsia="Arial" w:hAnsi="Arial"/>
                <w:sz w:val="14"/>
                <w:szCs w:val="14"/>
                <w:b w:val="1"/>
                <w:bCs w:val="1"/>
                <w:color w:val="auto"/>
                <w:w w:val="96"/>
              </w:rPr>
              <w:t>2017</w:t>
            </w:r>
          </w:p>
        </w:tc>
        <w:tc>
          <w:tcPr>
            <w:tcW w:w="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Managed Services Revenue</w:t>
            </w:r>
          </w:p>
        </w:tc>
        <w:tc>
          <w:tcPr>
            <w:tcW w:w="17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515.0</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508.9</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518.7</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503.8</w:t>
            </w:r>
          </w:p>
        </w:tc>
        <w:tc>
          <w:tcPr>
            <w:tcW w:w="3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496.3</w:t>
            </w:r>
          </w:p>
        </w:tc>
        <w:tc>
          <w:tcPr>
            <w:tcW w:w="60" w:type="dxa"/>
            <w:vAlign w:val="bottom"/>
            <w:tcBorders>
              <w:top w:val="single" w:sz="8" w:color="CCEEFF"/>
            </w:tcBorders>
            <w:shd w:val="clear" w:color="auto" w:fill="CCEEFF"/>
          </w:tcPr>
          <w:p>
            <w:pPr>
              <w:spacing w:after="0"/>
              <w:rPr>
                <w:sz w:val="18"/>
                <w:szCs w:val="18"/>
                <w:color w:val="auto"/>
              </w:rPr>
            </w:pPr>
          </w:p>
        </w:tc>
      </w:tr>
      <w:tr>
        <w:trPr>
          <w:trHeight w:val="399"/>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w w:val="95"/>
              </w:rPr>
              <w:t>Three months ended</w:t>
            </w: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19"/>
        </w:trPr>
        <w:tc>
          <w:tcPr>
            <w:tcW w:w="2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000" w:type="dxa"/>
            <w:vAlign w:val="bottom"/>
            <w:gridSpan w:val="3"/>
          </w:tcPr>
          <w:p>
            <w:pPr>
              <w:jc w:val="center"/>
              <w:ind w:right="360"/>
              <w:spacing w:after="0" w:line="119" w:lineRule="exact"/>
              <w:rPr>
                <w:sz w:val="20"/>
                <w:szCs w:val="20"/>
                <w:color w:val="auto"/>
              </w:rPr>
            </w:pPr>
            <w:r>
              <w:rPr>
                <w:rFonts w:ascii="Arial" w:cs="Arial" w:eastAsia="Arial" w:hAnsi="Arial"/>
                <w:sz w:val="13"/>
                <w:szCs w:val="13"/>
                <w:b w:val="1"/>
                <w:bCs w:val="1"/>
                <w:color w:val="auto"/>
                <w:w w:val="99"/>
              </w:rPr>
              <w:t>June 30,</w:t>
            </w:r>
          </w:p>
        </w:tc>
        <w:tc>
          <w:tcPr>
            <w:tcW w:w="980" w:type="dxa"/>
            <w:vAlign w:val="bottom"/>
            <w:gridSpan w:val="6"/>
          </w:tcPr>
          <w:p>
            <w:pPr>
              <w:jc w:val="right"/>
              <w:ind w:right="300"/>
              <w:spacing w:after="0" w:line="119" w:lineRule="exact"/>
              <w:rPr>
                <w:sz w:val="20"/>
                <w:szCs w:val="20"/>
                <w:color w:val="auto"/>
              </w:rPr>
            </w:pPr>
            <w:r>
              <w:rPr>
                <w:rFonts w:ascii="Arial" w:cs="Arial" w:eastAsia="Arial" w:hAnsi="Arial"/>
                <w:sz w:val="13"/>
                <w:szCs w:val="13"/>
                <w:b w:val="1"/>
                <w:bCs w:val="1"/>
                <w:color w:val="auto"/>
              </w:rPr>
              <w:t>March 31,</w:t>
            </w:r>
          </w:p>
        </w:tc>
        <w:tc>
          <w:tcPr>
            <w:tcW w:w="1340" w:type="dxa"/>
            <w:vAlign w:val="bottom"/>
            <w:gridSpan w:val="6"/>
          </w:tcPr>
          <w:p>
            <w:pPr>
              <w:ind w:left="140"/>
              <w:spacing w:after="0" w:line="119" w:lineRule="exact"/>
              <w:rPr>
                <w:sz w:val="20"/>
                <w:szCs w:val="20"/>
                <w:color w:val="auto"/>
              </w:rPr>
            </w:pPr>
            <w:r>
              <w:rPr>
                <w:rFonts w:ascii="Arial" w:cs="Arial" w:eastAsia="Arial" w:hAnsi="Arial"/>
                <w:sz w:val="13"/>
                <w:szCs w:val="13"/>
                <w:b w:val="1"/>
                <w:bCs w:val="1"/>
                <w:color w:val="auto"/>
              </w:rPr>
              <w:t>December 31,</w:t>
            </w:r>
          </w:p>
        </w:tc>
        <w:tc>
          <w:tcPr>
            <w:tcW w:w="1040" w:type="dxa"/>
            <w:vAlign w:val="bottom"/>
            <w:gridSpan w:val="5"/>
          </w:tcPr>
          <w:p>
            <w:pPr>
              <w:jc w:val="right"/>
              <w:ind w:right="100"/>
              <w:spacing w:after="0" w:line="119" w:lineRule="exact"/>
              <w:rPr>
                <w:sz w:val="20"/>
                <w:szCs w:val="20"/>
                <w:color w:val="auto"/>
              </w:rPr>
            </w:pPr>
            <w:r>
              <w:rPr>
                <w:rFonts w:ascii="Arial" w:cs="Arial" w:eastAsia="Arial" w:hAnsi="Arial"/>
                <w:sz w:val="13"/>
                <w:szCs w:val="13"/>
                <w:b w:val="1"/>
                <w:bCs w:val="1"/>
                <w:color w:val="auto"/>
              </w:rPr>
              <w:t>September 30,</w:t>
            </w:r>
          </w:p>
        </w:tc>
        <w:tc>
          <w:tcPr>
            <w:tcW w:w="86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June 30,</w:t>
            </w:r>
          </w:p>
        </w:tc>
        <w:tc>
          <w:tcPr>
            <w:tcW w:w="6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2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3"/>
          </w:tcPr>
          <w:p>
            <w:pPr>
              <w:jc w:val="right"/>
              <w:ind w:right="99"/>
              <w:spacing w:after="0"/>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4"/>
                <w:szCs w:val="14"/>
                <w:color w:val="auto"/>
              </w:rPr>
            </w:pPr>
          </w:p>
        </w:tc>
        <w:tc>
          <w:tcPr>
            <w:tcW w:w="980" w:type="dxa"/>
            <w:vAlign w:val="bottom"/>
            <w:gridSpan w:val="4"/>
          </w:tcPr>
          <w:p>
            <w:pPr>
              <w:jc w:val="right"/>
              <w:ind w:right="197"/>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237"/>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4"/>
                <w:szCs w:val="14"/>
                <w:color w:val="auto"/>
              </w:rPr>
            </w:pPr>
          </w:p>
        </w:tc>
        <w:tc>
          <w:tcPr>
            <w:tcW w:w="860" w:type="dxa"/>
            <w:vAlign w:val="bottom"/>
            <w:gridSpan w:val="2"/>
          </w:tcPr>
          <w:p>
            <w:pPr>
              <w:jc w:val="center"/>
              <w:ind w:left="248"/>
              <w:spacing w:after="0"/>
              <w:rPr>
                <w:sz w:val="20"/>
                <w:szCs w:val="20"/>
                <w:color w:val="auto"/>
              </w:rPr>
            </w:pPr>
            <w:r>
              <w:rPr>
                <w:rFonts w:ascii="Arial" w:cs="Arial" w:eastAsia="Arial" w:hAnsi="Arial"/>
                <w:sz w:val="14"/>
                <w:szCs w:val="14"/>
                <w:b w:val="1"/>
                <w:bCs w:val="1"/>
                <w:color w:val="auto"/>
                <w:w w:val="96"/>
              </w:rPr>
              <w:t>2017</w:t>
            </w:r>
          </w:p>
        </w:tc>
        <w:tc>
          <w:tcPr>
            <w:tcW w:w="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Experience Systems</w:t>
            </w:r>
          </w:p>
        </w:tc>
        <w:tc>
          <w:tcPr>
            <w:tcW w:w="17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  991.0</w:t>
            </w:r>
          </w:p>
        </w:tc>
        <w:tc>
          <w:tcPr>
            <w:tcW w:w="3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980.7</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965.9</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967.7</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$954.8</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Directory</w:t>
            </w:r>
          </w:p>
        </w:tc>
        <w:tc>
          <w:tcPr>
            <w:tcW w:w="1780" w:type="dxa"/>
            <w:vAlign w:val="bottom"/>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11.2</w:t>
            </w: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11.6</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42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1,002.2</w:t>
            </w:r>
          </w:p>
        </w:tc>
        <w:tc>
          <w:tcPr>
            <w:tcW w:w="3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992.3</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979.7</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left="268"/>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966.7</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1"/>
              </w:rPr>
              <w:t>As of</w:t>
            </w: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19"/>
        </w:trPr>
        <w:tc>
          <w:tcPr>
            <w:tcW w:w="2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6"/>
              </w:rPr>
              <w:t>June 30,</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4"/>
          </w:tcPr>
          <w:p>
            <w:pPr>
              <w:ind w:left="160"/>
              <w:spacing w:after="0" w:line="119" w:lineRule="exact"/>
              <w:rPr>
                <w:sz w:val="20"/>
                <w:szCs w:val="20"/>
                <w:color w:val="auto"/>
              </w:rPr>
            </w:pPr>
            <w:r>
              <w:rPr>
                <w:rFonts w:ascii="Arial" w:cs="Arial" w:eastAsia="Arial" w:hAnsi="Arial"/>
                <w:sz w:val="13"/>
                <w:szCs w:val="13"/>
                <w:b w:val="1"/>
                <w:bCs w:val="1"/>
                <w:color w:val="auto"/>
              </w:rPr>
              <w:t>March 31,</w:t>
            </w:r>
          </w:p>
        </w:tc>
        <w:tc>
          <w:tcPr>
            <w:tcW w:w="140" w:type="dxa"/>
            <w:vAlign w:val="bottom"/>
          </w:tcPr>
          <w:p>
            <w:pPr>
              <w:spacing w:after="0"/>
              <w:rPr>
                <w:sz w:val="10"/>
                <w:szCs w:val="10"/>
                <w:color w:val="auto"/>
              </w:rPr>
            </w:pPr>
          </w:p>
        </w:tc>
        <w:tc>
          <w:tcPr>
            <w:tcW w:w="1200" w:type="dxa"/>
            <w:vAlign w:val="bottom"/>
            <w:gridSpan w:val="5"/>
          </w:tcPr>
          <w:p>
            <w:pPr>
              <w:jc w:val="right"/>
              <w:ind w:right="180"/>
              <w:spacing w:after="0" w:line="119" w:lineRule="exact"/>
              <w:rPr>
                <w:sz w:val="20"/>
                <w:szCs w:val="20"/>
                <w:color w:val="auto"/>
              </w:rPr>
            </w:pPr>
            <w:r>
              <w:rPr>
                <w:rFonts w:ascii="Arial" w:cs="Arial" w:eastAsia="Arial" w:hAnsi="Arial"/>
                <w:sz w:val="13"/>
                <w:szCs w:val="13"/>
                <w:b w:val="1"/>
                <w:bCs w:val="1"/>
                <w:color w:val="auto"/>
              </w:rPr>
              <w:t>December 31,</w:t>
            </w:r>
          </w:p>
        </w:tc>
        <w:tc>
          <w:tcPr>
            <w:tcW w:w="80" w:type="dxa"/>
            <w:vAlign w:val="bottom"/>
          </w:tcPr>
          <w:p>
            <w:pPr>
              <w:spacing w:after="0"/>
              <w:rPr>
                <w:sz w:val="10"/>
                <w:szCs w:val="10"/>
                <w:color w:val="auto"/>
              </w:rPr>
            </w:pPr>
          </w:p>
        </w:tc>
        <w:tc>
          <w:tcPr>
            <w:tcW w:w="960" w:type="dxa"/>
            <w:vAlign w:val="bottom"/>
            <w:gridSpan w:val="4"/>
          </w:tcPr>
          <w:p>
            <w:pPr>
              <w:ind w:left="8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86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June 30,</w:t>
            </w:r>
          </w:p>
        </w:tc>
        <w:tc>
          <w:tcPr>
            <w:tcW w:w="6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780" w:type="dxa"/>
            <w:vAlign w:val="bottom"/>
            <w:gridSpan w:val="4"/>
          </w:tcPr>
          <w:p>
            <w:pPr>
              <w:jc w:val="center"/>
              <w:ind w:left="2184"/>
              <w:spacing w:after="0"/>
              <w:rPr>
                <w:sz w:val="20"/>
                <w:szCs w:val="20"/>
                <w:color w:val="auto"/>
              </w:rPr>
            </w:pPr>
            <w:r>
              <w:rPr>
                <w:rFonts w:ascii="Arial" w:cs="Arial" w:eastAsia="Arial" w:hAnsi="Arial"/>
                <w:sz w:val="14"/>
                <w:szCs w:val="14"/>
                <w:b w:val="1"/>
                <w:bCs w:val="1"/>
                <w:color w:val="auto"/>
                <w:w w:val="89"/>
              </w:rPr>
              <w:t>2018</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jc w:val="right"/>
              <w:ind w:right="17"/>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137"/>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4"/>
                <w:szCs w:val="14"/>
                <w:color w:val="auto"/>
              </w:rPr>
            </w:pPr>
          </w:p>
        </w:tc>
        <w:tc>
          <w:tcPr>
            <w:tcW w:w="860" w:type="dxa"/>
            <w:vAlign w:val="bottom"/>
            <w:gridSpan w:val="2"/>
          </w:tcPr>
          <w:p>
            <w:pPr>
              <w:jc w:val="center"/>
              <w:ind w:left="248"/>
              <w:spacing w:after="0"/>
              <w:rPr>
                <w:sz w:val="20"/>
                <w:szCs w:val="20"/>
                <w:color w:val="auto"/>
              </w:rPr>
            </w:pPr>
            <w:r>
              <w:rPr>
                <w:rFonts w:ascii="Arial" w:cs="Arial" w:eastAsia="Arial" w:hAnsi="Arial"/>
                <w:sz w:val="14"/>
                <w:szCs w:val="14"/>
                <w:b w:val="1"/>
                <w:bCs w:val="1"/>
                <w:color w:val="auto"/>
                <w:w w:val="96"/>
              </w:rPr>
              <w:t>2017</w:t>
            </w:r>
          </w:p>
        </w:tc>
        <w:tc>
          <w:tcPr>
            <w:tcW w:w="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12-Month Backlog</w:t>
            </w:r>
          </w:p>
        </w:tc>
        <w:tc>
          <w:tcPr>
            <w:tcW w:w="2280" w:type="dxa"/>
            <w:vAlign w:val="bottom"/>
            <w:tcBorders>
              <w:top w:val="single" w:sz="8" w:color="CCEEFF"/>
            </w:tcBorders>
            <w:gridSpan w:val="2"/>
            <w:shd w:val="clear" w:color="auto" w:fill="CCEEFF"/>
          </w:tcPr>
          <w:p>
            <w:pPr>
              <w:spacing w:after="0"/>
              <w:rPr>
                <w:sz w:val="18"/>
                <w:szCs w:val="18"/>
                <w:color w:val="auto"/>
              </w:rPr>
            </w:pPr>
          </w:p>
        </w:tc>
        <w:tc>
          <w:tcPr>
            <w:tcW w:w="500" w:type="dxa"/>
            <w:vAlign w:val="bottom"/>
            <w:tcBorders>
              <w:top w:val="single" w:sz="8" w:color="auto"/>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3,330</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3,320</w:t>
            </w:r>
          </w:p>
        </w:tc>
        <w:tc>
          <w:tcPr>
            <w:tcW w:w="34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3,260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3,250</w:t>
            </w:r>
          </w:p>
        </w:tc>
        <w:tc>
          <w:tcPr>
            <w:tcW w:w="3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3,220</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 # #</w:t>
      </w:r>
    </w:p>
    <w:sectPr>
      <w:pgSz w:w="11900" w:h="16838" w:orient="portrait"/>
      <w:cols w:equalWidth="0" w:num="1">
        <w:col w:w="11040"/>
      </w:cols>
      <w:pgMar w:left="440" w:top="27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2019-12-06T12:45:55Z</dcterms:created>
  <dcterms:modified xsi:type="dcterms:W3CDTF">2019-12-06T12:45:55Z</dcterms:modified>
</cp:coreProperties>
</file>