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AMDOCS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G02602103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04-2747644</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Arial" w:cs="Arial" w:eastAsia="Arial" w:hAnsi="Arial"/>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5,891,694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6,474,745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w w:val="92"/>
              </w:rPr>
              <w:t>6,474,745 shares of Common Stock consisting of shares beneficially owned by MFS and/or certain other</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non-reporting entities</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AMDOCS LTD</w:t>
      </w:r>
    </w:p>
    <w:p>
      <w:pPr>
        <w:spacing w:after="0" w:line="101" w:lineRule="exact"/>
        <w:rPr>
          <w:rFonts w:ascii="Arial" w:cs="Arial" w:eastAsia="Arial" w:hAnsi="Arial"/>
          <w:sz w:val="22"/>
          <w:szCs w:val="22"/>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625 Maryville Centre Drive, Suite 200, Saint Louis, MO 63141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620" w:right="4000" w:hanging="707"/>
        <w:spacing w:after="0" w:line="256" w:lineRule="auto"/>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111 Huntington Avenue, Boston, MA 02199</w:t>
      </w:r>
    </w:p>
    <w:p>
      <w:pPr>
        <w:spacing w:after="0" w:line="81" w:lineRule="exact"/>
        <w:rPr>
          <w:rFonts w:ascii="Arial" w:cs="Arial" w:eastAsia="Arial" w:hAnsi="Arial"/>
          <w:sz w:val="22"/>
          <w:szCs w:val="22"/>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G02602103</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right="340"/>
        <w:spacing w:after="0" w:line="250" w:lineRule="auto"/>
        <w:rPr>
          <w:rFonts w:ascii="Arial" w:cs="Arial" w:eastAsia="Arial" w:hAnsi="Arial"/>
          <w:sz w:val="22"/>
          <w:szCs w:val="22"/>
          <w:color w:val="auto"/>
        </w:rPr>
      </w:pPr>
      <w:r>
        <w:rPr>
          <w:rFonts w:ascii="Arial" w:cs="Arial" w:eastAsia="Arial" w:hAnsi="Arial"/>
          <w:sz w:val="22"/>
          <w:szCs w:val="22"/>
          <w:color w:val="auto"/>
        </w:rPr>
        <w:t>6,474,745 shares of Common Stock consisting of shares beneficially owned by MFS and/or certain other non-reporting entities</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5.4%</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5,891,694</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6,474,745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Lisa Neaves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08,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Lisa Neaves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2023-02-08T15:17:09Z</dcterms:created>
  <dcterms:modified xsi:type="dcterms:W3CDTF">2023-02-08T15:17:09Z</dcterms:modified>
</cp:coreProperties>
</file>