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12/31/2020</w:t>
      </w:r>
    </w:p>
    <w:p>
      <w:pPr>
        <w:spacing w:after="0" w:line="200" w:lineRule="exact"/>
        <w:rPr>
          <w:sz w:val="24"/>
          <w:szCs w:val="24"/>
          <w:color w:val="auto"/>
        </w:rPr>
      </w:pPr>
    </w:p>
    <w:p>
      <w:pPr>
        <w:spacing w:after="0" w:line="204" w:lineRule="exact"/>
        <w:rPr>
          <w:sz w:val="24"/>
          <w:szCs w:val="24"/>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979" w:firstLine="8"/>
        <w:spacing w:after="0" w:line="26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6,802,093**</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6,802,093**</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6,802,093**</w:t>
      </w:r>
    </w:p>
    <w:p>
      <w:pPr>
        <w:spacing w:after="0" w:line="19" w:lineRule="exact"/>
        <w:rPr>
          <w:rFonts w:ascii="Courier New" w:cs="Courier New" w:eastAsia="Courier New" w:hAnsi="Courier New"/>
          <w:sz w:val="18"/>
          <w:szCs w:val="18"/>
          <w:color w:val="auto"/>
        </w:rPr>
      </w:pPr>
    </w:p>
    <w:p>
      <w:pPr>
        <w:ind w:right="3179" w:firstLine="8"/>
        <w:spacing w:after="0" w:line="346"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7004" w:orient="portrait"/>
          <w:cols w:equalWidth="0" w:num="1">
            <w:col w:w="10139"/>
          </w:cols>
          <w:pgMar w:left="320" w:top="218"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1390 Timberlake Manor Parkway</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Chesterfield, MO 63017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right="485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6"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8"/>
          <w:szCs w:val="18"/>
          <w:color w:val="auto"/>
        </w:rPr>
        <w:t>Janus Henderson has an indirect 97% ownership stake in Intech Investment Management LLC ("Intech") and a 100% ownership stake in Janus Capital Management LLC ("JCM"), Perkins Investment Management LLC ("Perkins"),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04" w:lineRule="exact"/>
        <w:rPr>
          <w:sz w:val="20"/>
          <w:szCs w:val="20"/>
          <w:color w:val="auto"/>
        </w:rPr>
      </w:pPr>
    </w:p>
    <w:p>
      <w:pPr>
        <w:ind w:right="28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JCM may be deemed to be the beneficial owner of 6,788,486 shares or 5.2% of the shares outstanding of Amdocs Common Stock held by such Managed Portfolios. However, JCM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ind w:right="297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12,446 shares or 0.0% of the shares outstanding of Amdocs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ind w:right="297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1,161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ectPr>
          <w:pgSz w:w="11900" w:h="16838" w:orient="portrait"/>
          <w:cols w:equalWidth="0" w:num="1">
            <w:col w:w="10139"/>
          </w:cols>
          <w:pgMar w:left="320" w:top="110"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shares were acquired in the ordinary course of business,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with the purpose of changing or influencing control of the Issuer.</w:t>
      </w:r>
    </w:p>
    <w:p>
      <w:pPr>
        <w:spacing w:after="0" w:line="192"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979"/>
        <w:spacing w:after="0" w:line="292" w:lineRule="auto"/>
        <w:rPr>
          <w:sz w:val="20"/>
          <w:szCs w:val="20"/>
          <w:color w:val="auto"/>
        </w:rPr>
      </w:pPr>
      <w:r>
        <w:rPr>
          <w:rFonts w:ascii="Courier New" w:cs="Courier New" w:eastAsia="Courier New" w:hAnsi="Courier New"/>
          <w:sz w:val="18"/>
          <w:szCs w:val="18"/>
          <w:color w:val="auto"/>
        </w:rPr>
        <w:t>Intech, JCM, Perkins, HGIL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9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2/11/2021</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2021-02-11T14:55:01Z</dcterms:created>
  <dcterms:modified xsi:type="dcterms:W3CDTF">2021-02-11T14:55:01Z</dcterms:modified>
</cp:coreProperties>
</file>