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3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 SECURITIES AND EXCHANGE COMMISSION</w:t>
      </w:r>
    </w:p>
    <w:p>
      <w:pPr>
        <w:spacing w:after="0" w:line="34" w:lineRule="exact"/>
        <w:rPr>
          <w:sz w:val="24"/>
          <w:szCs w:val="24"/>
          <w:color w:val="auto"/>
        </w:rPr>
      </w:pPr>
    </w:p>
    <w:p>
      <w:pPr>
        <w:jc w:val="center"/>
        <w:ind w:right="-83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839"/>
        <w:spacing w:after="0"/>
        <w:rPr>
          <w:sz w:val="20"/>
          <w:szCs w:val="20"/>
          <w:color w:val="auto"/>
        </w:rPr>
      </w:pPr>
      <w:r>
        <w:rPr>
          <w:rFonts w:ascii="Arial" w:cs="Arial" w:eastAsia="Arial" w:hAnsi="Arial"/>
          <w:sz w:val="32"/>
          <w:szCs w:val="32"/>
          <w:b w:val="1"/>
          <w:bCs w:val="1"/>
          <w:color w:val="auto"/>
        </w:rPr>
        <w:t>Form 6-K</w:t>
      </w:r>
    </w:p>
    <w:p>
      <w:pPr>
        <w:spacing w:after="0" w:line="236" w:lineRule="exact"/>
        <w:rPr>
          <w:sz w:val="24"/>
          <w:szCs w:val="24"/>
          <w:color w:val="auto"/>
        </w:rPr>
      </w:pPr>
    </w:p>
    <w:p>
      <w:pPr>
        <w:jc w:val="center"/>
        <w:ind w:right="-839"/>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839"/>
        <w:spacing w:after="0"/>
        <w:rPr>
          <w:sz w:val="20"/>
          <w:szCs w:val="20"/>
          <w:color w:val="auto"/>
        </w:rPr>
      </w:pPr>
      <w:r>
        <w:rPr>
          <w:rFonts w:ascii="Arial" w:cs="Arial" w:eastAsia="Arial" w:hAnsi="Arial"/>
          <w:sz w:val="18"/>
          <w:szCs w:val="18"/>
          <w:b w:val="1"/>
          <w:bCs w:val="1"/>
          <w:color w:val="auto"/>
        </w:rPr>
        <w:t>PURSUANT TO RULE 13a-16 OR 15d-16 OF</w:t>
      </w:r>
    </w:p>
    <w:p>
      <w:pPr>
        <w:spacing w:after="0" w:line="9" w:lineRule="exact"/>
        <w:rPr>
          <w:sz w:val="24"/>
          <w:szCs w:val="24"/>
          <w:color w:val="auto"/>
        </w:rPr>
      </w:pPr>
    </w:p>
    <w:p>
      <w:pPr>
        <w:jc w:val="center"/>
        <w:ind w:right="-839"/>
        <w:spacing w:after="0"/>
        <w:rPr>
          <w:sz w:val="20"/>
          <w:szCs w:val="20"/>
          <w:color w:val="auto"/>
        </w:rPr>
      </w:pPr>
      <w:r>
        <w:rPr>
          <w:rFonts w:ascii="Arial" w:cs="Arial" w:eastAsia="Arial" w:hAnsi="Arial"/>
          <w:sz w:val="18"/>
          <w:szCs w:val="18"/>
          <w:b w:val="1"/>
          <w:bCs w:val="1"/>
          <w:color w:val="auto"/>
        </w:rPr>
        <w:t>THE SECURITIES EXCHANGE ACT OF 1934</w:t>
      </w:r>
    </w:p>
    <w:p>
      <w:pPr>
        <w:spacing w:after="0" w:line="207" w:lineRule="exact"/>
        <w:rPr>
          <w:sz w:val="24"/>
          <w:szCs w:val="24"/>
          <w:color w:val="auto"/>
        </w:rPr>
      </w:pPr>
    </w:p>
    <w:p>
      <w:pPr>
        <w:jc w:val="center"/>
        <w:ind w:right="-839"/>
        <w:spacing w:after="0"/>
        <w:rPr>
          <w:sz w:val="20"/>
          <w:szCs w:val="20"/>
          <w:color w:val="auto"/>
        </w:rPr>
      </w:pPr>
      <w:r>
        <w:rPr>
          <w:rFonts w:ascii="Arial" w:cs="Arial" w:eastAsia="Arial" w:hAnsi="Arial"/>
          <w:sz w:val="18"/>
          <w:szCs w:val="18"/>
          <w:b w:val="1"/>
          <w:bCs w:val="1"/>
          <w:color w:val="auto"/>
        </w:rPr>
        <w:t>For the month of January, 2015</w:t>
      </w:r>
    </w:p>
    <w:p>
      <w:pPr>
        <w:spacing w:after="0" w:line="225" w:lineRule="exact"/>
        <w:rPr>
          <w:sz w:val="24"/>
          <w:szCs w:val="24"/>
          <w:color w:val="auto"/>
        </w:rPr>
      </w:pPr>
    </w:p>
    <w:p>
      <w:pPr>
        <w:jc w:val="center"/>
        <w:ind w:right="-839"/>
        <w:spacing w:after="0"/>
        <w:rPr>
          <w:sz w:val="20"/>
          <w:szCs w:val="20"/>
          <w:color w:val="auto"/>
        </w:rPr>
      </w:pPr>
      <w:r>
        <w:rPr>
          <w:rFonts w:ascii="Arial" w:cs="Arial" w:eastAsia="Arial" w:hAnsi="Arial"/>
          <w:sz w:val="18"/>
          <w:szCs w:val="18"/>
          <w:b w:val="1"/>
          <w:bCs w:val="1"/>
          <w:color w:val="auto"/>
        </w:rPr>
        <w:t>Commission File Number 1-14840</w:t>
      </w:r>
    </w:p>
    <w:p>
      <w:pPr>
        <w:spacing w:after="0" w:line="196" w:lineRule="exact"/>
        <w:rPr>
          <w:sz w:val="24"/>
          <w:szCs w:val="24"/>
          <w:color w:val="auto"/>
        </w:rPr>
      </w:pPr>
    </w:p>
    <w:p>
      <w:pPr>
        <w:jc w:val="center"/>
        <w:ind w:right="-839"/>
        <w:spacing w:after="0"/>
        <w:rPr>
          <w:sz w:val="20"/>
          <w:szCs w:val="20"/>
          <w:color w:val="auto"/>
        </w:rPr>
      </w:pPr>
      <w:r>
        <w:rPr>
          <w:rFonts w:ascii="Arial" w:cs="Arial" w:eastAsia="Arial" w:hAnsi="Arial"/>
          <w:sz w:val="40"/>
          <w:szCs w:val="40"/>
          <w:b w:val="1"/>
          <w:bCs w:val="1"/>
          <w:color w:val="auto"/>
        </w:rPr>
        <w:t>AMDOCS LIMITED</w:t>
      </w:r>
    </w:p>
    <w:p>
      <w:pPr>
        <w:spacing w:after="0" w:line="35" w:lineRule="exact"/>
        <w:rPr>
          <w:sz w:val="24"/>
          <w:szCs w:val="24"/>
          <w:color w:val="auto"/>
        </w:rPr>
      </w:pPr>
    </w:p>
    <w:p>
      <w:pPr>
        <w:jc w:val="center"/>
        <w:ind w:right="-839"/>
        <w:spacing w:after="0"/>
        <w:rPr>
          <w:sz w:val="20"/>
          <w:szCs w:val="20"/>
          <w:color w:val="auto"/>
        </w:rPr>
      </w:pPr>
      <w:r>
        <w:rPr>
          <w:rFonts w:ascii="Arial" w:cs="Arial" w:eastAsia="Arial" w:hAnsi="Arial"/>
          <w:sz w:val="18"/>
          <w:szCs w:val="18"/>
          <w:color w:val="auto"/>
        </w:rPr>
        <w:t>Hirzel House, Smith Street, St. Peter Port, Island of Guernsey, GY1 2NG</w:t>
      </w:r>
    </w:p>
    <w:p>
      <w:pPr>
        <w:spacing w:after="0" w:line="209" w:lineRule="exact"/>
        <w:rPr>
          <w:sz w:val="24"/>
          <w:szCs w:val="24"/>
          <w:color w:val="auto"/>
        </w:rPr>
      </w:pPr>
    </w:p>
    <w:p>
      <w:pPr>
        <w:jc w:val="center"/>
        <w:ind w:right="-839"/>
        <w:spacing w:after="0"/>
        <w:rPr>
          <w:sz w:val="20"/>
          <w:szCs w:val="20"/>
          <w:color w:val="auto"/>
        </w:rPr>
      </w:pPr>
      <w:r>
        <w:rPr>
          <w:rFonts w:ascii="Arial" w:cs="Arial" w:eastAsia="Arial" w:hAnsi="Arial"/>
          <w:sz w:val="18"/>
          <w:szCs w:val="18"/>
          <w:color w:val="auto"/>
        </w:rPr>
        <w:t>Amdocs, Inc.</w:t>
      </w:r>
    </w:p>
    <w:p>
      <w:pPr>
        <w:spacing w:after="0" w:line="23" w:lineRule="exact"/>
        <w:rPr>
          <w:sz w:val="24"/>
          <w:szCs w:val="24"/>
          <w:color w:val="auto"/>
        </w:rPr>
      </w:pPr>
    </w:p>
    <w:p>
      <w:pPr>
        <w:jc w:val="center"/>
        <w:ind w:right="-839"/>
        <w:spacing w:after="0"/>
        <w:rPr>
          <w:sz w:val="20"/>
          <w:szCs w:val="20"/>
          <w:color w:val="auto"/>
        </w:rPr>
      </w:pPr>
      <w:r>
        <w:rPr>
          <w:rFonts w:ascii="Arial" w:cs="Arial" w:eastAsia="Arial" w:hAnsi="Arial"/>
          <w:sz w:val="18"/>
          <w:szCs w:val="18"/>
          <w:color w:val="auto"/>
        </w:rPr>
        <w:t>1390 Timberlake Manor Parkway, Chesterfield, Missouri 63017</w:t>
      </w:r>
    </w:p>
    <w:p>
      <w:pPr>
        <w:spacing w:after="0" w:line="9" w:lineRule="exact"/>
        <w:rPr>
          <w:sz w:val="24"/>
          <w:szCs w:val="24"/>
          <w:color w:val="auto"/>
        </w:rPr>
      </w:pPr>
    </w:p>
    <w:p>
      <w:pPr>
        <w:jc w:val="center"/>
        <w:ind w:right="-839"/>
        <w:spacing w:after="0"/>
        <w:rPr>
          <w:sz w:val="20"/>
          <w:szCs w:val="20"/>
          <w:color w:val="auto"/>
        </w:rPr>
      </w:pPr>
      <w:r>
        <w:rPr>
          <w:rFonts w:ascii="Arial" w:cs="Arial" w:eastAsia="Arial" w:hAnsi="Arial"/>
          <w:sz w:val="18"/>
          <w:szCs w:val="18"/>
          <w:color w:val="auto"/>
        </w:rPr>
        <w:t>(Address of principal executive offices)</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3" w:lineRule="exact"/>
        <w:rPr>
          <w:sz w:val="24"/>
          <w:szCs w:val="24"/>
          <w:color w:val="auto"/>
        </w:rPr>
      </w:pPr>
    </w:p>
    <w:p>
      <w:pPr>
        <w:ind w:left="4400"/>
        <w:spacing w:after="0" w:line="207" w:lineRule="exact"/>
        <w:tabs>
          <w:tab w:leader="none" w:pos="590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by furnishing the information contained in this form is also thereby furnishing the information to the</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Commission pursuant to Rule 12g3-2(b) under the Securities Exchange Act of 1934:</w:t>
      </w:r>
    </w:p>
    <w:p>
      <w:pPr>
        <w:spacing w:after="0" w:line="178" w:lineRule="exact"/>
        <w:rPr>
          <w:sz w:val="24"/>
          <w:szCs w:val="24"/>
          <w:color w:val="auto"/>
        </w:rPr>
      </w:pPr>
    </w:p>
    <w:p>
      <w:pPr>
        <w:ind w:left="5000"/>
        <w:spacing w:after="0" w:line="207" w:lineRule="exact"/>
        <w:tabs>
          <w:tab w:leader="none" w:pos="594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If “Yes” is marked, indicate below the file number assigned to the registrant in connection with Rule 12g3-2(b): 82- 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580"/>
          </w:cols>
          <w:pgMar w:left="240" w:top="360" w:right="1079" w:bottom="1440" w:gutter="0" w:footer="0" w:header="0"/>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5.07.</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Voting Results</w:t>
      </w:r>
      <w:r>
        <w:rPr>
          <w:rFonts w:ascii="Arial" w:cs="Arial" w:eastAsia="Arial" w:hAnsi="Arial"/>
          <w:sz w:val="18"/>
          <w:szCs w:val="18"/>
          <w:color w:val="auto"/>
        </w:rPr>
        <w:t>.</w:t>
      </w:r>
    </w:p>
    <w:p>
      <w:pPr>
        <w:spacing w:after="0" w:line="117" w:lineRule="exact"/>
        <w:rPr>
          <w:sz w:val="20"/>
          <w:szCs w:val="20"/>
          <w:color w:val="auto"/>
        </w:rPr>
      </w:pPr>
    </w:p>
    <w:p>
      <w:pPr>
        <w:ind w:right="580"/>
        <w:spacing w:after="0" w:line="342" w:lineRule="auto"/>
        <w:rPr>
          <w:sz w:val="20"/>
          <w:szCs w:val="20"/>
          <w:color w:val="auto"/>
        </w:rPr>
      </w:pPr>
      <w:r>
        <w:rPr>
          <w:rFonts w:ascii="Arial" w:cs="Arial" w:eastAsia="Arial" w:hAnsi="Arial"/>
          <w:sz w:val="16"/>
          <w:szCs w:val="16"/>
          <w:color w:val="auto"/>
        </w:rPr>
        <w:t>At the 2015 Annual General Meeting of Shareholders of Amdocs Limited (the “Company”) held on January 28, 2015, the proposals listed below were submitted to a vote of the Company’s shareholders. The proposals are described in the Company’s proxy statement for the Annual General Meeting.</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Proposal 1 – The election of eleven nominees to the Company’s Board of Directors each for a term of one year.</w:t>
      </w:r>
    </w:p>
    <w:p>
      <w:pPr>
        <w:spacing w:after="0" w:line="11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eleven (11) nominees named in the definitive proxy statement were elected to serve as directors until the 2016 annual meeting. Information as to the vote on each director standing for election is provided below:</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160" w:type="dxa"/>
            <w:vAlign w:val="bottom"/>
            <w:gridSpan w:val="2"/>
          </w:tcPr>
          <w:p>
            <w:pPr>
              <w:spacing w:after="0"/>
              <w:rPr>
                <w:sz w:val="20"/>
                <w:szCs w:val="20"/>
                <w:color w:val="auto"/>
              </w:rPr>
            </w:pPr>
            <w:r>
              <w:rPr>
                <w:rFonts w:ascii="Arial" w:cs="Arial" w:eastAsia="Arial" w:hAnsi="Arial"/>
                <w:sz w:val="14"/>
                <w:szCs w:val="14"/>
                <w:b w:val="1"/>
                <w:bCs w:val="1"/>
                <w:color w:val="auto"/>
              </w:rPr>
              <w:t>Nominee</w:t>
            </w:r>
          </w:p>
        </w:tc>
        <w:tc>
          <w:tcPr>
            <w:tcW w:w="13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Votes For</w:t>
            </w:r>
          </w:p>
        </w:tc>
        <w:tc>
          <w:tcPr>
            <w:tcW w:w="12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5"/>
              </w:rPr>
              <w:t>Votes Against</w:t>
            </w:r>
          </w:p>
        </w:tc>
        <w:tc>
          <w:tcPr>
            <w:tcW w:w="14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7"/>
              </w:rPr>
              <w:t>Votes Abstaining</w:t>
            </w:r>
          </w:p>
        </w:tc>
        <w:tc>
          <w:tcPr>
            <w:tcW w:w="12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0"/>
              </w:rPr>
              <w:t>Broker Non-Votes</w:t>
            </w:r>
          </w:p>
        </w:tc>
      </w:tr>
      <w:tr>
        <w:trPr>
          <w:trHeight w:val="20"/>
        </w:trPr>
        <w:tc>
          <w:tcPr>
            <w:tcW w:w="540" w:type="dxa"/>
            <w:vAlign w:val="bottom"/>
            <w:tcBorders>
              <w:bottom w:val="single" w:sz="8" w:color="CCEEFF"/>
            </w:tcBorders>
            <w:shd w:val="clear" w:color="auto" w:fill="000000"/>
          </w:tcPr>
          <w:p>
            <w:pPr>
              <w:spacing w:after="0" w:line="20" w:lineRule="exact"/>
              <w:rPr>
                <w:sz w:val="1"/>
                <w:szCs w:val="1"/>
                <w:color w:val="auto"/>
              </w:rPr>
            </w:pPr>
          </w:p>
        </w:tc>
        <w:tc>
          <w:tcPr>
            <w:tcW w:w="56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r>
      <w:tr>
        <w:trPr>
          <w:trHeight w:val="203"/>
        </w:trPr>
        <w:tc>
          <w:tcPr>
            <w:tcW w:w="61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Robert A. Minicucci</w:t>
            </w:r>
          </w:p>
        </w:tc>
        <w:tc>
          <w:tcPr>
            <w:tcW w:w="9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126,581,463</w:t>
            </w:r>
          </w:p>
        </w:tc>
        <w:tc>
          <w:tcPr>
            <w:tcW w:w="4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3,672,528</w:t>
            </w:r>
          </w:p>
        </w:tc>
        <w:tc>
          <w:tcPr>
            <w:tcW w:w="4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1,667,271</w:t>
            </w:r>
          </w:p>
        </w:tc>
        <w:tc>
          <w:tcPr>
            <w:tcW w:w="4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6,171,817</w:t>
            </w:r>
          </w:p>
        </w:tc>
        <w:tc>
          <w:tcPr>
            <w:tcW w:w="100" w:type="dxa"/>
            <w:vAlign w:val="bottom"/>
            <w:shd w:val="clear" w:color="auto" w:fill="CCEEFF"/>
          </w:tcPr>
          <w:p>
            <w:pPr>
              <w:spacing w:after="0"/>
              <w:rPr>
                <w:sz w:val="17"/>
                <w:szCs w:val="17"/>
                <w:color w:val="auto"/>
              </w:rPr>
            </w:pPr>
          </w:p>
        </w:tc>
      </w:tr>
      <w:tr>
        <w:trPr>
          <w:trHeight w:val="216"/>
        </w:trPr>
        <w:tc>
          <w:tcPr>
            <w:tcW w:w="6160" w:type="dxa"/>
            <w:vAlign w:val="bottom"/>
            <w:gridSpan w:val="2"/>
          </w:tcPr>
          <w:p>
            <w:pPr>
              <w:spacing w:after="0"/>
              <w:rPr>
                <w:sz w:val="20"/>
                <w:szCs w:val="20"/>
                <w:color w:val="auto"/>
              </w:rPr>
            </w:pPr>
            <w:r>
              <w:rPr>
                <w:rFonts w:ascii="Arial" w:cs="Arial" w:eastAsia="Arial" w:hAnsi="Arial"/>
                <w:sz w:val="18"/>
                <w:szCs w:val="18"/>
                <w:color w:val="auto"/>
              </w:rPr>
              <w:t>Adrian Gardner</w:t>
            </w:r>
          </w:p>
        </w:tc>
        <w:tc>
          <w:tcPr>
            <w:tcW w:w="1380" w:type="dxa"/>
            <w:vAlign w:val="bottom"/>
            <w:gridSpan w:val="2"/>
          </w:tcPr>
          <w:p>
            <w:pPr>
              <w:jc w:val="right"/>
              <w:ind w:right="420"/>
              <w:spacing w:after="0"/>
              <w:rPr>
                <w:sz w:val="20"/>
                <w:szCs w:val="20"/>
                <w:color w:val="auto"/>
              </w:rPr>
            </w:pPr>
            <w:r>
              <w:rPr>
                <w:rFonts w:ascii="Arial" w:cs="Arial" w:eastAsia="Arial" w:hAnsi="Arial"/>
                <w:sz w:val="18"/>
                <w:szCs w:val="18"/>
                <w:color w:val="auto"/>
                <w:w w:val="93"/>
              </w:rPr>
              <w:t>126,938,201</w:t>
            </w: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w w:val="99"/>
              </w:rPr>
              <w:t>3,433,699</w:t>
            </w:r>
          </w:p>
        </w:tc>
        <w:tc>
          <w:tcPr>
            <w:tcW w:w="1040" w:type="dxa"/>
            <w:vAlign w:val="bottom"/>
          </w:tcPr>
          <w:p>
            <w:pPr>
              <w:jc w:val="right"/>
              <w:spacing w:after="0"/>
              <w:rPr>
                <w:sz w:val="20"/>
                <w:szCs w:val="20"/>
                <w:color w:val="auto"/>
              </w:rPr>
            </w:pPr>
            <w:r>
              <w:rPr>
                <w:rFonts w:ascii="Arial" w:cs="Arial" w:eastAsia="Arial" w:hAnsi="Arial"/>
                <w:sz w:val="18"/>
                <w:szCs w:val="18"/>
                <w:color w:val="auto"/>
              </w:rPr>
              <w:t>1,549,364</w:t>
            </w:r>
          </w:p>
        </w:tc>
        <w:tc>
          <w:tcPr>
            <w:tcW w:w="4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6,171,815</w:t>
            </w:r>
          </w:p>
        </w:tc>
        <w:tc>
          <w:tcPr>
            <w:tcW w:w="100" w:type="dxa"/>
            <w:vAlign w:val="bottom"/>
          </w:tcPr>
          <w:p>
            <w:pPr>
              <w:spacing w:after="0"/>
              <w:rPr>
                <w:sz w:val="18"/>
                <w:szCs w:val="18"/>
                <w:color w:val="auto"/>
              </w:rPr>
            </w:pPr>
          </w:p>
        </w:tc>
      </w:tr>
      <w:tr>
        <w:trPr>
          <w:trHeight w:val="216"/>
        </w:trPr>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T. McLennan</w:t>
            </w:r>
          </w:p>
        </w:tc>
        <w:tc>
          <w:tcPr>
            <w:tcW w:w="13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3"/>
              </w:rPr>
              <w:t>127,434,839</w:t>
            </w: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9"/>
              </w:rPr>
              <w:t>3,427,179</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1,059,244</w:t>
            </w: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6,171,817</w:t>
            </w:r>
          </w:p>
        </w:tc>
        <w:tc>
          <w:tcPr>
            <w:tcW w:w="100" w:type="dxa"/>
            <w:vAlign w:val="bottom"/>
            <w:shd w:val="clear" w:color="auto" w:fill="CCEEFF"/>
          </w:tcPr>
          <w:p>
            <w:pPr>
              <w:spacing w:after="0"/>
              <w:rPr>
                <w:sz w:val="18"/>
                <w:szCs w:val="18"/>
                <w:color w:val="auto"/>
              </w:rPr>
            </w:pPr>
          </w:p>
        </w:tc>
      </w:tr>
      <w:tr>
        <w:trPr>
          <w:trHeight w:val="216"/>
        </w:trPr>
        <w:tc>
          <w:tcPr>
            <w:tcW w:w="6160" w:type="dxa"/>
            <w:vAlign w:val="bottom"/>
            <w:gridSpan w:val="2"/>
          </w:tcPr>
          <w:p>
            <w:pPr>
              <w:spacing w:after="0"/>
              <w:rPr>
                <w:sz w:val="20"/>
                <w:szCs w:val="20"/>
                <w:color w:val="auto"/>
              </w:rPr>
            </w:pPr>
            <w:r>
              <w:rPr>
                <w:rFonts w:ascii="Arial" w:cs="Arial" w:eastAsia="Arial" w:hAnsi="Arial"/>
                <w:sz w:val="18"/>
                <w:szCs w:val="18"/>
                <w:color w:val="auto"/>
              </w:rPr>
              <w:t>Simon Olswang</w:t>
            </w:r>
          </w:p>
        </w:tc>
        <w:tc>
          <w:tcPr>
            <w:tcW w:w="1380" w:type="dxa"/>
            <w:vAlign w:val="bottom"/>
            <w:gridSpan w:val="2"/>
          </w:tcPr>
          <w:p>
            <w:pPr>
              <w:jc w:val="right"/>
              <w:ind w:right="420"/>
              <w:spacing w:after="0"/>
              <w:rPr>
                <w:sz w:val="20"/>
                <w:szCs w:val="20"/>
                <w:color w:val="auto"/>
              </w:rPr>
            </w:pPr>
            <w:r>
              <w:rPr>
                <w:rFonts w:ascii="Arial" w:cs="Arial" w:eastAsia="Arial" w:hAnsi="Arial"/>
                <w:sz w:val="18"/>
                <w:szCs w:val="18"/>
                <w:color w:val="auto"/>
                <w:w w:val="93"/>
              </w:rPr>
              <w:t>128,157,122</w:t>
            </w: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w w:val="99"/>
              </w:rPr>
              <w:t>2,214,517</w:t>
            </w:r>
          </w:p>
        </w:tc>
        <w:tc>
          <w:tcPr>
            <w:tcW w:w="1040" w:type="dxa"/>
            <w:vAlign w:val="bottom"/>
          </w:tcPr>
          <w:p>
            <w:pPr>
              <w:jc w:val="right"/>
              <w:spacing w:after="0"/>
              <w:rPr>
                <w:sz w:val="20"/>
                <w:szCs w:val="20"/>
                <w:color w:val="auto"/>
              </w:rPr>
            </w:pPr>
            <w:r>
              <w:rPr>
                <w:rFonts w:ascii="Arial" w:cs="Arial" w:eastAsia="Arial" w:hAnsi="Arial"/>
                <w:sz w:val="18"/>
                <w:szCs w:val="18"/>
                <w:color w:val="auto"/>
              </w:rPr>
              <w:t>1,549,624</w:t>
            </w:r>
          </w:p>
        </w:tc>
        <w:tc>
          <w:tcPr>
            <w:tcW w:w="4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6,171,816</w:t>
            </w:r>
          </w:p>
        </w:tc>
        <w:tc>
          <w:tcPr>
            <w:tcW w:w="100" w:type="dxa"/>
            <w:vAlign w:val="bottom"/>
          </w:tcPr>
          <w:p>
            <w:pPr>
              <w:spacing w:after="0"/>
              <w:rPr>
                <w:sz w:val="18"/>
                <w:szCs w:val="18"/>
                <w:color w:val="auto"/>
              </w:rPr>
            </w:pPr>
          </w:p>
        </w:tc>
      </w:tr>
      <w:tr>
        <w:trPr>
          <w:trHeight w:val="216"/>
        </w:trPr>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Zohar Zisapel</w:t>
            </w:r>
          </w:p>
        </w:tc>
        <w:tc>
          <w:tcPr>
            <w:tcW w:w="13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3"/>
              </w:rPr>
              <w:t>129,279,238</w:t>
            </w: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9"/>
              </w:rPr>
              <w:t>1,582,902</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1,059,122</w:t>
            </w: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6,171,817</w:t>
            </w:r>
          </w:p>
        </w:tc>
        <w:tc>
          <w:tcPr>
            <w:tcW w:w="100" w:type="dxa"/>
            <w:vAlign w:val="bottom"/>
            <w:shd w:val="clear" w:color="auto" w:fill="CCEEFF"/>
          </w:tcPr>
          <w:p>
            <w:pPr>
              <w:spacing w:after="0"/>
              <w:rPr>
                <w:sz w:val="18"/>
                <w:szCs w:val="18"/>
                <w:color w:val="auto"/>
              </w:rPr>
            </w:pPr>
          </w:p>
        </w:tc>
      </w:tr>
      <w:tr>
        <w:trPr>
          <w:trHeight w:val="216"/>
        </w:trPr>
        <w:tc>
          <w:tcPr>
            <w:tcW w:w="6160" w:type="dxa"/>
            <w:vAlign w:val="bottom"/>
            <w:gridSpan w:val="2"/>
          </w:tcPr>
          <w:p>
            <w:pPr>
              <w:spacing w:after="0"/>
              <w:rPr>
                <w:sz w:val="20"/>
                <w:szCs w:val="20"/>
                <w:color w:val="auto"/>
              </w:rPr>
            </w:pPr>
            <w:r>
              <w:rPr>
                <w:rFonts w:ascii="Arial" w:cs="Arial" w:eastAsia="Arial" w:hAnsi="Arial"/>
                <w:sz w:val="18"/>
                <w:szCs w:val="18"/>
                <w:color w:val="auto"/>
              </w:rPr>
              <w:t>Julian A. Brodsky</w:t>
            </w:r>
          </w:p>
        </w:tc>
        <w:tc>
          <w:tcPr>
            <w:tcW w:w="1380" w:type="dxa"/>
            <w:vAlign w:val="bottom"/>
            <w:gridSpan w:val="2"/>
          </w:tcPr>
          <w:p>
            <w:pPr>
              <w:jc w:val="right"/>
              <w:ind w:right="420"/>
              <w:spacing w:after="0"/>
              <w:rPr>
                <w:sz w:val="20"/>
                <w:szCs w:val="20"/>
                <w:color w:val="auto"/>
              </w:rPr>
            </w:pPr>
            <w:r>
              <w:rPr>
                <w:rFonts w:ascii="Arial" w:cs="Arial" w:eastAsia="Arial" w:hAnsi="Arial"/>
                <w:sz w:val="18"/>
                <w:szCs w:val="18"/>
                <w:color w:val="auto"/>
                <w:w w:val="93"/>
              </w:rPr>
              <w:t>129,535,552</w:t>
            </w: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w w:val="99"/>
              </w:rPr>
              <w:t>1,326,030</w:t>
            </w:r>
          </w:p>
        </w:tc>
        <w:tc>
          <w:tcPr>
            <w:tcW w:w="1040" w:type="dxa"/>
            <w:vAlign w:val="bottom"/>
          </w:tcPr>
          <w:p>
            <w:pPr>
              <w:jc w:val="right"/>
              <w:spacing w:after="0"/>
              <w:rPr>
                <w:sz w:val="20"/>
                <w:szCs w:val="20"/>
                <w:color w:val="auto"/>
              </w:rPr>
            </w:pPr>
            <w:r>
              <w:rPr>
                <w:rFonts w:ascii="Arial" w:cs="Arial" w:eastAsia="Arial" w:hAnsi="Arial"/>
                <w:sz w:val="18"/>
                <w:szCs w:val="18"/>
                <w:color w:val="auto"/>
              </w:rPr>
              <w:t>1,059,680</w:t>
            </w:r>
          </w:p>
        </w:tc>
        <w:tc>
          <w:tcPr>
            <w:tcW w:w="4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6,171,817</w:t>
            </w:r>
          </w:p>
        </w:tc>
        <w:tc>
          <w:tcPr>
            <w:tcW w:w="100" w:type="dxa"/>
            <w:vAlign w:val="bottom"/>
          </w:tcPr>
          <w:p>
            <w:pPr>
              <w:spacing w:after="0"/>
              <w:rPr>
                <w:sz w:val="18"/>
                <w:szCs w:val="18"/>
                <w:color w:val="auto"/>
              </w:rPr>
            </w:pPr>
          </w:p>
        </w:tc>
      </w:tr>
      <w:tr>
        <w:trPr>
          <w:trHeight w:val="216"/>
        </w:trPr>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Clayton Christensen (1)</w:t>
            </w:r>
          </w:p>
        </w:tc>
        <w:tc>
          <w:tcPr>
            <w:tcW w:w="13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3"/>
              </w:rPr>
              <w:t>128,785,166</w:t>
            </w: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9"/>
              </w:rPr>
              <w:t>2,076,618</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1,059,478</w:t>
            </w: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6,171,817</w:t>
            </w:r>
          </w:p>
        </w:tc>
        <w:tc>
          <w:tcPr>
            <w:tcW w:w="100" w:type="dxa"/>
            <w:vAlign w:val="bottom"/>
            <w:shd w:val="clear" w:color="auto" w:fill="CCEEFF"/>
          </w:tcPr>
          <w:p>
            <w:pPr>
              <w:spacing w:after="0"/>
              <w:rPr>
                <w:sz w:val="18"/>
                <w:szCs w:val="18"/>
                <w:color w:val="auto"/>
              </w:rPr>
            </w:pPr>
          </w:p>
        </w:tc>
      </w:tr>
      <w:tr>
        <w:trPr>
          <w:trHeight w:val="216"/>
        </w:trPr>
        <w:tc>
          <w:tcPr>
            <w:tcW w:w="6160" w:type="dxa"/>
            <w:vAlign w:val="bottom"/>
            <w:gridSpan w:val="2"/>
          </w:tcPr>
          <w:p>
            <w:pPr>
              <w:spacing w:after="0"/>
              <w:rPr>
                <w:sz w:val="20"/>
                <w:szCs w:val="20"/>
                <w:color w:val="auto"/>
              </w:rPr>
            </w:pPr>
            <w:r>
              <w:rPr>
                <w:rFonts w:ascii="Arial" w:cs="Arial" w:eastAsia="Arial" w:hAnsi="Arial"/>
                <w:sz w:val="18"/>
                <w:szCs w:val="18"/>
                <w:color w:val="auto"/>
              </w:rPr>
              <w:t>Eli Gelman</w:t>
            </w:r>
          </w:p>
        </w:tc>
        <w:tc>
          <w:tcPr>
            <w:tcW w:w="1380" w:type="dxa"/>
            <w:vAlign w:val="bottom"/>
            <w:gridSpan w:val="2"/>
          </w:tcPr>
          <w:p>
            <w:pPr>
              <w:jc w:val="right"/>
              <w:ind w:right="420"/>
              <w:spacing w:after="0"/>
              <w:rPr>
                <w:sz w:val="20"/>
                <w:szCs w:val="20"/>
                <w:color w:val="auto"/>
              </w:rPr>
            </w:pPr>
            <w:r>
              <w:rPr>
                <w:rFonts w:ascii="Arial" w:cs="Arial" w:eastAsia="Arial" w:hAnsi="Arial"/>
                <w:sz w:val="18"/>
                <w:szCs w:val="18"/>
                <w:color w:val="auto"/>
                <w:w w:val="93"/>
              </w:rPr>
              <w:t>128,859,791</w:t>
            </w: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w w:val="99"/>
              </w:rPr>
              <w:t>2,004,000</w:t>
            </w:r>
          </w:p>
        </w:tc>
        <w:tc>
          <w:tcPr>
            <w:tcW w:w="1040" w:type="dxa"/>
            <w:vAlign w:val="bottom"/>
          </w:tcPr>
          <w:p>
            <w:pPr>
              <w:jc w:val="right"/>
              <w:spacing w:after="0"/>
              <w:rPr>
                <w:sz w:val="20"/>
                <w:szCs w:val="20"/>
                <w:color w:val="auto"/>
              </w:rPr>
            </w:pPr>
            <w:r>
              <w:rPr>
                <w:rFonts w:ascii="Arial" w:cs="Arial" w:eastAsia="Arial" w:hAnsi="Arial"/>
                <w:sz w:val="18"/>
                <w:szCs w:val="18"/>
                <w:color w:val="auto"/>
              </w:rPr>
              <w:t>1,057,471</w:t>
            </w:r>
          </w:p>
        </w:tc>
        <w:tc>
          <w:tcPr>
            <w:tcW w:w="4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6,171,817</w:t>
            </w:r>
          </w:p>
        </w:tc>
        <w:tc>
          <w:tcPr>
            <w:tcW w:w="100" w:type="dxa"/>
            <w:vAlign w:val="bottom"/>
          </w:tcPr>
          <w:p>
            <w:pPr>
              <w:spacing w:after="0"/>
              <w:rPr>
                <w:sz w:val="18"/>
                <w:szCs w:val="18"/>
                <w:color w:val="auto"/>
              </w:rPr>
            </w:pPr>
          </w:p>
        </w:tc>
      </w:tr>
      <w:tr>
        <w:trPr>
          <w:trHeight w:val="216"/>
        </w:trPr>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S. Kahan</w:t>
            </w:r>
          </w:p>
        </w:tc>
        <w:tc>
          <w:tcPr>
            <w:tcW w:w="13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3"/>
              </w:rPr>
              <w:t>127,136,774</w:t>
            </w: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9"/>
              </w:rPr>
              <w:t>3,725,355</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1,059,133</w:t>
            </w: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6,171,817</w:t>
            </w:r>
          </w:p>
        </w:tc>
        <w:tc>
          <w:tcPr>
            <w:tcW w:w="100" w:type="dxa"/>
            <w:vAlign w:val="bottom"/>
            <w:shd w:val="clear" w:color="auto" w:fill="CCEEFF"/>
          </w:tcPr>
          <w:p>
            <w:pPr>
              <w:spacing w:after="0"/>
              <w:rPr>
                <w:sz w:val="18"/>
                <w:szCs w:val="18"/>
                <w:color w:val="auto"/>
              </w:rPr>
            </w:pPr>
          </w:p>
        </w:tc>
      </w:tr>
      <w:tr>
        <w:trPr>
          <w:trHeight w:val="216"/>
        </w:trPr>
        <w:tc>
          <w:tcPr>
            <w:tcW w:w="6160" w:type="dxa"/>
            <w:vAlign w:val="bottom"/>
            <w:gridSpan w:val="2"/>
          </w:tcPr>
          <w:p>
            <w:pPr>
              <w:spacing w:after="0"/>
              <w:rPr>
                <w:sz w:val="20"/>
                <w:szCs w:val="20"/>
                <w:color w:val="auto"/>
              </w:rPr>
            </w:pPr>
            <w:r>
              <w:rPr>
                <w:rFonts w:ascii="Arial" w:cs="Arial" w:eastAsia="Arial" w:hAnsi="Arial"/>
                <w:sz w:val="18"/>
                <w:szCs w:val="18"/>
                <w:color w:val="auto"/>
              </w:rPr>
              <w:t>Richard T.C. LeFave</w:t>
            </w:r>
          </w:p>
        </w:tc>
        <w:tc>
          <w:tcPr>
            <w:tcW w:w="1380" w:type="dxa"/>
            <w:vAlign w:val="bottom"/>
            <w:gridSpan w:val="2"/>
          </w:tcPr>
          <w:p>
            <w:pPr>
              <w:jc w:val="right"/>
              <w:ind w:right="420"/>
              <w:spacing w:after="0"/>
              <w:rPr>
                <w:sz w:val="20"/>
                <w:szCs w:val="20"/>
                <w:color w:val="auto"/>
              </w:rPr>
            </w:pPr>
            <w:r>
              <w:rPr>
                <w:rFonts w:ascii="Arial" w:cs="Arial" w:eastAsia="Arial" w:hAnsi="Arial"/>
                <w:sz w:val="18"/>
                <w:szCs w:val="18"/>
                <w:color w:val="auto"/>
                <w:w w:val="93"/>
              </w:rPr>
              <w:t>129,923,665</w:t>
            </w: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937,966</w:t>
            </w:r>
          </w:p>
        </w:tc>
        <w:tc>
          <w:tcPr>
            <w:tcW w:w="1040" w:type="dxa"/>
            <w:vAlign w:val="bottom"/>
          </w:tcPr>
          <w:p>
            <w:pPr>
              <w:jc w:val="right"/>
              <w:spacing w:after="0"/>
              <w:rPr>
                <w:sz w:val="20"/>
                <w:szCs w:val="20"/>
                <w:color w:val="auto"/>
              </w:rPr>
            </w:pPr>
            <w:r>
              <w:rPr>
                <w:rFonts w:ascii="Arial" w:cs="Arial" w:eastAsia="Arial" w:hAnsi="Arial"/>
                <w:sz w:val="18"/>
                <w:szCs w:val="18"/>
                <w:color w:val="auto"/>
              </w:rPr>
              <w:t>1,059,631</w:t>
            </w:r>
          </w:p>
        </w:tc>
        <w:tc>
          <w:tcPr>
            <w:tcW w:w="4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6,171,817</w:t>
            </w:r>
          </w:p>
        </w:tc>
        <w:tc>
          <w:tcPr>
            <w:tcW w:w="100" w:type="dxa"/>
            <w:vAlign w:val="bottom"/>
          </w:tcPr>
          <w:p>
            <w:pPr>
              <w:spacing w:after="0"/>
              <w:rPr>
                <w:sz w:val="18"/>
                <w:szCs w:val="18"/>
                <w:color w:val="auto"/>
              </w:rPr>
            </w:pPr>
          </w:p>
        </w:tc>
      </w:tr>
      <w:tr>
        <w:trPr>
          <w:trHeight w:val="216"/>
        </w:trPr>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Giora Yaron</w:t>
            </w:r>
          </w:p>
        </w:tc>
        <w:tc>
          <w:tcPr>
            <w:tcW w:w="13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3"/>
              </w:rPr>
              <w:t>129,923,962</w:t>
            </w: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939,818</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1,057,483</w:t>
            </w: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6,171,816</w:t>
            </w:r>
          </w:p>
        </w:tc>
        <w:tc>
          <w:tcPr>
            <w:tcW w:w="100" w:type="dxa"/>
            <w:vAlign w:val="bottom"/>
            <w:shd w:val="clear" w:color="auto" w:fill="CCEEFF"/>
          </w:tcPr>
          <w:p>
            <w:pPr>
              <w:spacing w:after="0"/>
              <w:rPr>
                <w:sz w:val="18"/>
                <w:szCs w:val="18"/>
                <w:color w:val="auto"/>
              </w:rPr>
            </w:pPr>
          </w:p>
        </w:tc>
      </w:tr>
    </w:tbl>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Dr. Christensen’s term will commence on April 1, 2015</w:t>
      </w:r>
    </w:p>
    <w:p>
      <w:pPr>
        <w:spacing w:after="0" w:line="21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i w:val="1"/>
          <w:iCs w:val="1"/>
          <w:u w:val="single" w:color="auto"/>
          <w:color w:val="auto"/>
        </w:rPr>
        <w:t>Proposal 2 – The approval of an increase in the dividend rate under the Company’s quarterly cash dividend program from $0.155 per share to $0.17 per share</w:t>
      </w:r>
      <w:r>
        <w:rPr>
          <w:rFonts w:ascii="Arial" w:cs="Arial" w:eastAsia="Arial" w:hAnsi="Arial"/>
          <w:sz w:val="18"/>
          <w:szCs w:val="18"/>
          <w:u w:val="single" w:color="auto"/>
          <w:color w:val="auto"/>
        </w:rPr>
        <w:t>.</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The shareholders approved an increase in the dividend rate under the Company’s quarterly cash dividend program from $0.155 per share to $0.17 per share.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voting results were as follows:</w:t>
      </w:r>
    </w:p>
    <w:p>
      <w:pPr>
        <w:spacing w:after="0" w:line="229" w:lineRule="exact"/>
        <w:rPr>
          <w:sz w:val="20"/>
          <w:szCs w:val="20"/>
          <w:color w:val="auto"/>
        </w:rPr>
      </w:pPr>
    </w:p>
    <w:tbl>
      <w:tblPr>
        <w:tblLayout w:type="fixed"/>
        <w:tblInd w:w="1560" w:type="dxa"/>
        <w:tblCellMar>
          <w:top w:w="0" w:type="dxa"/>
          <w:left w:w="0" w:type="dxa"/>
          <w:bottom w:w="0" w:type="dxa"/>
          <w:right w:w="0" w:type="dxa"/>
        </w:tblCellMar>
      </w:tblPr>
      <w:tr>
        <w:trPr>
          <w:trHeight w:val="171"/>
        </w:trPr>
        <w:tc>
          <w:tcPr>
            <w:tcW w:w="140" w:type="dxa"/>
            <w:vAlign w:val="bottom"/>
          </w:tcPr>
          <w:p>
            <w:pPr>
              <w:spacing w:after="0"/>
              <w:rPr>
                <w:sz w:val="14"/>
                <w:szCs w:val="14"/>
                <w:color w:val="auto"/>
              </w:rPr>
            </w:pPr>
          </w:p>
        </w:tc>
        <w:tc>
          <w:tcPr>
            <w:tcW w:w="3840" w:type="dxa"/>
            <w:vAlign w:val="bottom"/>
            <w:gridSpan w:val="2"/>
          </w:tcPr>
          <w:p>
            <w:pPr>
              <w:jc w:val="right"/>
              <w:ind w:right="3240"/>
              <w:spacing w:after="0"/>
              <w:rPr>
                <w:sz w:val="20"/>
                <w:szCs w:val="20"/>
                <w:color w:val="auto"/>
              </w:rPr>
            </w:pPr>
            <w:r>
              <w:rPr>
                <w:rFonts w:ascii="Arial" w:cs="Arial" w:eastAsia="Arial" w:hAnsi="Arial"/>
                <w:sz w:val="14"/>
                <w:szCs w:val="14"/>
                <w:b w:val="1"/>
                <w:bCs w:val="1"/>
                <w:color w:val="auto"/>
                <w:w w:val="89"/>
              </w:rPr>
              <w:t>Votes For</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9"/>
              </w:rPr>
              <w:t>Votes Against</w:t>
            </w:r>
          </w:p>
        </w:tc>
        <w:tc>
          <w:tcPr>
            <w:tcW w:w="276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0"/>
              </w:rPr>
              <w:t>Votes Abstaining</w:t>
            </w:r>
          </w:p>
        </w:tc>
      </w:tr>
      <w:tr>
        <w:trPr>
          <w:trHeight w:val="224"/>
        </w:trPr>
        <w:tc>
          <w:tcPr>
            <w:tcW w:w="14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4"/>
              </w:rPr>
              <w:t>137,020,326</w:t>
            </w:r>
          </w:p>
        </w:tc>
        <w:tc>
          <w:tcPr>
            <w:tcW w:w="3240" w:type="dxa"/>
            <w:vAlign w:val="bottom"/>
          </w:tcPr>
          <w:p>
            <w:pPr>
              <w:spacing w:after="0"/>
              <w:rPr>
                <w:sz w:val="19"/>
                <w:szCs w:val="19"/>
                <w:color w:val="auto"/>
              </w:rPr>
            </w:pPr>
          </w:p>
        </w:tc>
        <w:tc>
          <w:tcPr>
            <w:tcW w:w="840" w:type="dxa"/>
            <w:vAlign w:val="bottom"/>
            <w:tcBorders>
              <w:top w:val="single" w:sz="8" w:color="auto"/>
            </w:tcBorders>
          </w:tcPr>
          <w:p>
            <w:pPr>
              <w:jc w:val="right"/>
              <w:ind w:right="99"/>
              <w:spacing w:after="0"/>
              <w:rPr>
                <w:sz w:val="20"/>
                <w:szCs w:val="20"/>
                <w:color w:val="auto"/>
              </w:rPr>
            </w:pPr>
            <w:r>
              <w:rPr>
                <w:rFonts w:ascii="Arial" w:cs="Arial" w:eastAsia="Arial" w:hAnsi="Arial"/>
                <w:sz w:val="18"/>
                <w:szCs w:val="18"/>
                <w:color w:val="auto"/>
              </w:rPr>
              <w:t>11,411</w:t>
            </w:r>
          </w:p>
        </w:tc>
        <w:tc>
          <w:tcPr>
            <w:tcW w:w="2760" w:type="dxa"/>
            <w:vAlign w:val="bottom"/>
          </w:tcPr>
          <w:p>
            <w:pPr>
              <w:spacing w:after="0"/>
              <w:rPr>
                <w:sz w:val="19"/>
                <w:szCs w:val="19"/>
                <w:color w:val="auto"/>
              </w:rPr>
            </w:pPr>
          </w:p>
        </w:tc>
        <w:tc>
          <w:tcPr>
            <w:tcW w:w="1040" w:type="dxa"/>
            <w:vAlign w:val="bottom"/>
            <w:tcBorders>
              <w:top w:val="single" w:sz="8" w:color="auto"/>
            </w:tcBorders>
          </w:tcPr>
          <w:p>
            <w:pPr>
              <w:jc w:val="right"/>
              <w:ind w:right="79"/>
              <w:spacing w:after="0"/>
              <w:rPr>
                <w:sz w:val="20"/>
                <w:szCs w:val="20"/>
                <w:color w:val="auto"/>
              </w:rPr>
            </w:pPr>
            <w:r>
              <w:rPr>
                <w:rFonts w:ascii="Arial" w:cs="Arial" w:eastAsia="Arial" w:hAnsi="Arial"/>
                <w:sz w:val="18"/>
                <w:szCs w:val="18"/>
                <w:color w:val="auto"/>
              </w:rPr>
              <w:t>1,061,333</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Proposal 3 – The approval of an extension of the term of the Company’s stock option plan to January 2025.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shareholders approved an extension of the term of the Company’s stock option plan to January 2025. The voting results were as follows:</w:t>
      </w:r>
    </w:p>
    <w:p>
      <w:pPr>
        <w:spacing w:after="0" w:line="244" w:lineRule="exact"/>
        <w:rPr>
          <w:sz w:val="20"/>
          <w:szCs w:val="20"/>
          <w:color w:val="auto"/>
        </w:rPr>
      </w:pPr>
    </w:p>
    <w:tbl>
      <w:tblPr>
        <w:tblLayout w:type="fixed"/>
        <w:tblInd w:w="1040" w:type="dxa"/>
        <w:tblCellMar>
          <w:top w:w="0" w:type="dxa"/>
          <w:left w:w="0" w:type="dxa"/>
          <w:bottom w:w="0" w:type="dxa"/>
          <w:right w:w="0" w:type="dxa"/>
        </w:tblCellMar>
      </w:tblPr>
      <w:tr>
        <w:trPr>
          <w:trHeight w:val="171"/>
        </w:trPr>
        <w:tc>
          <w:tcPr>
            <w:tcW w:w="160" w:type="dxa"/>
            <w:vAlign w:val="bottom"/>
          </w:tcPr>
          <w:p>
            <w:pPr>
              <w:spacing w:after="0"/>
              <w:rPr>
                <w:sz w:val="14"/>
                <w:szCs w:val="14"/>
                <w:color w:val="auto"/>
              </w:rPr>
            </w:pPr>
          </w:p>
        </w:tc>
        <w:tc>
          <w:tcPr>
            <w:tcW w:w="2900" w:type="dxa"/>
            <w:vAlign w:val="bottom"/>
            <w:gridSpan w:val="2"/>
          </w:tcPr>
          <w:p>
            <w:pPr>
              <w:spacing w:after="0"/>
              <w:rPr>
                <w:sz w:val="20"/>
                <w:szCs w:val="20"/>
                <w:color w:val="auto"/>
              </w:rPr>
            </w:pPr>
            <w:r>
              <w:rPr>
                <w:rFonts w:ascii="Arial" w:cs="Arial" w:eastAsia="Arial" w:hAnsi="Arial"/>
                <w:sz w:val="14"/>
                <w:szCs w:val="14"/>
                <w:b w:val="1"/>
                <w:bCs w:val="1"/>
                <w:color w:val="auto"/>
              </w:rPr>
              <w:t>Votes For</w:t>
            </w:r>
          </w:p>
        </w:tc>
        <w:tc>
          <w:tcPr>
            <w:tcW w:w="860" w:type="dxa"/>
            <w:vAlign w:val="bottom"/>
          </w:tcPr>
          <w:p>
            <w:pPr>
              <w:spacing w:after="0"/>
              <w:rPr>
                <w:sz w:val="20"/>
                <w:szCs w:val="20"/>
                <w:color w:val="auto"/>
              </w:rPr>
            </w:pPr>
            <w:r>
              <w:rPr>
                <w:rFonts w:ascii="Arial" w:cs="Arial" w:eastAsia="Arial" w:hAnsi="Arial"/>
                <w:sz w:val="14"/>
                <w:szCs w:val="14"/>
                <w:b w:val="1"/>
                <w:bCs w:val="1"/>
                <w:color w:val="auto"/>
                <w:w w:val="89"/>
              </w:rPr>
              <w:t>Votes Against</w:t>
            </w:r>
          </w:p>
        </w:tc>
        <w:tc>
          <w:tcPr>
            <w:tcW w:w="19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0"/>
              </w:rPr>
              <w:t>Votes Abstaining</w:t>
            </w:r>
          </w:p>
        </w:tc>
        <w:tc>
          <w:tcPr>
            <w:tcW w:w="172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2"/>
              </w:rPr>
              <w:t>Broker Non-Votes</w:t>
            </w:r>
          </w:p>
        </w:tc>
      </w:tr>
      <w:tr>
        <w:trPr>
          <w:trHeight w:val="224"/>
        </w:trPr>
        <w:tc>
          <w:tcPr>
            <w:tcW w:w="160" w:type="dxa"/>
            <w:vAlign w:val="bottom"/>
          </w:tcPr>
          <w:p>
            <w:pPr>
              <w:spacing w:after="0"/>
              <w:rPr>
                <w:sz w:val="19"/>
                <w:szCs w:val="19"/>
                <w:color w:val="auto"/>
              </w:rPr>
            </w:pPr>
          </w:p>
        </w:tc>
        <w:tc>
          <w:tcPr>
            <w:tcW w:w="600" w:type="dxa"/>
            <w:vAlign w:val="bottom"/>
            <w:tcBorders>
              <w:top w:val="single" w:sz="8" w:color="auto"/>
            </w:tcBorders>
          </w:tcPr>
          <w:p>
            <w:pPr>
              <w:spacing w:after="0"/>
              <w:rPr>
                <w:sz w:val="20"/>
                <w:szCs w:val="20"/>
                <w:color w:val="auto"/>
              </w:rPr>
            </w:pPr>
            <w:r>
              <w:rPr>
                <w:rFonts w:ascii="Arial" w:cs="Arial" w:eastAsia="Arial" w:hAnsi="Arial"/>
                <w:sz w:val="14"/>
                <w:szCs w:val="14"/>
                <w:color w:val="auto"/>
                <w:w w:val="74"/>
              </w:rPr>
              <w:t>118,725,093</w:t>
            </w:r>
          </w:p>
        </w:tc>
        <w:tc>
          <w:tcPr>
            <w:tcW w:w="2300" w:type="dxa"/>
            <w:vAlign w:val="bottom"/>
          </w:tcPr>
          <w:p>
            <w:pPr>
              <w:spacing w:after="0"/>
              <w:rPr>
                <w:sz w:val="19"/>
                <w:szCs w:val="19"/>
                <w:color w:val="auto"/>
              </w:rPr>
            </w:pPr>
          </w:p>
        </w:tc>
        <w:tc>
          <w:tcPr>
            <w:tcW w:w="8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0"/>
              </w:rPr>
              <w:t>12,137,288</w:t>
            </w:r>
          </w:p>
        </w:tc>
        <w:tc>
          <w:tcPr>
            <w:tcW w:w="1900" w:type="dxa"/>
            <w:vAlign w:val="bottom"/>
          </w:tcPr>
          <w:p>
            <w:pPr>
              <w:spacing w:after="0"/>
              <w:rPr>
                <w:sz w:val="19"/>
                <w:szCs w:val="19"/>
                <w:color w:val="auto"/>
              </w:rPr>
            </w:pPr>
          </w:p>
        </w:tc>
        <w:tc>
          <w:tcPr>
            <w:tcW w:w="1040" w:type="dxa"/>
            <w:vAlign w:val="bottom"/>
            <w:tcBorders>
              <w:top w:val="single" w:sz="8" w:color="auto"/>
            </w:tcBorders>
          </w:tcPr>
          <w:p>
            <w:pPr>
              <w:jc w:val="right"/>
              <w:ind w:right="79"/>
              <w:spacing w:after="0"/>
              <w:rPr>
                <w:sz w:val="20"/>
                <w:szCs w:val="20"/>
                <w:color w:val="auto"/>
              </w:rPr>
            </w:pPr>
            <w:r>
              <w:rPr>
                <w:rFonts w:ascii="Arial" w:cs="Arial" w:eastAsia="Arial" w:hAnsi="Arial"/>
                <w:sz w:val="18"/>
                <w:szCs w:val="18"/>
                <w:color w:val="auto"/>
              </w:rPr>
              <w:t>1,058,884</w:t>
            </w:r>
          </w:p>
        </w:tc>
        <w:tc>
          <w:tcPr>
            <w:tcW w:w="1720" w:type="dxa"/>
            <w:vAlign w:val="bottom"/>
          </w:tcPr>
          <w:p>
            <w:pPr>
              <w:spacing w:after="0"/>
              <w:rPr>
                <w:sz w:val="19"/>
                <w:szCs w:val="19"/>
                <w:color w:val="auto"/>
              </w:rPr>
            </w:pPr>
          </w:p>
        </w:tc>
        <w:tc>
          <w:tcPr>
            <w:tcW w:w="1120" w:type="dxa"/>
            <w:vAlign w:val="bottom"/>
            <w:tcBorders>
              <w:top w:val="single" w:sz="8" w:color="auto"/>
            </w:tcBorders>
          </w:tcPr>
          <w:p>
            <w:pPr>
              <w:jc w:val="right"/>
              <w:ind w:right="119"/>
              <w:spacing w:after="0"/>
              <w:rPr>
                <w:sz w:val="20"/>
                <w:szCs w:val="20"/>
                <w:color w:val="auto"/>
              </w:rPr>
            </w:pPr>
            <w:r>
              <w:rPr>
                <w:rFonts w:ascii="Arial" w:cs="Arial" w:eastAsia="Arial" w:hAnsi="Arial"/>
                <w:sz w:val="18"/>
                <w:szCs w:val="18"/>
                <w:color w:val="auto"/>
              </w:rPr>
              <w:t>6,171,814</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Proposal 4 – The approval of the Company’s Consolidated Financial Statements for the fiscal year ended September 30, 2014.</w:t>
      </w:r>
    </w:p>
    <w:p>
      <w:pPr>
        <w:spacing w:after="0" w:line="225"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shareholders approved the Company’s Consolidated Financial Statements for the fiscal year ended September 30, 2014. The voting results were as follows:</w:t>
      </w:r>
    </w:p>
    <w:p>
      <w:pPr>
        <w:spacing w:after="0" w:line="189" w:lineRule="exact"/>
        <w:rPr>
          <w:sz w:val="20"/>
          <w:szCs w:val="20"/>
          <w:color w:val="auto"/>
        </w:rPr>
      </w:pPr>
    </w:p>
    <w:tbl>
      <w:tblPr>
        <w:tblLayout w:type="fixed"/>
        <w:tblInd w:w="1560" w:type="dxa"/>
        <w:tblCellMar>
          <w:top w:w="0" w:type="dxa"/>
          <w:left w:w="0" w:type="dxa"/>
          <w:bottom w:w="0" w:type="dxa"/>
          <w:right w:w="0" w:type="dxa"/>
        </w:tblCellMar>
      </w:tblPr>
      <w:tr>
        <w:trPr>
          <w:trHeight w:val="171"/>
        </w:trPr>
        <w:tc>
          <w:tcPr>
            <w:tcW w:w="140" w:type="dxa"/>
            <w:vAlign w:val="bottom"/>
          </w:tcPr>
          <w:p>
            <w:pPr>
              <w:spacing w:after="0"/>
              <w:rPr>
                <w:sz w:val="14"/>
                <w:szCs w:val="14"/>
                <w:color w:val="auto"/>
              </w:rPr>
            </w:pPr>
          </w:p>
        </w:tc>
        <w:tc>
          <w:tcPr>
            <w:tcW w:w="3840" w:type="dxa"/>
            <w:vAlign w:val="bottom"/>
            <w:gridSpan w:val="2"/>
          </w:tcPr>
          <w:p>
            <w:pPr>
              <w:jc w:val="right"/>
              <w:ind w:right="3240"/>
              <w:spacing w:after="0"/>
              <w:rPr>
                <w:sz w:val="20"/>
                <w:szCs w:val="20"/>
                <w:color w:val="auto"/>
              </w:rPr>
            </w:pPr>
            <w:r>
              <w:rPr>
                <w:rFonts w:ascii="Arial" w:cs="Arial" w:eastAsia="Arial" w:hAnsi="Arial"/>
                <w:sz w:val="14"/>
                <w:szCs w:val="14"/>
                <w:b w:val="1"/>
                <w:bCs w:val="1"/>
                <w:color w:val="auto"/>
                <w:w w:val="89"/>
              </w:rPr>
              <w:t>Votes For</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9"/>
              </w:rPr>
              <w:t>Votes Against</w:t>
            </w:r>
          </w:p>
        </w:tc>
        <w:tc>
          <w:tcPr>
            <w:tcW w:w="276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0"/>
              </w:rPr>
              <w:t>Votes Abstaining</w:t>
            </w:r>
          </w:p>
        </w:tc>
      </w:tr>
      <w:tr>
        <w:trPr>
          <w:trHeight w:val="224"/>
        </w:trPr>
        <w:tc>
          <w:tcPr>
            <w:tcW w:w="14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4"/>
              </w:rPr>
              <w:t>136,248,369</w:t>
            </w:r>
          </w:p>
        </w:tc>
        <w:tc>
          <w:tcPr>
            <w:tcW w:w="3240" w:type="dxa"/>
            <w:vAlign w:val="bottom"/>
          </w:tcPr>
          <w:p>
            <w:pPr>
              <w:spacing w:after="0"/>
              <w:rPr>
                <w:sz w:val="19"/>
                <w:szCs w:val="19"/>
                <w:color w:val="auto"/>
              </w:rPr>
            </w:pPr>
          </w:p>
        </w:tc>
        <w:tc>
          <w:tcPr>
            <w:tcW w:w="840" w:type="dxa"/>
            <w:vAlign w:val="bottom"/>
            <w:tcBorders>
              <w:top w:val="single" w:sz="8" w:color="auto"/>
            </w:tcBorders>
          </w:tcPr>
          <w:p>
            <w:pPr>
              <w:jc w:val="right"/>
              <w:ind w:right="99"/>
              <w:spacing w:after="0"/>
              <w:rPr>
                <w:sz w:val="20"/>
                <w:szCs w:val="20"/>
                <w:color w:val="auto"/>
              </w:rPr>
            </w:pPr>
            <w:r>
              <w:rPr>
                <w:rFonts w:ascii="Arial" w:cs="Arial" w:eastAsia="Arial" w:hAnsi="Arial"/>
                <w:sz w:val="18"/>
                <w:szCs w:val="18"/>
                <w:color w:val="auto"/>
              </w:rPr>
              <w:t>17,982</w:t>
            </w:r>
          </w:p>
        </w:tc>
        <w:tc>
          <w:tcPr>
            <w:tcW w:w="2760" w:type="dxa"/>
            <w:vAlign w:val="bottom"/>
          </w:tcPr>
          <w:p>
            <w:pPr>
              <w:spacing w:after="0"/>
              <w:rPr>
                <w:sz w:val="19"/>
                <w:szCs w:val="19"/>
                <w:color w:val="auto"/>
              </w:rPr>
            </w:pPr>
          </w:p>
        </w:tc>
        <w:tc>
          <w:tcPr>
            <w:tcW w:w="1040" w:type="dxa"/>
            <w:vAlign w:val="bottom"/>
            <w:tcBorders>
              <w:top w:val="single" w:sz="8" w:color="auto"/>
            </w:tcBorders>
          </w:tcPr>
          <w:p>
            <w:pPr>
              <w:jc w:val="right"/>
              <w:ind w:right="79"/>
              <w:spacing w:after="0"/>
              <w:rPr>
                <w:sz w:val="20"/>
                <w:szCs w:val="20"/>
                <w:color w:val="auto"/>
              </w:rPr>
            </w:pPr>
            <w:r>
              <w:rPr>
                <w:rFonts w:ascii="Arial" w:cs="Arial" w:eastAsia="Arial" w:hAnsi="Arial"/>
                <w:sz w:val="18"/>
                <w:szCs w:val="18"/>
                <w:color w:val="auto"/>
              </w:rPr>
              <w:t>1,826,723</w:t>
            </w:r>
          </w:p>
        </w:tc>
      </w:tr>
    </w:tbl>
    <w:p>
      <w:pPr>
        <w:sectPr>
          <w:pgSz w:w="11900" w:h="16838" w:orient="portrait"/>
          <w:cols w:equalWidth="0" w:num="1">
            <w:col w:w="11420"/>
          </w:cols>
          <w:pgMar w:left="240" w:top="270" w:right="239" w:bottom="1440" w:gutter="0" w:footer="0" w:header="0"/>
        </w:sectPr>
      </w:pPr>
    </w:p>
    <w:bookmarkStart w:id="2" w:name="page3"/>
    <w:bookmarkEnd w:id="2"/>
    <w:p>
      <w:pPr>
        <w:spacing w:after="0" w:line="286" w:lineRule="auto"/>
        <w:rPr>
          <w:sz w:val="20"/>
          <w:szCs w:val="20"/>
          <w:color w:val="auto"/>
        </w:rPr>
      </w:pPr>
      <w:r>
        <w:rPr>
          <w:rFonts w:ascii="Arial" w:cs="Arial" w:eastAsia="Arial" w:hAnsi="Arial"/>
          <w:sz w:val="17"/>
          <w:szCs w:val="17"/>
          <w:i w:val="1"/>
          <w:i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5 – The ratification and approval of the appointment of Ernst &amp; Young LLP as the Company’s independent registered public accounting firm for the fiscal year ending September 30, 2015, and until the next annual general meeting, and authorization of the Audit Committee of the Board of Directors to fix the remuneration of such independent registered public accounting firm in accordance with the nature and extent of its services</w:t>
      </w:r>
      <w:r>
        <w:rPr>
          <w:rFonts w:ascii="Arial" w:cs="Arial" w:eastAsia="Arial" w:hAnsi="Arial"/>
          <w:sz w:val="17"/>
          <w:szCs w:val="17"/>
          <w:u w:val="single" w:color="auto"/>
          <w:color w:val="auto"/>
        </w:rPr>
        <w:t>.</w:t>
      </w:r>
    </w:p>
    <w:p>
      <w:pPr>
        <w:spacing w:after="0" w:line="16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shareholders ratified and approved the appointment of Ernst &amp; Young LLP as the Company’s independent registered public accounting firm for the fiscal year ending September 30, 2015, and until the next annual general meeting, and authorized the Audit Committee of the Board of Directors to fix the remuneration of such independent registered public accounting firm in accordance with the nature and extent of its services. The voting results were as follows:</w:t>
      </w:r>
    </w:p>
    <w:p>
      <w:pPr>
        <w:spacing w:after="0" w:line="206" w:lineRule="exact"/>
        <w:rPr>
          <w:sz w:val="20"/>
          <w:szCs w:val="20"/>
          <w:color w:val="auto"/>
        </w:rPr>
      </w:pPr>
    </w:p>
    <w:tbl>
      <w:tblPr>
        <w:tblLayout w:type="fixed"/>
        <w:tblInd w:w="1560" w:type="dxa"/>
        <w:tblCellMar>
          <w:top w:w="0" w:type="dxa"/>
          <w:left w:w="0" w:type="dxa"/>
          <w:bottom w:w="0" w:type="dxa"/>
          <w:right w:w="0" w:type="dxa"/>
        </w:tblCellMar>
      </w:tblPr>
      <w:tr>
        <w:trPr>
          <w:trHeight w:val="171"/>
        </w:trPr>
        <w:tc>
          <w:tcPr>
            <w:tcW w:w="140" w:type="dxa"/>
            <w:vAlign w:val="bottom"/>
          </w:tcPr>
          <w:p>
            <w:pPr>
              <w:spacing w:after="0"/>
              <w:rPr>
                <w:sz w:val="14"/>
                <w:szCs w:val="14"/>
                <w:color w:val="auto"/>
              </w:rPr>
            </w:pPr>
          </w:p>
        </w:tc>
        <w:tc>
          <w:tcPr>
            <w:tcW w:w="3840" w:type="dxa"/>
            <w:vAlign w:val="bottom"/>
            <w:gridSpan w:val="2"/>
          </w:tcPr>
          <w:p>
            <w:pPr>
              <w:jc w:val="right"/>
              <w:ind w:right="3240"/>
              <w:spacing w:after="0"/>
              <w:rPr>
                <w:sz w:val="20"/>
                <w:szCs w:val="20"/>
                <w:color w:val="auto"/>
              </w:rPr>
            </w:pPr>
            <w:r>
              <w:rPr>
                <w:rFonts w:ascii="Arial" w:cs="Arial" w:eastAsia="Arial" w:hAnsi="Arial"/>
                <w:sz w:val="14"/>
                <w:szCs w:val="14"/>
                <w:b w:val="1"/>
                <w:bCs w:val="1"/>
                <w:color w:val="auto"/>
                <w:w w:val="89"/>
              </w:rPr>
              <w:t>Votes For</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9"/>
              </w:rPr>
              <w:t>Votes Against</w:t>
            </w:r>
          </w:p>
        </w:tc>
        <w:tc>
          <w:tcPr>
            <w:tcW w:w="276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0"/>
              </w:rPr>
              <w:t>Votes Abstaining</w:t>
            </w:r>
          </w:p>
        </w:tc>
      </w:tr>
      <w:tr>
        <w:trPr>
          <w:trHeight w:val="224"/>
        </w:trPr>
        <w:tc>
          <w:tcPr>
            <w:tcW w:w="14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4"/>
              </w:rPr>
              <w:t>136,313,023</w:t>
            </w:r>
          </w:p>
        </w:tc>
        <w:tc>
          <w:tcPr>
            <w:tcW w:w="3240" w:type="dxa"/>
            <w:vAlign w:val="bottom"/>
          </w:tcPr>
          <w:p>
            <w:pPr>
              <w:spacing w:after="0"/>
              <w:rPr>
                <w:sz w:val="19"/>
                <w:szCs w:val="19"/>
                <w:color w:val="auto"/>
              </w:rPr>
            </w:pPr>
          </w:p>
        </w:tc>
        <w:tc>
          <w:tcPr>
            <w:tcW w:w="840" w:type="dxa"/>
            <w:vAlign w:val="bottom"/>
            <w:tcBorders>
              <w:top w:val="single" w:sz="8" w:color="auto"/>
            </w:tcBorders>
          </w:tcPr>
          <w:p>
            <w:pPr>
              <w:jc w:val="right"/>
              <w:ind w:right="59"/>
              <w:spacing w:after="0"/>
              <w:rPr>
                <w:sz w:val="20"/>
                <w:szCs w:val="20"/>
                <w:color w:val="auto"/>
              </w:rPr>
            </w:pPr>
            <w:r>
              <w:rPr>
                <w:rFonts w:ascii="Arial" w:cs="Arial" w:eastAsia="Arial" w:hAnsi="Arial"/>
                <w:sz w:val="18"/>
                <w:szCs w:val="18"/>
                <w:color w:val="auto"/>
              </w:rPr>
              <w:t>695,099</w:t>
            </w:r>
          </w:p>
        </w:tc>
        <w:tc>
          <w:tcPr>
            <w:tcW w:w="2760" w:type="dxa"/>
            <w:vAlign w:val="bottom"/>
          </w:tcPr>
          <w:p>
            <w:pPr>
              <w:spacing w:after="0"/>
              <w:rPr>
                <w:sz w:val="19"/>
                <w:szCs w:val="19"/>
                <w:color w:val="auto"/>
              </w:rPr>
            </w:pPr>
          </w:p>
        </w:tc>
        <w:tc>
          <w:tcPr>
            <w:tcW w:w="1040" w:type="dxa"/>
            <w:vAlign w:val="bottom"/>
            <w:tcBorders>
              <w:top w:val="single" w:sz="8" w:color="auto"/>
            </w:tcBorders>
          </w:tcPr>
          <w:p>
            <w:pPr>
              <w:jc w:val="right"/>
              <w:ind w:right="79"/>
              <w:spacing w:after="0"/>
              <w:rPr>
                <w:sz w:val="20"/>
                <w:szCs w:val="20"/>
                <w:color w:val="auto"/>
              </w:rPr>
            </w:pPr>
            <w:r>
              <w:rPr>
                <w:rFonts w:ascii="Arial" w:cs="Arial" w:eastAsia="Arial" w:hAnsi="Arial"/>
                <w:sz w:val="18"/>
                <w:szCs w:val="18"/>
                <w:color w:val="auto"/>
              </w:rPr>
              <w:t>1,084,952</w:t>
            </w:r>
          </w:p>
        </w:tc>
      </w:tr>
    </w:tbl>
    <w:p>
      <w:pPr>
        <w:sectPr>
          <w:pgSz w:w="11900" w:h="16838" w:orient="portrait"/>
          <w:cols w:equalWidth="0" w:num="1">
            <w:col w:w="11360"/>
          </w:cols>
          <w:pgMar w:left="240" w:top="274" w:right="299" w:bottom="1440" w:gutter="0" w:footer="0" w:header="0"/>
        </w:sectPr>
      </w:pPr>
    </w:p>
    <w:bookmarkStart w:id="3" w:name="page4"/>
    <w:bookmarkEnd w:id="3"/>
    <w:p>
      <w:pPr>
        <w:jc w:val="center"/>
        <w:ind w:right="-1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15"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AMDOCS LIMITED</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Matthew Smith</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Matthew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i w:val="1"/>
          <w:iCs w:val="1"/>
          <w:color w:val="auto"/>
        </w:rPr>
        <w:t>Secretary and Authorized Signatory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February 3, 2015</w:t>
      </w:r>
    </w:p>
    <w:sectPr>
      <w:pgSz w:w="11900" w:h="16838" w:orient="portrait"/>
      <w:cols w:equalWidth="0" w:num="1">
        <w:col w:w="11260"/>
      </w:cols>
      <w:pgMar w:left="240" w:top="270"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2019-12-07T04:21:57Z</dcterms:created>
  <dcterms:modified xsi:type="dcterms:W3CDTF">2019-12-07T04:21:57Z</dcterms:modified>
</cp:coreProperties>
</file>