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December 31, 2012</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15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-13970</wp:posOffset>
            </wp:positionV>
            <wp:extent cx="334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40" w:type="dxa"/>
            <w:vAlign w:val="bottom"/>
            <w:gridSpan w:val="3"/>
          </w:tcPr>
          <w:p>
            <w:pPr>
              <w:jc w:val="center"/>
              <w:ind w:right="2920"/>
              <w:spacing w:after="0"/>
              <w:rPr>
                <w:sz w:val="20"/>
                <w:szCs w:val="20"/>
                <w:color w:val="auto"/>
              </w:rPr>
            </w:pPr>
            <w:r>
              <w:rPr>
                <w:rFonts w:ascii="Arial" w:cs="Arial" w:eastAsia="Arial" w:hAnsi="Arial"/>
                <w:sz w:val="18"/>
                <w:szCs w:val="18"/>
                <w:color w:val="auto"/>
                <w:w w:val="98"/>
              </w:rPr>
              <w:t>AMDOCS LIMITED</w:t>
            </w:r>
          </w:p>
        </w:tc>
        <w:tc>
          <w:tcPr>
            <w:tcW w:w="192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40" w:type="dxa"/>
            <w:vAlign w:val="bottom"/>
            <w:gridSpan w:val="2"/>
          </w:tcPr>
          <w:p>
            <w:pPr>
              <w:jc w:val="center"/>
              <w:ind w:right="3140"/>
              <w:spacing w:after="0"/>
              <w:rPr>
                <w:sz w:val="20"/>
                <w:szCs w:val="20"/>
                <w:color w:val="auto"/>
              </w:rPr>
            </w:pPr>
            <w:r>
              <w:rPr>
                <w:rFonts w:ascii="Arial" w:cs="Arial" w:eastAsia="Arial" w:hAnsi="Arial"/>
                <w:sz w:val="18"/>
                <w:szCs w:val="18"/>
                <w:color w:val="auto"/>
                <w:w w:val="95"/>
              </w:rPr>
              <w:t>FORM 6-K</w:t>
            </w:r>
          </w:p>
        </w:tc>
        <w:tc>
          <w:tcPr>
            <w:tcW w:w="192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00" w:type="dxa"/>
            <w:vAlign w:val="bottom"/>
            <w:gridSpan w:val="5"/>
          </w:tcPr>
          <w:p>
            <w:pPr>
              <w:jc w:val="center"/>
              <w:ind w:right="2060"/>
              <w:spacing w:after="0"/>
              <w:rPr>
                <w:sz w:val="20"/>
                <w:szCs w:val="20"/>
                <w:color w:val="auto"/>
              </w:rPr>
            </w:pPr>
            <w:r>
              <w:rPr>
                <w:rFonts w:ascii="Arial" w:cs="Arial" w:eastAsia="Arial" w:hAnsi="Arial"/>
                <w:sz w:val="18"/>
                <w:szCs w:val="18"/>
                <w:color w:val="auto"/>
                <w:w w:val="90"/>
              </w:rPr>
              <w:t>REPORT OF FOREIGN PRIVATE ISSUER</w:t>
            </w:r>
          </w:p>
        </w:tc>
        <w:tc>
          <w:tcPr>
            <w:tcW w:w="192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60" w:type="dxa"/>
            <w:vAlign w:val="bottom"/>
            <w:gridSpan w:val="7"/>
          </w:tcPr>
          <w:p>
            <w:pPr>
              <w:jc w:val="center"/>
              <w:ind w:right="1300"/>
              <w:spacing w:after="0"/>
              <w:rPr>
                <w:sz w:val="20"/>
                <w:szCs w:val="20"/>
                <w:color w:val="auto"/>
              </w:rPr>
            </w:pPr>
            <w:r>
              <w:rPr>
                <w:rFonts w:ascii="Arial" w:cs="Arial" w:eastAsia="Arial" w:hAnsi="Arial"/>
                <w:sz w:val="18"/>
                <w:szCs w:val="18"/>
                <w:color w:val="auto"/>
                <w:w w:val="91"/>
              </w:rPr>
              <w:t>FOR THE QUARTER ENDED DECEMBER 31, 2012</w:t>
            </w:r>
          </w:p>
        </w:tc>
        <w:tc>
          <w:tcPr>
            <w:tcW w:w="192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40" w:type="dxa"/>
            <w:vAlign w:val="bottom"/>
            <w:gridSpan w:val="2"/>
          </w:tcPr>
          <w:p>
            <w:pPr>
              <w:jc w:val="center"/>
              <w:ind w:right="3140"/>
              <w:spacing w:after="0"/>
              <w:rPr>
                <w:sz w:val="20"/>
                <w:szCs w:val="20"/>
                <w:color w:val="auto"/>
              </w:rPr>
            </w:pPr>
            <w:r>
              <w:rPr>
                <w:rFonts w:ascii="Arial" w:cs="Arial" w:eastAsia="Arial" w:hAnsi="Arial"/>
                <w:sz w:val="18"/>
                <w:szCs w:val="18"/>
                <w:color w:val="auto"/>
                <w:w w:val="98"/>
              </w:rPr>
              <w:t>INDEX</w:t>
            </w:r>
          </w:p>
        </w:tc>
        <w:tc>
          <w:tcPr>
            <w:tcW w:w="1920" w:type="dxa"/>
            <w:vAlign w:val="bottom"/>
          </w:tcPr>
          <w:p>
            <w:pPr>
              <w:spacing w:after="0"/>
              <w:rPr>
                <w:sz w:val="24"/>
                <w:szCs w:val="24"/>
                <w:color w:val="auto"/>
              </w:rPr>
            </w:pPr>
          </w:p>
        </w:tc>
      </w:tr>
      <w:tr>
        <w:trPr>
          <w:trHeight w:val="380"/>
        </w:trPr>
        <w:tc>
          <w:tcPr>
            <w:tcW w:w="27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6620" w:type="dxa"/>
            <w:vAlign w:val="bottom"/>
            <w:gridSpan w:val="8"/>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440" w:type="dxa"/>
            <w:vAlign w:val="bottom"/>
            <w:gridSpan w:val="13"/>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8960" w:type="dxa"/>
            <w:vAlign w:val="bottom"/>
            <w:gridSpan w:val="14"/>
          </w:tcPr>
          <w:p>
            <w:pPr>
              <w:ind w:left="440"/>
              <w:spacing w:after="0"/>
              <w:rPr>
                <w:sz w:val="20"/>
                <w:szCs w:val="20"/>
                <w:color w:val="auto"/>
              </w:rPr>
            </w:pPr>
            <w:r>
              <w:rPr>
                <w:rFonts w:ascii="Arial" w:cs="Arial" w:eastAsia="Arial" w:hAnsi="Arial"/>
                <w:sz w:val="18"/>
                <w:szCs w:val="18"/>
                <w:color w:val="auto"/>
              </w:rPr>
              <w:t>Unaudited Consolidated Financial Statements</w:t>
            </w:r>
          </w:p>
        </w:tc>
        <w:tc>
          <w:tcPr>
            <w:tcW w:w="1920" w:type="dxa"/>
            <w:vAlign w:val="bottom"/>
          </w:tcPr>
          <w:p>
            <w:pPr>
              <w:spacing w:after="0"/>
              <w:rPr>
                <w:sz w:val="19"/>
                <w:szCs w:val="19"/>
                <w:color w:val="auto"/>
              </w:rPr>
            </w:pPr>
          </w:p>
        </w:tc>
      </w:tr>
      <w:tr>
        <w:trPr>
          <w:trHeight w:val="184"/>
        </w:trPr>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00" w:type="dxa"/>
            <w:vAlign w:val="bottom"/>
            <w:gridSpan w:val="11"/>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192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Comprehensive Income</w:t>
              </w:r>
            </w:hyperlink>
          </w:p>
        </w:tc>
        <w:tc>
          <w:tcPr>
            <w:tcW w:w="444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Consolidated Financial Statements</w:t>
              </w:r>
            </w:hyperlink>
          </w:p>
        </w:tc>
        <w:tc>
          <w:tcPr>
            <w:tcW w:w="424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332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Operating and Financial Review and Prospects</w:t>
              </w:r>
            </w:hyperlink>
          </w:p>
        </w:tc>
        <w:tc>
          <w:tcPr>
            <w:tcW w:w="512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PART II OTHER INFORMATION</w:t>
              </w:r>
            </w:hyperlink>
          </w:p>
        </w:tc>
        <w:tc>
          <w:tcPr>
            <w:tcW w:w="6920" w:type="dxa"/>
            <w:vAlign w:val="bottom"/>
            <w:gridSpan w:val="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1.</w:t>
              </w:r>
            </w:hyperlink>
          </w:p>
        </w:tc>
        <w:tc>
          <w:tcPr>
            <w:tcW w:w="572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86"/>
              </w:rPr>
            </w:pPr>
            <w:hyperlink w:anchor="page23">
              <w:r>
                <w:rPr>
                  <w:rFonts w:ascii="Arial" w:cs="Arial" w:eastAsia="Arial" w:hAnsi="Arial"/>
                  <w:sz w:val="18"/>
                  <w:szCs w:val="18"/>
                  <w:color w:val="0000EE"/>
                  <w:w w:val="86"/>
                </w:rPr>
                <w:t>Changes in Securities, Use of Proceeds and Issuer Purchases of Equity Securities</w:t>
              </w:r>
            </w:hyperlink>
          </w:p>
        </w:tc>
        <w:tc>
          <w:tcPr>
            <w:tcW w:w="272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8440" w:type="dxa"/>
            <w:vAlign w:val="bottom"/>
            <w:gridSpan w:val="13"/>
          </w:tcPr>
          <w:p>
            <w:pPr>
              <w:ind w:left="2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Reports on Form 6-K</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40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92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3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640,775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320,549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239,019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682,268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income taxes and taxes receivable</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124,681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151,800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1,920,073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2,041,070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272,923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112,851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1,741,786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1,741,786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129,880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320,086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4,497,599</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4,645,223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152,181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306,765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221,963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140,082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22,830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29,551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843,821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309,112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250,212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1,403,145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Ordinary Shares — Authorized 700,000 shares; £0.01 par value; 254,135 and 251,690 issued and 161,776 and 162,454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respectively</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4,116</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2,692,894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2,625,250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92,359 and 89,236 ordinary shares, respectively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(2,521,716)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(2,418,010)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2,925,369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2,847,386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3,094,454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3,033,202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4,497,599</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4,645,223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18,916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807,443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771,214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826,359</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807,010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535,013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516,181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59,360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107,460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713,702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697,962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112,657</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112,549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99,015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162,176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163,587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4"/>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99,015</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$ 92,731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gains (losses) on foreign currency hedging contracts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Unrealized gains (losses) on short-term interest-bearing investments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(20,405)</w:t>
            </w:r>
          </w:p>
        </w:tc>
        <w:tc>
          <w:tcPr>
            <w:tcW w:w="0" w:type="dxa"/>
            <w:vAlign w:val="bottom"/>
          </w:tcPr>
          <w:p>
            <w:pPr>
              <w:spacing w:after="0"/>
              <w:rPr>
                <w:sz w:val="1"/>
                <w:szCs w:val="1"/>
                <w:color w:val="auto"/>
              </w:rPr>
            </w:pPr>
          </w:p>
        </w:tc>
      </w:tr>
      <w:tr>
        <w:trPr>
          <w:trHeight w:val="20"/>
        </w:trPr>
        <w:tc>
          <w:tcPr>
            <w:tcW w:w="9700" w:type="dxa"/>
            <w:vAlign w:val="bottom"/>
            <w:gridSpan w:val="3"/>
            <w:vMerge w:val="restart"/>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gridSpan w:val="3"/>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118,307</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$ 72,326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$(4,556) and $2,297 for the three months ended December 31, 2012 and 2011,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$(25) and $53 for the three months ended December 31, 2012 and 2011,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income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99,015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39,288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9,306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(7,155)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 net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Other noncurrent liabilities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145,463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76,296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(158,059)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(113,196)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(18,848)</w:t>
            </w:r>
          </w:p>
        </w:tc>
        <w:tc>
          <w:tcPr>
            <w:tcW w:w="0" w:type="dxa"/>
            <w:vAlign w:val="bottom"/>
          </w:tcPr>
          <w:p>
            <w:pPr>
              <w:spacing w:after="0"/>
              <w:rPr>
                <w:sz w:val="1"/>
                <w:szCs w:val="1"/>
                <w:color w:val="auto"/>
              </w:rPr>
            </w:pPr>
          </w:p>
        </w:tc>
      </w:tr>
      <w:tr>
        <w:trPr>
          <w:trHeight w:val="221"/>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Repurchase of shares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(103,706)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(139,715)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Payment of dividend</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and other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(270,650)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(366,053)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(238,383)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(234,955)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879,158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831,371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640,775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596,416</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Income taxes, net of refunds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13,419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and the United States.</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2012, set forth in the Company’s Annual Report on Form 20-F filed on December 11, 2012 with the U.S. Securities and Exchange Commission, or the SEC.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Adoption of New Accounting Standards</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September 2011, the Financial Accounting Standards Board, or FASB, issued a revised accounting standard update intended to simplify how an entity tests goodwill for impairment. The amendment allows an entity to first assess qualitative factors to determine whether it is necessary to perform the two-step quantitative goodwill impairment test. An entity no longer is required to calculate the fair value of a reporting unit unless the entity determines, based on a qualitative assessment, that it is more likely than not that its fair value is less than its carrying amount. This accounting standard update became effective for the Company beginning in the first quarter of fiscal 2013, and the Company expects its adoption will not have a material impact on the result of its annual goodwill impairment test or its financial statements.</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June 2011, the FASB issued guidance to require an entity to present the components of other comprehensive income either in a single continuous statement of comprehensive income or in two separate but consecutive statements, thus eliminating the option to present the components of other comprehensive income as part of the statement of equity. The Company adopted this guidance in the first quarter of fiscal 2013 by including the required disclosures in two separate but consecutive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40" w:lineRule="exact"/>
        <w:rPr>
          <w:sz w:val="20"/>
          <w:szCs w:val="20"/>
          <w:color w:val="auto"/>
        </w:rPr>
      </w:pPr>
    </w:p>
    <w:p>
      <w:pPr>
        <w:jc w:val="right"/>
        <w:ind w:right="5280"/>
        <w:spacing w:after="0"/>
        <w:rPr>
          <w:sz w:val="20"/>
          <w:szCs w:val="20"/>
          <w:color w:val="auto"/>
        </w:rPr>
      </w:pPr>
      <w:r>
        <w:rPr>
          <w:rFonts w:ascii="Arial" w:cs="Arial" w:eastAsia="Arial" w:hAnsi="Arial"/>
          <w:sz w:val="16"/>
          <w:szCs w:val="16"/>
          <w:color w:val="auto"/>
        </w:rPr>
        <w:t>The three levels of inputs that may be used to measure fair value are as follows:</w:t>
      </w:r>
    </w:p>
    <w:p>
      <w:pPr>
        <w:spacing w:after="0" w:line="113"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 Unobservable inputs that are supported by little or no market activity that is significant to the fair value of the assets or liabilities.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the Company’s assets and liabilities measured at fair value on a recurring basis as of December 31, 2012 and September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December 31, 2012</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7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8"/>
              </w:rPr>
              <w:t>Level 2</w:t>
            </w:r>
          </w:p>
        </w:tc>
        <w:tc>
          <w:tcPr>
            <w:tcW w:w="60" w:type="dxa"/>
            <w:vAlign w:val="bottom"/>
          </w:tcPr>
          <w:p>
            <w:pPr>
              <w:spacing w:after="0"/>
              <w:rPr>
                <w:sz w:val="12"/>
                <w:szCs w:val="12"/>
                <w:color w:val="auto"/>
              </w:rPr>
            </w:pPr>
          </w:p>
        </w:tc>
        <w:tc>
          <w:tcPr>
            <w:tcW w:w="66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$267,019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$267,019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191,343</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191,343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61,094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32,860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32,860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Government guaranteed debt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16,589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Mortgages (including agencies and corporate)</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4,193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6,166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5,010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464,528</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132,194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596,722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Derivative financial instruments, net</w:t>
            </w:r>
          </w:p>
        </w:tc>
        <w:tc>
          <w:tcPr>
            <w:tcW w:w="6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3,456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464,528</w:t>
            </w:r>
          </w:p>
        </w:tc>
        <w:tc>
          <w:tcPr>
            <w:tcW w:w="15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135,650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600,178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5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September 30, 2012</w:t>
            </w: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7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4"/>
              </w:rPr>
              <w:t>Level 2</w:t>
            </w:r>
          </w:p>
        </w:tc>
        <w:tc>
          <w:tcPr>
            <w:tcW w:w="60" w:type="dxa"/>
            <w:vAlign w:val="bottom"/>
          </w:tcPr>
          <w:p>
            <w:pPr>
              <w:spacing w:after="0"/>
              <w:rPr>
                <w:sz w:val="12"/>
                <w:szCs w:val="12"/>
                <w:color w:val="auto"/>
              </w:rPr>
            </w:pPr>
          </w:p>
        </w:tc>
        <w:tc>
          <w:tcPr>
            <w:tcW w:w="66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$485,012</w:t>
            </w: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$485,012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government treasuries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93,387</w:t>
            </w:r>
          </w:p>
        </w:tc>
        <w:tc>
          <w:tcPr>
            <w:tcW w:w="4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93,387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60,923</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27,756</w:t>
            </w:r>
          </w:p>
        </w:tc>
        <w:tc>
          <w:tcPr>
            <w:tcW w:w="42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Government guaranteed debt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32,689</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11,644</w:t>
            </w:r>
          </w:p>
        </w:tc>
        <w:tc>
          <w:tcPr>
            <w:tcW w:w="42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Mortgages (including agencies and corporate)</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5,134</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42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40"/>
              <w:spacing w:after="0"/>
              <w:rPr>
                <w:sz w:val="20"/>
                <w:szCs w:val="20"/>
                <w:color w:val="auto"/>
              </w:rPr>
            </w:pPr>
            <w:r>
              <w:rPr>
                <w:rFonts w:ascii="Arial" w:cs="Arial" w:eastAsia="Arial" w:hAnsi="Arial"/>
                <w:sz w:val="18"/>
                <w:szCs w:val="18"/>
                <w:color w:val="auto"/>
              </w:rPr>
              <w:t>Commercial paper and certificates of deposit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584,554</w:t>
            </w:r>
          </w:p>
        </w:tc>
        <w:tc>
          <w:tcPr>
            <w:tcW w:w="4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143,064</w:t>
            </w:r>
          </w:p>
        </w:tc>
        <w:tc>
          <w:tcPr>
            <w:tcW w:w="42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727,618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(23,928)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8"/>
        </w:trPr>
        <w:tc>
          <w:tcPr>
            <w:tcW w:w="65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584,554</w:t>
            </w:r>
          </w:p>
        </w:tc>
        <w:tc>
          <w:tcPr>
            <w:tcW w:w="4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$ 119,136</w:t>
            </w:r>
          </w:p>
        </w:tc>
        <w:tc>
          <w:tcPr>
            <w:tcW w:w="42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703,690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2012.</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Available-For-Sale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4"/>
              </w:rPr>
              <w:t>As of December 31, 2012</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4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7"/>
              </w:rPr>
              <w:t>Gross Unrealized</w:t>
            </w:r>
          </w:p>
        </w:tc>
        <w:tc>
          <w:tcPr>
            <w:tcW w:w="8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5"/>
              </w:rPr>
              <w:t>Gross Unrealized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85"/>
              </w:rPr>
              <w:t>Amortized Cost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4"/>
                <w:szCs w:val="14"/>
                <w:color w:val="auto"/>
              </w:rPr>
            </w:pPr>
          </w:p>
        </w:tc>
        <w:tc>
          <w:tcPr>
            <w:tcW w:w="740" w:type="dxa"/>
            <w:vAlign w:val="bottom"/>
          </w:tcPr>
          <w:p>
            <w:pPr>
              <w:ind w:left="340"/>
              <w:spacing w:after="0"/>
              <w:rPr>
                <w:sz w:val="20"/>
                <w:szCs w:val="20"/>
                <w:color w:val="auto"/>
              </w:rPr>
            </w:pPr>
            <w:r>
              <w:rPr>
                <w:rFonts w:ascii="Arial" w:cs="Arial" w:eastAsia="Arial" w:hAnsi="Arial"/>
                <w:sz w:val="14"/>
                <w:szCs w:val="14"/>
                <w:b w:val="1"/>
                <w:bCs w:val="1"/>
                <w:color w:val="auto"/>
                <w:w w:val="78"/>
              </w:rPr>
              <w:t>Losses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267,019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191,156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191,343</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61,094</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32,792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32,860</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guaranteed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16,589</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9,338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9,343</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11,176</w:t>
            </w:r>
          </w:p>
        </w:tc>
        <w:tc>
          <w:tcPr>
            <w:tcW w:w="100" w:type="dxa"/>
            <w:vAlign w:val="bottom"/>
            <w:shd w:val="clear" w:color="auto" w:fill="CCEEFF"/>
          </w:tcPr>
          <w:p>
            <w:pPr>
              <w:spacing w:after="0"/>
              <w:rPr>
                <w:sz w:val="18"/>
                <w:szCs w:val="18"/>
                <w:color w:val="auto"/>
              </w:rPr>
            </w:pPr>
          </w:p>
        </w:tc>
      </w:t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rPr>
              <w:t>Total(1)</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596,458</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878</w:t>
            </w: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614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596,722</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4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900" w:right="460" w:hanging="446"/>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December 31, 2012, $320,549 of securities were classified as short term interest-bearing investments and $276,173 of securities were classified as cash and cash equivalents.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As of September 30, 2012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4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7"/>
              </w:rPr>
              <w:t>Gross Unrealized</w:t>
            </w:r>
          </w:p>
        </w:tc>
        <w:tc>
          <w:tcPr>
            <w:tcW w:w="8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5"/>
              </w:rPr>
              <w:t>Gross Unrealized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85"/>
              </w:rPr>
              <w:t>Amortized Cost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485,012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93,255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93,387</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60,923</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27,637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27,756</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guaranteed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32,689</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11,628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3,800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00" w:type="dxa"/>
            <w:vAlign w:val="bottom"/>
            <w:shd w:val="clear" w:color="auto" w:fill="CCEEFF"/>
          </w:tcPr>
          <w:p>
            <w:pPr>
              <w:spacing w:after="0"/>
              <w:rPr>
                <w:sz w:val="18"/>
                <w:szCs w:val="18"/>
                <w:color w:val="auto"/>
              </w:rPr>
            </w:pPr>
          </w:p>
        </w:tc>
      </w:t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rPr>
              <w:t>Total(2)</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727,602</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1,029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727,618</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4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900" w:right="46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2012, $239,019 of securities were classified as short term interest-bearing investments and $488,599 of securities were classified as cash and cash equivalents.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As of December 31, 2012, the unrealized losses attributable to the Company’s available-for-sale securities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an immaterial credit loss was recognized in the three months ended December 31, 2012 and 2011. As of December 31, 2012, temporary unrealized losses of $340 included in accumulated other comprehensive loss, were related to securities for which credit losses were recognized and that were considered other-than-temporarily impaired securities.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cumulative roll forward of credit losses recognized in earnings as of December 31, 2012:</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Credit loss on debt securities for which an other-than-temporary impairment was not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previously recognized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5"/>
              </w:rPr>
              <w:t>Additional credit loss on debt securities for which an other-than-temporary impairment was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previously recognized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Reduction of credit loss for securities realized during the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2012, the Company’s available-for-sale securities had the following maturity dates: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900" w:type="dxa"/>
            <w:vAlign w:val="bottom"/>
            <w:gridSpan w:val="6"/>
          </w:tcPr>
          <w:p>
            <w:pPr>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416,139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107,727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596,722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The Company has elected to present the related assets and liabilities on a gross basis. Taking into account the Company’s contractual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$8,693 as of December 31, 2012. The Company has limited its credit risk by entering into derivative transactions exclusively with investment-grade rated financial institutions and monitors the creditworthiness of these financial institutions on an ongoing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9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2012. Notional values are in U.S. dollars and are translated and calculated based on forward rates as of December 31, 2012 for forward contracts, and based on spot rates as of December 31, 2012 for options.</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4"/>
          <w:szCs w:val="14"/>
          <w:b w:val="1"/>
          <w:bCs w:val="1"/>
          <w:u w:val="single" w:color="auto"/>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9225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tabs>
          <w:tab w:leader="none" w:pos="6720" w:val="left"/>
          <w:tab w:leader="none" w:pos="708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962,885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5"/>
          <w:szCs w:val="15"/>
          <w:color w:val="auto"/>
        </w:rPr>
      </w:pPr>
      <w:r>
        <w:rPr>
          <w:rFonts w:ascii="Arial" w:cs="Arial" w:eastAsia="Arial" w:hAnsi="Arial"/>
          <w:sz w:val="15"/>
          <w:szCs w:val="15"/>
          <w:color w:val="auto"/>
        </w:rPr>
        <w:t>Gross notional amounts do not quantify risk or represent assets or liabilities of the Company, but are used in the calculation of settlements under the contracts.</w:t>
      </w:r>
    </w:p>
    <w:p>
      <w:pPr>
        <w:spacing w:after="0" w:line="192"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3 to the unaudited consolidated financial statements. The fair value of the open foreign currency exchange contracts recorded by the Company on its consolidated balance sheets as of December 31, 2012 and September 30, 2012, as an asset or a liability, is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440" w:type="dxa"/>
            <w:vAlign w:val="bottom"/>
            <w:gridSpan w:val="3"/>
          </w:tcPr>
          <w:p>
            <w:pPr>
              <w:ind w:left="6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4,638</w:t>
            </w:r>
          </w:p>
        </w:tc>
        <w:tc>
          <w:tcPr>
            <w:tcW w:w="140" w:type="dxa"/>
            <w:vAlign w:val="bottom"/>
          </w:tcPr>
          <w:p>
            <w:pPr>
              <w:spacing w:after="0"/>
              <w:rPr>
                <w:sz w:val="18"/>
                <w:szCs w:val="18"/>
                <w:color w:val="auto"/>
              </w:rPr>
            </w:pP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(6,912)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1,791</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(21,945)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2,881</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1,665</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4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December 31, 2012, are expected to mature within the next 12 months).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three months ended December 31, 2012 and 2011, respectively, which partially offsets the foreign currency impact from the underlying exposures, is summarized as follows: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4"/>
              </w:rPr>
              <w:t>Gains (Losses) Reclassified from</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Other Comprehensive Income (Loss)</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tcPr>
          <w:p>
            <w:pPr>
              <w:jc w:val="center"/>
              <w:ind w:left="462"/>
              <w:spacing w:after="0" w:line="149" w:lineRule="exact"/>
              <w:rPr>
                <w:sz w:val="20"/>
                <w:szCs w:val="20"/>
                <w:color w:val="auto"/>
              </w:rPr>
            </w:pPr>
            <w:r>
              <w:rPr>
                <w:rFonts w:ascii="Arial" w:cs="Arial" w:eastAsia="Arial" w:hAnsi="Arial"/>
                <w:sz w:val="14"/>
                <w:szCs w:val="14"/>
                <w:b w:val="1"/>
                <w:bCs w:val="1"/>
                <w:color w:val="auto"/>
                <w:w w:val="87"/>
              </w:rPr>
              <w:t>(Effective Portion)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Three months ended December 31,</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2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Revenue</w:t>
            </w:r>
          </w:p>
        </w:tc>
        <w:tc>
          <w:tcPr>
            <w:tcW w:w="2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(654)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vMerge w:val="continue"/>
          </w:tcPr>
          <w:p>
            <w:pPr>
              <w:spacing w:after="0"/>
              <w:rPr>
                <w:sz w:val="19"/>
                <w:szCs w:val="19"/>
                <w:color w:val="auto"/>
              </w:rPr>
            </w:pPr>
          </w:p>
        </w:tc>
        <w:tc>
          <w:tcPr>
            <w:tcW w:w="2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(4,367)</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460" w:type="dxa"/>
            <w:vAlign w:val="bottom"/>
            <w:vMerge w:val="restart"/>
          </w:tcPr>
          <w:p>
            <w:pPr>
              <w:jc w:val="right"/>
              <w:ind w:right="1512"/>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related to the changes in net unrealized gains (losses) on cash flow hedges, net of tax,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r>
      <w:tr>
        <w:trPr>
          <w:trHeight w:val="161"/>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losses on cash flow hedges, net of tax,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(17,942)</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(14,437)</w:t>
            </w: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15,233</w:t>
            </w:r>
          </w:p>
        </w:tc>
        <w:tc>
          <w:tcPr>
            <w:tcW w:w="4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(22,853)</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CEEFF"/>
          </w:tcPr>
          <w:p>
            <w:pPr>
              <w:spacing w:after="0"/>
              <w:rPr>
                <w:sz w:val="18"/>
                <w:szCs w:val="18"/>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Net unrealized gains (losses) on cash flow hedges, net of tax,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1,127</w:t>
            </w:r>
          </w:p>
        </w:tc>
        <w:tc>
          <w:tcPr>
            <w:tcW w:w="4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(34,391)</w:t>
            </w: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Gains (losses) from cash flow hedges recognized in other comprehensive income (loss) during the three months ended December 31, 2012 and 2011, were $19,258 and $(25,100), or $15,233 and $(22,853), net of taxes, respectively.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Of the net gains related to derivatives designated as cash flow hedges and recorded in accumulated other comprehensive loss as of December 31, 2012, a net loss of $2,203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months ended December 31, 2012 and 2011, was not material.</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90"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65"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The effect of the Company’s derivative instruments not designated as hedging instruments in the consolidated statements of income for the three months ended December 31, 2012 and 2011, respectively, which partially offsets the foreign currency impact from the underlying exposure, is summarized as follows:</w:t>
      </w:r>
    </w:p>
    <w:p>
      <w:pPr>
        <w:spacing w:after="0" w:line="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center"/>
              <w:ind w:left="460"/>
              <w:spacing w:after="0"/>
              <w:rPr>
                <w:sz w:val="20"/>
                <w:szCs w:val="20"/>
                <w:color w:val="auto"/>
              </w:rPr>
            </w:pPr>
            <w:r>
              <w:rPr>
                <w:rFonts w:ascii="Arial" w:cs="Arial" w:eastAsia="Arial" w:hAnsi="Arial"/>
                <w:sz w:val="14"/>
                <w:szCs w:val="14"/>
                <w:b w:val="1"/>
                <w:bCs w:val="1"/>
                <w:color w:val="auto"/>
                <w:w w:val="83"/>
              </w:rPr>
              <w:t>Gains (Losses)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Recognized in Income</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Three months ended December 31,</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2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Revenue</w:t>
            </w:r>
          </w:p>
        </w:tc>
        <w:tc>
          <w:tcPr>
            <w:tcW w:w="2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Interest and other expense, net</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vMerge w:val="continue"/>
          </w:tcPr>
          <w:p>
            <w:pPr>
              <w:spacing w:after="0"/>
              <w:rPr>
                <w:sz w:val="19"/>
                <w:szCs w:val="19"/>
                <w:color w:val="auto"/>
              </w:rPr>
            </w:pPr>
          </w:p>
        </w:tc>
        <w:tc>
          <w:tcPr>
            <w:tcW w:w="2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2,049</w:t>
            </w:r>
          </w:p>
        </w:tc>
        <w:tc>
          <w:tcPr>
            <w:tcW w:w="34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560" w:type="dxa"/>
            <w:vAlign w:val="bottom"/>
            <w:vMerge w:val="restart"/>
          </w:tcPr>
          <w:p>
            <w:pPr>
              <w:jc w:val="right"/>
              <w:ind w:right="1612"/>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8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 billed</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571,649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573,090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128,405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130,697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(17,786)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(16,564)</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380"/>
              <w:spacing w:after="0"/>
              <w:rPr>
                <w:sz w:val="20"/>
                <w:szCs w:val="20"/>
                <w:color w:val="auto"/>
              </w:rPr>
            </w:pPr>
            <w:r>
              <w:rPr>
                <w:rFonts w:ascii="Arial" w:cs="Arial" w:eastAsia="Arial" w:hAnsi="Arial"/>
                <w:sz w:val="18"/>
                <w:szCs w:val="18"/>
                <w:color w:val="auto"/>
              </w:rPr>
              <w:t>Accounts receivable, net</w:t>
            </w: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40" w:type="dxa"/>
            <w:vAlign w:val="bottom"/>
            <w:gridSpan w:val="2"/>
            <w:vMerge w:val="continue"/>
          </w:tcPr>
          <w:p>
            <w:pPr>
              <w:spacing w:after="0"/>
              <w:rPr>
                <w:sz w:val="19"/>
                <w:szCs w:val="19"/>
                <w:color w:val="auto"/>
              </w:rPr>
            </w:pP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682,268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687,223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Income Taxes</w:t>
            </w: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40" w:type="dxa"/>
            <w:vAlign w:val="bottom"/>
            <w:gridSpan w:val="2"/>
          </w:tcPr>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$ 9,752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$18,480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Deferred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3,782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12,704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6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4"/>
              </w:rPr>
              <w:t>Three months ended</w:t>
            </w: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8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Guernsey tax rate</w:t>
            </w:r>
          </w:p>
        </w:tc>
        <w:tc>
          <w:tcPr>
            <w:tcW w:w="11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Foreign taxes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2012, deferred tax assets of $111,881, derived primarily from tax credits, net capital and operating loss carry forwards related to some of the Company’s subsidiaries, were offset by valuation allowances related to the uncertainty of realizing tax benefit for such credits and losses. Releases of the valuation allowances, if any, will be recognized through earnings.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total amount of gross unrecognized tax benefits, which includes interest and penalties, was $137,388 as of December 31, 2012, all of which would affect the effective tax rate if realized.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2012, the Company had accrued $19,375 in income taxes payable for interest and penalties relating to unrecognized tax benefits.</w:t>
      </w:r>
    </w:p>
    <w:p>
      <w:pPr>
        <w:spacing w:after="0" w:line="19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Numerator for basic and 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99,015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w w:val="95"/>
              </w:rPr>
              <w:t>Denominator for basic earnings per share — weighted average number of shares outstanding</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162,176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assumed conversion of 0.5% convertible notes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440"/>
              <w:spacing w:after="0"/>
              <w:rPr>
                <w:sz w:val="20"/>
                <w:szCs w:val="20"/>
                <w:color w:val="auto"/>
              </w:rPr>
            </w:pPr>
            <w:r>
              <w:rPr>
                <w:rFonts w:ascii="Arial" w:cs="Arial" w:eastAsia="Arial" w:hAnsi="Arial"/>
                <w:sz w:val="18"/>
                <w:szCs w:val="18"/>
                <w:color w:val="auto"/>
              </w:rPr>
              <w:t>Effect of dilutive stock options granted</w:t>
            </w: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1,387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Denominator for diluted earnings per share — adjusted weighted average shares and assumed</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conversions</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163,587</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173,812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440"/>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 three months ended December 31, 2012 and 2011, 4,894 and 13,375 shares, respectively, were attributable to antidilutive outstanding stock options and therefore were not included in the calculation of diluted earnings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of Shares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February 2011, the Company’s board of directors adopted a share repurchase plan authorizing the repurchase of up to $1,000,000 of the Company’s outstanding ordinary shares over the following 24 months. In April 2011, the Company began executing repurchases under the February 2011 plan. In the three months ended December 31, 2012, the Company repurchased approximately 3,123 ordinary shares at an average price of $33.20 per share (excluding broker and transaction fees). As of December 31, 2012, the Company had remaining authority to repurchase up to $99,112 of its outstanding ordinary shares under the February 2011 plan. In November 2012, the Company’s board of directors adopted another share repurchase plan authorizing the repurchase of up to $500,000 of its outstanding ordinary shares. The November 2012 plan has no expiration date. The authorizations permit the Company to purchase its ordinary shares in open market or privately negotiated transactions at times and prices that it considers appropriate. As of December 31, 2012, the Company had not executed any repurchases under the November 2012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Financing Arrangements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December 2011, the Company entered into a $500,000 five-year revolving credit facility with a syndicate of banks. The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In September 2012, the Company borrowed an aggregate of $200,000 under the facility and repaid it in October 2012. As of December 31, 2012, the Company was in compliance with the financial covenants under the revolving credit facility and had no outstanding borrowings under this facility.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 and Incentive Plan</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The maximum number of ordinary shares currently authorized to be granted under the Plan is 62,300. Awards granted under the Plan generally vest over a period of four years and stock options have a term of ten years.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three-month period ended December 31, 2012:</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Weighted</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9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Number of</w:t>
            </w:r>
          </w:p>
        </w:tc>
        <w:tc>
          <w:tcPr>
            <w:tcW w:w="28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Options</w:t>
            </w:r>
          </w:p>
        </w:tc>
        <w:tc>
          <w:tcPr>
            <w:tcW w:w="28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Price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2012</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17,654</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$ 29.27</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844</w:t>
            </w:r>
          </w:p>
        </w:tc>
        <w:tc>
          <w:tcPr>
            <w:tcW w:w="32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33.10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(2,086)</w:t>
            </w: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26.06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(200)</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30.56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$ 29.86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Exercisable as of December 31, 2012</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vMerge w:val="continue"/>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8,710</w:t>
            </w:r>
          </w:p>
        </w:tc>
        <w:tc>
          <w:tcPr>
            <w:tcW w:w="32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$ 30.75</w:t>
            </w:r>
          </w:p>
        </w:tc>
        <w:tc>
          <w:tcPr>
            <w:tcW w:w="7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information relating to awards of restricted shares, as well as changes to such awards during the three-month period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unvested shares as of October 1, 2012</w:t>
            </w:r>
          </w:p>
        </w:tc>
        <w:tc>
          <w:tcPr>
            <w:tcW w:w="1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December 31, 2012</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months ended December 31, 2012 and 2011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8"/>
              </w:rPr>
              <w:t>Three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520" w:type="dxa"/>
            <w:vAlign w:val="bottom"/>
            <w:gridSpan w:val="3"/>
          </w:tcPr>
          <w:p>
            <w:pPr>
              <w:ind w:left="7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6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1,025</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7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CEEFF"/>
          </w:tcPr>
          <w:p>
            <w:pPr>
              <w:spacing w:after="0"/>
              <w:rPr>
                <w:sz w:val="18"/>
                <w:szCs w:val="18"/>
                <w:color w:val="auto"/>
              </w:rPr>
            </w:pP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13,325</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10,553</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total income tax benefit recognized in the income statement for stock-based compensation (including restricted shares) for the three months ended December 31, 2012 and 2011, was $1,120 and $1,776, respectively.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31, 2012, there was $46,964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Company selected the Black-Scholes option pricing model as the most appropriate fair value method for its equity-based awards. The Black-Scholes option pricing model assumptions used are noted in the following table (all in weighted averages for options granted during the period):</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4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66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 (1)</w:t>
            </w:r>
          </w:p>
        </w:tc>
        <w:tc>
          <w:tcPr>
            <w:tcW w:w="2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0.57%</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4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3140" w:type="dxa"/>
            <w:vAlign w:val="bottom"/>
            <w:gridSpan w:val="3"/>
          </w:tcPr>
          <w:p>
            <w:pPr>
              <w:jc w:val="right"/>
              <w:ind w:right="260"/>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right="7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Dividends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August 1, 2012, the Company’s board of directors authorized the first quarterly cash dividend payment, in the aggregate amount of $21,120, which was paid on October 19,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 during the three months ended December 31,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Dividends Per</w:t>
            </w: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Ordinary</w:t>
            </w:r>
          </w:p>
        </w:tc>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400" w:type="dxa"/>
            <w:vAlign w:val="bottom"/>
            <w:tcBorders>
              <w:bottom w:val="single" w:sz="8" w:color="auto"/>
            </w:tcBorders>
            <w:vMerge w:val="continue"/>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7"/>
              </w:rPr>
              <w:t>Share</w:t>
            </w:r>
          </w:p>
        </w:tc>
        <w:tc>
          <w:tcPr>
            <w:tcW w:w="198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Record Date</w:t>
            </w:r>
          </w:p>
        </w:tc>
        <w:tc>
          <w:tcPr>
            <w:tcW w:w="13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Total Amount</w:t>
            </w:r>
          </w:p>
        </w:tc>
        <w:tc>
          <w:tcPr>
            <w:tcW w:w="136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203"/>
        </w:trPr>
        <w:tc>
          <w:tcPr>
            <w:tcW w:w="1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3"/>
              </w:rPr>
              <w:t>November 6, 2012</w:t>
            </w:r>
          </w:p>
        </w:tc>
        <w:tc>
          <w:tcPr>
            <w:tcW w:w="3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0.13</w:t>
            </w:r>
          </w:p>
        </w:tc>
        <w:tc>
          <w:tcPr>
            <w:tcW w:w="5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December 31, 2012</w:t>
            </w:r>
          </w:p>
        </w:tc>
        <w:tc>
          <w:tcPr>
            <w:tcW w:w="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   21,032</w:t>
            </w:r>
          </w:p>
        </w:tc>
        <w:tc>
          <w:tcPr>
            <w:tcW w:w="5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January 18, 2013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payable as a result of the November 6, 2012 declaration was included in other current liabilities as of December 31, 2012.</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On January 30, 2013, the Company’s board of directors approved the next quarterly dividend payment, at the rate of $0.13 per share, and set March 28, 2013 as the record date for determining the shareholders entitled to receive the dividend, which is payable on April 19, 2013.</w:t>
      </w:r>
    </w:p>
    <w:p>
      <w:pPr>
        <w:spacing w:after="0" w:line="160" w:lineRule="exact"/>
        <w:rPr>
          <w:sz w:val="20"/>
          <w:szCs w:val="20"/>
          <w:color w:val="auto"/>
        </w:rPr>
      </w:pPr>
    </w:p>
    <w:p>
      <w:pPr>
        <w:ind w:left="460" w:right="9640" w:hanging="452"/>
        <w:spacing w:after="0" w:line="417" w:lineRule="auto"/>
        <w:tabs>
          <w:tab w:leader="none" w:pos="267"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Contingencies </w:t>
      </w:r>
      <w:r>
        <w:rPr>
          <w:rFonts w:ascii="Arial" w:cs="Arial" w:eastAsia="Arial" w:hAnsi="Arial"/>
          <w:sz w:val="15"/>
          <w:szCs w:val="15"/>
          <w:i w:val="1"/>
          <w:iCs w:val="1"/>
          <w:color w:val="auto"/>
        </w:rPr>
        <w:t>Legal Proceedings</w:t>
      </w:r>
    </w:p>
    <w:p>
      <w:pPr>
        <w:spacing w:after="0" w:line="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is involved in various legal proceedings arising in the normal course of its business. The Company accrues for a loss contingency when it determines that it is more likely than not,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three months ended December 31, 2012 and 2011.</w:t>
      </w:r>
    </w:p>
    <w:p>
      <w:pPr>
        <w:spacing w:after="0" w:line="10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2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2012, filed on December 11, 2012 with the U.S.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9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Amdocs is a leading provider of software and services for communications, media and entertainment industry service providers in developed and emerging markets. Emerging markets include markets such as those in Asia Pacific, Central and Latin America, the Commonwealth of Independent States and India.</w:t>
      </w:r>
    </w:p>
    <w:p>
      <w:pPr>
        <w:spacing w:after="0" w:line="6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control product offerings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systems because of the crucial impact that these systems have on the service providers’ end-user experience.</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believe the demand for our customer experience systems is driven by the need of service providers to help their consumers navigate the increasing number of devices, services and plans available in the connected communications world, while coping with the rapidly growing demand for data these new devices and services have created. In fiscal 2012, we shifted our marketing focus from ‘what we do’ to ‘who we are’, based on our 30-year history that demonstrates how we are uniquely positioned to help our customers realize their vision regardless of how complex the solution may be. We embrace service providers’ biggest challenges, applying a strategy of innovation from the network and business support systems to the device and end user to ensure that our customers experience success. We continue to introduce and enhance products and services that enable service providers to simplify the customer experience, harness and capitalize on the data explosion, stay ahead of the competition with new digital services and improve operational efficiency. Our goal is to supply scalable offerings that provide the functionality and flexibility to service providers that facilitate innovation and enable cost-effective execution. Regardless of whether providers are bringing their first offerings to market, scaling for growth, consolidating systems or transforming the way they do business, we believe that providers seek to differentiate their offerings by delivering a customer experience that is simple, personal and valuable at every point of service.</w:t>
      </w:r>
    </w:p>
    <w:p>
      <w:pPr>
        <w:spacing w:after="0" w:line="12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also offer advertising and media products and services for local digital marketing and search providers and directory publishers. Our products and services support cost-effective digital media-centric operations from selling ads to the management of activities, consumer experiences and financial processes across online, print and mobile media.</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media and entertainment industry. In the three months ended December 31, 2012, customers in North America accounted for 71.8% of our revenue, while customers in Europe and the rest of the world accounted for 12.0% and 16.2%, respectively. Customers in emerging markets accounted for 11.9% of our revenue in the three months ended December 31, 2012. We maintain development facilities in Brazil, Canada, Cyprus, India, Ireland, Israel and the United States.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9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32"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1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 from managed services arrangements (for customer experience systems and advertising and media products, including directory systems) is included in both license and service revenue. Revenue generated in connection with managed services arrangements is a significant part of our business, generating substantial, long-term recurring revenue streams and cash flow. Revenue from managed services arrangements accounted for approximately $429.8 million and $419.7 million in the three months ended December 31, 2012 and 2011,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September 2011, the Financial Accounting Standards Board, or FASB, issued a revised accounting standard update intended to simplify how an entity tests goodwill for impairment. The amendment allows an entity to first assess qualitative factors to determine whether it is necessary to perform the two-step quantitative goodwill impairment test. An entity no longer is required to calculate the fair value of a reporting unit unless the entity determines, based on a qualitative assessment, that it is more likely than not that its fair value is less than its carrying amount. This accounting standard update became effective for us beginning in the first quarter of fiscal 2013, and we expect its adoption will not have a material impact on the result of our annual goodwill impairment test or our financial statements.</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June 2011, the FASB issued guidance to require an entity to present the components of other comprehensive income either in a single continuous statement of comprehensive income or in two separate but consecutive statements, thus eliminating the option to present the components of other comprehensive income as part of the statement of equity. We adopted this guidance in the first quarter of fiscal 2013 by including the required disclosures in two separate but consecutive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for the three months ended December 31, 2012 and 2011, certain items in our consolidated statements of income reflected as a percentage of total revenue:</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100.0</w:t>
            </w:r>
          </w:p>
        </w:tc>
        <w:tc>
          <w:tcPr>
            <w:tcW w:w="5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0" w:type="dxa"/>
            <w:vAlign w:val="bottom"/>
            <w:shd w:val="clear" w:color="auto" w:fill="CCEEFF"/>
          </w:tcPr>
          <w:p>
            <w:pPr>
              <w:spacing w:after="0"/>
              <w:rPr>
                <w:sz w:val="18"/>
                <w:szCs w:val="18"/>
                <w:color w:val="auto"/>
              </w:rPr>
            </w:pPr>
          </w:p>
        </w:tc>
      </w:tr>
      <w:tr>
        <w:trPr>
          <w:trHeight w:val="221"/>
        </w:trPr>
        <w:tc>
          <w:tcPr>
            <w:tcW w:w="69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r>
      <w:tr>
        <w:trPr>
          <w:trHeight w:val="221"/>
        </w:trPr>
        <w:tc>
          <w:tcPr>
            <w:tcW w:w="69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12.0%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2012 and 2011</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following is a tabular presentation of our results of operations for the three months ended December 31, 2012 compared to the three months ended December 31, 2011. Following the table is a discussion and analysis of our business and results of operations for such periods.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2"/>
              </w:rPr>
              <w:t>Increase (Decrease)</w:t>
            </w: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6"/>
              </w:rPr>
              <w:t>Amount</w:t>
            </w:r>
          </w:p>
        </w:tc>
        <w:tc>
          <w:tcPr>
            <w:tcW w:w="4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18,916</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35,796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(16,880)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(47.2)%</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807,443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771,214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36,229</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826,359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807,010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19,349</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(295)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(31.7)</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535,013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516,181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18,832</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59,360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61,307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(1,947)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106,337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1,123</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11,233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(1,973)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(14.9)</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713,702</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697,962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15,740</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r>
      <w:tr>
        <w:trPr>
          <w:trHeight w:val="221"/>
        </w:trPr>
        <w:tc>
          <w:tcPr>
            <w:tcW w:w="6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112,657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109,048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3,609</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(97.0)</w:t>
            </w:r>
          </w:p>
        </w:tc>
      </w:tr>
      <w:tr>
        <w:trPr>
          <w:trHeight w:val="221"/>
        </w:trPr>
        <w:tc>
          <w:tcPr>
            <w:tcW w:w="6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112,549</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105,435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7,114</w:t>
            </w:r>
          </w:p>
        </w:tc>
        <w:tc>
          <w:tcPr>
            <w:tcW w:w="48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r>
      <w:tr>
        <w:trPr>
          <w:trHeight w:val="222"/>
        </w:trPr>
        <w:tc>
          <w:tcPr>
            <w:tcW w:w="6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99,015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92,731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6,284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revenue increased by $19.3 million, or 2.4%, to $826.4 million in the three months ended December 31, 2012, from $807.0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December 31, 2011. Service revenue increased by $36.2 million, or 4.7%, to $807.4 million in the three months ended December 31, 2012, from $771.2 million in the three months ended December 31, 2011. The increase in total revenue, as well as in service revenue, was primarily attributable to revenue related to our activities in North America and in the rest of the world partially offset by decrease in revenue from customers in Europe.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License revenue in the three months ended December 31, 2012, decreased by $16.9 million, or 47.2%, to $18.9 million, from $35.8 million in the three months ended December 31, 2011. The decrease in license revenue was primarily attributable to the progress of certain transformation and implementation projects in this period.</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Total revenue attributable to the sale of customer experience systems increased by $25.8 million, or 3.4%, to $783.8 million in the three months ended December 31, 2012, from $758.0 million in the three months ended December 31, 2011. The increase in revenue was primarily attributable to revenue related to our activities in North America and in the rest of the world partially offset by decrease in revenue from customers in Europe. License and service revenue resulting from the sale of customer experience systems represented 94.8% and 93.9% of our total revenue in the three months ended December 31, 2012 and 2011, respectively.</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Total revenue attributable to the sale of directory systems decreased by $6.4 million, or 13.1%, to $42.6 million in the three months ended December 31, 2012, from $49.0 million in the three months ended December 31, 2011. The decrease was primarily attributable to general slowness in the directory systems market leading to lower revenue from managed services arrangements in such market. License and service revenue from the sale of directory systems represented 5.2% and 6.1% of our total revenue in the three months ended December 31, 2012 and 2011, respectively.</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the three months ended December 31, 2012, revenue from customers in North America, Europe and the rest of the world accounted for 71.8%, 12.0% and 16.2%, respectively, of total revenue, compared to 71.1%, 13.7% and 15.2%, respectively, in the three months ended December 31, 2011. Revenue from North American customers increased during the three months ended December 31, 2012, primarily from higher revenue from our existing customers, partially offset by lower revenue resulting from contractual price reductions with Bell Canada that became effective in the second quarter of fiscal 2012. The decrease in revenue from customers in Europe was primarily attributable to lower revenue related to the ramp down of transformation and implementation projects which was not offset by sufficient revenue from new projects. The increase in revenue from customers in the rest of the world was primarily attributable to our activity in emerging markets.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Cost of License and Service</w:t>
      </w:r>
      <w:r>
        <w:rPr>
          <w:rFonts w:ascii="Arial" w:cs="Arial" w:eastAsia="Arial" w:hAnsi="Arial"/>
          <w:sz w:val="16"/>
          <w:szCs w:val="16"/>
          <w:color w:val="auto"/>
        </w:rPr>
        <w:t>. Cost of license includes fees and royalty payments to software suppliers. Cost of service consists primarily of costs associated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providing services to customers, including compensation expense and costs of third-party products. Cost of license and service increased by $18.5 million, or 3.6%, to $535.6 million in the three months ended December 31, 2012, from $517.1 million in the three months ended December 31, 2011. As a percentage of revenue, cost of license and service was 64.8% in the three months ended December 31, 2012, compared to 64.1% in the three months ended December 31, 2011. The decrease in our gross margin was primarily attributable to our activities in Asia Pacific and Central and Latin America, where we increased our level of investment in order to penetrate into these regions.</w:t>
      </w:r>
    </w:p>
    <w:p>
      <w:pPr>
        <w:spacing w:after="0" w:line="12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$1.9 million, or 3.2%, to $59.4 million in the three months ended December 31, 2012, from $61.3 million in the three months ended December 31, 2011. Research and development expense decreased as a percentage of revenue from 7.6% in the three months ended December 31, 2011, to 7.2% in the three months ended December 31, 2012.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color w:val="auto"/>
        </w:rPr>
        <w:t>. Selling, general and administrative expense, which is primarily comprised of compensation expense, increased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 million, or 1.1%, to $107.5 million in the three months ended December 31, 2012, from $106.3 million in the three months ended December 31, 2011. While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December 31, 2012, the rate of increase in selling, general and administrative expense was less than the growth in revenue,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may fluctuate from time to time, depending upon such factors as changes in our workforce and sales efforts and the results of any operational efficiency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programs that we may undertake.</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Amortization of Purchased Intangible Assets and Other</w:t>
      </w:r>
      <w:r>
        <w:rPr>
          <w:rFonts w:ascii="Arial" w:cs="Arial" w:eastAsia="Arial" w:hAnsi="Arial"/>
          <w:sz w:val="16"/>
          <w:szCs w:val="16"/>
          <w:color w:val="auto"/>
        </w:rPr>
        <w:t>. Amortization of purchased intangible assets and other in the three months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 decreased by $2.0 million to $11.2 million from $13.2 million in the three months ended December 31, 2011. The decrease in amortization of purchased intangible assets and other was primarily due to purchased intangible assets that were fully amortized in prior periods.</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increased by $3.6 million, or 3.3%, in the three months ended December 31, 2012, to $112.7 million, or 13.6%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from $109.0 million, or 13.5% of revenue, in the three months ended December 31, 2011. The increase in operating income as a percentage of revenue was primarily attributable to the increase in revenue which was at a higher rate than the increase in operating expenses.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decreased by $3.5 million to $0.1 million in the three months ended December 31,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$3.6 million in the three months ended December 31, 2011. The decrease in interest and other expense, net, was primarily attributable to foreign exchange impacts.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December 31, 2012, were $13.5 million on pre-tax income of $112.5 million, resulting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of 12.0%, compared to 12.0% in the three months ended December 31, 2011. Our effective tax rate may fluctuate between quarters as a result of discrete items that may affect a specific quarter.</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$6.3 million, or 6.8%, to $99.0 million in the three months ended December 31, 2012, from $92.7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December 31, 2011. The increase in net income was primarily attributable to the increase in operating income, as well as to the decrease in interest and other expense, net.</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$0.08, or 15.1%, to $0.61 in the three months ended December 31, 2012, from $0.53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December 31, 2011. The increase in diluted earnings per share resulted from the increase in net income and from the decrease in the diluted weighted average number of shares outstanding resulting from our repurchase of ordinary shares in fiscal 2012 and in the three months ended December 31,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Cash, cash equivalents and short-term interest-bearing investments, net of short-term debt, totaled $961.3 million as of December 31, 2012, compared to $918.2 million as of September 30, 2012. The increase in the three months ended December 31, 2012, was mainly attributable to $145.5 million in positive cash flow from operations and $54.4 million of proceeds from employee stock options exercised, partially offset by $103.7 million used to repurchase our ordinary shares pursuant to our share repurchase program, $29.9 million for capital expenditures, net and $21.1 million for payment of cash dividend. Net cash provided by operating activities amounted to $145.5 million and $149.9 million for the three months ended December 31, 2012 and 2011, respectively.</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including roughly 30% towards share repurchases and 20% in the form of dividends. Our actual share repurchase activity and payment of future dividends, if any, may vary quarterly or annually and will be based on several factors including our financial performance, outlook and liquidity.</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U.S. government treasuries, corporate bonds, U.S. agency securities and government guaranteed debt. We believe we have conservative investment policy guidelines. Our interest-bearing investments are stated at fair value with the unrealized gains or losses reported as a separate component of accumulated other comprehensive loss, net of tax. Our interest-bearing investments are priced by pricing vendors and are classified as Level 1 or Level 2 investments, since these vendors either provide a quoted market price in an active market or use other observable inputs to price these securities. During the three months ended December 31, 2012 and 2011, we recognized immaterial credit losses. As of December 31, 2012, temporary unrealized losses of $0.3 million included in accumulated other comprehensive loss, were related to securities for which credit losses were previously recognized and considered other-than-temporarily impaired securities. For further information, please see Notes 3 and 4 to the consolidated financial statements.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2011, we entered into an unsecured $500.0 million five-year revolving credit facility with a syndicate of banks. The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December 31, 2012, we were in compliance with the financial covenants under the revolving credit facility and had no outstanding borrowings under this facility. In September 2012, we borrowed an aggregate of $200.0 million under the facility and repaid it in October 2012.</w:t>
      </w:r>
    </w:p>
    <w:p>
      <w:pPr>
        <w:spacing w:after="0" w:line="11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As of December 31, 2012, we had outstanding letters of credit and bank guarantees from various banks totaling $56.5 million. As of December 31, 2012, we had outstanding obligations of $0.4 million in connection with leasing arrangements, which were included in other current liabilities on our balance sheet.</w:t>
      </w:r>
    </w:p>
    <w:p>
      <w:pPr>
        <w:spacing w:after="0" w:line="62"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We have contractual obligations for our non-cancelable operating leases, purchase obligations, pension funding and convertible notes summarized in the tabular disclosure of contractual obligations set forth in our Annual Report on Form 20-F for the fiscal year ended September 30, 2012, filed on December 11, 2012 with the SEC. Since September 30, 2012, there have been no material changes in our contractual obligations.</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capital expenditures were approximately $29.9 million in the three months ended December 31, 2012. Approximately 80% of these expenditures consisted of purchases of computer equipment, and the remainder was attributable mainly to leasehold improvements. The capital expenditures in the three months ended December 31, 2012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February 2011, our board of directors adopted a share repurchase plan authorizing the repurchase of up to $1.0 billion of our outstanding ordinary shares over the following 24 months. In April 2011, we began executing repurchases under the February 2011 plan. In the three months ended December 31, 2012, we repurchased approximately 3.1 million ordinary shares at an average price of $33.20 per share (excluding broker and transaction fees). As of December 31, 2012, we had remaining authority to repurchase up to $99.1 million of our outstanding ordinary shares under this plan. In November 2012, our board of directors adopted another share repurchase plan authorizing the repurchase of up to $500.0 million of our outstanding ordinary shares. The November 2012 plan has no expiration date. The authorizations permit us to purchase our ordinary shares in open market or privately negotiated transactions at times and prices we consider appropriate. As of December 31, 2012, we had not executed any repurchases under the November 2012 plan.</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August 1, 2012, our board of directors authorized the first quarterly cash dividend payment, in the aggregate amount of $21.1 million, which was paid on October 19,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declared the following dividend during the three months ended December 31,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Dividends Per</w:t>
            </w: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Ordinary</w:t>
            </w:r>
          </w:p>
        </w:tc>
        <w:tc>
          <w:tcPr>
            <w:tcW w:w="1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 Amount</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400" w:type="dxa"/>
            <w:vAlign w:val="bottom"/>
            <w:tcBorders>
              <w:bottom w:val="single" w:sz="8" w:color="auto"/>
            </w:tcBorders>
            <w:vMerge w:val="continue"/>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2"/>
              </w:rPr>
              <w:t>Share</w:t>
            </w:r>
          </w:p>
        </w:tc>
        <w:tc>
          <w:tcPr>
            <w:tcW w:w="206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Record Date</w:t>
            </w:r>
          </w:p>
        </w:tc>
        <w:tc>
          <w:tcPr>
            <w:tcW w:w="140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(In millions)</w:t>
            </w:r>
          </w:p>
        </w:tc>
        <w:tc>
          <w:tcPr>
            <w:tcW w:w="136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203"/>
        </w:trPr>
        <w:tc>
          <w:tcPr>
            <w:tcW w:w="1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3"/>
              </w:rPr>
              <w:t>November 6, 2012</w:t>
            </w:r>
          </w:p>
        </w:tc>
        <w:tc>
          <w:tcPr>
            <w:tcW w:w="2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0.13</w:t>
            </w:r>
          </w:p>
        </w:tc>
        <w:tc>
          <w:tcPr>
            <w:tcW w:w="6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December 31, 2012</w:t>
            </w:r>
          </w:p>
        </w:tc>
        <w:tc>
          <w:tcPr>
            <w:tcW w:w="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w:t>
            </w:r>
          </w:p>
        </w:tc>
        <w:tc>
          <w:tcPr>
            <w:tcW w:w="6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January 18, 2013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January 30, 2013, our board of directors approved the next dividend payment, at the rate of $0.13 per share, and set March 28, 2013 as the record date for determining the shareholders entitled to receive the dividend, which is payable on April 19, 2013.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three months ended December 31, 2012 and 2011,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2012 of equity securities that are registered by us pursuant to Section 12 of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6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Number of</w:t>
            </w:r>
          </w:p>
        </w:tc>
        <w:tc>
          <w:tcPr>
            <w:tcW w:w="62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62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(b)</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Publicly</w:t>
            </w:r>
          </w:p>
        </w:tc>
        <w:tc>
          <w:tcPr>
            <w:tcW w:w="62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260" w:type="dxa"/>
            <w:vAlign w:val="bottom"/>
            <w:gridSpan w:val="2"/>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5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620" w:type="dxa"/>
            <w:vAlign w:val="bottom"/>
          </w:tcPr>
          <w:p>
            <w:pPr>
              <w:spacing w:after="0"/>
              <w:rPr>
                <w:sz w:val="14"/>
                <w:szCs w:val="14"/>
                <w:color w:val="auto"/>
              </w:rPr>
            </w:pPr>
          </w:p>
        </w:tc>
        <w:tc>
          <w:tcPr>
            <w:tcW w:w="15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Paid per Share</w:t>
            </w: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or Programs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or Programs(1)</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6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10/01/12-10/31/12</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561,644</w:t>
            </w: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32.71</w:t>
            </w:r>
          </w:p>
        </w:tc>
        <w:tc>
          <w:tcPr>
            <w:tcW w:w="6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561,644</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184,402,813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11/01/12-11/30/12</w:t>
            </w:r>
          </w:p>
        </w:tc>
        <w:tc>
          <w:tcPr>
            <w:tcW w:w="840" w:type="dxa"/>
            <w:vAlign w:val="bottom"/>
          </w:tcPr>
          <w:p>
            <w:pPr>
              <w:jc w:val="right"/>
              <w:spacing w:after="0"/>
              <w:rPr>
                <w:sz w:val="20"/>
                <w:szCs w:val="20"/>
                <w:color w:val="auto"/>
              </w:rPr>
            </w:pPr>
            <w:r>
              <w:rPr>
                <w:rFonts w:ascii="Arial" w:cs="Arial" w:eastAsia="Arial" w:hAnsi="Arial"/>
                <w:sz w:val="18"/>
                <w:szCs w:val="18"/>
                <w:color w:val="auto"/>
              </w:rPr>
              <w:t>1,112,843</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32.65</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1,112,843</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648,064,456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12/01/12-12/31/12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1,448,162</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1,448,162</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599,112,456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3,122,649</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33.20</w:t>
            </w:r>
          </w:p>
        </w:tc>
        <w:tc>
          <w:tcPr>
            <w:tcW w:w="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3,122,649</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599,112,456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12"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February 2011, our board of directors adopted a share repurchase plan authorizing the repurchase of up to $1.0 billion of our outstanding ordinary shares over the following 24 months. In April 2011, we began executing repurchases under the February 2011 plan. In the three months ended December 31, 2012, we repurchased approximately 3.1 million ordinary shares at an average price of $33.20 per share (excluding broker and transaction fees). As of December 31, 2012, we had remaining authority to repurchase up to $99.1 million of our outstanding ordinary shares under this plan. In November 2012, our board of directors adopted another share repurchase plan authorizing the repurchase of up to $500.0 million of our outstanding ordinary shares. The November 2012 plan has no expiration date. The authorizations permit us to purchase our ordinary shares in open market or privately negotiated transactions at times and prices we consider appropriate. As of December 31, 2012, we had not executed any repurchases under the November 2012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Reports on Form 6-K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December 31, 2012:</w:t>
      </w:r>
    </w:p>
    <w:p>
      <w:pPr>
        <w:spacing w:after="0" w:line="171"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November 6, 2012</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December 11, 2012</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December 24,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sectPr>
      <w:pgSz w:w="11900" w:h="16838" w:orient="portrait"/>
      <w:cols w:equalWidth="0" w:num="1">
        <w:col w:w="10500"/>
      </w:cols>
      <w:pgMar w:left="240" w:top="45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2019-12-06T20:31:19Z</dcterms:created>
  <dcterms:modified xsi:type="dcterms:W3CDTF">2019-12-06T20:31:19Z</dcterms:modified>
</cp:coreProperties>
</file>