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As filed with the Securities and Exchange Commission on June 15, 2020</w:t>
      </w:r>
    </w:p>
    <w:p>
      <w:pPr>
        <w:spacing w:after="0" w:line="6" w:lineRule="exact"/>
        <w:rPr>
          <w:sz w:val="24"/>
          <w:szCs w:val="24"/>
          <w:color w:val="auto"/>
        </w:rPr>
      </w:pPr>
    </w:p>
    <w:p>
      <w:pPr>
        <w:ind w:left="914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F-3</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Amdocs Limited</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tbl>
      <w:tblPr>
        <w:tblLayout w:type="fixed"/>
        <w:tblInd w:w="1940" w:type="dxa"/>
        <w:tblCellMar>
          <w:top w:w="0" w:type="dxa"/>
          <w:left w:w="0" w:type="dxa"/>
          <w:bottom w:w="0" w:type="dxa"/>
          <w:right w:w="0" w:type="dxa"/>
        </w:tblCellMar>
      </w:tblPr>
      <w:tr>
        <w:trPr>
          <w:trHeight w:val="172"/>
        </w:trPr>
        <w:tc>
          <w:tcPr>
            <w:tcW w:w="3860" w:type="dxa"/>
            <w:vAlign w:val="bottom"/>
          </w:tcPr>
          <w:p>
            <w:pPr>
              <w:jc w:val="center"/>
              <w:ind w:right="1867"/>
              <w:spacing w:after="0"/>
              <w:rPr>
                <w:sz w:val="20"/>
                <w:szCs w:val="20"/>
                <w:color w:val="auto"/>
              </w:rPr>
            </w:pPr>
            <w:r>
              <w:rPr>
                <w:rFonts w:ascii="Arial" w:cs="Arial" w:eastAsia="Arial" w:hAnsi="Arial"/>
                <w:sz w:val="15"/>
                <w:szCs w:val="15"/>
                <w:b w:val="1"/>
                <w:bCs w:val="1"/>
                <w:color w:val="auto"/>
                <w:w w:val="92"/>
              </w:rPr>
              <w:t>Guernsey</w:t>
            </w:r>
          </w:p>
        </w:tc>
        <w:tc>
          <w:tcPr>
            <w:tcW w:w="3380" w:type="dxa"/>
            <w:vAlign w:val="bottom"/>
          </w:tcPr>
          <w:p>
            <w:pPr>
              <w:jc w:val="center"/>
              <w:ind w:left="184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3860" w:type="dxa"/>
            <w:vAlign w:val="bottom"/>
          </w:tcPr>
          <w:p>
            <w:pPr>
              <w:jc w:val="center"/>
              <w:ind w:right="188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867"/>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7"/>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Hirzel House, Smith Street</w:t>
      </w:r>
    </w:p>
    <w:p>
      <w:pPr>
        <w:jc w:val="center"/>
        <w:ind w:right="-99"/>
        <w:spacing w:after="0" w:line="233" w:lineRule="auto"/>
        <w:rPr>
          <w:sz w:val="20"/>
          <w:szCs w:val="20"/>
          <w:color w:val="auto"/>
        </w:rPr>
      </w:pPr>
      <w:r>
        <w:rPr>
          <w:rFonts w:ascii="Arial" w:cs="Arial" w:eastAsia="Arial" w:hAnsi="Arial"/>
          <w:sz w:val="15"/>
          <w:szCs w:val="15"/>
          <w:b w:val="1"/>
          <w:bCs w:val="1"/>
          <w:color w:val="auto"/>
        </w:rPr>
        <w:t>St. Peter Port, Guernsey, GY1 2NG</w:t>
      </w:r>
    </w:p>
    <w:p>
      <w:pPr>
        <w:jc w:val="center"/>
        <w:ind w:right="-99"/>
        <w:spacing w:after="0" w:line="217" w:lineRule="auto"/>
        <w:rPr>
          <w:sz w:val="20"/>
          <w:szCs w:val="20"/>
          <w:color w:val="auto"/>
        </w:rPr>
      </w:pPr>
      <w:r>
        <w:rPr>
          <w:rFonts w:ascii="Arial" w:cs="Arial" w:eastAsia="Arial" w:hAnsi="Arial"/>
          <w:sz w:val="15"/>
          <w:szCs w:val="15"/>
          <w:b w:val="1"/>
          <w:bCs w:val="1"/>
          <w:color w:val="auto"/>
        </w:rPr>
        <w:t>Telephone: (+44) 1481 728444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 Matthew E. Smith Amdocs, Inc. 1390 Timberlake Manor Parkway</w:t>
      </w:r>
    </w:p>
    <w:p>
      <w:pPr>
        <w:jc w:val="center"/>
        <w:ind w:right="-99"/>
        <w:spacing w:after="0" w:line="225" w:lineRule="auto"/>
        <w:rPr>
          <w:sz w:val="20"/>
          <w:szCs w:val="20"/>
          <w:color w:val="auto"/>
        </w:rPr>
      </w:pPr>
      <w:r>
        <w:rPr>
          <w:rFonts w:ascii="Arial" w:cs="Arial" w:eastAsia="Arial" w:hAnsi="Arial"/>
          <w:sz w:val="15"/>
          <w:szCs w:val="15"/>
          <w:b w:val="1"/>
          <w:bCs w:val="1"/>
          <w:color w:val="auto"/>
        </w:rPr>
        <w:t>Chesterfield, Missouri 63017 Telephone: 314-212-8328</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i w:val="1"/>
          <w:iCs w:val="1"/>
          <w:color w:val="auto"/>
        </w:rPr>
        <w:t>Copy to:</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Michael Kaplan Davis Polk &amp; Wardwell LLP 450 Lexington Avenue New York, NY 10017 (212)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3" w:lineRule="exact"/>
        <w:rPr>
          <w:sz w:val="24"/>
          <w:szCs w:val="24"/>
          <w:color w:val="auto"/>
        </w:rPr>
      </w:pPr>
    </w:p>
    <w:p>
      <w:pPr>
        <w:ind w:left="560"/>
        <w:spacing w:after="0"/>
        <w:rPr>
          <w:sz w:val="20"/>
          <w:szCs w:val="20"/>
          <w:color w:val="auto"/>
        </w:rPr>
      </w:pPr>
      <w:r>
        <w:rPr>
          <w:rFonts w:ascii="Arial" w:cs="Arial" w:eastAsia="Arial" w:hAnsi="Arial"/>
          <w:sz w:val="15"/>
          <w:szCs w:val="15"/>
          <w:b w:val="1"/>
          <w:bCs w:val="1"/>
          <w:color w:val="auto"/>
        </w:rPr>
        <w:t>Approximate date of commencement of proposed sale to the public</w:t>
      </w:r>
      <w:r>
        <w:rPr>
          <w:rFonts w:ascii="Arial" w:cs="Arial" w:eastAsia="Arial" w:hAnsi="Arial"/>
          <w:sz w:val="15"/>
          <w:szCs w:val="15"/>
          <w:color w:val="auto"/>
        </w:rPr>
        <w:t>: From time to time after this Registration Statement becomes effective.</w:t>
      </w:r>
    </w:p>
    <w:p>
      <w:pPr>
        <w:spacing w:after="0" w:line="31"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7" w:lineRule="exact"/>
        <w:rPr>
          <w:sz w:val="24"/>
          <w:szCs w:val="24"/>
          <w:color w:val="auto"/>
        </w:rPr>
      </w:pPr>
    </w:p>
    <w:p>
      <w:pPr>
        <w:ind w:left="120" w:right="280" w:firstLine="440"/>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220" w:firstLine="44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14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740" w:firstLine="440"/>
        <w:spacing w:after="0" w:line="193" w:lineRule="exact"/>
        <w:rPr>
          <w:sz w:val="20"/>
          <w:szCs w:val="20"/>
          <w:color w:val="auto"/>
        </w:rPr>
      </w:pPr>
      <w:r>
        <w:rPr>
          <w:rFonts w:ascii="Arial" w:cs="Arial" w:eastAsia="Arial" w:hAnsi="Arial"/>
          <w:sz w:val="15"/>
          <w:szCs w:val="15"/>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120" w:right="140" w:firstLine="440"/>
        <w:spacing w:after="0" w:line="193"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20" w:lineRule="exact"/>
        <w:rPr>
          <w:sz w:val="24"/>
          <w:szCs w:val="24"/>
          <w:color w:val="auto"/>
        </w:rPr>
      </w:pPr>
    </w:p>
    <w:p>
      <w:pPr>
        <w:ind w:left="560"/>
        <w:spacing w:after="0"/>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w:t>
      </w:r>
    </w:p>
    <w:p>
      <w:pPr>
        <w:spacing w:after="0" w:line="27" w:lineRule="exact"/>
        <w:rPr>
          <w:sz w:val="24"/>
          <w:szCs w:val="24"/>
          <w:color w:val="auto"/>
        </w:rPr>
      </w:pPr>
    </w:p>
    <w:p>
      <w:pPr>
        <w:ind w:left="92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8" w:lineRule="exact"/>
        <w:rPr>
          <w:sz w:val="24"/>
          <w:szCs w:val="24"/>
          <w:color w:val="auto"/>
        </w:rPr>
      </w:pPr>
    </w:p>
    <w:p>
      <w:pPr>
        <w:ind w:left="120" w:right="360" w:firstLine="440"/>
        <w:spacing w:after="0" w:line="193"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760" w:firstLine="436"/>
        <w:spacing w:after="0" w:line="255" w:lineRule="auto"/>
        <w:tabs>
          <w:tab w:leader="none" w:pos="675"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56"/>
        </w:trPr>
        <w:tc>
          <w:tcPr>
            <w:tcW w:w="488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Debt Securities</w:t>
            </w:r>
          </w:p>
        </w:tc>
        <w:tc>
          <w:tcPr>
            <w:tcW w:w="1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7"/>
              </w:rPr>
              <w:t>(1)</w:t>
            </w:r>
          </w:p>
        </w:tc>
        <w:tc>
          <w:tcPr>
            <w:tcW w:w="1540" w:type="dxa"/>
            <w:vAlign w:val="bottom"/>
            <w:tcBorders>
              <w:bottom w:val="single" w:sz="8" w:color="auto"/>
              <w:right w:val="single" w:sz="8" w:color="auto"/>
            </w:tcBorders>
          </w:tcPr>
          <w:p>
            <w:pPr>
              <w:jc w:val="center"/>
              <w:spacing w:after="0" w:line="156" w:lineRule="exact"/>
              <w:rPr>
                <w:sz w:val="20"/>
                <w:szCs w:val="20"/>
                <w:color w:val="auto"/>
              </w:rPr>
            </w:pPr>
            <w:r>
              <w:rPr>
                <w:rFonts w:ascii="Arial" w:cs="Arial" w:eastAsia="Arial" w:hAnsi="Arial"/>
                <w:sz w:val="15"/>
                <w:szCs w:val="15"/>
                <w:color w:val="auto"/>
                <w:w w:val="97"/>
              </w:rPr>
              <w:t>(1)</w:t>
            </w:r>
          </w:p>
        </w:tc>
        <w:tc>
          <w:tcPr>
            <w:tcW w:w="15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00" w:hanging="424"/>
        <w:spacing w:after="0" w:line="255"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170180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debt securities from time to time. Specific terms of these securities will be provided in supplements to this prospectus. A prospectus supplement may also add, update or change information contained in this prospectus. You should read this prospectus and any applicable supplement, as well as the documents incorporated herein and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firstLine="551"/>
        <w:spacing w:after="0" w:line="257" w:lineRule="auto"/>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Investing in these debt securities involves certain risks. See “</w:t>
      </w:r>
      <w:hyperlink w:anchor="page9">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on page 4 of this prospectus, in the applicable prospectus supplement and in the documents incorporated by reference herein for a discussion of the factors you should carefully consider before deciding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may offer and sell these debt securities to or through one or more agents, underwriters, dealers or other third parties or directly to one or more purchasers on a continuous or delayed basis. The names of any underwriters will be stated in the applicable prospectus supplement. This prospectus may not be used to offer and sell debt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the Guernsey Financial Services Commission nor the States of Guernsey take any responsibility for the financial soundness of the Company or for the correctness of any statements made, or opinions expressed, with regard to it. If you are in any doubt about the contents of this prospectus you should consult your accountant or legal, professional or financial adviser. The directors of the Company have taken all reasonable care to ensure that the facts stated in this prospectus are true and accurate in all material respects, and that there are no other facts the omission of which would make misleading any statement in the prospectus, whether facts or of opinion. All the directors of the Company accept responsibility accordingly. It should be remembered that the price of securities and the income from them can increase or decrease.</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June 15, 2020</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have not authorized anyone to provide any information other than that contained in or incorporated by reference into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into this prospectus or any prospectus supplement or in any such free writing prospectus is accurate as of any date other than their respective dates.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9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40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6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040" w:type="dxa"/>
            <w:vAlign w:val="bottom"/>
            <w:vMerge w:val="continue"/>
          </w:tcPr>
          <w:p>
            <w:pPr>
              <w:spacing w:after="0"/>
              <w:rPr>
                <w:sz w:val="16"/>
                <w:szCs w:val="16"/>
                <w:color w:val="auto"/>
              </w:rPr>
            </w:pPr>
          </w:p>
        </w:tc>
        <w:tc>
          <w:tcPr>
            <w:tcW w:w="66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Special Note On Forward-Looking Statements</w:t>
              </w:r>
            </w:hyperlink>
          </w:p>
        </w:tc>
        <w:tc>
          <w:tcPr>
            <w:tcW w:w="66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Amdocs Limited</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Incorporation of Documents by Reference</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Enforceability of U.S. Laws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Debt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Form of Debt Securities, Clearing and Settlement</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Plan of Distribution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Validity of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4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Experts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Documents by Reference.”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Unless otherwise noted or the context otherwise requires, references to “Amdocs,” “we,” “our,” “us” and the “Company” refer to Amdocs Limited and its consolidated subsidiaries, except where the context requires that such terms refer to Amdocs Limited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This prospectus, including the documents incorporated by reference herein,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including the documents incorporated by reference herein,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You should not rely on those forward-looking statements as representing our views as of any date subsequent to the date of the filing of this prospectus.</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the fiscal year ended September 30, 2019 and in our Report on Form 6-K filed on May 18, 2020, in each case, incorporated by reference into this document.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Amdocs Limited was incorporated as a non-cellular company limited by shares under the laws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w:t>
      </w:r>
    </w:p>
    <w:p>
      <w:pPr>
        <w:spacing w:after="0" w:line="149"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are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We also have technology and distribution ties to more than 1,400 content owners and over 800 video service providers worldwide, including Verizon, Turner and Warner Bros, to bring premium content to viewers on any screen, device or platform.</w:t>
      </w:r>
    </w:p>
    <w:p>
      <w:pPr>
        <w:spacing w:after="0" w:line="166"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foregoing information about us is only a general summary and is not intended to be comprehensive. You can find a more detailed description of our business and recent transactions in our Annual Report on Form 20-F for the fiscal year ended September 30, 2019, which is incorporated by reference into this prospectus.</w:t>
      </w:r>
    </w:p>
    <w:p>
      <w:pPr>
        <w:spacing w:after="0" w:line="200" w:lineRule="exact"/>
        <w:rPr>
          <w:sz w:val="20"/>
          <w:szCs w:val="20"/>
          <w:color w:val="auto"/>
        </w:rPr>
      </w:pPr>
    </w:p>
    <w:p>
      <w:pPr>
        <w:spacing w:after="0" w:line="348"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Our registered office is Hirzel House, Smith Street, St. Peter Port, Guernsey, GY1 2NG, and the telephone number at that location is +44-1481-728444.</w:t>
      </w:r>
    </w:p>
    <w:p>
      <w:pPr>
        <w:spacing w:after="0" w:line="170"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We maintain a website at www.amdocs.com where general information about us is available. The information on or accessible through our interest site is not incorporated by reference into, and is not made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20"/>
          </w:cols>
          <w:pgMar w:left="320" w:top="459" w:right="7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required under the U.S. Securities Act of 1933, as amended (the “Securities Act”), we have filed a registration statement on Form F-3 relating to the securities offered by this prospectus. This prospectus, which is a part of that registration statement, does not contain all of the information set forth in the registration statement and incorporates by reference important business and financial information about us which is not included in or delivered with this prospectus. Whenever a reference is made in this prospectus or the applicable prospectus supplement to a contract or other document of ours, please be aware that the reference is only to a summary and that you should refer to the exhibits that are a part of the registration statement or that we otherwise filed with the SEC for a copy of the contract or other document.</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file annual and other reports and information with the SEC in accordance with the information requirements of the U.S. Securities Exchange Act of 1934, as amended (the “Exchange Act”). The SEC maintains an Internet site at http://www.sec.gov that contains reports, proxy and information statements and other information we have filed electronically with the SEC.</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SEC allows us to “incorporate by reference” the information we file with the SEC.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an important part of this prospectus and should be read with the same care. When we add to or update the information contained in documents that have been incorporated by reference by making future filings with the SEC, the information contained in or incorporated by reference into this prospectus is considered to be automatically updated and, where applicable,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incorporate by reference the documents listed below and all documents we file pursuant to Section 13(a), 13(c), 14, or 15(d) of the Securities Exchange Act of 1934, as amended, on or after the date of this prospectus and prior to the termination of the offering under this prospectus and any prospectus supplement (other than, in each case, documents or information deemed to have been furnished and not filed in accordance with SEC rules):</w:t>
      </w:r>
    </w:p>
    <w:p>
      <w:pPr>
        <w:spacing w:after="0" w:line="54" w:lineRule="exact"/>
        <w:rPr>
          <w:sz w:val="20"/>
          <w:szCs w:val="20"/>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0">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September 30, 2019;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Reports on Form 6-K filed with the SEC on </w:t>
      </w:r>
      <w:hyperlink r:id="rId31">
        <w:r>
          <w:rPr>
            <w:rFonts w:ascii="Arial" w:cs="Arial" w:eastAsia="Arial" w:hAnsi="Arial"/>
            <w:sz w:val="18"/>
            <w:szCs w:val="18"/>
            <w:u w:val="single" w:color="auto"/>
            <w:color w:val="0000EE"/>
          </w:rPr>
          <w:t>February 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May 18,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provide without charge to each person, including any beneficial owner, to whom this prospectus is delivered, upon his or her written or oral request, a copy of any or all documents referred to above which have been or may be incorporated by reference into this prospectus other than exhibits which are not specifically incorporated by reference into those documents. You may request a copy of these filings at no cost, by writing to Matthew E. Smith at Amdocs Limited, c/o Amdocs, Inc., 1390 Timberlake Manor Parkway, Chesterfield, Missouri 63017 or by calling at 314-212-8328.</w:t>
      </w:r>
    </w:p>
    <w:p>
      <w:pPr>
        <w:spacing w:after="0" w:line="9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U.S. LAWS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a non-cellular company limited by shares incorporated under the laws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Subject to the specific facts of a matter, the Guernsey courts would generally recognize any final and conclusive judgment under which a sum of money is payable (not being a sum payable in respect of taxes or other charges of a like nature or in respect of a fine or other penalty) obtained against the Company in the courts of jurisdiction to which the Judgments (Reciprocal Enforcement) (Guernsey) Law, 1957 does not apply, such as the United States, if deemed to have jurisdiction, in respect of the relevant matter in accordance with the principles of private international law as applied by Guernsey law and such judgment would be sufficient to form the basis of proceedings in the Guernsey courts for a claim for liquidated damages in the amount of such judgment. In such proceedings, the Guernsey courts would not re-hear the case on its merits save in accordance with the principles of private international law that form part of the laws of Guernsey or are otherwise applied by the Guernsey courts in respect of matters of Guernsey law.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Investing in our debt securities involves risk. Before making an investment decision, you should carefully consider the risks described under “Risk Factors” in the applicable prospectus supplement, in our then most recent Annual Report on Form 20-F, “Part II—Item 3—Risk Factors” in our report on Form 6-K filed with the SEC on May 18, 2020 and any updates to those risk factors in our future filings, together with all of the other information appearing in or incorporated by reference into this prospectus and any applicable prospectus supplement, in light of your particular investment objectives and financial circumstances.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the net proceeds from the sale of the securities will be used for general corporate purposes, including working capital, acquisitions, retirement of debt and other business opportunities.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prospectus describes certain general terms and provisions of our debt securities and the related indenture. The debt securities will be issued in one or more series under an indenture, to be entered into between us and The Bank of New York Mellon, as trustee (as amended and supplemented from time to time, the “indenture”), or any successor trustee, the form of which is attached as an exhibit to the registration statement to which this prospectus relates. When we offer to sell a particular series of debt securities, we will describe the specific terms of that series in one or more prospectus supplements and such description will supplement and, to the extent inconsistent with any portion of the description of our debt securities and the indenture contained in this prospectus, supersede the applicable portion of the description contained in this prospectus.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is subject to any amendments or supplements we may enter into from time to time as permitted under the indenture. We will file any amendments or supplements to the indenture as exhibits to a Report on Form 6-K or a post-effective amendment to the registration statement to which this prospectus relates.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statements herein relating to the debt securities and the indenture are summaries and are subject to and qualified in its entirety by reference to the detailed provisions of the debt securities and the indenture. The descriptions set forth in this prospectus do not restate the indenture and do not contain all the information you may find useful. We urge you to read the indenture because it, and not the summary set forth in this prospectus or contained in any applicable prospectus supplement, defines your rights as a holder of the debt securities. Whenever we refer to particular sections of or defined terms in the indenture, those sections and definitions are incorporated by reference. The indenture is subject to and governed by the Trust Indenture Act of 1939, as amended (the “Trust Indenture Act”).</w:t>
      </w:r>
    </w:p>
    <w:p>
      <w:pPr>
        <w:spacing w:after="0" w:line="1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 used in this description of debt securities, “we,” “our,” “us,” “Amdocs” and the “Company” refer solely to Amdocs Limited and not to any of our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will describe in one or more prospectus supplements the terms of the series of debt securities that we may offer and the supplemental indenture relating to such series of debt securities. These terms will include the following:</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and the aggregate principal amount of the debt securities of the series;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any specific subordination provisions applicable thereto;</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convertible into or exchangeable for our common stock or other securities and the terms and conditions governing such exchange or conversion;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the series which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shall be payable;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or rates, or the method of determination thereof, at which the debt securities of the series shall bear interest, the date or dates from which that interest shall accrue, the interest payment dates on which that interest shall be payable and the record dates for the determination of holders to whom interest is payable;</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other than U.S. dollars, the currency of the debt securities of the series and the currency in which payments on the debt securities of the series shall be payable;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applicable, the price or prices at which, the period or periods within which and the terms and conditions upon which debt securities of the series may be redeemed, in whole or in part, at our option, pursuant to any sinking fund or otherwise;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applicable, our obligation to redeem, purchase or repay debt securities of the series pursuant to any sinking fund or analogous provisions or at the option of a holder thereof and the price at which or process by which and the period or periods within which and the terms and conditions upon which debt securities of the series would be redeemed, purchased or repaid, in whole or in part, pursuant to such obligation;</w:t>
      </w:r>
    </w:p>
    <w:p>
      <w:pPr>
        <w:spacing w:after="0" w:line="9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in minimum denominations of $2,000 and integral multiples of $1,000 in excess thereof, the denominations in which debt securities of the series shall be issuable;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events of default, if different from the existing events of default under the indenture described in this prospectus, and whether such additional or modified events of default are subject to covenant defeasance and/or legal defeasance;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trustee, if different from the existing trustee under an indenture;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modification of, any covenants set forth in the indenture with respect to the debt securities of any series, and whether any such additional or modified covenant is subject to covenant defeasance;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jc w:val="both"/>
        <w:ind w:left="120" w:right="440"/>
        <w:spacing w:after="0" w:line="342" w:lineRule="auto"/>
        <w:rPr>
          <w:sz w:val="20"/>
          <w:szCs w:val="20"/>
          <w:color w:val="auto"/>
        </w:rPr>
      </w:pPr>
      <w:r>
        <w:rPr>
          <w:rFonts w:ascii="Arial" w:cs="Arial" w:eastAsia="Arial" w:hAnsi="Arial"/>
          <w:sz w:val="16"/>
          <w:szCs w:val="16"/>
          <w:color w:val="auto"/>
        </w:rPr>
        <w:t>Unless otherwise specified in any applicable prospectus supplement, when we use the term “business day,” we mean any calendar day that is not a Saturday, Sunday or a day on which commercial banking institutions are not required to be open for business in The City of New York, New York.</w:t>
      </w:r>
    </w:p>
    <w:p>
      <w:pPr>
        <w:spacing w:after="0" w:line="1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Unless otherwise specified in any applicable prospectus supplement, each series of the debt securities will be issued in the form of one or more fully-registered debt securities in global form registered in the name of the nominee of The Depository Trust Company (“DTC”).</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indenture will not limit the aggregate amount of debt securities that we may issue. We may issue debt securities under the indenture up to the aggregate principal amount authorized by our board of directors from time to time. In addition, the indenture does not limit our ability to incur senior debt, subordinated or secured debt, or our ability, or that of any of our existing or future subsidiaries, to incur other indebtedness and other liabilities or issue preferred stock.</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may, from time to time, without the consent of the holders of debt securities of a particular series, reopen that series of debt securities and issue additional debt securities of that series having the same ranking and the same interest rate, maturity and other terms as the debt securities of that series, except for the public offering price, the issue date and, if applicable, the initial interest payment date and initial interest accrual date. Any such additional debt securities, together with the debt securities of the same series initially offered by this prospectus and any applicable prospectus supplement, will constitute a single series of debt securities under the indenture; provided that if the additional debt securities are not fungible for U.S. federal income tax purposes with the debt securities of the same series initially offered by this prospectus and any applicable prospectus supplement, the additional debt securities will be issued under a separate CUSIP, ISIN or other identifying number, as applicable. No additional debt securities may be issued if an event of default has occurred and is continuing with respect to the series of debt securities of which those additional debt securities would be a part.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we inform you otherwise in the applicable prospectus supplement, the debt securities will not be listed on any securities exchange.</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trustee will initially be the registrar and paying agent for the debt securities. We will maintain an office in the continental United States where we will pay the principal of, and any premium and interest on, the debt securities and you may present the debt securities for registration of transfer and exchange. We have designated the corporate trust office of the trustee for this purpose.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Unless otherwise specified in any applicable prospectus supplement, each series of debt securities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that series of debt securities. Each series of debt securities that is unsecured will be effectively subordinated in right of payment to all of our secured indebtedness, if any, to the extent of the value of the assets securing that indebtedness. The debt securities will not be guaranteed by any of our subsidiaries, and, as a result, will be structurally subordinated in right of payment to all existing and future indebtedness and other liabilities of our existing and future subsidiaries, which are separate legal entities from us and have no obligation to pay any amounts due pursuant to the debt securities or make funds available for such purpose.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summaries of certain covenants in the indenture that apply to us, unless otherwise provided in an applicable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indenture will not significantly limit our operations. In particular, the indenture will not:</w:t>
      </w:r>
    </w:p>
    <w:p>
      <w:pPr>
        <w:spacing w:after="0" w:line="11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amount or frequency of dividends that we can pay;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amount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number of series of debt securities that we may issue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or otherwise restrict the amount of indebtedness which we or our subsidiaries may incur; or</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contain any covenant or other provision that is specifically intended to afford any holder of debt securities any protection in the event of highly-leveraged transactions or similar transactions involving us or our subsidiaries.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indenture will provide that we will not (i) merge or consolidate with any other person or (ii) sell, convey, transfer or otherwise dispose of all or substantially all of our assets to any person (other than a subsidiary), in each case unless:</w:t>
      </w:r>
    </w:p>
    <w:p>
      <w:pPr>
        <w:spacing w:after="0" w:line="76" w:lineRule="exact"/>
        <w:rPr>
          <w:sz w:val="20"/>
          <w:szCs w:val="20"/>
          <w:color w:val="auto"/>
        </w:rPr>
      </w:pPr>
    </w:p>
    <w:p>
      <w:pPr>
        <w:ind w:left="1080" w:right="180" w:hanging="424"/>
        <w:spacing w:after="0" w:line="25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either we are the continuing person or the successor person (if not us) is a corporation, limited liability company or other entity that pursuant to a supplemental indenture to the indenture expressly assumes all of our obligations under the indenture and the debt securities issued and outstanding thereunder; provided that, in the event that the successor person is not a corporation, another person that is a corporation shall expressly assume, as co-obligor with that successor person, all of our obligations under the indenture and the debt securities issued and outstanding thereunder;</w:t>
      </w:r>
    </w:p>
    <w:p>
      <w:pPr>
        <w:spacing w:after="0" w:line="93"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that merger or consolidation, or that sale, conveyance, transfer or other disposition, no default or event of default has occurred and is continuing under the indenture; and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the merger, consolidation, sale, conveyance, transfer or other disposition and that supplemental indenture (if any) comply with the indenture and, with respect to such opinion of counsel, that such supplemental indenture (if any) is authorized or permitted by the indenture and is the legal, valid and binding obligation of such successor person.</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convey, transfer or lease all or any part of its properties or assets to us or any of our subsidiaries.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27" w:lineRule="auto"/>
        <w:rPr>
          <w:sz w:val="20"/>
          <w:szCs w:val="20"/>
          <w:color w:val="auto"/>
        </w:rPr>
      </w:pPr>
      <w:r>
        <w:rPr>
          <w:rFonts w:ascii="Arial" w:cs="Arial" w:eastAsia="Arial" w:hAnsi="Arial"/>
          <w:sz w:val="15"/>
          <w:szCs w:val="15"/>
          <w:color w:val="auto"/>
        </w:rPr>
        <w:t>In the event of any such merger, consolidation, sale, conveyance (other than by way of lease), transfer or other disposition, and upon any such assumption by the successor person or persons, such successor person or persons shall succeed to and be substituted for us, with the same effect as if it or they had been named in the indenture and the debt securities as us and we shall be relieved of any further obligations under the indenture and under the debt securities issued and outstanding thereunder and the predecessor company may be dissolved, wound up and liquidated at any time thereafter.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Under the indenture, we will be required to file with the trustee, within 15 days after we file the same with the SEC, copies of the annual reports and of the information, documents and other reports that we are required to file with the SEC pursuant to Section 13 or Section 15(d) of the Exchange Act or pursuant to Section 314 of the Trust Indenture Act. Annual reports, information, documents and other reports that are filed or furnished by us with the SEC via the EDGAR system or any successor electronic delivery procedure will be deemed to be filed with the trustee at the time those documents are filed via the EDGAR system or such successor procedure. Delivery of those reports, information and documents to the trustee is for informational purposes only, and the trustee’s receipt thereof will not constitute actual or constructive notice of any information contained therein or determinable from information contained therein, including our compliance with any of our covenants in the indenture (as to which the trustee is entitled to rely conclusively upon officers’ certificates). The trustee shall have no liability whatsoever to determine whether any financial information has been filed or posted by us on the EDGAR system (or any successor system) or have any duty to monitor or determine whether we have delivered the reports described hereunder or otherwise complied with our obligations under this “—Certain Covenants—Reports”.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provided in any applicable prospectus supplement, any of the following events will constitute an event of default under the indenture with respect to any series of debt securities:</w:t>
      </w:r>
    </w:p>
    <w:p>
      <w:pPr>
        <w:spacing w:after="0" w:line="76" w:lineRule="exact"/>
        <w:rPr>
          <w:sz w:val="20"/>
          <w:szCs w:val="20"/>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that series of debt securities when due and payable, and the continuance of that default for 30 days;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that series of debt securities when due and payable (whether at maturity, upon redemption or otherwise);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observe or perform any covenant or agreement in the indenture in respect of the debt securities of that series, which failure continues for 90 days after receipt of written notice to us from the trustee or to us and the trustee from the holders of at least 25% of the outstanding aggregate principal amount of that series of debt securities as provided in the indenture, in each case, requiring us to remedy the same;</w:t>
      </w:r>
    </w:p>
    <w:p>
      <w:pPr>
        <w:spacing w:after="0" w:line="92" w:lineRule="exact"/>
        <w:rPr>
          <w:rFonts w:ascii="Arial" w:cs="Arial" w:eastAsia="Arial" w:hAnsi="Arial"/>
          <w:sz w:val="18"/>
          <w:szCs w:val="18"/>
          <w:color w:val="auto"/>
        </w:rPr>
      </w:pPr>
    </w:p>
    <w:p>
      <w:pPr>
        <w:ind w:left="1080" w:hanging="424"/>
        <w:spacing w:after="0" w:line="290"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a failure to make any payment at maturity, including any applicable grace period, on any of our indebtedness (other than indebtedness we owe to any of our subsidiaries) outstanding in an amount in excess of $100 million or (b) a default on any of our indebtedness (other than indebtedness we owe to any of our subsidiaries), which default results in the acceleration of such indebtedness in an amount in excess of $100 million, without such indebtedness having been discharged or the acceleration having been cured, waived, rescinded or annulled, in the case of clause (a) or (b) above, for a period of 30 days after written notice thereof to us by the trustee or to us and the trustee by the holders of not less than 25% in aggregate principal amount of then outstanding debt securities of that series (including any additional debt securities); provided, however, that if any failure, default or acceleration referred to in clause (a) or (b) above ceases or is cured, waived, rescinded or annulled, then the event of default will be deemed cured; and</w:t>
      </w:r>
    </w:p>
    <w:p>
      <w:pPr>
        <w:spacing w:after="0" w:line="70"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specified events relating to the bankruptcy, désastre, insolvency, reorganization or receivership of us.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If an event of default arising from specified events of the bankruptcy, désastre, insolvency, reorganization or receivership of us occurs with respect to a series of debt securities, the principal amount of all outstanding debt securities of that series will become due and payable immediately, without further action or notice on the part of the holders of the debt securities of that series or the trustee.</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any other event of default with respect to a series of debt securities occurs, the trustee or the holders of not less than 25% in aggregate principal amount of the outstanding debt securities of that series may declare the principal amount of the debt securities of that series to be due and payable immediately, by a notice in writing to us, and to the trustee if given by holders. Upon any such declaration, the principal amount of that series of debt securities will become immediately due and payable.</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However, at any time after a declaration declaring the principal amount of a series of debt securities to be due and payable immediately has been made or any series of debt securities shall have otherwise become due and payable, but before a judgment or decree for payment of the money due has been obtained, the holders of a majority in aggregate principal amount of the outstanding debt securities of that series of debt securities may, subject to conditions specified in the indenture, rescind and annul that declaration or acceleration and its consequences.</w:t>
      </w:r>
    </w:p>
    <w:p>
      <w:pPr>
        <w:spacing w:after="0" w:line="17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The trustee will be under no obligation to exercise any of its rights or powers under the indenture at your request, order or direction, unless you have offered to the trustee security or indemnity satisfactory to the trustee. Subject to the provisions for the security or indemnification of the trustee and otherwise in accordance with the conditions specified in the indenture, the holders of a majority in aggregate principal amount of outstanding debt securities of any series issued under the indenture have the right to direct the time, method and place of conducting any proceeding for any remedy available to the trustee, or exercising any trust or power conferred on the trustee in connection with the debt securities of such series.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Default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trustee will, within 90 days after a responsible officer of the trustee obtains actual knowledge of the occurrence of a default with respect to a series of debt securities, send to the holders of such debt securities notice of such default relating to such series of debt securities, unless such default has been cured or waived. However, the Trust Indenture Act and the indenture permit the trustee to withhold notices of defaults (except for certain payment defaults) if the trustee in good faith determines the withholding of such notices is in the interests of the 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furnish the trustee with an annual officers’ certificate certifying as to our compliance with the conditions and covenants in the indenture.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 and Enforcement of Right of Payment</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You will not have any right to institute any proceeding under or with respect to the indenture or for any remedy under the indenture, unless you have previously given to the trustee written notice of a continuing event of default with respect to the debt securities you hold. In addition, the holders of at least 25% in aggregate principal amount of the outstanding debt securities of a series must have made written request, and offered to the trustee such indemnity as it may require, to institute that proceeding as trustee, and, within 90 days following the receipt of that notice, request and offer of indemnity, the trustee must not have received from the holders of a majority in principal amount of the outstanding debt securities of that series a direction inconsistent with that request, and must have failed to institute the proceeding. However, you will have an absolute right to receive payment of the principal of, and any premium or interest on, the debt securities you hold at the place, time, rates and in the currency expressed in the indenture and the debt securities you hold and to institute a suit for the enforcement of that payment.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w:t>
      </w:r>
    </w:p>
    <w:p>
      <w:pPr>
        <w:spacing w:after="0" w:line="121"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We may enter into supplemental indentures for the purpose of adding any provisions to or changing in any manner or eliminating any of the provisions of the indenture with respect to one or more series of debt securities issued thereunder with the consent of holders of a majority in aggregate principal amount of the outstanding debt securities of all such series affected by such modification or amendment, voting as a single class. However, the consent of each holder affected is required for any amendment to:</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the stated maturity of principal of, or any installment of principal of or interest on, any debt security;</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series of subordinated debt securities, modify the subordination provisions of that series of subordinated debt securities in a manner materially adverse to the holders of that series of subordinated debt securities;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the right of any holder of the debt securities to convert or exchange any debt security into or for our common stock or other securities in accordance with the terms of such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if any, on any debt security or alter the manner of calculation of interest payable on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principal amount or premium, if any, on any debt security;</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the principal of, and any premium or interest on, any debt security payable in a different currency than that stated in the debt security;</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any series of outstanding debt securities, the holders of which are required to consent to any supplemental indenture or to any waiver of any past default or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any place of payment where the debt securities or interest thereon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modify the interest rate reset provision of any debt security;</w:t>
      </w:r>
    </w:p>
    <w:p>
      <w:pPr>
        <w:spacing w:after="0" w:line="130"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impair the right of any holder of the debt securities to receive payment of the principal of, and any premium or interest on, any debt securities on or after the respective due dates for such principal, premium or interest, or to institute suit for the enforcement of any such payment, or reduce the amount of the principal of an original issue discount security that would be due and payable upon an acceleration of the maturity thereof, or adversely affect the right of repayment, if any, at the option of the holder, or extend the time for, or reduce the amount of, any payment to any sinking fund or analogous obligation relating to any debt security; or</w:t>
      </w:r>
    </w:p>
    <w:p>
      <w:pPr>
        <w:spacing w:after="0" w:line="81" w:lineRule="exact"/>
        <w:rPr>
          <w:rFonts w:ascii="Arial" w:cs="Arial" w:eastAsia="Arial" w:hAnsi="Arial"/>
          <w:sz w:val="17"/>
          <w:szCs w:val="17"/>
          <w:color w:val="auto"/>
        </w:rPr>
      </w:pPr>
    </w:p>
    <w:p>
      <w:pPr>
        <w:ind w:left="1080" w:right="20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modify provisions of the indenture relating to waiver of defaults or amendment of the indenture, except to increase the percentage in aggregate principal amount of debt securities whose holders must consent to an amendment or to provide that certain other provisions of the indenture cannot be modified or waived without the consent of the holder of each outstanding debt security affected by the modification or waiver.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the foregoing, holders of the debt securities of any series shall vote as a separate class with respect to modifications or amendments that affect only the debt securities of that series, and the holders of other series of debt securities shall not have any voting rights with respect to those matters as they relate to the debt securities of that series.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we and the trustee may enter into supplemental indentures without the consent of the holders of the debt securities of any series for one or more of the following purposes:</w:t>
      </w:r>
    </w:p>
    <w:p>
      <w:pPr>
        <w:spacing w:after="0" w:line="76" w:lineRule="exact"/>
        <w:rPr>
          <w:sz w:val="20"/>
          <w:szCs w:val="20"/>
          <w:color w:val="auto"/>
        </w:rPr>
      </w:pPr>
    </w:p>
    <w:p>
      <w:pPr>
        <w:ind w:left="1080" w:right="4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evidence that another person has become our successor and/or to add a co-obligor under the provisions of the indenture relating to mergers, consolidations, sales, conveyances, transfers or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42" w:lineRule="auto"/>
        <w:rPr>
          <w:sz w:val="20"/>
          <w:szCs w:val="20"/>
          <w:color w:val="auto"/>
        </w:rPr>
      </w:pPr>
      <w:r>
        <w:rPr>
          <w:rFonts w:ascii="Arial" w:cs="Arial" w:eastAsia="Arial" w:hAnsi="Arial"/>
          <w:sz w:val="16"/>
          <w:szCs w:val="16"/>
          <w:color w:val="auto"/>
        </w:rPr>
        <w:t>dispositions of assets described under “—Certain Covenants—Consolidation, Merger and Sale of Assets” in this prospectus, and that the successor or successors assume our covenants, agreements and obligations in the indenture and in the debt securities issued thereunder;</w:t>
      </w:r>
    </w:p>
    <w:p>
      <w:pPr>
        <w:spacing w:after="0" w:line="29" w:lineRule="exact"/>
        <w:rPr>
          <w:sz w:val="20"/>
          <w:szCs w:val="20"/>
          <w:color w:val="auto"/>
        </w:rPr>
      </w:pPr>
    </w:p>
    <w:p>
      <w:pPr>
        <w:ind w:left="1080" w:hanging="424"/>
        <w:spacing w:after="0" w:line="293"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add to our covenants further covenants, restrictions, conditions or provisions for the protection of the holders of all or any series of the debt securities as our board of directors shall consider to be for the protection of the holders of those debt securities, and to make a default in any of these additional covenants, restrictions, conditions or provisions a default or an event of default under the indenture; provided, however,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6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conform the terms of any series of debt securities to the description thereof in the applicable prospectus supplement; provided that any amendment made solely to conform the provisions of the indenture to the description of the debt securities contained in this prospectus or any applicable prospectus supplement or other offering document pursuant to which the debt securities were sold will not be deemed to adversely affect the interests of the holders of that series of debt securities;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forms or terms of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provisions that may be defective or inconsistent with any other provision or to make such other provisions in regard to matters or questions arising under the indenture that do not adversely affect the interests of the holders of such series of debt securities in any material respect;</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modify or amend the indenture to permit the qualification of the indenture or any supplemental indentures under the Trust Indenture Act as then in effect;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issuance of additional debt securities of any series;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exchange of any debt securities in global form represented by one or more global certificates for debt securities of the same series issued under the indenture in definitive certificated form in the circumstances permitted by the terms of the indenture and those debt securities, and to make all appropriate changes to the indenture for that purpose;</w:t>
      </w:r>
    </w:p>
    <w:p>
      <w:pPr>
        <w:spacing w:after="0" w:line="8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supplemental indentures in respect of one or more series of debt securities; provided that any such addition, change or elimination (i) shall not apply to, or modify the rights of any holder of, any debt security of any series created prior to the execution of such supplemental indentures or (ii) shall become effective only when no debt securities of any series created prior to the execution of such supplemental indentures are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guarantees with respect to any series of debt securities or to secure any series of debt securities;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or separate trustee with respect to the debt securities of any one or more series.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Indenture</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have the right to terminate all of our obligations with respect to a series of debt securities under the covenants described under “—Certain Covenants” in this prospectus and under such other covenants for that series as may be established and specified in the future in accordance with the terms of the indenture and to provide that any event of default expressed to be subject to covenant defeasance under the indenture shall no longer constitute an event of default under the indenture with respect to that series of debt securities, following irrevocably depositing in trust with the trustee, as trust funds solely for the benefit of holders of debt securities of that series, money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that series to their maturity or redemption, as the case may be, and complying with certain other conditions, including delivery to the trustee of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w:t>
      </w:r>
    </w:p>
    <w:p>
      <w:pPr>
        <w:spacing w:after="0" w:line="178"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color w:val="auto"/>
        </w:rPr>
        <w:t>In addition, we have the right at any time to terminate all of our obligations under the indenture with respect to any series of debt securities issued thereunder, other than (i) your right to receive, solely from the trust fund described below, payment of the principal of and each installment, if any, of principal of and interest on, the outstanding debt of such series on the stated maturity of such principal or installment of principal or interest due and</w:t>
      </w:r>
    </w:p>
    <w:p>
      <w:pPr>
        <w:spacing w:after="0" w:line="2" w:lineRule="exact"/>
        <w:rPr>
          <w:sz w:val="20"/>
          <w:szCs w:val="20"/>
          <w:color w:val="auto"/>
        </w:rPr>
      </w:pPr>
    </w:p>
    <w:p>
      <w:pPr>
        <w:ind w:left="120" w:right="20" w:hanging="4"/>
        <w:spacing w:after="0" w:line="285" w:lineRule="auto"/>
        <w:tabs>
          <w:tab w:leader="none" w:pos="3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obligations relating to the defeasance trust and obligations to register the transfer or exchange of the debt securities, to replace mutilated, lost or stolen debt securities, to maintain a registrar and paying agent in respect of the debt securities, to pay compensation to, and expenses of, and indemnify, the trustee, and with respect to the resignation or removal of the trustee, following irrevocably depositing in trust with the trustee, as trust funds solely for the benefit of holders of debt securities of that series, money in an amount sufficient, U.S. government obligations or foreign governments obligations (in the case of debt securities denominated in a foreign currency) the scheduled payments of principal and interest on which shall be sufficient, or a combination thereof sufficient, (which, in the case of U.S. government obligations or foreign government obligations, shall be determined in the opinion of an internationally recognized firm of independent accountants expressed in a written certificate delivered to the trustee), without consideration of any reinvestment of interest, to pay principal of, and any premium or interest on, the debt securities of such series to their maturity or redemption, as the case may be, and complying with certain other conditions, including delivery to the trustee of a ruling received from the Internal Revenue Service or an opinion of counsel to the effect that beneficial owners will not recognize income, gain or loss for U.S. federal income tax purposes as a result of our exercise of such right and will be subject to federal income tax on the same amount and in the same manner and at the same times as would have been the case otherwise, which, in the case of an opinion of counsel, is based upon a change in law after the date of the indenture.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indenture will generally cease to be of any further effect with respect to any series of debt securities issued thereunder (except with respect to provisions that, by their terms, survive), if:</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either (i) we have delivered to the trustee for cancellation all outstanding debt securities of that series (with certain limited exceptions), or</w:t>
      </w:r>
    </w:p>
    <w:p>
      <w:pPr>
        <w:spacing w:after="0" w:line="46" w:lineRule="exact"/>
        <w:rPr>
          <w:rFonts w:ascii="Arial" w:cs="Arial" w:eastAsia="Arial" w:hAnsi="Arial"/>
          <w:sz w:val="16"/>
          <w:szCs w:val="16"/>
          <w:color w:val="auto"/>
        </w:rPr>
      </w:pPr>
    </w:p>
    <w:p>
      <w:pPr>
        <w:jc w:val="both"/>
        <w:ind w:left="1080" w:right="20" w:firstLine="8"/>
        <w:spacing w:after="0" w:line="253" w:lineRule="auto"/>
        <w:tabs>
          <w:tab w:leader="none" w:pos="13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of the outstanding debt securities of that series not previously delivered to the trustee for cancellation have become due and payable, or are by their terms to become due and payable within one year, or called for redemption within one year under arrangements satisfactory to the trustee, and we have deposited with the trustee in trust, funds sufficient to pay at maturity or upon redemption all of the outstanding debt securities of that series;</w:t>
      </w:r>
    </w:p>
    <w:p>
      <w:pPr>
        <w:spacing w:after="0" w:line="98"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pay or cause to be paid all other sums then payable under the indenture by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irrevocable instructions to the trustee under the indenture to apply the deposited money toward the payment of such debt securities at maturity or the redemption date, as the case may be;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each stating that all conditions precedent to satisfaction and discharge have been satisfied.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Subject to applicable law, any monies, U.S. government obligations and foreign government obligations (in the case of debt securities denominated in a foreign currency) deposited with the trustee for payment of principal of, and any premium or interest on, the debt securities of any series and not applied but remaining unclaimed by the holders of the debt securities of that series for two years after the date upon which the principal of, and any premium or interest on, the debt securities of such series, as the case may be, shall have become due and payable, shall be repaid to us by the trustee on written demand. Thereafter, the holders of the debt securities of that series may look only to us for payment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indenture will provide that certain debt securities, including those debt securities owned by us or any other obligor of the applicable debt securities or any person directly or indirectly controlled by or under direct or indirect common control with us or any other obligor of the applicable debt securities, will not be deemed to be “outstanding” in determining whether the holders of the requisite aggregate principal amount of the outstanding debt securities of a particular series have concurred in or given or taken any request, demand, authorization, direction, notice, consent, waiver or other action under the indenture as of any date, or are present at a meeting of holders for quorum purposes, except that, in determining whether the trustee shall be protected in relying on any request, demand, authorization, direction, notice, consent, waiver or other action, only debt securities that a responsible officer of the trustee has actual knowledge to be so owned shall be so disregarded.</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be entitled to set any day as a record date for the purpose of determining the identity of holders of debt securities of any series issued under the indenture entitled to vote or consent (or to revoke any vote or consent) to any action under the indenture, in the manner and subject to the limitations provided in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a Trustee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trustee may resign under the indenture at any time by giving written notice thereof to us.</w:t>
      </w:r>
    </w:p>
    <w:p>
      <w:pPr>
        <w:spacing w:after="0" w:line="22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Under certain circumstances, we may remove the trustee and appoint a successor trustee. The trustee may also be removed by act of the holders of a majority in aggregate principal amount of the then outstanding debt securities of one or more series issued and outstanding under the indenture.</w:t>
      </w:r>
    </w:p>
    <w:p>
      <w:pPr>
        <w:spacing w:after="0" w:line="12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No resignation or removal of a trustee and no appointment of a successor trustee will become effective until the acceptance of appointment by a successor trustee in accordance with the requirements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 and Consent to Jurisdiction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indenture and any debt securities issued under the indenture, and any claim, controversy or dispute arising under or related to the indenture and the debt securities will be, governed by and construed in accordance with the laws of the State of New York.</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will agree that any legal action or proceeding arising out of or based upon the indenture may be instituted in any U.S. federal or New York State court located in the City of New York and any appellate court thereof, and we have irrevocably submitted to the non-exclusive jurisdiction of any such court in any such action or proceeding and waive, to the fullest extent permitted by law, the defense of an inconvenient forum to the maintenance of such action or proceeding and any right to any other jurisdiction on account of our present or future place of residence or domicile or for any other reason. We have also agreed that, to the extent that we are or become entitled to any sovereign or other immunity, we will waive such immunity in respect of our obligations under the indenture.</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have appointed Amdocs, Inc., located at 1390 Timberlake Manor Parkway, Chesterfield, Missouri 63017, as our agent upon which process may be served in any such action.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Judgment Currency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for the purposes of obtaining judgment in any court it is necessary to convert a sum due into any currency other than U.S. dollars to the fullest extent permitted by law, the rate of exchange used shall be the rate at which in accordance with normal banking procedures the payee could purchase U.S. dollars with such other currency in The City of New York on the business day preceding that on which final judgment is given. Our obligation with respect to any sum due from us to the trustee and the holders of the debt securities shall, notwithstanding any judgment in a currency other than U.S. dollars, not be discharged until the first business day following receipt by the trustee or the holders of the debt securities any sum in such other currency, and only to the extent that the trustee or such holders may in accordance with normal banking procedures purchase U.S. dollars with such other currency. If the U.S. dollars so purchased are less than the sum originally due to the trustee or the holders of the debt securities, we will indemnify the trustee and such holders of debt securities against such loss. If the U.S. dollars so purchased are greater than the sum originally due to the trustee or the holders of debt securities, the trustee and the holders of debt securities agree to pay to us an amount equal to the excess of the U.S. dollars so purchased over the sum originally due to such person.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DEBT SECURITIES, CLEARING AND SETTLEMENT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Unless otherwise indicated in an applicable prospectus supplement, DTC, which we refer to along with its successors in this capacity as the “depositary,” will act as securities depositary for the debt securities. Unless otherwise indicated in an applicable prospectus supplement, each series of debt securities will be issued as fully-registered securities registered in the name of Cede &amp; Co., the depositary’s nominee. One or more fully registered global security certificates, representing the total aggregate principal amount of each series of the debt securities, will be issued with respect to each series of the debt securities and will be deposited with the depositary or its custodian and will bear a legend regarding the restrictions on exchanges and registration of transfer referred to below.</w:t>
      </w:r>
    </w:p>
    <w:p>
      <w:pPr>
        <w:spacing w:after="0" w:line="192"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laws of some jurisdictions may require that some purchasers of securities take physical delivery of securities in definitive form. These laws may impair the ability to transfer beneficial interests in the debt securities so long as the debt securities are represented by global security certificates.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Investors may elect to hold interests in the global debt securities through either DTC in the United States, Clearstream Banking S.A. (“Clearstream”) in Luxembourg, or Euroclear Bank S.A./N.V., ( “Euroclear”) in Brussels, Belgium if they are participants of such systems, or indirectly through organizations which are participants in such systems. Clearstream and Euroclear will hold interests on behalf of their participants through customers’ securities accounts in Clearstream’s and Euroclear’s names on the books of their respective U.S. depositaries, which in turn will hold such interests in customers’ securities accounts in the respective depositaries’ names on the books of DTC. Citibank N.A. will act as depositary for Clearstream and JPMorgan Chase Bank will act as depositary for Euroclear (in such capacities, the “U.S. Depositaries”).</w:t>
      </w:r>
    </w:p>
    <w:p>
      <w:pPr>
        <w:spacing w:after="0" w:line="16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information in this section concerning the depositary, its book-entry system, Clearstream and Euroclear has been obtained from sources that we believe to be reliable, but we have not attempted to verify the accuracy of this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pursuant to the provisions of Section 17A of the Exchange Act. The depositary holds securities that its participants deposit with the depositary. The depositary also facilitates the clearance and settlement among participants of securities transactions, including transfers and pledges, in deposited securities through electronic computerized book-entry changes in participants’ accounts, thereby eliminating the need for physical movement of securities certificates. Direct participants include both U.S. and non-U.S. securities brokers and dealers, banks, trust companies, clearing corporations and certain other organizations. Access to the depositary’s system is also available to others, including securities brokers and dealers, banks and trust companies that clear transactions through or maintain a direct or indirect custodial relationship with a direct participant either directly, or indirectly. The rules applicable to the depositary and its participants are on file with the SEC.</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According to DTC, the foregoing information with respect to DTC has been provided to the financial community for informational purposes only and is not intended to serve as a representation, warranty or contract modification of any kind.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Clearstream has advised us that it is duly licensed bank incorporated as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under the laws of Luxembourg and is subject to regulation by the Luxembourg Commission for the supervision of the financial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sector (</w:t>
      </w:r>
      <w:r>
        <w:rPr>
          <w:rFonts w:ascii="Arial" w:cs="Arial" w:eastAsia="Arial" w:hAnsi="Arial"/>
          <w:sz w:val="16"/>
          <w:szCs w:val="16"/>
          <w:i w:val="1"/>
          <w:iCs w:val="1"/>
          <w:color w:val="auto"/>
        </w:rPr>
        <w:t>Commission de surveillance du secteur financier</w:t>
      </w:r>
      <w:r>
        <w:rPr>
          <w:rFonts w:ascii="Arial" w:cs="Arial" w:eastAsia="Arial" w:hAnsi="Arial"/>
          <w:sz w:val="16"/>
          <w:szCs w:val="16"/>
          <w:color w:val="auto"/>
        </w:rPr>
        <w:t>).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internationally-traded securities and securities lending and borrowing. Clearstream interfaces with domestic markets in over 30 countries through established depositary and custodial relationships. Clearstream Participants are worldwide financial institutions, including underwriters, securities brokers and dealers, banks, trust companies, clearing corporations and certain other organizations and may include the underwriters. Clearstream’s US customers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16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Distributions with respect to interests in the debt securities held beneficially through Clearstream will be credited to cash accounts of Clearstream Participants in accordance with its rules and procedures, to the extent received by the U.S. Depositary for Clearstream.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Euroclear has advised us that it is incorporated under the laws of Belgium as a bank and is subject to regulation by the Belgian Banking and Finance Commission (</w:t>
      </w:r>
      <w:r>
        <w:rPr>
          <w:rFonts w:ascii="Arial" w:cs="Arial" w:eastAsia="Arial" w:hAnsi="Arial"/>
          <w:sz w:val="17"/>
          <w:szCs w:val="17"/>
          <w:i w:val="1"/>
          <w:iCs w:val="1"/>
          <w:color w:val="auto"/>
        </w:rPr>
        <w:t>Commission Bancaire et Financiére</w:t>
      </w:r>
      <w:r>
        <w:rPr>
          <w:rFonts w:ascii="Arial" w:cs="Arial" w:eastAsia="Arial" w:hAnsi="Arial"/>
          <w:sz w:val="17"/>
          <w:szCs w:val="17"/>
          <w:color w:val="auto"/>
        </w:rPr>
        <w:t>) and the National Bank of Belgium (</w:t>
      </w:r>
      <w:r>
        <w:rPr>
          <w:rFonts w:ascii="Arial" w:cs="Arial" w:eastAsia="Arial" w:hAnsi="Arial"/>
          <w:sz w:val="17"/>
          <w:szCs w:val="17"/>
          <w:i w:val="1"/>
          <w:iCs w:val="1"/>
          <w:color w:val="auto"/>
        </w:rPr>
        <w:t>Banque Nationale de Belgique</w:t>
      </w:r>
      <w:r>
        <w:rPr>
          <w:rFonts w:ascii="Arial" w:cs="Arial" w:eastAsia="Arial" w:hAnsi="Arial"/>
          <w:sz w:val="17"/>
          <w:szCs w:val="17"/>
          <w:color w:val="auto"/>
        </w:rPr>
        <w:t>). Euroclear holds securities for participants of Euroclear (“Euroclear Participants”) and facilitates the clearance and settlement of securities transactions between Euroclear Participants through simultaneous electronic book-entry delivery against payment, thereby eliminating the need for physical movement of certificates. Euroclear includes various other services, including credit, custody, securities lending and borrowing and interfaces with domestic markets in several countries.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All securities in Euroclear are held on a fungible basis without attribution of specific certificates to specific securities clearance accounts.</w:t>
      </w:r>
    </w:p>
    <w:p>
      <w:pPr>
        <w:spacing w:after="0" w:line="181"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Distributions with respect to each series of debt securities held beneficially through Euroclear will be credited to the cash accounts of Euroclear Participants in accordance with the Terms and Conditions, to the extent received by the U.S. Depositary for Euroclear.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Definitive Certificate Form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issue debt securities in definitive certificated form in exchange for global securities if:</w:t>
      </w:r>
    </w:p>
    <w:p>
      <w:pPr>
        <w:spacing w:after="0" w:line="131" w:lineRule="exact"/>
        <w:rPr>
          <w:sz w:val="20"/>
          <w:szCs w:val="20"/>
          <w:color w:val="auto"/>
        </w:rPr>
      </w:pPr>
    </w:p>
    <w:p>
      <w:pPr>
        <w:ind w:left="1080" w:right="6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depositary notifies us that it is unwilling or unable to continue as depositary with respect to the applicable series of debt securities or the depositary ceases to be a clearing agency registered under the Exchange Act and, in each case, a successor depositary is not appointed by us within 90 days of such notice or of our becoming aware of that failure to be registered;</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determine at any time that the applicable series of debt securities will no longer be represented by global security certificates (in which case we will inform the depositary of such determination who will, in turn, notify participants of their right to withdraw their beneficial interest from the global security certificates representing such series of debt securities); or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event shall have occurred and be continuing which, after notice or lapse of time, or both, would constitute an event of default with respect to the applicable series of debt securities, and that exchange is so requested by or on behalf of the depositary in accordance with customary procedures following the request of a beneficial owner seeking to exercise or enforce its rights under that series of debt securities.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Any global debt security, or portion thereof, that is exchangeable pursuant to the foregoing paragraph will be exchangeable for debt security certificates, as the case may be, registered in the names directed by the depositary. We expect that these instructions will be based upon directions received by the depositary from its participants with respect to ownership of beneficial interests in the global security certificates.</w:t>
      </w:r>
    </w:p>
    <w:p>
      <w:pPr>
        <w:spacing w:after="0" w:line="165"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As long as the depositary or its nominee is the registered owner of the global security certificates, the depositary or its nominee, as the case may be, will be considered the sole owner and holder of the global security certificates and all debt securities represented by these certificates for all purposes under the debt securities and the indenture. Except in the limited circumstances referred to above, owners of beneficial interests in global security certificates:</w:t>
      </w:r>
    </w:p>
    <w:p>
      <w:pPr>
        <w:spacing w:after="0" w:line="54"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these global security certificates registered in their names;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 not be considered to be owners or holders of the global security certificates or any debt securities represented by these certificates for any purpose under the debt securities or the indenture.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All payments on the debt securities represented by the global security certificates and all transfers and deliveries of related debt securities will be made to the depositary or its nominee, as the case may be, as the holder of the debt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Security Certificates</w:t>
      </w:r>
    </w:p>
    <w:p>
      <w:pPr>
        <w:spacing w:after="0" w:line="11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any participant, with respect to interests of persons held by the participant on their behalf. Payments, transfers, deliveries, exchanges and other matters relating to beneficial interests in global security certificates may be subject to various policies and procedures adopted by the depositary from time to time. Neither we nor the trustee (in any of its capacities) or any of our respective agents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these beneficial ownership interests.</w:t>
      </w:r>
    </w:p>
    <w:p>
      <w:pPr>
        <w:spacing w:after="0" w:line="19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Although the depositary has agreed to the foregoing procedures in order to facilitate transfers of interests in the global security certificates among participants, the depositary is under no obligation to perform or continue to perform these procedures, and these procedures may be discontinued at any time. We will not have any responsibility for the performance by the depositary or its direct participants or indirect participants under the rules and procedures governing the depositary.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Clearance and Settlement Procedures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Unless otherwise indicated in an applicable prospectus supplement, initial settlement for the debt securities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as applicable.</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6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Because of time-zone differences, credits of debt securities received in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 or Clearstream Participant on such business day. Cash received in Clearstream or Euroclear as a result of sales of the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discontinued or changed at any 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debt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debt securities, including:</w:t>
      </w:r>
    </w:p>
    <w:p>
      <w:pPr>
        <w:spacing w:after="0" w:line="13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of such debt securities and the proceeds to be received by us,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securities exchanges on which the debt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If we use underwriters in the sale, they will acquire the securities for their own account and may resell the securities from time to time in one or more transactions, including negotiated transactions, at a fixed public offering price or at varying prices determined at the time of sale. Unless provided otherwise in the applicable prospectus supplement, various conditions to the underwriters’ obligation to purchase the securities apply, and the underwriters will be obligated to purchase all of the securities contemplated in an offering if they purchase any of the securities. Any initial public offering price and any discounts or concessions allowed or reallowed or paid to dealers may be changed from time to time.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Dealers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use dealers in the sale, unless provided otherwise in the applicable prospectus supplement, we will sell securities to the dealers as principals.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dealers may then resell the securities to the public at varying prices that the dealers may determine at the time of resale.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 and Direct Sales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may sell securities directly or through agents that we designate, at a fixed price or prices, which may be changed, or at varying prices determined at the time of sale. Any such agent may be deemed to be an underwriter as that term is defined in the Securities Act. The prospectus supplement will name any agent involved in the offering and sale and will state any commissions we will pay to that agent. Unless provided otherwise in the applicable prospectus supplement, any agent is acting on a best efforts basis for the period of its appointment.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Contracts with Institutional Investors for Delayed Delivery</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we indicate in the applicable prospectus supplement, we will authorize underwriters, dealers or agents to solicit offers from various institutional investors to purchase securities from it pursuant to contracts providing for payment and delivery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w:t>
      </w:r>
    </w:p>
    <w:p>
      <w:pPr>
        <w:spacing w:after="0" w:line="63"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educational and charitable institutions;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similar institutions as we may approve.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validity of the arrangements;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by us or the institutional investor.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Agreements that we enter into with underwriters, dealers or agents may entitle them to indemnification by us against certain civil liabilities. These include liabilities under the Securities Act. The agreements may also entitle them to contribution for payments that they may be required to make as a result of these liabilities. Underwriters, dealers and agents may be customers of, engage in transactions with, or perform services for, us in the ordinary course of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Making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Unless provided otherwise in the applicable prospectus supplement, each series of securities will be a new issue of securities without an established trading market. Various broker-dealers may make a market in the debt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expenses of any offering of debt securities will be detailed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Davis Polk &amp; Wardwell LLP of 450 Lexington Avenue, New York, NY 10017, our U.S. counsel, will pass upon the validity of the offered securities with respect to U.S. Federal law and New York State law. Carey Olsen (Guernsey) LLP of Carey House, Les Banques, St. Peter Port, Guernsey GY1 4BZ, our Guernsey counsel, will pass upon the validity of the offered securities with respect to Guernsey law.</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consolidated financial statements of Amdocs Limited incorporated by reference in Amdocs Limited’s Annual Report (Form 20-F) for the year ended September 30, 2019, and the effectiveness of Amdocs Limited’s internal control over financial reporting as of September 30, 2019 have been audited by Ernst &amp; Young LLP, of 5 Times Square, New York, New York 10036,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Our Articles of Incorporation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(Guernsey) Law, 2008, as amended (the “Companies Law”). Under the Companies Law, Amdocs Limited may not indemnify a director for various excluded liabilities, which are:</w:t>
      </w:r>
    </w:p>
    <w:p>
      <w:pPr>
        <w:spacing w:after="0" w:line="9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permits Guernsey companies to purchase insurance against such liabilities owing or to third parties for the benefit of directors. We currently maintain such insurance.</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Judicial relief is available for an officer charged with a neglect of duty if the court determines that such person acted honestly and reasonably, having regard to all the circumstances of the case.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0"/>
          </w:cols>
          <w:pgMar w:left="320" w:top="459" w:right="6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988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Underwriting Agreement for Debt Securities</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Form of Indenture, between Amdocs Limited and The Bank of New York Mellon, as Trustee</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Form of Debt Securities of Amdocs Limited relating thereto</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Opinion of Carey Olsen (Guernsey) LLP, Guernsey legal advisors to Amdocs Limited, as to the validity of the debt securities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Opinion of Davis Polk &amp; Wardwell LLP, U.S. legal advisors to Amdocs Limited, as to the validity of the debt securities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23.1</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Consent of Ernst &amp; Young LLP</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23.2</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Consent of Carey Olsen (Guernsey) LLP, Guernsey legal advisors to Amdocs Limited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23.3</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Consent of Davis Polk &amp; Wardwell LLP, U.S. legal advisors to Amdocs Limited (included in Exhibit 5.2)</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24.1</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Powers of Attorney (included in the signature page of this registration statement)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25.1</w:t>
            </w:r>
          </w:p>
        </w:tc>
        <w:tc>
          <w:tcPr>
            <w:tcW w:w="10520" w:type="dxa"/>
            <w:vAlign w:val="bottom"/>
            <w:gridSpan w:val="2"/>
          </w:tcPr>
          <w:p>
            <w:pPr>
              <w:ind w:left="6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Statement of Eligibility of Trustee on Form T-1 with respect to Exhibit 4.1 above</w:t>
              </w:r>
            </w:hyperlink>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20" w:hanging="224"/>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report filed or submitted pursuant to Section 13(a) or 15(d) of the U.S. Securities Exchange Act of 1934, as amended, and incorporated by reference.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60" w:right="400" w:firstLine="419"/>
        <w:spacing w:after="0" w:line="277" w:lineRule="auto"/>
        <w:tabs>
          <w:tab w:leader="none" w:pos="12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170" w:lineRule="exact"/>
        <w:rPr>
          <w:rFonts w:ascii="Arial" w:cs="Arial" w:eastAsia="Arial" w:hAnsi="Arial"/>
          <w:sz w:val="18"/>
          <w:szCs w:val="18"/>
          <w:color w:val="auto"/>
        </w:rPr>
      </w:pPr>
    </w:p>
    <w:p>
      <w:pPr>
        <w:ind w:left="1720" w:hanging="212"/>
        <w:spacing w:after="0"/>
        <w:tabs>
          <w:tab w:leader="none" w:pos="1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100" w:firstLine="408"/>
        <w:spacing w:after="0" w:line="263" w:lineRule="auto"/>
        <w:tabs>
          <w:tab w:leader="none" w:pos="1766"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3" w:lineRule="exact"/>
        <w:rPr>
          <w:rFonts w:ascii="Arial" w:cs="Arial" w:eastAsia="Arial" w:hAnsi="Arial"/>
          <w:sz w:val="18"/>
          <w:szCs w:val="18"/>
          <w:color w:val="auto"/>
        </w:rPr>
      </w:pPr>
    </w:p>
    <w:p>
      <w:pPr>
        <w:ind w:left="1100" w:right="120" w:firstLine="408"/>
        <w:spacing w:after="0" w:line="277" w:lineRule="auto"/>
        <w:tabs>
          <w:tab w:leader="none" w:pos="1816"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100" w:right="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(i), (ii) and (iii) above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periodic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jc w:val="both"/>
        <w:ind w:left="560" w:right="20" w:firstLine="419"/>
        <w:spacing w:after="0" w:line="263" w:lineRule="auto"/>
        <w:tabs>
          <w:tab w:leader="none" w:pos="12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60" w:right="20" w:firstLine="419"/>
        <w:spacing w:after="0" w:line="270" w:lineRule="auto"/>
        <w:tabs>
          <w:tab w:leader="none" w:pos="12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Securities and Exchange Commission by the registrant pursuant to section 13 or section 15(d) of the Securities Exchange Act of 1934 that are incorporated by reference in this registration statement.</w:t>
      </w:r>
    </w:p>
    <w:p>
      <w:pPr>
        <w:spacing w:after="0" w:line="180" w:lineRule="exact"/>
        <w:rPr>
          <w:rFonts w:ascii="Arial" w:cs="Arial" w:eastAsia="Arial" w:hAnsi="Arial"/>
          <w:sz w:val="17"/>
          <w:szCs w:val="17"/>
          <w:color w:val="auto"/>
        </w:rPr>
      </w:pPr>
    </w:p>
    <w:p>
      <w:pPr>
        <w:ind w:left="1240" w:hanging="26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1540" w:right="20" w:firstLine="391"/>
        <w:spacing w:after="0" w:line="277" w:lineRule="auto"/>
        <w:tabs>
          <w:tab w:leader="none" w:pos="2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firstLine="391"/>
        <w:spacing w:after="0" w:line="287" w:lineRule="auto"/>
        <w:tabs>
          <w:tab w:leader="none" w:pos="22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7" w:lineRule="exact"/>
        <w:rPr>
          <w:rFonts w:ascii="Arial" w:cs="Arial" w:eastAsia="Arial" w:hAnsi="Arial"/>
          <w:sz w:val="16"/>
          <w:szCs w:val="16"/>
          <w:color w:val="auto"/>
        </w:rPr>
      </w:pPr>
    </w:p>
    <w:p>
      <w:pPr>
        <w:ind w:left="560" w:right="100" w:firstLine="419"/>
        <w:spacing w:after="0" w:line="277" w:lineRule="auto"/>
        <w:tabs>
          <w:tab w:leader="none" w:pos="12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1100" w:firstLine="401"/>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 any preliminary prospectus or prospectus of the undersigned registrant relating to the offering required to be filed pursuant to Rule</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424;</w:t>
      </w:r>
    </w:p>
    <w:p>
      <w:pPr>
        <w:spacing w:after="0" w:line="211" w:lineRule="exact"/>
        <w:rPr>
          <w:sz w:val="20"/>
          <w:szCs w:val="20"/>
          <w:color w:val="auto"/>
        </w:rPr>
      </w:pPr>
    </w:p>
    <w:p>
      <w:pPr>
        <w:ind w:left="1100" w:right="20" w:firstLine="408"/>
        <w:spacing w:after="0" w:line="277" w:lineRule="auto"/>
        <w:tabs>
          <w:tab w:leader="none" w:pos="17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100" w:right="280" w:firstLine="408"/>
        <w:spacing w:after="0" w:line="277" w:lineRule="auto"/>
        <w:tabs>
          <w:tab w:leader="none" w:pos="18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820" w:hanging="312"/>
        <w:spacing w:after="0"/>
        <w:tabs>
          <w:tab w:leader="none" w:pos="1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560" w:right="100" w:firstLine="419"/>
        <w:spacing w:after="0" w:line="257" w:lineRule="auto"/>
        <w:tabs>
          <w:tab w:leader="none" w:pos="1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560" w:right="40" w:firstLine="419"/>
        <w:spacing w:after="0" w:line="257" w:lineRule="auto"/>
        <w:tabs>
          <w:tab w:leader="none" w:pos="1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7" w:lineRule="exact"/>
        <w:rPr>
          <w:sz w:val="20"/>
          <w:szCs w:val="20"/>
          <w:color w:val="auto"/>
        </w:rPr>
      </w:pPr>
    </w:p>
    <w:p>
      <w:pPr>
        <w:ind w:left="820" w:hanging="2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560" w:right="40" w:firstLine="419"/>
        <w:spacing w:after="0" w:line="291" w:lineRule="auto"/>
        <w:tabs>
          <w:tab w:leader="none" w:pos="1238"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56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 and</w:t>
      </w:r>
    </w:p>
    <w:p>
      <w:pPr>
        <w:spacing w:after="0" w:line="125" w:lineRule="exact"/>
        <w:rPr>
          <w:rFonts w:ascii="Arial" w:cs="Arial" w:eastAsia="Arial" w:hAnsi="Arial"/>
          <w:sz w:val="16"/>
          <w:szCs w:val="16"/>
          <w:color w:val="auto"/>
        </w:rPr>
      </w:pPr>
    </w:p>
    <w:p>
      <w:pPr>
        <w:ind w:left="560" w:right="220" w:firstLine="419"/>
        <w:spacing w:after="0" w:line="263" w:lineRule="auto"/>
        <w:tabs>
          <w:tab w:leader="none" w:pos="12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June 15, 2020.</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E. Smith</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E. Smith</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Secretary and Authorized Signatory</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Matthew Smith and Tamar Rapaport-Dagim (with full power to each of them to act alone), as such person’s true and lawful attorney-in-fact and agent, with full power of substitution and resubstitution, for such person and in such person’s name, place and stead, in any and all capacities, to sign and file with the Securities and Exchange Commission any and all amendments and post-effective amendments to this registration statement, with exhibits thereto and any and all other documents that may be required in connection therewith, granting unto each said attorney-in-fact and agent full power and authority to do and perform each and every act and thing requisite and necessary to be done in and about the premises, as fully to all intents and purposes as might or could do in person, hereby ratifying and confirming all that each said attorney-in-fact and agent, or any substitutes therefor, may lawfully do or cause to be done by virtue hereof.</w:t>
      </w:r>
    </w:p>
    <w:p>
      <w:pPr>
        <w:spacing w:after="0" w:line="192"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June 15,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Shuky Sheffer</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 and President &amp; Chief Executive Officer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Shuky Sheffer</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Tamar Rapaport-Dagim</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Chief Financial Officer and Chief Operating Officer (Principal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Tamar Rapaport-Dagim</w:t>
            </w:r>
          </w:p>
        </w:tc>
        <w:tc>
          <w:tcPr>
            <w:tcW w:w="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Financial Officer and Principal Accounting Officer)</w:t>
            </w: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Minicucci</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Robert A. Minicucci</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Adrian Gardner</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Adrian Gardner</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 Gelman</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Eli Gelman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Kahan</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James S. Kahan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Yvette Kanouff</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Yvette Kanouff</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Richard T.C. LeFave</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Giora Yaron</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Giora Yaron</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de la Vega</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Rafael de la Vega</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ind w:left="1360"/>
              <w:spacing w:after="0"/>
              <w:rPr>
                <w:sz w:val="20"/>
                <w:szCs w:val="20"/>
                <w:color w:val="auto"/>
              </w:rPr>
            </w:pPr>
            <w:r>
              <w:rPr>
                <w:rFonts w:ascii="Arial" w:cs="Arial" w:eastAsia="Arial" w:hAnsi="Arial"/>
                <w:sz w:val="18"/>
                <w:szCs w:val="18"/>
                <w:color w:val="auto"/>
              </w:rPr>
              <w:t>II-7</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MacDonald</w:t>
            </w:r>
          </w:p>
        </w:tc>
        <w:tc>
          <w:tcPr>
            <w:tcW w:w="1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John A. MacDonald</w:t>
            </w: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88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Smith</w:t>
            </w:r>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195"/>
        </w:trPr>
        <w:tc>
          <w:tcPr>
            <w:tcW w:w="3880" w:type="dxa"/>
            <w:vAlign w:val="bottom"/>
          </w:tcPr>
          <w:p>
            <w:pPr>
              <w:spacing w:after="0" w:line="195" w:lineRule="exact"/>
              <w:rPr>
                <w:sz w:val="20"/>
                <w:szCs w:val="20"/>
                <w:color w:val="auto"/>
              </w:rPr>
            </w:pPr>
            <w:r>
              <w:rPr>
                <w:rFonts w:ascii="Arial" w:cs="Arial" w:eastAsia="Arial" w:hAnsi="Arial"/>
                <w:sz w:val="18"/>
                <w:szCs w:val="18"/>
                <w:color w:val="auto"/>
                <w:w w:val="93"/>
              </w:rPr>
              <w:t>Matthew Smith, as duly authorized representative of</w:t>
            </w: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Amdocs Limited in the United States</w:t>
            </w:r>
          </w:p>
        </w:tc>
        <w:tc>
          <w:tcPr>
            <w:tcW w:w="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2"/>
          </w:tcPr>
          <w:p>
            <w:pPr>
              <w:ind w:left="1360"/>
              <w:spacing w:after="0"/>
              <w:rPr>
                <w:sz w:val="20"/>
                <w:szCs w:val="20"/>
                <w:color w:val="auto"/>
              </w:rPr>
            </w:pPr>
            <w:r>
              <w:rPr>
                <w:rFonts w:ascii="Arial" w:cs="Arial" w:eastAsia="Arial" w:hAnsi="Arial"/>
                <w:sz w:val="18"/>
                <w:szCs w:val="18"/>
                <w:color w:val="auto"/>
              </w:rPr>
              <w:t>II-8</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BANK OF NEW YORK MELLON</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ectPr>
          <w:pgSz w:w="11900" w:h="16838" w:orient="portrait"/>
          <w:cols w:equalWidth="0" w:num="1">
            <w:col w:w="10020"/>
          </w:cols>
          <w:pgMar w:left="1440" w:top="121"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20" w:type="dxa"/>
            <w:vAlign w:val="bottom"/>
            <w:vMerge w:val="restart"/>
          </w:tcPr>
          <w:p>
            <w:pPr>
              <w:jc w:val="center"/>
              <w:ind w:right="13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82"/>
        </w:trPr>
        <w:tc>
          <w:tcPr>
            <w:tcW w:w="106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Incorporation by Reference of Trust Indenture Act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Rules of Construction</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Establishment of Form and Terms of Series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Execution and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Registrar and Paying Agent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Paying Agent to Hold Money in Trust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Securityholder Lists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Mutilated,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Outstanding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Treasury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Cancellation</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Payment of Interest; Computation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Defaulted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Persons Deemed Owners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CUSIP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20" w:type="dxa"/>
            <w:vAlign w:val="bottom"/>
          </w:tcPr>
          <w:p>
            <w:pPr>
              <w:jc w:val="center"/>
              <w:ind w:right="13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Applicability of Article</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Notice to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Selection of Securities to be Redeemed</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Effect of Notice of Redemption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Deposit of Redemption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0620" w:type="dxa"/>
            <w:vAlign w:val="bottom"/>
          </w:tcPr>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Securities Redeemed in Part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8520" w:type="dxa"/>
            <w:vAlign w:val="bottom"/>
          </w:tcPr>
          <w:p>
            <w:pPr>
              <w:jc w:val="center"/>
              <w:ind w:left="1990"/>
              <w:spacing w:after="0"/>
              <w:rPr>
                <w:sz w:val="20"/>
                <w:szCs w:val="20"/>
                <w:color w:val="auto"/>
              </w:rPr>
            </w:pPr>
            <w:r>
              <w:rPr>
                <w:rFonts w:ascii="Arial" w:cs="Arial" w:eastAsia="Arial" w:hAnsi="Arial"/>
                <w:sz w:val="18"/>
                <w:szCs w:val="18"/>
                <w:color w:val="auto"/>
                <w:w w:val="96"/>
              </w:rPr>
              <w:t>ARTICLE 4</w:t>
            </w:r>
          </w:p>
        </w:tc>
        <w:tc>
          <w:tcPr>
            <w:tcW w:w="2440" w:type="dxa"/>
            <w:vAlign w:val="bottom"/>
          </w:tcPr>
          <w:p>
            <w:pPr>
              <w:spacing w:after="0"/>
              <w:rPr>
                <w:sz w:val="18"/>
                <w:szCs w:val="18"/>
                <w:color w:val="auto"/>
              </w:rPr>
            </w:pPr>
          </w:p>
        </w:tc>
      </w:tr>
      <w:tr>
        <w:trPr>
          <w:trHeight w:val="230"/>
        </w:trPr>
        <w:tc>
          <w:tcPr>
            <w:tcW w:w="8520" w:type="dxa"/>
            <w:vAlign w:val="bottom"/>
          </w:tcPr>
          <w:p>
            <w:pPr>
              <w:jc w:val="center"/>
              <w:ind w:left="199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tc>
        <w:tc>
          <w:tcPr>
            <w:tcW w:w="2440" w:type="dxa"/>
            <w:vAlign w:val="bottom"/>
          </w:tcPr>
          <w:p>
            <w:pPr>
              <w:spacing w:after="0"/>
              <w:rPr>
                <w:sz w:val="20"/>
                <w:szCs w:val="20"/>
                <w:color w:val="auto"/>
              </w:rPr>
            </w:pP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Payment of Principal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SEC Reports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Compliance Certificate</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Stay, Extension and Usury Laws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Existence</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520" w:type="dxa"/>
            <w:vAlign w:val="bottom"/>
          </w:tcPr>
          <w:p>
            <w:pPr>
              <w:jc w:val="center"/>
              <w:ind w:left="1990"/>
              <w:spacing w:after="0"/>
              <w:rPr>
                <w:sz w:val="20"/>
                <w:szCs w:val="20"/>
                <w:color w:val="auto"/>
              </w:rPr>
            </w:pPr>
            <w:r>
              <w:rPr>
                <w:rFonts w:ascii="Arial" w:cs="Arial" w:eastAsia="Arial" w:hAnsi="Arial"/>
                <w:sz w:val="18"/>
                <w:szCs w:val="18"/>
                <w:color w:val="auto"/>
                <w:w w:val="96"/>
              </w:rPr>
              <w:t>ARTICLE 5</w:t>
            </w:r>
          </w:p>
        </w:tc>
        <w:tc>
          <w:tcPr>
            <w:tcW w:w="2440" w:type="dxa"/>
            <w:vAlign w:val="bottom"/>
          </w:tcPr>
          <w:p>
            <w:pPr>
              <w:spacing w:after="0"/>
              <w:rPr>
                <w:sz w:val="24"/>
                <w:szCs w:val="24"/>
                <w:color w:val="auto"/>
              </w:rPr>
            </w:pPr>
          </w:p>
        </w:tc>
      </w:tr>
      <w:tr>
        <w:trPr>
          <w:trHeight w:val="230"/>
        </w:trPr>
        <w:tc>
          <w:tcPr>
            <w:tcW w:w="8520" w:type="dxa"/>
            <w:vAlign w:val="bottom"/>
          </w:tcPr>
          <w:p>
            <w:pPr>
              <w:jc w:val="center"/>
              <w:ind w:left="1990"/>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UCCESSORS</w:t>
            </w:r>
          </w:p>
        </w:tc>
        <w:tc>
          <w:tcPr>
            <w:tcW w:w="2440" w:type="dxa"/>
            <w:vAlign w:val="bottom"/>
          </w:tcPr>
          <w:p>
            <w:pPr>
              <w:spacing w:after="0"/>
              <w:rPr>
                <w:sz w:val="20"/>
                <w:szCs w:val="20"/>
                <w:color w:val="auto"/>
              </w:rPr>
            </w:pP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When Company May Merge, Etc</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Successor Person Substituted</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8520" w:type="dxa"/>
            <w:vAlign w:val="bottom"/>
          </w:tcPr>
          <w:p>
            <w:pPr>
              <w:jc w:val="center"/>
              <w:ind w:left="1990"/>
              <w:spacing w:after="0"/>
              <w:rPr>
                <w:sz w:val="20"/>
                <w:szCs w:val="20"/>
                <w:color w:val="auto"/>
              </w:rPr>
            </w:pPr>
            <w:r>
              <w:rPr>
                <w:rFonts w:ascii="Arial" w:cs="Arial" w:eastAsia="Arial" w:hAnsi="Arial"/>
                <w:sz w:val="18"/>
                <w:szCs w:val="18"/>
                <w:color w:val="auto"/>
                <w:w w:val="96"/>
              </w:rPr>
              <w:t>ARTICLE 6</w:t>
            </w:r>
          </w:p>
        </w:tc>
        <w:tc>
          <w:tcPr>
            <w:tcW w:w="2440" w:type="dxa"/>
            <w:vAlign w:val="bottom"/>
          </w:tcPr>
          <w:p>
            <w:pPr>
              <w:spacing w:after="0"/>
              <w:rPr>
                <w:sz w:val="24"/>
                <w:szCs w:val="24"/>
                <w:color w:val="auto"/>
              </w:rPr>
            </w:pPr>
          </w:p>
        </w:tc>
      </w:tr>
      <w:tr>
        <w:trPr>
          <w:trHeight w:val="230"/>
        </w:trPr>
        <w:tc>
          <w:tcPr>
            <w:tcW w:w="8520" w:type="dxa"/>
            <w:vAlign w:val="bottom"/>
          </w:tcPr>
          <w:p>
            <w:pPr>
              <w:jc w:val="center"/>
              <w:ind w:left="199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tc>
        <w:tc>
          <w:tcPr>
            <w:tcW w:w="2440" w:type="dxa"/>
            <w:vAlign w:val="bottom"/>
          </w:tcPr>
          <w:p>
            <w:pPr>
              <w:spacing w:after="0"/>
              <w:rPr>
                <w:sz w:val="20"/>
                <w:szCs w:val="20"/>
                <w:color w:val="auto"/>
              </w:rPr>
            </w:pP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Events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Acceleration of Maturity; Rescission and Annulment</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Collection of Indebtedness and Suits for Enforcement by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Trustee May File Proofs of Claim</w:t>
            </w:r>
          </w:p>
        </w:tc>
        <w:tc>
          <w:tcPr>
            <w:tcW w:w="2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Trustee May Enforce Claims Without Possession of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Application of Money Collected</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Limitation on Suits</w:t>
            </w: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Unconditional Right of Holders to Receive Principal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i w:val="1"/>
                <w:iCs w:val="1"/>
                <w:color w:val="auto"/>
              </w:rPr>
              <w:t>Restoration of Rights and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Rights and Remedies Cumulative</w:t>
            </w:r>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Delay or Omission Not 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Control by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Waiver of Past Defaults</w:t>
            </w: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Undertaking for Costs</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8520" w:type="dxa"/>
            <w:vAlign w:val="bottom"/>
          </w:tcPr>
          <w:p>
            <w:pPr>
              <w:jc w:val="center"/>
              <w:ind w:left="1990"/>
              <w:spacing w:after="0"/>
              <w:rPr>
                <w:sz w:val="20"/>
                <w:szCs w:val="20"/>
                <w:color w:val="auto"/>
              </w:rPr>
            </w:pPr>
            <w:r>
              <w:rPr>
                <w:rFonts w:ascii="Arial" w:cs="Arial" w:eastAsia="Arial" w:hAnsi="Arial"/>
                <w:sz w:val="18"/>
                <w:szCs w:val="18"/>
                <w:color w:val="auto"/>
                <w:w w:val="96"/>
              </w:rPr>
              <w:t>ARTICLE 7</w:t>
            </w:r>
          </w:p>
        </w:tc>
        <w:tc>
          <w:tcPr>
            <w:tcW w:w="2440" w:type="dxa"/>
            <w:vAlign w:val="bottom"/>
          </w:tcPr>
          <w:p>
            <w:pPr>
              <w:spacing w:after="0"/>
              <w:rPr>
                <w:sz w:val="24"/>
                <w:szCs w:val="24"/>
                <w:color w:val="auto"/>
              </w:rPr>
            </w:pPr>
          </w:p>
        </w:tc>
      </w:tr>
      <w:tr>
        <w:trPr>
          <w:trHeight w:val="230"/>
        </w:trPr>
        <w:tc>
          <w:tcPr>
            <w:tcW w:w="8520" w:type="dxa"/>
            <w:vAlign w:val="bottom"/>
          </w:tcPr>
          <w:p>
            <w:pPr>
              <w:jc w:val="center"/>
              <w:ind w:left="199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tc>
        <w:tc>
          <w:tcPr>
            <w:tcW w:w="2440" w:type="dxa"/>
            <w:vAlign w:val="bottom"/>
          </w:tcPr>
          <w:p>
            <w:pPr>
              <w:spacing w:after="0"/>
              <w:rPr>
                <w:sz w:val="20"/>
                <w:szCs w:val="20"/>
                <w:color w:val="auto"/>
              </w:rPr>
            </w:pP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Duties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Rights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Individual Rights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Trustee’s Disclaimer</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Notice of Defaults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Reports by Trustee to 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Compensation and Indemnity</w:t>
            </w:r>
          </w:p>
        </w:tc>
        <w:tc>
          <w:tcPr>
            <w:tcW w:w="2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Replacement of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Successor Trustee by Merger, Etc</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 Disqualification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Company</w:t>
            </w:r>
          </w:p>
        </w:tc>
        <w:tc>
          <w:tcPr>
            <w:tcW w:w="24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37" w:name="page38"/>
    <w:bookmarkEnd w:id="37"/>
    <w:p>
      <w:pPr>
        <w:jc w:val="center"/>
        <w:ind w:righ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r>
        <w:rPr>
          <w:rFonts w:ascii="Arial" w:cs="Arial" w:eastAsia="Arial" w:hAnsi="Arial"/>
          <w:sz w:val="18"/>
          <w:szCs w:val="18"/>
          <w:color w:val="auto"/>
        </w:rPr>
        <w:t>; D</w:t>
      </w:r>
      <w:r>
        <w:rPr>
          <w:rFonts w:ascii="Arial" w:cs="Arial" w:eastAsia="Arial" w:hAnsi="Arial"/>
          <w:sz w:val="14"/>
          <w:szCs w:val="14"/>
          <w:color w:val="auto"/>
        </w:rPr>
        <w:t>EFEASANCE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Satisfaction and Discharge of Indenture</w:t>
            </w: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Application of Trust Funds; Indemnification</w:t>
            </w: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Legal Defeasance of Securities of any Series</w:t>
            </w: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Covenant Defeasance</w:t>
            </w: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Repayment to Company</w:t>
            </w: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Reinstatement</w:t>
            </w: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Release of Other Obligations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9000" w:type="dxa"/>
            <w:vAlign w:val="bottom"/>
          </w:tcPr>
          <w:p>
            <w:pPr>
              <w:jc w:val="center"/>
              <w:ind w:left="1510"/>
              <w:spacing w:after="0"/>
              <w:rPr>
                <w:sz w:val="20"/>
                <w:szCs w:val="20"/>
                <w:color w:val="auto"/>
              </w:rPr>
            </w:pPr>
            <w:r>
              <w:rPr>
                <w:rFonts w:ascii="Arial" w:cs="Arial" w:eastAsia="Arial" w:hAnsi="Arial"/>
                <w:sz w:val="18"/>
                <w:szCs w:val="18"/>
                <w:color w:val="auto"/>
                <w:w w:val="96"/>
              </w:rPr>
              <w:t>ARTICLE 9</w:t>
            </w:r>
          </w:p>
        </w:tc>
        <w:tc>
          <w:tcPr>
            <w:tcW w:w="1960" w:type="dxa"/>
            <w:vAlign w:val="bottom"/>
          </w:tcPr>
          <w:p>
            <w:pPr>
              <w:spacing w:after="0"/>
              <w:rPr>
                <w:sz w:val="24"/>
                <w:szCs w:val="24"/>
                <w:color w:val="auto"/>
              </w:rPr>
            </w:pPr>
          </w:p>
        </w:tc>
      </w:tr>
      <w:tr>
        <w:trPr>
          <w:trHeight w:val="230"/>
        </w:trPr>
        <w:tc>
          <w:tcPr>
            <w:tcW w:w="9000" w:type="dxa"/>
            <w:vAlign w:val="bottom"/>
          </w:tcPr>
          <w:p>
            <w:pPr>
              <w:jc w:val="center"/>
              <w:ind w:left="151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 AND</w:t>
            </w:r>
            <w:r>
              <w:rPr>
                <w:rFonts w:ascii="Arial" w:cs="Arial" w:eastAsia="Arial" w:hAnsi="Arial"/>
                <w:sz w:val="18"/>
                <w:szCs w:val="18"/>
                <w:color w:val="auto"/>
              </w:rPr>
              <w:t xml:space="preserve"> W</w:t>
            </w:r>
            <w:r>
              <w:rPr>
                <w:rFonts w:ascii="Arial" w:cs="Arial" w:eastAsia="Arial" w:hAnsi="Arial"/>
                <w:sz w:val="14"/>
                <w:szCs w:val="14"/>
                <w:color w:val="auto"/>
              </w:rPr>
              <w:t>AIVERS</w:t>
            </w:r>
          </w:p>
        </w:tc>
        <w:tc>
          <w:tcPr>
            <w:tcW w:w="1960" w:type="dxa"/>
            <w:vAlign w:val="bottom"/>
          </w:tcPr>
          <w:p>
            <w:pPr>
              <w:spacing w:after="0"/>
              <w:rPr>
                <w:sz w:val="20"/>
                <w:szCs w:val="20"/>
                <w:color w:val="auto"/>
              </w:rPr>
            </w:pPr>
          </w:p>
        </w:tc>
      </w:tr>
      <w:tr>
        <w:trPr>
          <w:trHeight w:val="310"/>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Without Consent of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With Consent of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Limitations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Compliance with Trust Indenture Act</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Revocation and Effect of Consents</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i w:val="1"/>
                <w:iCs w:val="1"/>
                <w:color w:val="auto"/>
              </w:rPr>
              <w:t>Notation on or Exchange of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i w:val="1"/>
                <w:iCs w:val="1"/>
                <w:color w:val="auto"/>
              </w:rPr>
              <w:t>Trustee Protected</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9000" w:type="dxa"/>
            <w:vAlign w:val="bottom"/>
          </w:tcPr>
          <w:p>
            <w:pPr>
              <w:jc w:val="center"/>
              <w:ind w:left="1510"/>
              <w:spacing w:after="0"/>
              <w:rPr>
                <w:sz w:val="20"/>
                <w:szCs w:val="20"/>
                <w:color w:val="auto"/>
              </w:rPr>
            </w:pPr>
            <w:r>
              <w:rPr>
                <w:rFonts w:ascii="Arial" w:cs="Arial" w:eastAsia="Arial" w:hAnsi="Arial"/>
                <w:sz w:val="18"/>
                <w:szCs w:val="18"/>
                <w:color w:val="auto"/>
                <w:w w:val="94"/>
              </w:rPr>
              <w:t>ARTICLE 10</w:t>
            </w:r>
          </w:p>
        </w:tc>
        <w:tc>
          <w:tcPr>
            <w:tcW w:w="1960" w:type="dxa"/>
            <w:vAlign w:val="bottom"/>
          </w:tcPr>
          <w:p>
            <w:pPr>
              <w:spacing w:after="0"/>
              <w:rPr>
                <w:sz w:val="24"/>
                <w:szCs w:val="24"/>
                <w:color w:val="auto"/>
              </w:rPr>
            </w:pPr>
          </w:p>
        </w:tc>
      </w:tr>
      <w:tr>
        <w:trPr>
          <w:trHeight w:val="230"/>
        </w:trPr>
        <w:tc>
          <w:tcPr>
            <w:tcW w:w="9000" w:type="dxa"/>
            <w:vAlign w:val="bottom"/>
          </w:tcPr>
          <w:p>
            <w:pPr>
              <w:jc w:val="center"/>
              <w:ind w:left="151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1960" w:type="dxa"/>
            <w:vAlign w:val="bottom"/>
          </w:tcPr>
          <w:p>
            <w:pPr>
              <w:spacing w:after="0"/>
              <w:rPr>
                <w:sz w:val="20"/>
                <w:szCs w:val="20"/>
                <w:color w:val="auto"/>
              </w:rPr>
            </w:pPr>
          </w:p>
        </w:tc>
      </w:tr>
      <w:tr>
        <w:trPr>
          <w:trHeight w:val="310"/>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Trust Indenture Act Controls</w:t>
            </w: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Communication by Holders with Other Holders</w:t>
            </w:r>
          </w:p>
        </w:tc>
        <w:tc>
          <w:tcPr>
            <w:tcW w:w="1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Certificate and Opinion as to Conditions Precedent</w:t>
            </w:r>
          </w:p>
        </w:tc>
        <w:tc>
          <w:tcPr>
            <w:tcW w:w="1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Statements Required in Certificate or Opinion</w:t>
            </w:r>
          </w:p>
        </w:tc>
        <w:tc>
          <w:tcPr>
            <w:tcW w:w="19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Rules by Trustee and Agents</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Legal Holidays</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No Recourse Against Others</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Counterparts</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Governing Law; Waiver of Jury Trial; Submission to Jurisdiction; Waiver of Immunity</w:t>
            </w:r>
          </w:p>
        </w:tc>
        <w:tc>
          <w:tcPr>
            <w:tcW w:w="19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Appointment of Agent for Service</w:t>
            </w:r>
          </w:p>
        </w:tc>
        <w:tc>
          <w:tcPr>
            <w:tcW w:w="1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Judgment Currency</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No Adverse Interpretation of Other Agreements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Successors</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Severability</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Table of Contents, Headings, Etc</w:t>
            </w:r>
          </w:p>
        </w:tc>
        <w:tc>
          <w:tcPr>
            <w:tcW w:w="1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Securities in a Composite Currency, Currency Unit or Foreign Currency</w:t>
            </w:r>
          </w:p>
        </w:tc>
        <w:tc>
          <w:tcPr>
            <w:tcW w:w="1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Force Majeure</w:t>
            </w:r>
          </w:p>
        </w:tc>
        <w:tc>
          <w:tcPr>
            <w:tcW w:w="1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U.S.A. Patriot Act</w:t>
            </w:r>
          </w:p>
        </w:tc>
        <w:tc>
          <w:tcPr>
            <w:tcW w:w="19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i w:val="1"/>
                <w:iCs w:val="1"/>
                <w:color w:val="auto"/>
              </w:rPr>
              <w:t>Withholdings and Deductions</w:t>
            </w:r>
          </w:p>
        </w:tc>
        <w:tc>
          <w:tcPr>
            <w:tcW w:w="19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382" w:right="4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83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Amdocs Limited</w:t>
            </w:r>
          </w:p>
        </w:tc>
      </w:tr>
      <w:tr>
        <w:trPr>
          <w:trHeight w:val="418"/>
        </w:trPr>
        <w:tc>
          <w:tcPr>
            <w:tcW w:w="2020" w:type="dxa"/>
            <w:vAlign w:val="bottom"/>
          </w:tcPr>
          <w:p>
            <w:pPr>
              <w:spacing w:after="0"/>
              <w:rPr>
                <w:sz w:val="24"/>
                <w:szCs w:val="24"/>
                <w:color w:val="auto"/>
              </w:rPr>
            </w:pPr>
          </w:p>
        </w:tc>
        <w:tc>
          <w:tcPr>
            <w:tcW w:w="8340" w:type="dxa"/>
            <w:vAlign w:val="bottom"/>
          </w:tcPr>
          <w:p>
            <w:pPr>
              <w:jc w:val="center"/>
              <w:ind w:right="1270"/>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230"/>
        </w:trPr>
        <w:tc>
          <w:tcPr>
            <w:tcW w:w="2020" w:type="dxa"/>
            <w:vAlign w:val="bottom"/>
          </w:tcPr>
          <w:p>
            <w:pPr>
              <w:spacing w:after="0"/>
              <w:rPr>
                <w:sz w:val="20"/>
                <w:szCs w:val="20"/>
                <w:color w:val="auto"/>
              </w:rPr>
            </w:pPr>
          </w:p>
        </w:tc>
        <w:tc>
          <w:tcPr>
            <w:tcW w:w="8340" w:type="dxa"/>
            <w:vAlign w:val="bottom"/>
          </w:tcPr>
          <w:p>
            <w:pPr>
              <w:jc w:val="center"/>
              <w:ind w:right="1270"/>
              <w:spacing w:after="0"/>
              <w:rPr>
                <w:sz w:val="20"/>
                <w:szCs w:val="20"/>
                <w:color w:val="auto"/>
              </w:rPr>
            </w:pPr>
            <w:r>
              <w:rPr>
                <w:rFonts w:ascii="Arial" w:cs="Arial" w:eastAsia="Arial" w:hAnsi="Arial"/>
                <w:sz w:val="18"/>
                <w:szCs w:val="18"/>
                <w:color w:val="auto"/>
                <w:w w:val="91"/>
              </w:rPr>
              <w:t>Indenture dated as of [ ]</w:t>
            </w:r>
          </w:p>
        </w:tc>
      </w:tr>
      <w:tr>
        <w:trPr>
          <w:trHeight w:val="445"/>
        </w:trPr>
        <w:tc>
          <w:tcPr>
            <w:tcW w:w="2020" w:type="dxa"/>
            <w:vAlign w:val="bottom"/>
          </w:tcPr>
          <w:p>
            <w:pPr>
              <w:spacing w:after="0"/>
              <w:rPr>
                <w:sz w:val="20"/>
                <w:szCs w:val="20"/>
                <w:color w:val="auto"/>
              </w:rPr>
            </w:pPr>
            <w:r>
              <w:rPr>
                <w:rFonts w:ascii="Arial" w:cs="Arial" w:eastAsia="Arial" w:hAnsi="Arial"/>
                <w:sz w:val="18"/>
                <w:szCs w:val="18"/>
                <w:color w:val="auto"/>
              </w:rPr>
              <w:t>§ 310(a)(1)</w:t>
            </w:r>
          </w:p>
        </w:tc>
        <w:tc>
          <w:tcPr>
            <w:tcW w:w="8340" w:type="dxa"/>
            <w:vAlign w:val="bottom"/>
          </w:tcPr>
          <w:p>
            <w:pPr>
              <w:ind w:left="7240"/>
              <w:spacing w:after="0"/>
              <w:rPr>
                <w:sz w:val="20"/>
                <w:szCs w:val="20"/>
                <w:color w:val="auto"/>
              </w:rPr>
            </w:pPr>
            <w:r>
              <w:rPr>
                <w:rFonts w:ascii="Arial" w:cs="Arial" w:eastAsia="Arial" w:hAnsi="Arial"/>
                <w:sz w:val="18"/>
                <w:szCs w:val="18"/>
                <w:color w:val="auto"/>
              </w:rPr>
              <w:t>7.10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(a)(2)</w:t>
            </w:r>
          </w:p>
        </w:tc>
        <w:tc>
          <w:tcPr>
            <w:tcW w:w="8340" w:type="dxa"/>
            <w:vAlign w:val="bottom"/>
          </w:tcPr>
          <w:p>
            <w:pPr>
              <w:ind w:left="7240"/>
              <w:spacing w:after="0"/>
              <w:rPr>
                <w:sz w:val="20"/>
                <w:szCs w:val="20"/>
                <w:color w:val="auto"/>
              </w:rPr>
            </w:pPr>
            <w:r>
              <w:rPr>
                <w:rFonts w:ascii="Arial" w:cs="Arial" w:eastAsia="Arial" w:hAnsi="Arial"/>
                <w:sz w:val="18"/>
                <w:szCs w:val="18"/>
                <w:color w:val="auto"/>
              </w:rPr>
              <w:t>7.10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(a)(3)</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(a)(4)</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(a)(5)</w:t>
            </w:r>
          </w:p>
        </w:tc>
        <w:tc>
          <w:tcPr>
            <w:tcW w:w="8340" w:type="dxa"/>
            <w:vAlign w:val="bottom"/>
          </w:tcPr>
          <w:p>
            <w:pPr>
              <w:ind w:left="7240"/>
              <w:spacing w:after="0"/>
              <w:rPr>
                <w:sz w:val="20"/>
                <w:szCs w:val="20"/>
                <w:color w:val="auto"/>
              </w:rPr>
            </w:pPr>
            <w:r>
              <w:rPr>
                <w:rFonts w:ascii="Arial" w:cs="Arial" w:eastAsia="Arial" w:hAnsi="Arial"/>
                <w:sz w:val="18"/>
                <w:szCs w:val="18"/>
                <w:color w:val="auto"/>
              </w:rPr>
              <w:t>7.10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7.10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311(a)</w:t>
            </w:r>
          </w:p>
        </w:tc>
        <w:tc>
          <w:tcPr>
            <w:tcW w:w="8340" w:type="dxa"/>
            <w:vAlign w:val="bottom"/>
          </w:tcPr>
          <w:p>
            <w:pPr>
              <w:ind w:left="7240"/>
              <w:spacing w:after="0"/>
              <w:rPr>
                <w:sz w:val="20"/>
                <w:szCs w:val="20"/>
                <w:color w:val="auto"/>
              </w:rPr>
            </w:pPr>
            <w:r>
              <w:rPr>
                <w:rFonts w:ascii="Arial" w:cs="Arial" w:eastAsia="Arial" w:hAnsi="Arial"/>
                <w:sz w:val="18"/>
                <w:szCs w:val="18"/>
                <w:color w:val="auto"/>
              </w:rPr>
              <w:t>7.11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7.11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312(a)</w:t>
            </w:r>
          </w:p>
        </w:tc>
        <w:tc>
          <w:tcPr>
            <w:tcW w:w="8340" w:type="dxa"/>
            <w:vAlign w:val="bottom"/>
          </w:tcPr>
          <w:p>
            <w:pPr>
              <w:ind w:left="7240"/>
              <w:spacing w:after="0"/>
              <w:rPr>
                <w:sz w:val="20"/>
                <w:szCs w:val="20"/>
                <w:color w:val="auto"/>
              </w:rPr>
            </w:pPr>
            <w:r>
              <w:rPr>
                <w:rFonts w:ascii="Arial" w:cs="Arial" w:eastAsia="Arial" w:hAnsi="Arial"/>
                <w:sz w:val="18"/>
                <w:szCs w:val="18"/>
                <w:color w:val="auto"/>
              </w:rPr>
              <w:t>2.6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10.3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w:t>
            </w:r>
          </w:p>
        </w:tc>
        <w:tc>
          <w:tcPr>
            <w:tcW w:w="8340" w:type="dxa"/>
            <w:vAlign w:val="bottom"/>
          </w:tcPr>
          <w:p>
            <w:pPr>
              <w:ind w:left="7240"/>
              <w:spacing w:after="0"/>
              <w:rPr>
                <w:sz w:val="20"/>
                <w:szCs w:val="20"/>
                <w:color w:val="auto"/>
              </w:rPr>
            </w:pPr>
            <w:r>
              <w:rPr>
                <w:rFonts w:ascii="Arial" w:cs="Arial" w:eastAsia="Arial" w:hAnsi="Arial"/>
                <w:sz w:val="18"/>
                <w:szCs w:val="18"/>
                <w:color w:val="auto"/>
              </w:rPr>
              <w:t>10.3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313(a)</w:t>
            </w:r>
          </w:p>
        </w:tc>
        <w:tc>
          <w:tcPr>
            <w:tcW w:w="8340" w:type="dxa"/>
            <w:vAlign w:val="bottom"/>
          </w:tcPr>
          <w:p>
            <w:pPr>
              <w:ind w:left="7240"/>
              <w:spacing w:after="0"/>
              <w:rPr>
                <w:sz w:val="20"/>
                <w:szCs w:val="20"/>
                <w:color w:val="auto"/>
              </w:rPr>
            </w:pPr>
            <w:r>
              <w:rPr>
                <w:rFonts w:ascii="Arial" w:cs="Arial" w:eastAsia="Arial" w:hAnsi="Arial"/>
                <w:sz w:val="18"/>
                <w:szCs w:val="18"/>
                <w:color w:val="auto"/>
              </w:rPr>
              <w:t>7.6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(b)(1)</w:t>
            </w:r>
          </w:p>
        </w:tc>
        <w:tc>
          <w:tcPr>
            <w:tcW w:w="8340" w:type="dxa"/>
            <w:vAlign w:val="bottom"/>
          </w:tcPr>
          <w:p>
            <w:pPr>
              <w:ind w:left="7240"/>
              <w:spacing w:after="0"/>
              <w:rPr>
                <w:sz w:val="20"/>
                <w:szCs w:val="20"/>
                <w:color w:val="auto"/>
              </w:rPr>
            </w:pPr>
            <w:r>
              <w:rPr>
                <w:rFonts w:ascii="Arial" w:cs="Arial" w:eastAsia="Arial" w:hAnsi="Arial"/>
                <w:sz w:val="18"/>
                <w:szCs w:val="18"/>
                <w:color w:val="auto"/>
              </w:rPr>
              <w:t>7.6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(b)(2)</w:t>
            </w:r>
          </w:p>
        </w:tc>
        <w:tc>
          <w:tcPr>
            <w:tcW w:w="8340" w:type="dxa"/>
            <w:vAlign w:val="bottom"/>
          </w:tcPr>
          <w:p>
            <w:pPr>
              <w:ind w:left="7240"/>
              <w:spacing w:after="0"/>
              <w:rPr>
                <w:sz w:val="20"/>
                <w:szCs w:val="20"/>
                <w:color w:val="auto"/>
              </w:rPr>
            </w:pPr>
            <w:r>
              <w:rPr>
                <w:rFonts w:ascii="Arial" w:cs="Arial" w:eastAsia="Arial" w:hAnsi="Arial"/>
                <w:sz w:val="18"/>
                <w:szCs w:val="18"/>
                <w:color w:val="auto"/>
              </w:rPr>
              <w:t>7.6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(c)(1)</w:t>
            </w:r>
          </w:p>
        </w:tc>
        <w:tc>
          <w:tcPr>
            <w:tcW w:w="8340" w:type="dxa"/>
            <w:vAlign w:val="bottom"/>
          </w:tcPr>
          <w:p>
            <w:pPr>
              <w:ind w:left="7240"/>
              <w:spacing w:after="0"/>
              <w:rPr>
                <w:sz w:val="20"/>
                <w:szCs w:val="20"/>
                <w:color w:val="auto"/>
              </w:rPr>
            </w:pPr>
            <w:r>
              <w:rPr>
                <w:rFonts w:ascii="Arial" w:cs="Arial" w:eastAsia="Arial" w:hAnsi="Arial"/>
                <w:sz w:val="18"/>
                <w:szCs w:val="18"/>
                <w:color w:val="auto"/>
              </w:rPr>
              <w:t>7.6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w:t>
            </w:r>
          </w:p>
        </w:tc>
        <w:tc>
          <w:tcPr>
            <w:tcW w:w="8340" w:type="dxa"/>
            <w:vAlign w:val="bottom"/>
          </w:tcPr>
          <w:p>
            <w:pPr>
              <w:ind w:left="7240"/>
              <w:spacing w:after="0"/>
              <w:rPr>
                <w:sz w:val="20"/>
                <w:szCs w:val="20"/>
                <w:color w:val="auto"/>
              </w:rPr>
            </w:pPr>
            <w:r>
              <w:rPr>
                <w:rFonts w:ascii="Arial" w:cs="Arial" w:eastAsia="Arial" w:hAnsi="Arial"/>
                <w:sz w:val="18"/>
                <w:szCs w:val="18"/>
                <w:color w:val="auto"/>
              </w:rPr>
              <w:t>7.6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314(a)</w:t>
            </w:r>
          </w:p>
        </w:tc>
        <w:tc>
          <w:tcPr>
            <w:tcW w:w="8340" w:type="dxa"/>
            <w:vAlign w:val="bottom"/>
          </w:tcPr>
          <w:p>
            <w:pPr>
              <w:ind w:left="7240"/>
              <w:spacing w:after="0"/>
              <w:rPr>
                <w:sz w:val="20"/>
                <w:szCs w:val="20"/>
                <w:color w:val="auto"/>
              </w:rPr>
            </w:pPr>
            <w:r>
              <w:rPr>
                <w:rFonts w:ascii="Arial" w:cs="Arial" w:eastAsia="Arial" w:hAnsi="Arial"/>
                <w:sz w:val="18"/>
                <w:szCs w:val="18"/>
                <w:color w:val="auto"/>
              </w:rPr>
              <w:t>4.2, 10.5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(c)(1)</w:t>
            </w:r>
          </w:p>
        </w:tc>
        <w:tc>
          <w:tcPr>
            <w:tcW w:w="8340" w:type="dxa"/>
            <w:vAlign w:val="bottom"/>
          </w:tcPr>
          <w:p>
            <w:pPr>
              <w:ind w:left="7240"/>
              <w:spacing w:after="0"/>
              <w:rPr>
                <w:sz w:val="20"/>
                <w:szCs w:val="20"/>
                <w:color w:val="auto"/>
              </w:rPr>
            </w:pPr>
            <w:r>
              <w:rPr>
                <w:rFonts w:ascii="Arial" w:cs="Arial" w:eastAsia="Arial" w:hAnsi="Arial"/>
                <w:sz w:val="18"/>
                <w:szCs w:val="18"/>
                <w:color w:val="auto"/>
              </w:rPr>
              <w:t>10.4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(c)(2)</w:t>
            </w:r>
          </w:p>
        </w:tc>
        <w:tc>
          <w:tcPr>
            <w:tcW w:w="8340" w:type="dxa"/>
            <w:vAlign w:val="bottom"/>
          </w:tcPr>
          <w:p>
            <w:pPr>
              <w:ind w:left="7240"/>
              <w:spacing w:after="0"/>
              <w:rPr>
                <w:sz w:val="20"/>
                <w:szCs w:val="20"/>
                <w:color w:val="auto"/>
              </w:rPr>
            </w:pPr>
            <w:r>
              <w:rPr>
                <w:rFonts w:ascii="Arial" w:cs="Arial" w:eastAsia="Arial" w:hAnsi="Arial"/>
                <w:sz w:val="18"/>
                <w:szCs w:val="18"/>
                <w:color w:val="auto"/>
              </w:rPr>
              <w:t>10.4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(c)(3)</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w:t>
            </w:r>
          </w:p>
        </w:tc>
        <w:tc>
          <w:tcPr>
            <w:tcW w:w="8340" w:type="dxa"/>
            <w:vAlign w:val="bottom"/>
          </w:tcPr>
          <w:p>
            <w:pPr>
              <w:ind w:left="7240"/>
              <w:spacing w:after="0"/>
              <w:rPr>
                <w:sz w:val="20"/>
                <w:szCs w:val="20"/>
                <w:color w:val="auto"/>
              </w:rPr>
            </w:pPr>
            <w:r>
              <w:rPr>
                <w:rFonts w:ascii="Arial" w:cs="Arial" w:eastAsia="Arial" w:hAnsi="Arial"/>
                <w:sz w:val="18"/>
                <w:szCs w:val="18"/>
                <w:color w:val="auto"/>
              </w:rPr>
              <w:t>10.5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w:t>
            </w:r>
          </w:p>
        </w:tc>
        <w:tc>
          <w:tcPr>
            <w:tcW w:w="8340" w:type="dxa"/>
            <w:vAlign w:val="bottom"/>
          </w:tcPr>
          <w:p>
            <w:pPr>
              <w:ind w:left="7240"/>
              <w:spacing w:after="0"/>
              <w:rPr>
                <w:sz w:val="20"/>
                <w:szCs w:val="20"/>
                <w:color w:val="auto"/>
              </w:rPr>
            </w:pPr>
            <w:r>
              <w:rPr>
                <w:rFonts w:ascii="Arial" w:cs="Arial" w:eastAsia="Arial" w:hAnsi="Arial"/>
                <w:sz w:val="18"/>
                <w:szCs w:val="18"/>
                <w:color w:val="auto"/>
                <w:w w:val="93"/>
              </w:rPr>
              <w:t>Not Applicable</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315(a)</w:t>
            </w:r>
          </w:p>
        </w:tc>
        <w:tc>
          <w:tcPr>
            <w:tcW w:w="8340" w:type="dxa"/>
            <w:vAlign w:val="bottom"/>
          </w:tcPr>
          <w:p>
            <w:pPr>
              <w:ind w:left="7240"/>
              <w:spacing w:after="0"/>
              <w:rPr>
                <w:sz w:val="20"/>
                <w:szCs w:val="20"/>
                <w:color w:val="auto"/>
              </w:rPr>
            </w:pPr>
            <w:r>
              <w:rPr>
                <w:rFonts w:ascii="Arial" w:cs="Arial" w:eastAsia="Arial" w:hAnsi="Arial"/>
                <w:sz w:val="18"/>
                <w:szCs w:val="18"/>
                <w:color w:val="auto"/>
              </w:rPr>
              <w:t>7.1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7.5</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(c)</w:t>
            </w:r>
          </w:p>
        </w:tc>
        <w:tc>
          <w:tcPr>
            <w:tcW w:w="8340" w:type="dxa"/>
            <w:vAlign w:val="bottom"/>
          </w:tcPr>
          <w:p>
            <w:pPr>
              <w:ind w:left="7240"/>
              <w:spacing w:after="0"/>
              <w:rPr>
                <w:sz w:val="20"/>
                <w:szCs w:val="20"/>
                <w:color w:val="auto"/>
              </w:rPr>
            </w:pPr>
            <w:r>
              <w:rPr>
                <w:rFonts w:ascii="Arial" w:cs="Arial" w:eastAsia="Arial" w:hAnsi="Arial"/>
                <w:sz w:val="18"/>
                <w:szCs w:val="18"/>
                <w:color w:val="auto"/>
              </w:rPr>
              <w:t>7.1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w:t>
            </w:r>
          </w:p>
        </w:tc>
        <w:tc>
          <w:tcPr>
            <w:tcW w:w="8340" w:type="dxa"/>
            <w:vAlign w:val="bottom"/>
          </w:tcPr>
          <w:p>
            <w:pPr>
              <w:ind w:left="7240"/>
              <w:spacing w:after="0"/>
              <w:rPr>
                <w:sz w:val="20"/>
                <w:szCs w:val="20"/>
                <w:color w:val="auto"/>
              </w:rPr>
            </w:pPr>
            <w:r>
              <w:rPr>
                <w:rFonts w:ascii="Arial" w:cs="Arial" w:eastAsia="Arial" w:hAnsi="Arial"/>
                <w:sz w:val="18"/>
                <w:szCs w:val="18"/>
                <w:color w:val="auto"/>
              </w:rPr>
              <w:t>7.1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w:t>
            </w:r>
          </w:p>
        </w:tc>
        <w:tc>
          <w:tcPr>
            <w:tcW w:w="8340" w:type="dxa"/>
            <w:vAlign w:val="bottom"/>
          </w:tcPr>
          <w:p>
            <w:pPr>
              <w:ind w:left="7240"/>
              <w:spacing w:after="0"/>
              <w:rPr>
                <w:sz w:val="20"/>
                <w:szCs w:val="20"/>
                <w:color w:val="auto"/>
              </w:rPr>
            </w:pPr>
            <w:r>
              <w:rPr>
                <w:rFonts w:ascii="Arial" w:cs="Arial" w:eastAsia="Arial" w:hAnsi="Arial"/>
                <w:sz w:val="18"/>
                <w:szCs w:val="18"/>
                <w:color w:val="auto"/>
              </w:rPr>
              <w:t>6.14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316(a)</w:t>
            </w:r>
          </w:p>
        </w:tc>
        <w:tc>
          <w:tcPr>
            <w:tcW w:w="8340" w:type="dxa"/>
            <w:vAlign w:val="bottom"/>
          </w:tcPr>
          <w:p>
            <w:pPr>
              <w:ind w:left="7240"/>
              <w:spacing w:after="0"/>
              <w:rPr>
                <w:sz w:val="20"/>
                <w:szCs w:val="20"/>
                <w:color w:val="auto"/>
              </w:rPr>
            </w:pPr>
            <w:r>
              <w:rPr>
                <w:rFonts w:ascii="Arial" w:cs="Arial" w:eastAsia="Arial" w:hAnsi="Arial"/>
                <w:sz w:val="18"/>
                <w:szCs w:val="18"/>
                <w:color w:val="auto"/>
              </w:rPr>
              <w:t>2.10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(a)(1)(A)</w:t>
            </w:r>
          </w:p>
        </w:tc>
        <w:tc>
          <w:tcPr>
            <w:tcW w:w="8340" w:type="dxa"/>
            <w:vAlign w:val="bottom"/>
          </w:tcPr>
          <w:p>
            <w:pPr>
              <w:ind w:left="7240"/>
              <w:spacing w:after="0"/>
              <w:rPr>
                <w:sz w:val="20"/>
                <w:szCs w:val="20"/>
                <w:color w:val="auto"/>
              </w:rPr>
            </w:pPr>
            <w:r>
              <w:rPr>
                <w:rFonts w:ascii="Arial" w:cs="Arial" w:eastAsia="Arial" w:hAnsi="Arial"/>
                <w:sz w:val="18"/>
                <w:szCs w:val="18"/>
                <w:color w:val="auto"/>
              </w:rPr>
              <w:t>6.12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(a)(1)(B)</w:t>
            </w:r>
          </w:p>
        </w:tc>
        <w:tc>
          <w:tcPr>
            <w:tcW w:w="8340" w:type="dxa"/>
            <w:vAlign w:val="bottom"/>
          </w:tcPr>
          <w:p>
            <w:pPr>
              <w:ind w:left="7240"/>
              <w:spacing w:after="0"/>
              <w:rPr>
                <w:sz w:val="20"/>
                <w:szCs w:val="20"/>
                <w:color w:val="auto"/>
              </w:rPr>
            </w:pPr>
            <w:r>
              <w:rPr>
                <w:rFonts w:ascii="Arial" w:cs="Arial" w:eastAsia="Arial" w:hAnsi="Arial"/>
                <w:sz w:val="18"/>
                <w:szCs w:val="18"/>
                <w:color w:val="auto"/>
              </w:rPr>
              <w:t>6.13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6.8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 317(a)(1)</w:t>
            </w:r>
          </w:p>
        </w:tc>
        <w:tc>
          <w:tcPr>
            <w:tcW w:w="8340" w:type="dxa"/>
            <w:vAlign w:val="bottom"/>
          </w:tcPr>
          <w:p>
            <w:pPr>
              <w:ind w:left="7240"/>
              <w:spacing w:after="0"/>
              <w:rPr>
                <w:sz w:val="20"/>
                <w:szCs w:val="20"/>
                <w:color w:val="auto"/>
              </w:rPr>
            </w:pPr>
            <w:r>
              <w:rPr>
                <w:rFonts w:ascii="Arial" w:cs="Arial" w:eastAsia="Arial" w:hAnsi="Arial"/>
                <w:sz w:val="18"/>
                <w:szCs w:val="18"/>
                <w:color w:val="auto"/>
              </w:rPr>
              <w:t>6.3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(a)(2)</w:t>
            </w:r>
          </w:p>
        </w:tc>
        <w:tc>
          <w:tcPr>
            <w:tcW w:w="8340" w:type="dxa"/>
            <w:vAlign w:val="bottom"/>
          </w:tcPr>
          <w:p>
            <w:pPr>
              <w:ind w:left="7240"/>
              <w:spacing w:after="0"/>
              <w:rPr>
                <w:sz w:val="20"/>
                <w:szCs w:val="20"/>
                <w:color w:val="auto"/>
              </w:rPr>
            </w:pPr>
            <w:r>
              <w:rPr>
                <w:rFonts w:ascii="Arial" w:cs="Arial" w:eastAsia="Arial" w:hAnsi="Arial"/>
                <w:sz w:val="18"/>
                <w:szCs w:val="18"/>
                <w:color w:val="auto"/>
              </w:rPr>
              <w:t>6.4</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7240"/>
              <w:spacing w:after="0"/>
              <w:rPr>
                <w:sz w:val="20"/>
                <w:szCs w:val="20"/>
                <w:color w:val="auto"/>
              </w:rPr>
            </w:pPr>
            <w:r>
              <w:rPr>
                <w:rFonts w:ascii="Arial" w:cs="Arial" w:eastAsia="Arial" w:hAnsi="Arial"/>
                <w:sz w:val="18"/>
                <w:szCs w:val="18"/>
                <w:color w:val="auto"/>
              </w:rPr>
              <w:t>2.5</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 318(a)</w:t>
            </w:r>
          </w:p>
        </w:tc>
        <w:tc>
          <w:tcPr>
            <w:tcW w:w="8340" w:type="dxa"/>
            <w:vAlign w:val="bottom"/>
          </w:tcPr>
          <w:p>
            <w:pPr>
              <w:ind w:left="7240"/>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360"/>
          </w:cols>
          <w:pgMar w:left="440" w:top="270" w:right="1099" w:bottom="1440" w:gutter="0" w:footer="0" w:header="0"/>
        </w:sectPr>
      </w:pPr>
    </w:p>
    <w:bookmarkStart w:id="39" w:name="page40"/>
    <w:bookmarkEnd w:id="39"/>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 ] between Amdocs Limited, a non-cellular company incorporated in Guernsey (registration number 19528)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The Bank of New York Mellon, a corporation organized under the laws of the State of New York authorized to conduct a banking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ARTICLE 1</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 AND</w:t>
      </w:r>
      <w:r>
        <w:rPr>
          <w:rFonts w:ascii="Arial" w:cs="Arial" w:eastAsia="Arial" w:hAnsi="Arial"/>
          <w:sz w:val="18"/>
          <w:szCs w:val="18"/>
          <w:color w:val="auto"/>
        </w:rPr>
        <w:t xml:space="preserve"> I</w:t>
      </w:r>
      <w:r>
        <w:rPr>
          <w:rFonts w:ascii="Arial" w:cs="Arial" w:eastAsia="Arial" w:hAnsi="Arial"/>
          <w:sz w:val="14"/>
          <w:szCs w:val="14"/>
          <w:color w:val="auto"/>
        </w:rPr>
        <w:t>NCORPORATION BY</w:t>
      </w:r>
      <w:r>
        <w:rPr>
          <w:rFonts w:ascii="Arial" w:cs="Arial" w:eastAsia="Arial" w:hAnsi="Arial"/>
          <w:sz w:val="18"/>
          <w:szCs w:val="18"/>
          <w:color w:val="auto"/>
        </w:rPr>
        <w:t xml:space="preserve"> R</w:t>
      </w:r>
      <w:r>
        <w:rPr>
          <w:rFonts w:ascii="Arial" w:cs="Arial" w:eastAsia="Arial" w:hAnsi="Arial"/>
          <w:sz w:val="14"/>
          <w:szCs w:val="14"/>
          <w:color w:val="auto"/>
        </w:rPr>
        <w:t>EFERENCE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r>
        <w:rPr>
          <w:rFonts w:ascii="Arial" w:cs="Arial" w:eastAsia="Arial" w:hAnsi="Arial"/>
          <w:sz w:val="18"/>
          <w:szCs w:val="18"/>
          <w:color w:val="auto"/>
        </w:rPr>
        <w:t>. The following terms have the meanings assigned below unless provided otherwise in respect of any Series of Securities pursuant to a Board Resolution and an Officers’ Certificate or a supplemental indenture.</w:t>
      </w:r>
    </w:p>
    <w:p>
      <w:pPr>
        <w:spacing w:after="0" w:line="166"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other agent appointed pursuant to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Officer of the Company to have been adopted by the Board of Directors or pursuant to authorization by the Board of Directors and to be in full force and effect on the date of the certificate and delivered to the Trustee.</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Series of Securities (except as otherwise provided pursuant to Section 2.2 with respect to such Series of Securities), any calendar day that is not a Saturday, Sunday or a day on which commercial banking institutions are not required to be open for business in The City of New York, New York.</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in the equity of such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party named as such in the preamble hereto until a successor replaces it and thereafter means the successor.</w:t>
      </w:r>
    </w:p>
    <w:p>
      <w:pPr>
        <w:spacing w:after="0" w:line="23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signed in the name of the Company by one Officer, who must be the Chairman of the Board of Directors, Chief Executive Officer, President, Chief Operating Officer, Chief Financial Officer, Chief Accounting</w:t>
      </w:r>
    </w:p>
    <w:p>
      <w:pPr>
        <w:sectPr>
          <w:pgSz w:w="11900" w:h="16838" w:orient="portrait"/>
          <w:cols w:equalWidth="0" w:num="1">
            <w:col w:w="10860"/>
          </w:cols>
          <w:pgMar w:left="440" w:top="274" w:right="599" w:bottom="1440" w:gutter="0" w:footer="0" w:header="0"/>
        </w:sectPr>
      </w:pPr>
    </w:p>
    <w:bookmarkStart w:id="40" w:name="page41"/>
    <w:bookmarkEnd w:id="40"/>
    <w:p>
      <w:pPr>
        <w:ind w:left="4"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 Chief Legal Officer, General Counsel, any Executive Vice President, any Senior Vice President, any other Vice President (whether or not designated by a word or words added before or after the title “Vice President”), General Counsel, Treasurer or any Assistant Treasurer of the Company.</w:t>
      </w:r>
    </w:p>
    <w:p>
      <w:pPr>
        <w:spacing w:after="0" w:line="12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means a written request signed in the name of the Company by an Officer and delivered to the Trustee.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or offices of the Trustee at which at any particular time its corporate trust business shall be administered, which office at the date hereof is located at 240 Greenwich Street 7E, New York, New York 10286, or such other office as the Trustee may designate from time to time by notice to the Company.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the Securities of any Series issuable or issued in whole or in part in the form of one or more Global Securities, the person designated as Depositary for such Series by the Company from time to time; and if at any time there is more than one such person, “Depositary” as used with respect to the Securities of any Series shall mean the Depositary with respect to the Securities of such Series.</w:t>
      </w:r>
    </w:p>
    <w:p>
      <w:pPr>
        <w:spacing w:after="0" w:line="158"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acceleration of the maturity thereof pursuant to Section 6.2.</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single currency of participating member states of the economic and monetary union as contemplated in the Treaty on European Union.</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or any successor thereto, in each case as amended or supplemented from time to time.</w:t>
      </w:r>
    </w:p>
    <w:p>
      <w:pPr>
        <w:spacing w:after="0" w:line="16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any currency, composite currency or currency unit issued by a government or governments other than the government of The United States of America including, without limitation, the Euro.</w:t>
      </w:r>
    </w:p>
    <w:p>
      <w:pPr>
        <w:spacing w:after="0" w:line="162"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Government Obligations</w:t>
      </w:r>
      <w:r>
        <w:rPr>
          <w:rFonts w:ascii="Arial" w:cs="Arial" w:eastAsia="Arial" w:hAnsi="Arial"/>
          <w:sz w:val="16"/>
          <w:szCs w:val="16"/>
          <w:color w:val="auto"/>
        </w:rPr>
        <w:t>” means, with respect to Securities of any Series that are denominated in a Foreign Currency, (a) direct obligations of the government that issued or caused to be issued such currency for the payment of which obligations its full faith and credit is pledged or</w:t>
      </w:r>
    </w:p>
    <w:p>
      <w:pPr>
        <w:spacing w:after="0" w:line="1" w:lineRule="exact"/>
        <w:rPr>
          <w:sz w:val="20"/>
          <w:szCs w:val="20"/>
          <w:color w:val="auto"/>
        </w:rPr>
      </w:pPr>
    </w:p>
    <w:p>
      <w:pPr>
        <w:jc w:val="both"/>
        <w:ind w:left="4" w:right="120" w:hanging="4"/>
        <w:spacing w:after="0" w:line="253"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(a) or (b), are not callable or redeemable at the option of the issuer thereof, and shall also include a depositary receipt issued by a bank or trust company as custodian with respect to any such Foreign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1" w:name="page42"/>
    <w:bookmarkEnd w:id="4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 Obligation or a specific payment of interest on or principal of or other amount payable with respect to any such Foreign Government Obligation held by such custodian for the account of the holder of a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Foreign Government Obligation or the specific payment of interest on or principal of or other amount payable with respect to the Foreign Government Obligation evidenced by such depository receipt.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or “</w:t>
      </w:r>
      <w:r>
        <w:rPr>
          <w:rFonts w:ascii="Arial" w:cs="Arial" w:eastAsia="Arial" w:hAnsi="Arial"/>
          <w:sz w:val="18"/>
          <w:szCs w:val="18"/>
          <w:b w:val="1"/>
          <w:bCs w:val="1"/>
          <w:color w:val="auto"/>
        </w:rPr>
        <w:t>Global Securities</w:t>
      </w:r>
      <w:r>
        <w:rPr>
          <w:rFonts w:ascii="Arial" w:cs="Arial" w:eastAsia="Arial" w:hAnsi="Arial"/>
          <w:sz w:val="18"/>
          <w:szCs w:val="18"/>
          <w:color w:val="auto"/>
        </w:rPr>
        <w:t>” means a Security or Securities, as the case may be, in global form evidencing all or part of a Series of Securities and registered in the name of a Depositary or its nominee.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any person in whose name a Security is registered.</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with respect to any Discount Security which by its terms bears interest only after Maturity, any installment of interest on such Security; and, when used with respect to any Security, shall be deemed to mean “interest, if any” on such Security unless otherwise expressly stated or the context otherwise requires.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security interest, pledge, lien, charge or other similar encumbrance.</w:t>
      </w:r>
    </w:p>
    <w:p>
      <w:pPr>
        <w:spacing w:after="0" w:line="225" w:lineRule="exact"/>
        <w:rPr>
          <w:sz w:val="20"/>
          <w:szCs w:val="20"/>
          <w:color w:val="auto"/>
        </w:rPr>
      </w:pPr>
    </w:p>
    <w:p>
      <w:pPr>
        <w:ind w:right="6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w:t>
      </w:r>
      <w:r>
        <w:rPr>
          <w:rFonts w:ascii="Arial" w:cs="Arial" w:eastAsia="Arial" w:hAnsi="Arial"/>
          <w:sz w:val="18"/>
          <w:szCs w:val="18"/>
          <w:color w:val="auto"/>
        </w:rPr>
        <w:t>” when used with respect to any Security, means any date on which the principal of such Security or an installment of principal becomes due and payable as therein or herein provided, whether at the Stated Maturity or by declaration of acceleration, call for redemption or otherwise.</w:t>
      </w:r>
    </w:p>
    <w:p>
      <w:pPr>
        <w:spacing w:after="0" w:line="176"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Chief Executive Officer, President, Chief Operating Officer, Chief Financial Officer, Chief Accounting Officer, Chief Legal Officer, General Counsel, any Executive Vice President, any Senior Vice President, any other Vice-President (whether or not designated by a word or words added before or after the title “Vice President”), Treasurer, Controller, Secretary, any Assistant Treasurer, any Assistant Controller or any Assistant Secretary of the Company.</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two Officers, one of whom must be the Chairman of the Board of Directors, Chief Executive Officer, President, Chief Operating Officer, Chief Financial Officer, Chief Accounting Officer, Chief Legal Officer, General Counsel, any Executive Vice President, any Senior Vice President, any other Vice President (whether or not designated by a word or words added before or after the title “Vice President”), or Treasurer of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2" w:name="page43"/>
    <w:bookmarkEnd w:id="42"/>
    <w:p>
      <w:pPr>
        <w:ind w:right="32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of legal counsel who is acceptable to the Trustee, which opinion may be subject to customary exceptions, qualifications and limitations and, without limitation to the foregoing, may rely on certificates of officers of the Company or any of its subsidiaries or public officials. The counsel may be an employee of or counsel to the Company.</w:t>
      </w:r>
    </w:p>
    <w:p>
      <w:pPr>
        <w:spacing w:after="0" w:line="176"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partnership, joint venture, association, limited liability company, joint-stock company, trust, unincorporated organization or any other entity, including any government or any agency or political subdivision thereof.</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Security</w:t>
      </w:r>
      <w:r>
        <w:rPr>
          <w:rFonts w:ascii="Arial" w:cs="Arial" w:eastAsia="Arial" w:hAnsi="Arial"/>
          <w:sz w:val="18"/>
          <w:szCs w:val="18"/>
          <w:color w:val="auto"/>
        </w:rPr>
        <w:t>” means a certificated Security which is not a Global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and who shall have direct responsibility for the administration of this Indenture.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 or any successor thereto.</w:t>
      </w:r>
    </w:p>
    <w:p>
      <w:pPr>
        <w:spacing w:after="0" w:line="225"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bonds, debentures, notes or other debt instruments of the Company of any Series authenticated and delivered under this Indenture.</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or “</w:t>
      </w:r>
      <w:r>
        <w:rPr>
          <w:rFonts w:ascii="Arial" w:cs="Arial" w:eastAsia="Arial" w:hAnsi="Arial"/>
          <w:sz w:val="18"/>
          <w:szCs w:val="18"/>
          <w:b w:val="1"/>
          <w:bCs w:val="1"/>
          <w:color w:val="auto"/>
        </w:rPr>
        <w:t>Series of Securities</w:t>
      </w:r>
      <w:r>
        <w:rPr>
          <w:rFonts w:ascii="Arial" w:cs="Arial" w:eastAsia="Arial" w:hAnsi="Arial"/>
          <w:sz w:val="18"/>
          <w:szCs w:val="18"/>
          <w:color w:val="auto"/>
        </w:rPr>
        <w:t>” means any series of bonds, debentures, notes or other debt instruments of the Company created pursuant to Section 2.2 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w:t>
      </w:r>
      <w:r>
        <w:rPr>
          <w:rFonts w:ascii="Arial" w:cs="Arial" w:eastAsia="Arial" w:hAnsi="Arial"/>
          <w:sz w:val="18"/>
          <w:szCs w:val="18"/>
          <w:color w:val="auto"/>
        </w:rPr>
        <w:t>” means any of the States of the United States of America.</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established by or pursuant to this Indenture or specified or determined as provided in such Security as the fixed date on which the principal of such Security or such installment of principal or interest, as the case may be, is due and payable.</w:t>
      </w:r>
    </w:p>
    <w:p>
      <w:pPr>
        <w:spacing w:after="0" w:line="176"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specified person and at any time, any corporation, partnership, limited liability company or other entity more than 50% of whose total Voting Stock then outstanding (measured by voting power rather than number of shares) is at such time owned (and, in the case of a partnership, more than 50% of whose total general partnership interests then outstanding is at such time owned),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0" w:right="519" w:bottom="1440" w:gutter="0" w:footer="0" w:header="0"/>
        </w:sectPr>
      </w:pPr>
    </w:p>
    <w:bookmarkStart w:id="43" w:name="page44"/>
    <w:bookmarkEnd w:id="43"/>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directly or indirectly, by such specified person and/or one or more other Subsidiaries of such specified person and, in the case of an entity other than a corporation or a partnership, such specified person has the power to direct, directly or indirectly, the policies, management and affairs of such entity.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TIA</w:t>
      </w:r>
      <w:r>
        <w:rPr>
          <w:rFonts w:ascii="Arial" w:cs="Arial" w:eastAsia="Arial" w:hAnsi="Arial"/>
          <w:sz w:val="17"/>
          <w:szCs w:val="17"/>
          <w:color w:val="auto"/>
        </w:rPr>
        <w:t>” means the Trust Indenture Act of 1939, as amended, as in effect as of the date of this Indenture, except as provided in Section 9.4.</w:t>
      </w:r>
    </w:p>
    <w:p>
      <w:pPr>
        <w:spacing w:after="0" w:line="237"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Government Obligations</w:t>
      </w:r>
      <w:r>
        <w:rPr>
          <w:rFonts w:ascii="Arial" w:cs="Arial" w:eastAsia="Arial" w:hAnsi="Arial"/>
          <w:sz w:val="16"/>
          <w:szCs w:val="16"/>
          <w:color w:val="auto"/>
        </w:rPr>
        <w:t xml:space="preserve">” means securities which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and which, in the case of clauses (a) and (b), are not callable or redeemable at the option of the issuer thereof, and shall also include a depository receipt issued by a bank or trust company as custodian with respect to any such U.S. Government Obligation or a specific payment of interest on or principal of or other amount payable with respect to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or other amount payable with respect to the U.S. Government Obligation evidenced by such depository receipt.</w:t>
      </w:r>
    </w:p>
    <w:p>
      <w:pPr>
        <w:spacing w:after="0" w:line="16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any Capital Stock of such person that is normally entitled (without regard to the occurrence of any contingency) to vote in the election of directors, managers or trustees (or other individuals performing similar functions), as applicable, of such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4740" w:type="dxa"/>
            <w:vAlign w:val="bottom"/>
          </w:tcPr>
          <w:p>
            <w:pPr>
              <w:ind w:left="4100"/>
              <w:spacing w:after="0"/>
              <w:rPr>
                <w:sz w:val="20"/>
                <w:szCs w:val="20"/>
                <w:color w:val="auto"/>
              </w:rPr>
            </w:pPr>
            <w:r>
              <w:rPr>
                <w:rFonts w:ascii="Arial" w:cs="Arial" w:eastAsia="Arial" w:hAnsi="Arial"/>
                <w:sz w:val="14"/>
                <w:szCs w:val="14"/>
                <w:b w:val="1"/>
                <w:bCs w:val="1"/>
                <w:color w:val="auto"/>
                <w:w w:val="91"/>
              </w:rPr>
              <w:t>Defined in</w:t>
            </w:r>
          </w:p>
        </w:tc>
        <w:tc>
          <w:tcPr>
            <w:tcW w:w="0" w:type="dxa"/>
            <w:vAlign w:val="bottom"/>
          </w:tcPr>
          <w:p>
            <w:pPr>
              <w:spacing w:after="0"/>
              <w:rPr>
                <w:sz w:val="1"/>
                <w:szCs w:val="1"/>
                <w:color w:val="auto"/>
              </w:rPr>
            </w:pPr>
          </w:p>
        </w:tc>
      </w:tr>
      <w:tr>
        <w:trPr>
          <w:trHeight w:val="153"/>
        </w:trPr>
        <w:tc>
          <w:tcPr>
            <w:tcW w:w="2720" w:type="dxa"/>
            <w:vAlign w:val="bottom"/>
            <w:vMerge w:val="continue"/>
          </w:tcPr>
          <w:p>
            <w:pPr>
              <w:spacing w:after="0"/>
              <w:rPr>
                <w:sz w:val="13"/>
                <w:szCs w:val="13"/>
                <w:color w:val="auto"/>
              </w:rPr>
            </w:pPr>
          </w:p>
        </w:tc>
        <w:tc>
          <w:tcPr>
            <w:tcW w:w="4740" w:type="dxa"/>
            <w:vAlign w:val="bottom"/>
          </w:tcPr>
          <w:p>
            <w:pPr>
              <w:ind w:left="4200"/>
              <w:spacing w:after="0" w:line="153"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Agent</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EDGAR</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defeasance</w:t>
            </w:r>
            <w:r>
              <w:rPr>
                <w:rFonts w:ascii="Arial" w:cs="Arial" w:eastAsia="Arial" w:hAnsi="Arial"/>
                <w:sz w:val="18"/>
                <w:szCs w:val="18"/>
                <w:color w:val="auto"/>
              </w:rPr>
              <w:t>”</w:t>
            </w:r>
          </w:p>
        </w:tc>
        <w:tc>
          <w:tcPr>
            <w:tcW w:w="4740" w:type="dxa"/>
            <w:vAlign w:val="bottom"/>
          </w:tcPr>
          <w:p>
            <w:pPr>
              <w:ind w:left="42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65"/>
        </w:trPr>
        <w:tc>
          <w:tcPr>
            <w:tcW w:w="2720" w:type="dxa"/>
            <w:vAlign w:val="bottom"/>
          </w:tcPr>
          <w:p>
            <w:pPr>
              <w:spacing w:after="0"/>
              <w:rPr>
                <w:sz w:val="24"/>
                <w:szCs w:val="24"/>
                <w:color w:val="auto"/>
              </w:rPr>
            </w:pPr>
          </w:p>
        </w:tc>
        <w:tc>
          <w:tcPr>
            <w:tcW w:w="4740" w:type="dxa"/>
            <w:vAlign w:val="bottom"/>
          </w:tcPr>
          <w:p>
            <w:pPr>
              <w:ind w:left="9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940"/>
          </w:cols>
          <w:pgMar w:left="440" w:top="274" w:right="51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2680" w:type="dxa"/>
            <w:vAlign w:val="bottom"/>
          </w:tcPr>
          <w:p>
            <w:pPr>
              <w:ind w:left="2040"/>
              <w:spacing w:after="0"/>
              <w:rPr>
                <w:sz w:val="20"/>
                <w:szCs w:val="20"/>
                <w:color w:val="auto"/>
              </w:rPr>
            </w:pPr>
            <w:r>
              <w:rPr>
                <w:rFonts w:ascii="Arial" w:cs="Arial" w:eastAsia="Arial" w:hAnsi="Arial"/>
                <w:sz w:val="14"/>
                <w:szCs w:val="14"/>
                <w:b w:val="1"/>
                <w:bCs w:val="1"/>
                <w:color w:val="auto"/>
                <w:w w:val="91"/>
              </w:rPr>
              <w:t>Defined in</w:t>
            </w:r>
          </w:p>
        </w:tc>
        <w:tc>
          <w:tcPr>
            <w:tcW w:w="0" w:type="dxa"/>
            <w:vAlign w:val="bottom"/>
          </w:tcPr>
          <w:p>
            <w:pPr>
              <w:spacing w:after="0"/>
              <w:rPr>
                <w:sz w:val="1"/>
                <w:szCs w:val="1"/>
                <w:color w:val="auto"/>
              </w:rPr>
            </w:pPr>
          </w:p>
        </w:tc>
      </w:tr>
      <w:tr>
        <w:trPr>
          <w:trHeight w:val="153"/>
        </w:trPr>
        <w:tc>
          <w:tcPr>
            <w:tcW w:w="4780" w:type="dxa"/>
            <w:vAlign w:val="bottom"/>
            <w:vMerge w:val="continue"/>
          </w:tcPr>
          <w:p>
            <w:pPr>
              <w:spacing w:after="0"/>
              <w:rPr>
                <w:sz w:val="13"/>
                <w:szCs w:val="13"/>
                <w:color w:val="auto"/>
              </w:rPr>
            </w:pPr>
          </w:p>
        </w:tc>
        <w:tc>
          <w:tcPr>
            <w:tcW w:w="2680" w:type="dxa"/>
            <w:vAlign w:val="bottom"/>
          </w:tcPr>
          <w:p>
            <w:pPr>
              <w:ind w:left="2140"/>
              <w:spacing w:after="0" w:line="153"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Exchange Rate</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person</w:t>
            </w:r>
            <w:r>
              <w:rPr>
                <w:rFonts w:ascii="Arial" w:cs="Arial" w:eastAsia="Arial" w:hAnsi="Arial"/>
                <w:sz w:val="18"/>
                <w:szCs w:val="18"/>
                <w:color w:val="auto"/>
              </w:rPr>
              <w:t>”</w:t>
            </w:r>
          </w:p>
        </w:tc>
        <w:tc>
          <w:tcPr>
            <w:tcW w:w="2680" w:type="dxa"/>
            <w:vAlign w:val="bottom"/>
          </w:tcPr>
          <w:p>
            <w:pPr>
              <w:ind w:left="2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Incorporation by Reference of Trust Indenture Act</w:t>
      </w:r>
      <w:r>
        <w:rPr>
          <w:rFonts w:ascii="Arial" w:cs="Arial" w:eastAsia="Arial" w:hAnsi="Arial"/>
          <w:sz w:val="16"/>
          <w:szCs w:val="16"/>
          <w:color w:val="auto"/>
        </w:rPr>
        <w:t>. Whenever this Indenture refers to a provision of the TIA, the provision is incorporated by reference in and made a part of this Indenture. The following TIA terms used in this Indenture have the following meanings: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1.4.1 a term has the meaning assigned to 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1.4.2 an accounting term not otherwise defined has the meaning assigned to it in accordance with 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 “or” is not exclusive;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1.4.4 words in the singular include the plural, and in the plural include the singular;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1.4.5 provisions apply to successive events and transactions; and</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440" w:top="253" w:right="719" w:bottom="1440" w:gutter="0" w:footer="0" w:header="0"/>
        </w:sectPr>
      </w:pPr>
    </w:p>
    <w:bookmarkStart w:id="45" w:name="page46"/>
    <w:bookmarkEnd w:id="45"/>
    <w:p>
      <w:pPr>
        <w:ind w:right="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1.4.6 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22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that may be authenticated and delivered under this Indenture is unlimited. The Securities may be issued in one or more Series. All Securities of a Series shall be identical except as may be set forth or determined pursuant to or in the manner provided in a Board Resolution (or pursuant to authority granted under a Board Resolution) and Officers’ Certificate or supplemental indenture. In the case of Securities of a Series to be issued from time to time, the Board Resolution (or pursuant to authority granted under a Board Resolution) and Officers’ Certificate or supplemental indenture may provide for the method by which specified terms (such as interest rate, maturity date, record date or date from which interest shall accrue) are to be determined. Securities may differ between Series, and Securities within any Series may differ from any or all other Securities of such Series, in respect of any matters,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any subordination provisions applicable to the Securities of any Series pursuant to Section 2.2, all Series of Securities shall be equally and ratably entitled to the benefits of this Indenture.</w:t>
      </w:r>
    </w:p>
    <w:p>
      <w:pPr>
        <w:spacing w:after="0" w:line="19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Establishment of Form and Terms of Series of Securities</w:t>
      </w:r>
      <w:r>
        <w:rPr>
          <w:rFonts w:ascii="Arial" w:cs="Arial" w:eastAsia="Arial" w:hAnsi="Arial"/>
          <w:sz w:val="17"/>
          <w:szCs w:val="17"/>
          <w:color w:val="auto"/>
        </w:rPr>
        <w:t>. The Securities of each Series shall be in such form or forms as may be set forth or determined pursuant to or in a manner provided in a Board Resolution (or pursuant to authority granted under a Board Resolution) and an Officers’ Certificate or supplemental indenture. At or prior to the issuance of any Securities within a Series, the title of the Securities of such Series shall be established pursuant to Subsection 2.2.1, and the terms of such Securities shall be established, (either as to any Securities within the Series or as to the Series generally) pursuant to Subsections 2.2.2 through 2.2.21, by or pursuant to a Board Resolution, and set forth or determined pursuant to or in the manner provided in a Board Resolution and an Officers’ Certificate or supplemental indenture, which terms shall include, without limitation and to the extent applicable with respect to Securities of such Series, the following: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 the title of such Series (which shall distinguish such Securities of that particular Series from the Securities of any other Series);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 w:name="page47"/>
    <w:bookmarkEnd w:id="46"/>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 any limit upon the aggregate principal amount of the Securities of such Series which may be authenticated and delivered under this Indenture (except for Securities authenticated and delivered upon registration of transfer of, or in exchange for, or in lieu of, other Securities of the Series pursuant to Section 2.7, 2.8, 2.11, 3.7 or 9.6 or, in the case of Securities of a Series that the Company may be required to repurchase at the option of the Holders thereof, Securities authenticated and delivered in exchange for other Securities of the same Series that were repurchased in part);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the date or dates on which the principal of the Securities of such Series is payable;</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2.2.4 if applicable, the rate or rates (which may be fixed or variable) or, if applicable, the method used to determine such rate or rates (including, but not limited to, any commodity, commodity index, stock exchange index or financial index) at which the Securities of such Series shall bear interest, if any, the date or dates from which such interest, if any, shall accrue, the date or dates on which such interest, if any, shall be payable and any regular record date for the interest payable on any interest payment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the right, if any, to defer payment of interest and the length of any deferral period;</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2.2.6 if applicable, the period or periods within which, the price or prices at which and the terms and conditions upon which the Securities of such Series may be redeemed, in whole or in part, at the option of the Company;</w:t>
      </w:r>
    </w:p>
    <w:p>
      <w:pPr>
        <w:spacing w:after="0" w:line="170"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2.2.7 if applicable, the obligation, if any, of the Company to redeem or repurchase the Securities of such Series pursuant to any sinking fund or analogous provisions or at the option of the Holders thereof and the period or periods within which, the price or prices at which and the terms and conditions upon which Securities of such Series shall be redeemed or repurchased, in whole or in part, pursuant to such obligation;</w:t>
      </w:r>
    </w:p>
    <w:p>
      <w:pPr>
        <w:spacing w:after="0" w:line="16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2.2.8 if other than minimum denominations of $2,000 in principal amount and any integral multiple of $1,000 in principal amount in excess thereof, the denominations in which the Securities of such Series shall be issuable;</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2.2.9 whether any or all of the Securities of such Series are to be issued in the form of one or more Global Securities and, if so, the initial Depositary with respect to such Global Securities;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2.2.10 if other than the principal amount thereof, the portion of the principal amount of the Securities of such Series that shall be payable upon acceleration of the maturity thereof pursuant to Section 6.2;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2.2.11 if other than Dollars, the currency of denomination of the Securities of such Series, which may be any Foreign Currency;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7" w:name="page48"/>
    <w:bookmarkEnd w:id="47"/>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2.2.12 if other than Dollars, the designation of the currency, currencies or currency units in which payment of the principal of and interest, if any, on the Securities of such Series will be made;</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2.2.13 if payments of principal of or interest, if any, on the Securities of such Series are to be made in one or more currencies, composite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2.2.14 if applicable, the manner in which the amounts of payment of principal of and interest, if any, on the Securities of such Series will be determined, if such amounts may be determined by reference to an index based on a currency or currencies or by reference to a commodity, commodity index, stock exchange index or other index;</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2.2.15 the provisions, if any, relating to any security for or guarantees of the Securities of such Series;</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2.2.16 any additions to, deletions of or changes in the Events of Default which apply to any Securities of such Series and any change in the right of the Trustee or the requisite Holders of such Securities to declare the principal amount thereof due and payable pursuant to Section 6.2 and any change in the circumstances under which the Securities of such Series shall become due and payable automatically pursuant to Section 6.2;</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2.2.17 any additions to, deletions of or changes in the covenants which apply to Securities of such Series;</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2.2.18 any other terms of the Securities of such Series (which may supplement, modify or delete any provision of this Indenture insofar as it applies to such Series);</w:t>
      </w:r>
    </w:p>
    <w:p>
      <w:pPr>
        <w:spacing w:after="0" w:line="170"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2.2.19 if the Securities of such Series will be convertible into or exchangeable for shares of common stock, preferred stock or other securities of the Company or any other person, the terms and conditions upon which such Securities will be so convertible or exchangeable, including, if applicable, the conversion or exchange price or rate, how such price or rate will be calculated and may be adjusted, any mandatory or optional (at the Company’s option or at the option of the Holders thereof) conversion or exchange features, and the applicable conversion or exchange period;</w:t>
      </w:r>
    </w:p>
    <w:p>
      <w:pPr>
        <w:spacing w:after="0" w:line="15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2.2.20 if the Securities of such Series will not be senior Securities, whether the Securities of such Series will be senior subordinated, subordinated or junior subordinated debt securities (or will have some other subordinated ranking) and, in that case, a description of the subordination terms thereof; and</w:t>
      </w:r>
    </w:p>
    <w:p>
      <w:pPr>
        <w:spacing w:after="0" w:line="18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2.2.21 if applicable, any interest rate calculation agents, exchange rate calculation agents or other agents with respect to the Securities of such Series if the trustee, paying agent or registrar of that Series is other than the Trustee initially named in this Indenture or any successor thereto, the trustee, paying agent or registrar of that Series.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48" w:name="page49"/>
    <w:bookmarkEnd w:id="48"/>
    <w:p>
      <w:pPr>
        <w:ind w:right="20"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of any one Series need not be issued at the same time and may be issued from time to time, if so provided by or pursuant to a Board Resolution and Officers’ Certificate or supplemental indenture hereto referred to above. Unless otherwise provided in a Board Resolution and Officers’ Certificate or supplemental indenture, a Series may be reopened, from time to time, without the consent of the Holders of such Series, to issue additional Securities of such Series, having the same ranking and the same interest rate, maturity and other terms as the Securities of such Series, except for the public offering price, the issue date and, if applicable, the initial interest payment date and initial interest accrual date. Any such additional Securities, together with the initial Securities of such Series, shall constitute a single Series of Securities under this Indenture; provided that if the additional Securities are not fungible for U.S. federal income tax purposes with the initial Securities of such Series, the additional Securities shall be issued under a separate CUSIP, ISIN or other identifying number, as applicable. No additional Securities may be issued if an Event of Default has occurred and is continuing with respect to the Series of Securities of which such additional Securities would be a part.</w:t>
      </w:r>
    </w:p>
    <w:p>
      <w:pPr>
        <w:spacing w:after="0" w:line="166"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One Officer shall sign the Securities for the Company by manual, facsimile or other electronic signature.</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Security shall not be valid until authenticated by the manual, facsimile or other electronic signature of the Trustee or an authenticating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shall be conclusive evidence that the Security has been authenticated under this Indenture.</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(or in a principal amount not to exceed the principal amount provided in) a Board Resolution and an Officers’ Certificate or supplemental indenture hereto, upon receipt by the Trustee of a Company Order. If all the Securities of any one Series are not to be originally issued at one time and if a Board Resolution and an Officers’ Certificate or a supplemental indenture hereto shall so permit, such Company Order may set forth the procedures for the issuance and authentication of such Securities. Each Security shall be dated the date of its authentication unless otherwise provided by a Board Resolution and an Officers’ Certificate or a supplemental indenture hereto.</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and Officers’ Certificate or supplemental indenture hereto delivered pursuant to Section 2.2, except as provided in such Section 2.2 or Sections 2.8 and 2.9.</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addition to a Company Order, prior to the issuance of Securities of any Series, the Trustee shall have received and (subject to Section 7.1), in authenticating such Securities, shall be fully protected in relying on: (a) the Board Resolution and Officers’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9" w:name="page50"/>
    <w:bookmarkEnd w:id="4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or supplemental indenture hereto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the provisions of Section 2.2 and the preceding paragraph, if all the Securities of a Series are not to be originally issued at one time, it shall not be necessary to deliver the Board Resolution and Officers’ Certificate or supplemental indenture hereto pursuant to this Section 2.3 prior to the issuance and authentication of each Security of such Series if such documents are delivered prior to the authentication upon original issuance of the first Securities of such Series to be issued and such documents provide for the issuance of all Securities of such Series.</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a Responsible Officer shall determine that such action would expose the Trustee to personal liability to Holders of any then outstanding Series of Securities. The terms of the Securities as set forth in a Board Resolution and an Officers’ Certificate or supplemental indenture shall not adversely affect the rights, duties or protections of the Trustee as set forth herein.</w:t>
      </w:r>
    </w:p>
    <w:p>
      <w:pPr>
        <w:spacing w:after="0" w:line="188"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any such authenticating agent. An authenticating agent has the same rights as an Agent to deal with the Company or an Affiliate of the Company.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Registrar and Paying Agent</w:t>
      </w:r>
      <w:r>
        <w:rPr>
          <w:rFonts w:ascii="Arial" w:cs="Arial" w:eastAsia="Arial" w:hAnsi="Arial"/>
          <w:sz w:val="17"/>
          <w:szCs w:val="17"/>
          <w:color w:val="auto"/>
        </w:rPr>
        <w:t>. As long as any of the Securities of a Series remain outstanding, the Company shall designate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maintain an office or agency in the continental United States where the Securities of that Series may be presented for payment (“</w:t>
      </w:r>
      <w:r>
        <w:rPr>
          <w:rFonts w:ascii="Arial" w:cs="Arial" w:eastAsia="Arial" w:hAnsi="Arial"/>
          <w:sz w:val="16"/>
          <w:szCs w:val="16"/>
          <w:b w:val="1"/>
          <w:bCs w:val="1"/>
          <w:color w:val="auto"/>
        </w:rPr>
        <w:t>Paying Agent</w:t>
      </w:r>
      <w:r>
        <w:rPr>
          <w:rFonts w:ascii="Arial" w:cs="Arial" w:eastAsia="Arial" w:hAnsi="Arial"/>
          <w:sz w:val="16"/>
          <w:szCs w:val="16"/>
          <w:color w:val="auto"/>
        </w:rPr>
        <w:t>”),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 or agency where the Securities of that Series may be presented for registration of transfer and for exchange as in this Indenture provided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w:t>
      </w:r>
      <w:r>
        <w:rPr>
          <w:rFonts w:ascii="Arial" w:cs="Arial" w:eastAsia="Arial" w:hAnsi="Arial"/>
          <w:sz w:val="16"/>
          <w:szCs w:val="16"/>
          <w:color w:val="auto"/>
        </w:rPr>
        <w:t>”). The Company shall give to the Trustee written notice of the location of each such office or agency and of any change of location thereof.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case the Company shall fail to maintain any such office or agency, or shall fail to give such notice of the location or of any change in the location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thereof, presentations and demands for payment and registration for transfers and exchanges may be made at the Corporate Trust Office of the Trustee.</w:t>
      </w:r>
    </w:p>
    <w:p>
      <w:pPr>
        <w:spacing w:after="0" w:line="23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hereby initially designates the office of the Trustee located at 240 Greenwich Street 7E, New York, New York 10286 as the office or agency of the Company where the Securities of each Series may be presented for payment, for registration of transfer and for exchange as in this Indenture provided.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0" w:name="page51"/>
    <w:bookmarkEnd w:id="50"/>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Registrar shall keep a register with respect to each Series of Securities and to their transfer and exchange. The term “</w:t>
      </w:r>
      <w:r>
        <w:rPr>
          <w:rFonts w:ascii="Arial" w:cs="Arial" w:eastAsia="Arial" w:hAnsi="Arial"/>
          <w:sz w:val="18"/>
          <w:szCs w:val="18"/>
          <w:b w:val="1"/>
          <w:b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b w:val="1"/>
          <w:bCs w:val="1"/>
          <w:color w:val="auto"/>
        </w:rPr>
        <w:t>Paying Agent</w:t>
      </w:r>
      <w:r>
        <w:rPr>
          <w:rFonts w:ascii="Arial" w:cs="Arial" w:eastAsia="Arial" w:hAnsi="Arial"/>
          <w:sz w:val="18"/>
          <w:szCs w:val="18"/>
          <w:color w:val="auto"/>
        </w:rPr>
        <w:t>” includes any additional paying agent.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may change any Agent without any notice to any Holder. The Company or any of its Subsidiaries may act as Agent.</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such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trust for the benefit of Securityholders of any Series of Securities all money held by it as Paying Agent.</w:t>
      </w:r>
    </w:p>
    <w:p>
      <w:pPr>
        <w:spacing w:after="0" w:line="16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Securityholder Lists</w:t>
      </w:r>
      <w:r>
        <w:rPr>
          <w:rFonts w:ascii="Arial" w:cs="Arial" w:eastAsia="Arial" w:hAnsi="Arial"/>
          <w:sz w:val="17"/>
          <w:szCs w:val="17"/>
          <w:color w:val="auto"/>
        </w:rPr>
        <w:t>. 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(or such later date as may be acceptable to the Trustee) and at such other times as the Trustee may reasonably request in writing a list, in such form and as of such date as the Trustee may reasonably require, of the names and addresses of Securityholders of each Series of Securities.</w:t>
      </w:r>
    </w:p>
    <w:p>
      <w:pPr>
        <w:spacing w:after="0" w:line="176"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Transfer and Exchange</w:t>
      </w:r>
      <w:r>
        <w:rPr>
          <w:rFonts w:ascii="Arial" w:cs="Arial" w:eastAsia="Arial" w:hAnsi="Arial"/>
          <w:sz w:val="17"/>
          <w:szCs w:val="17"/>
          <w:color w:val="auto"/>
        </w:rPr>
        <w:t>. Where Securities of a Series are presented to the Registrar with a request to register a transfer or to exchange them for an equal principal amount of Securities of the same Series of like tenor and terms, the Registrar shall register the transfer or make the exchange if its requirements for such transactions are met, in accordance with this Indenture, and, if applicable, any Board Resolution and an Officers’ Certificate or supplemental indenture hereto. To permit registrations of transfers and exchanges, the Trustee shall authenticate Securities upon Company Order. No service charge shall be made for any registration of transfer or exchange (except as otherwise expressly permitted in this Indenture, any Security or any Board Resolution and Officers’ Certificate or supplemental indenture), but the Company may require payment of a sum sufficient to cover any tax or other governmental charge payable in connection therewith (other than any such tax or other governmental charge payable upon exchanges pursuant to Sections 2.11, 3.7 or 9.6).</w:t>
      </w:r>
    </w:p>
    <w:p>
      <w:pPr>
        <w:spacing w:after="0" w:line="17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during the period beginning at the opening of business fifteen days immediately preceding the sending of a notice of redemption of the Securities of that Series selected for redemption and ending at the close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51" w:name="page52"/>
    <w:bookmarkEnd w:id="51"/>
    <w:p>
      <w:pPr>
        <w:jc w:val="both"/>
        <w:ind w:left="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business on the day such notice is delivered, or (b) to register the transfer of or exchange Securities (or portions thereof) of any Series selected, called or being called for redemption, or, if applicable, surrendered for repurchase by the Company at the option of the Holders, except any portion thereof not so selected, called, being called or surrendered.</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Mutilated, Destroyed, Lost and Stolen Securities</w:t>
      </w:r>
      <w:r>
        <w:rPr>
          <w:rFonts w:ascii="Arial" w:cs="Arial" w:eastAsia="Arial" w:hAnsi="Arial"/>
          <w:sz w:val="18"/>
          <w:szCs w:val="18"/>
          <w:color w:val="auto"/>
        </w:rPr>
        <w:t>. If any mutilated Security is surrendered to the Trustee, the Company shall execute and the Trustee upon receipt of a Company Order shall authenticate and deliver in exchange therefor a new Security of the same Series and of like tenor, terms and principal amount and bearing a number not contemporaneously outstanding.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(a)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terms and principal amount and bearing a number not contemporaneously outstanding.</w:t>
      </w:r>
    </w:p>
    <w:p>
      <w:pPr>
        <w:spacing w:after="0" w:line="17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and its counsel) connected therewith.</w:t>
      </w:r>
    </w:p>
    <w:p>
      <w:pPr>
        <w:spacing w:after="0" w:line="184" w:lineRule="exact"/>
        <w:rPr>
          <w:sz w:val="20"/>
          <w:szCs w:val="20"/>
          <w:color w:val="auto"/>
        </w:rPr>
      </w:pPr>
    </w:p>
    <w:p>
      <w:pPr>
        <w:ind w:left="4" w:right="200" w:firstLine="440"/>
        <w:spacing w:after="0" w:line="279"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subject to any subordination provisions applicable to the Securities of any Series pursuant to Section 2.2, with any and all other Securities of that Series duly issued hereunder.</w:t>
      </w:r>
    </w:p>
    <w:p>
      <w:pPr>
        <w:spacing w:after="0" w:line="17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To the extent lawful, the provisions of this Section are exclusive and shall preclude all other rights and remedies with respect to the replacement or payment of mutilated, destroyed, lost or stolen Securities.</w:t>
      </w:r>
    </w:p>
    <w:p>
      <w:pPr>
        <w:spacing w:after="0" w:line="170"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i w:val="1"/>
          <w:iCs w:val="1"/>
          <w:color w:val="auto"/>
        </w:rPr>
        <w:t>Outstanding Securities</w:t>
      </w:r>
      <w:r>
        <w:rPr>
          <w:rFonts w:ascii="Arial" w:cs="Arial" w:eastAsia="Arial" w:hAnsi="Arial"/>
          <w:sz w:val="17"/>
          <w:szCs w:val="17"/>
          <w:color w:val="auto"/>
        </w:rPr>
        <w:t>. Subject to Section 2.10, the Securities outstanding at any time are all the Securities authenticated by the Trustee except for those canceled by it, those delivered to it for cancellation, those reductions in the principal amount of a Global Security recorded by the Trustee or other custodian for such Global Security and those described in this Section as not outstanding.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52" w:name="page53"/>
    <w:bookmarkEnd w:id="52"/>
    <w:p>
      <w:pPr>
        <w:jc w:val="both"/>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destroyed, lost or stolen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the principal of and/or interest on such Securities payable on that date, then on and after that date such Securities cease to be outstanding and interest on them ceases to accrue.</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If any Security is converted into or exchanged for common stock or other securities as contemplated by this Indenture and the terms of such Security, such Security ceases to be outstanding on the date of such conversion or exchange, as the case may be.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determining whether the Holders of the requisite aggregate principal amount of outstanding Securities or outstanding Securities of a Series have concurred in or given any request, demand, authorization, direction, notice, consent or waiver or taken any other action hereunder or in respect of such Securities, the principal amount of a Discount Security that shall be deemed to be outstanding for such purposes shall be the amount of the principal thereof that would be due and payable as of the date of such determination upon acceleration of the Maturity thereof pursuant to Section 6.2.</w:t>
      </w:r>
    </w:p>
    <w:p>
      <w:pPr>
        <w:spacing w:after="0" w:line="15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Treasury Securities</w:t>
      </w:r>
      <w:r>
        <w:rPr>
          <w:rFonts w:ascii="Arial" w:cs="Arial" w:eastAsia="Arial" w:hAnsi="Arial"/>
          <w:sz w:val="16"/>
          <w:szCs w:val="16"/>
          <w:color w:val="auto"/>
        </w:rPr>
        <w:t>. In determining whether the Holders of the requisite principal amount of outstanding Securities or outstanding Securities of a Series have concurred in or given any request, demand, authorization, direction, notice, consent or waiver or taken any other action hereunder or in respect of such Securities, Securities owned by the Company or any Affiliate of the Company shall be disregarded, except that for the purposes of determining whether the Trustee shall be protected in relying on any such request, demand, authorization, direction, notice, consent, waiver or other action, only Securities that a Responsible Officer of the Trustee actually knows are so owned shall be so disregarded.</w:t>
      </w:r>
    </w:p>
    <w:p>
      <w:pPr>
        <w:spacing w:after="0" w:line="161"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Temporary Securities</w:t>
      </w:r>
      <w:r>
        <w:rPr>
          <w:rFonts w:ascii="Arial" w:cs="Arial" w:eastAsia="Arial" w:hAnsi="Arial"/>
          <w:sz w:val="16"/>
          <w:szCs w:val="16"/>
          <w:color w:val="auto"/>
        </w:rPr>
        <w:t>. Until definitive Securities are ready for delivery, the Company may prepare and the Trustee shall authenticate temporary Securities upon receipt of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principal amount, tenor and terms in exchange for temporary Securities. Until so exchanged, temporary Securities shall have the same rights under this Indenture as the definitive Securities.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53" w:name="page54"/>
    <w:bookmarkEnd w:id="53"/>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2.12 </w:t>
      </w:r>
      <w:r>
        <w:rPr>
          <w:rFonts w:ascii="Arial" w:cs="Arial" w:eastAsia="Arial" w:hAnsi="Arial"/>
          <w:sz w:val="18"/>
          <w:szCs w:val="18"/>
          <w:i w:val="1"/>
          <w:iCs w:val="1"/>
          <w:color w:val="auto"/>
        </w:rPr>
        <w:t>Cancellation</w:t>
      </w:r>
      <w:r>
        <w:rPr>
          <w:rFonts w:ascii="Arial" w:cs="Arial" w:eastAsia="Arial" w:hAnsi="Arial"/>
          <w:sz w:val="18"/>
          <w:szCs w:val="18"/>
          <w:color w:val="auto"/>
        </w:rPr>
        <w:t>. The Company at any time may deliver Securities to the Trustee for cancellation. Each Agent shall forward to the Trustee any Securities surrendered to them for registration of transfer, exchange or payment. The Trustee shall cancel all Securities surrendered for transfer, exchange, payment, replacement or cancellation (subject to any record retention requirement of the Exchange Act) and deliver a certificate of such cancellation to the Company upon its written request. The Company may not issue new Securities to replace Securities that it has paid or delivered to the Trustee for cancellation.</w:t>
      </w:r>
    </w:p>
    <w:p>
      <w:pPr>
        <w:spacing w:after="0" w:line="18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Payment of Interest; Computation of Interest</w:t>
      </w:r>
      <w:r>
        <w:rPr>
          <w:rFonts w:ascii="Arial" w:cs="Arial" w:eastAsia="Arial" w:hAnsi="Arial"/>
          <w:sz w:val="18"/>
          <w:szCs w:val="18"/>
          <w:color w:val="auto"/>
        </w:rPr>
        <w:t>. Except as otherwise provided as contemplated by Section 2.2 with respect to any Series of Securities, interest on any Security which is payable, and is punctually paid or duly provided for, on any interest payment date for such Security shall be paid to the person in whose name that Security (or one or more predecessor Securities) is registered at the close of business on the regular record date for such interest payment date.</w:t>
      </w:r>
    </w:p>
    <w:p>
      <w:pPr>
        <w:spacing w:after="0" w:line="187"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170" w:lineRule="exact"/>
        <w:rPr>
          <w:sz w:val="20"/>
          <w:szCs w:val="20"/>
          <w:color w:val="auto"/>
        </w:rPr>
      </w:pPr>
    </w:p>
    <w:p>
      <w:pPr>
        <w:jc w:val="both"/>
        <w:ind w:right="20" w:firstLine="440"/>
        <w:spacing w:after="0" w:line="275"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a Series of Securities, it shall pay the defaulted interest, plus, to the extent permitted by law, any interest payable on the defaulted interest, to the persons who are Securityholders of the Series at the close of business on a subsequent special record date. The Company shall fix the special record date and payment date. At least 10 days before the special record date, the Company shall give written notice to the Trustee and to each Securityholder of the Series of the special record date, the payment date and the amount of interest to be paid. The Company may pay defaulted interest in any other lawful manner.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i w:val="1"/>
          <w:iCs w:val="1"/>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2.15.1 </w:t>
      </w:r>
      <w:r>
        <w:rPr>
          <w:rFonts w:ascii="Arial" w:cs="Arial" w:eastAsia="Arial" w:hAnsi="Arial"/>
          <w:sz w:val="18"/>
          <w:szCs w:val="18"/>
          <w:i w:val="1"/>
          <w:iCs w:val="1"/>
          <w:color w:val="auto"/>
        </w:rPr>
        <w:t>Terms of Securities</w:t>
      </w:r>
      <w:r>
        <w:rPr>
          <w:rFonts w:ascii="Arial" w:cs="Arial" w:eastAsia="Arial" w:hAnsi="Arial"/>
          <w:sz w:val="18"/>
          <w:szCs w:val="18"/>
          <w:color w:val="auto"/>
        </w:rPr>
        <w:t>. A Board Resolution and an Officers’ Certificate or a supplemental indenture hereto may establish whether the Securities of a Series shall be issued in whole or in part in the form of one or more temporary or permanent Global Securities and the Depositary for such Global Security or Securities.</w:t>
      </w:r>
    </w:p>
    <w:p>
      <w:pPr>
        <w:spacing w:after="0" w:line="184"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2.15.2 </w:t>
      </w:r>
      <w:r>
        <w:rPr>
          <w:rFonts w:ascii="Arial" w:cs="Arial" w:eastAsia="Arial" w:hAnsi="Arial"/>
          <w:sz w:val="16"/>
          <w:szCs w:val="16"/>
          <w:i w:val="1"/>
          <w:iCs w:val="1"/>
          <w:color w:val="auto"/>
        </w:rPr>
        <w:t>Transfer and Exchange</w:t>
      </w:r>
      <w:r>
        <w:rPr>
          <w:rFonts w:ascii="Arial" w:cs="Arial" w:eastAsia="Arial" w:hAnsi="Arial"/>
          <w:sz w:val="16"/>
          <w:szCs w:val="16"/>
          <w:color w:val="auto"/>
        </w:rPr>
        <w:t>. Unless otherwise specified pursuant to Section 2.2 with respect to the Securities of any Series, the Global Securities of any Series shall be exchangeable pursuant to Section 2.7 of this Indenture for Physical Securities of such Series in an equal aggregate principal amount and of like tenor and terms registered in the names of Holders other than the Depositary for such Global Securities or its nominee only if (a) the Company receives notice from such Depositary that it is unwilling or unable to continue as Depositary for the Global Securities of such Series or if such Depositary ceases to be a clearing agency registered under the Exchange Act, and, in either case, the Company fails to appoint a successor Depositary for the Global Securities of such Series registered as a clearing agency under the Exchange Act within 90 days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date the Company receives such notice or learns that such Depositary has ceased to be so registered, (b) the Company, in its sole discretion, determines that the Global Securities of such Series shall be exchanged (in whole but not in part) for Physical Securities of such Series and delivers to the Trustee an Officers’ Certificate to such effect, or (c) an Event of Default with respect to the Securities of such Series shall have occurred and shall be continuing and such beneficial owner requests that beneficial interests in the Global Securities be issued in the form of Physical Securities. Any Global Security of a Series that is exchangeable pursuant to the preceding sentence shall be exchangeable for Physical Securities of the same Series registered in such names as the Depositary shall direct in writing in an aggregate principal amount equal to the principal amount of the Global Security of such Series being exchanged and with like tenor and terms. The Trustee, upon receipt of a Company Order, shall authenticate and make available for delivery, in exchange for a Global Security or any portion thereof being exchanged for Physical Securities, a like aggregate principal amount of Physical Securities of the same Series of authorized denominations and of like tenor and terms as the Global Security or portion thereof to be exchanged, subject, however, to the provisions of the second paragraph of Section 2.7 of this Indenture. Promptly following any such exchange in part, such Global Security shall, at the option of the Company, either be returned by the Trustee to such Depositary (or its custodian) and the Trustee shall endorse such Global Security to reflect the decrease in the principal amount thereof resulting from such exchange or such Global Security shall be exchanged for another Global Security in a principal amount reflecting the decrease in such principal amount resulting from such exchange. If a Physical Security is issued in exchange for any portion of a Global Security after the close of business on (i) any record date for such Security and before the opening of business on the next interest payment date for such Security, or (ii) any special record date for such Security and before the opening of business on the related proposed date for payment of interest or defaulted interest thereon, as the case may be, interest shall not be payable on such interest payment date or proposed date for payment, as the case may be, in respect of such Physical Security, but shall be payable on such interest payment date or proposed date for payment, as the case may be, only to the person to whom interest in respect of such portion of such Global Security shall be payable in accordance with the provisions of this Indenture and such Security.</w:t>
      </w:r>
    </w:p>
    <w:p>
      <w:pPr>
        <w:spacing w:after="0" w:line="16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2.15.3 </w:t>
      </w:r>
      <w:r>
        <w:rPr>
          <w:rFonts w:ascii="Arial" w:cs="Arial" w:eastAsia="Arial" w:hAnsi="Arial"/>
          <w:sz w:val="18"/>
          <w:szCs w:val="18"/>
          <w:i w:val="1"/>
          <w:iCs w:val="1"/>
          <w:color w:val="auto"/>
        </w:rPr>
        <w:t>Legend</w:t>
      </w:r>
      <w:r>
        <w:rPr>
          <w:rFonts w:ascii="Arial" w:cs="Arial" w:eastAsia="Arial" w:hAnsi="Arial"/>
          <w:sz w:val="18"/>
          <w:szCs w:val="18"/>
          <w:color w:val="auto"/>
        </w:rPr>
        <w:t>. Any Global Security issued hereunder shall bear such legend as the Company may deem appropriate or as the Depositary may require.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2.15.4 </w:t>
      </w:r>
      <w:r>
        <w:rPr>
          <w:rFonts w:ascii="Arial" w:cs="Arial" w:eastAsia="Arial" w:hAnsi="Arial"/>
          <w:sz w:val="18"/>
          <w:szCs w:val="18"/>
          <w:i w:val="1"/>
          <w:iCs w:val="1"/>
          <w:color w:val="auto"/>
        </w:rPr>
        <w:t>Acts of Holders</w:t>
      </w:r>
      <w:r>
        <w:rPr>
          <w:rFonts w:ascii="Arial" w:cs="Arial" w:eastAsia="Arial" w:hAnsi="Arial"/>
          <w:sz w:val="18"/>
          <w:szCs w:val="18"/>
          <w:color w:val="auto"/>
        </w:rPr>
        <w:t>. The Depositary, as a Holder, may appoint agents, grant proxies and otherwise authorize participants in its book-entry system and others to give or take any request, demand, authorization, direction, notice, consent, waiver or other action which a Holder is entitled to give or take under this Indenture.</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2.15.5 </w:t>
      </w:r>
      <w:r>
        <w:rPr>
          <w:rFonts w:ascii="Arial" w:cs="Arial" w:eastAsia="Arial" w:hAnsi="Arial"/>
          <w:sz w:val="18"/>
          <w:szCs w:val="18"/>
          <w:i w:val="1"/>
          <w:iCs w:val="1"/>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55" w:name="page56"/>
    <w:bookmarkEnd w:id="55"/>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2.15.6 </w:t>
      </w:r>
      <w:r>
        <w:rPr>
          <w:rFonts w:ascii="Arial" w:cs="Arial" w:eastAsia="Arial" w:hAnsi="Arial"/>
          <w:sz w:val="17"/>
          <w:szCs w:val="17"/>
          <w:i w:val="1"/>
          <w:iCs w:val="1"/>
          <w:color w:val="auto"/>
        </w:rPr>
        <w:t>No Responsibility for Global Securities or Securities Laws</w:t>
      </w:r>
      <w:r>
        <w:rPr>
          <w:rFonts w:ascii="Arial" w:cs="Arial" w:eastAsia="Arial" w:hAnsi="Arial"/>
          <w:sz w:val="17"/>
          <w:szCs w:val="17"/>
          <w:color w:val="auto"/>
        </w:rPr>
        <w:t>. None of the Company, the Trustee, any Agent or any of their respective agents will have any responsibility or liability for any aspect of the records relating to or payments made on account of beneficial ownership interests of a Global Security or for maintaining, supervising or reviewing any records relating to such beneficial ownership interests. Neither the Trustee nor any agent of the Company or the Trustee (including any Agent) shall have any responsibility or obligation to any Depositary participant or any other person with respect to the accuracy of the records of the Depositary (or its nominee) or of any participant in the Depositary or any other person, with respect to any ownership interest in the Securities or with respect to the delivery of any notice (including any notice of redemption) or the payment of any amount or delivery of any Securities (or other security or property) under or with respect to the Securities. The Trustee and any agent of the Company or the Trustee (including any Agent) may rely (and shall be fully protected in relying) upon information furnished by the Depositary with respect to the Depositary participants and any beneficial owners in the Securities. Furthermore, notwithstanding anything herein to the contrary, neither the Trustee nor any Agent shall have any obligations or duties to monitor, determine or inquire as to compliance with any restrictions on transfer imposed under this Indenture or applicable law with respect to any transfer of any interest in any Security (including any transfers between or among Depositary participants or owners of beneficial interests in any Security) other than to require delivery of such certificates and other documentation or evidence as are expressly required by, and to do so if and when expressly required by, this Indenture, and to examine the same to determine material compliance as to form with the express requirements hereof.</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i w:val="1"/>
          <w:iCs w:val="1"/>
          <w:color w:val="auto"/>
        </w:rPr>
        <w:t>Persons Deemed Owners</w:t>
      </w:r>
      <w:r>
        <w:rPr>
          <w:rFonts w:ascii="Arial" w:cs="Arial" w:eastAsia="Arial" w:hAnsi="Arial"/>
          <w:sz w:val="18"/>
          <w:szCs w:val="18"/>
          <w:color w:val="auto"/>
        </w:rPr>
        <w:t>. Prior to due presentment of a Security for registration of transfer, the Company, the Trustee, any Agent or any of their respective agents may treat the person in whose name such Security is registered in the register maintained by the Registrar for the Securities of such Series as the owner of such Security for the purpose of receiving payment of principal of and interest on such Security and for all other purposes whatsoever, whether or not any payment with respect to such Security shall be overdue, and neither the Company, the Trustee, any Agent or any of their respective agents shall be affected by notice to the contrary.</w:t>
      </w:r>
    </w:p>
    <w:p>
      <w:pPr>
        <w:spacing w:after="0" w:line="18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i w:val="1"/>
          <w:iCs w:val="1"/>
          <w:color w:val="auto"/>
        </w:rPr>
        <w:t>CUSIP and ISIN Numbers</w:t>
      </w:r>
      <w:r>
        <w:rPr>
          <w:rFonts w:ascii="Arial" w:cs="Arial" w:eastAsia="Arial" w:hAnsi="Arial"/>
          <w:sz w:val="18"/>
          <w:szCs w:val="18"/>
          <w:color w:val="auto"/>
        </w:rPr>
        <w:t xml:space="preserve">. The Company in issuing the Securities may use “CUSIP” or “ISIN” numbers (if then generally in use), and, if so, the Trustee shall use “CUSIP” and/or “ISIN” numbers in notices of redemption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If provision is made for redemption of Securities of any Series before their Stated Maturity pursuant to Section 2.2, then the Securities of such Series shall be redeemable in accordance with their terms and, except as otherwise specified as contemplated in Section 2.2, in accordance with this Article 3.</w:t>
      </w:r>
    </w:p>
    <w:p>
      <w:pPr>
        <w:spacing w:after="0" w:line="18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Notice to Trustee</w:t>
      </w:r>
      <w:r>
        <w:rPr>
          <w:rFonts w:ascii="Arial" w:cs="Arial" w:eastAsia="Arial" w:hAnsi="Arial"/>
          <w:sz w:val="17"/>
          <w:szCs w:val="17"/>
          <w:color w:val="auto"/>
        </w:rPr>
        <w:t>. The Company may, with respect to any Series of Securities, have the option to redeem and pay the Series of Securities or may covenant to redeem and pay the Series of Securities or any part thereof prior to the Stated Maturity thereof at such time and on such terms as provided for in such Securities or pursuant to Section 2.2.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10 days before the date notice of redemption is deliverable to the Holders (or such shorter notice as may be acceptable to the Trustee).</w:t>
      </w:r>
    </w:p>
    <w:p>
      <w:pPr>
        <w:spacing w:after="0" w:line="17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Selection of Securities to be Redeemed</w:t>
      </w:r>
      <w:r>
        <w:rPr>
          <w:rFonts w:ascii="Arial" w:cs="Arial" w:eastAsia="Arial" w:hAnsi="Arial"/>
          <w:sz w:val="17"/>
          <w:szCs w:val="17"/>
          <w:color w:val="auto"/>
        </w:rPr>
        <w:t>. Unless otherwise provided for a particular Series pursuant to Section 2.2, if less than all the Securities of a Series are to be redeemed, then, in the case of Securities of such Series evidenced by one or more Global Securities, the Securities of such Series (or portions thereof) to be redeemed shall be selected in accordance with the procedures of the Depositary and, in the case of Securities of such Series evidenced by Physical Securities, the Trustee shall select the Securities of the Series (or portions thereof) to be redeemed by lot, on a pro-rata basis or by another method that the Trustee deems fair and appropriate, and, in each case, the Securities of such Series (or portions thereof) to be redeemed shall be selected from Securities of the Series outstanding not previously called for redemption. Unless otherwise provided for a particular Series pursuant to Section 2.2, Securities of the Series may be selected for redemption in whole or in part in a minimum denomination of $2,000 in principal amount and integral multiples of $1,000 in principal amount in excess thereof, provided that the remaining principal amount of any Security redeemed in part shall be an authorized denomination. Provisions of this Indenture that apply to Securities of a Series called for redemption also apply to portions of Securities of that Series called for redemption. In the event that all of the Securities of any Series do not have the same tenor or other terms, then the Company may specify, by Company Order delivered to the Trustee that the selection of Securities to be redeemed shall be made from Securities of such Series having the same tenor or other terms.</w:t>
      </w:r>
    </w:p>
    <w:p>
      <w:pPr>
        <w:spacing w:after="0" w:line="17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Notice of Redemption</w:t>
      </w:r>
      <w:r>
        <w:rPr>
          <w:rFonts w:ascii="Arial" w:cs="Arial" w:eastAsia="Arial" w:hAnsi="Arial"/>
          <w:sz w:val="18"/>
          <w:szCs w:val="18"/>
          <w:color w:val="auto"/>
        </w:rPr>
        <w:t>. Unless otherwise provided for a particular Series pursuant to Section 2.2, at least 10 days but not more than 60 days before a redemption date, the Company shall give written notice of redemption to each Holder whose Securities are to be redeemed, with a copy to the Trustee in accordance with Section 10.2.</w:t>
      </w:r>
    </w:p>
    <w:p>
      <w:pPr>
        <w:spacing w:after="0" w:line="184" w:lineRule="exact"/>
        <w:rPr>
          <w:sz w:val="20"/>
          <w:szCs w:val="20"/>
          <w:color w:val="auto"/>
        </w:rPr>
      </w:pPr>
    </w:p>
    <w:p>
      <w:pPr>
        <w:jc w:val="both"/>
        <w:ind w:right="60" w:firstLine="440"/>
        <w:spacing w:after="0" w:line="277" w:lineRule="auto"/>
        <w:rPr>
          <w:sz w:val="20"/>
          <w:szCs w:val="20"/>
          <w:color w:val="auto"/>
        </w:rPr>
      </w:pPr>
      <w:r>
        <w:rPr>
          <w:rFonts w:ascii="Arial" w:cs="Arial" w:eastAsia="Arial" w:hAnsi="Arial"/>
          <w:sz w:val="18"/>
          <w:szCs w:val="18"/>
          <w:color w:val="auto"/>
        </w:rPr>
        <w:t>The notice shall identify the Securities of the Series to be redeemed and (except, in the case of Global Securities, as may otherwise be required by the procedures of the applicable Depositary) shall state:</w:t>
      </w:r>
    </w:p>
    <w:p>
      <w:pPr>
        <w:spacing w:after="0" w:line="170" w:lineRule="exact"/>
        <w:rPr>
          <w:sz w:val="20"/>
          <w:szCs w:val="20"/>
          <w:color w:val="auto"/>
        </w:rPr>
      </w:pPr>
    </w:p>
    <w:p>
      <w:pPr>
        <w:jc w:val="center"/>
        <w:ind w:left="5420" w:right="1040" w:hanging="4984"/>
        <w:spacing w:after="0" w:line="449"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date and, if provided for a particular Series pursuant to Section 2.2, any conditions precedent to such redemption; 18</w:t>
      </w:r>
    </w:p>
    <w:p>
      <w:pPr>
        <w:sectPr>
          <w:pgSz w:w="11900" w:h="16838" w:orient="portrait"/>
          <w:cols w:equalWidth="0" w:num="1">
            <w:col w:w="11000"/>
          </w:cols>
          <w:pgMar w:left="440" w:top="267" w:right="459" w:bottom="1440" w:gutter="0" w:footer="0" w:header="0"/>
        </w:sectPr>
      </w:pPr>
    </w:p>
    <w:bookmarkStart w:id="57" w:name="page58"/>
    <w:bookmarkEnd w:id="57"/>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redemption price;</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25" w:lineRule="exact"/>
        <w:rPr>
          <w:rFonts w:ascii="Arial" w:cs="Arial" w:eastAsia="Arial" w:hAnsi="Arial"/>
          <w:sz w:val="18"/>
          <w:szCs w:val="18"/>
          <w:color w:val="auto"/>
        </w:rPr>
      </w:pPr>
    </w:p>
    <w:p>
      <w:pPr>
        <w:jc w:val="both"/>
        <w:ind w:right="220" w:firstLine="436"/>
        <w:spacing w:after="0" w:line="263"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that interest on Securities of the Series or portions thereof called for redemption ceases to accrue on and after the redemption date unless the Company defaults in the payment of the redemption price;</w:t>
      </w:r>
    </w:p>
    <w:p>
      <w:pPr>
        <w:spacing w:after="0" w:line="183" w:lineRule="exact"/>
        <w:rPr>
          <w:rFonts w:ascii="Arial" w:cs="Arial" w:eastAsia="Arial" w:hAnsi="Arial"/>
          <w:sz w:val="18"/>
          <w:szCs w:val="18"/>
          <w:color w:val="auto"/>
        </w:rPr>
      </w:pPr>
    </w:p>
    <w:p>
      <w:pPr>
        <w:ind w:firstLine="436"/>
        <w:spacing w:after="0" w:line="342" w:lineRule="auto"/>
        <w:tabs>
          <w:tab w:leader="none" w:pos="66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are to be redeemed (unless all the Securities of such Series of a specified tenor and terms are to be redeemed), the identification (and, in the case of partial redemption, the principal amounts) of the particular Securities to be redeemed;</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At the Company’s written request, the Trustee shall give the notice of redemption which shall be prepared by the Company in the Company’s name and at its expense; provided, however, that the Company has delivered to the Trustee, at least 10 days (unless a shorter time shall be acceptable to the Trustee) prior to the notice date.</w:t>
      </w:r>
    </w:p>
    <w:p>
      <w:pPr>
        <w:spacing w:after="0" w:line="184" w:lineRule="exact"/>
        <w:rPr>
          <w:sz w:val="20"/>
          <w:szCs w:val="20"/>
          <w:color w:val="auto"/>
        </w:rPr>
      </w:pPr>
    </w:p>
    <w:p>
      <w:pPr>
        <w:ind w:right="100" w:firstLine="440"/>
        <w:spacing w:after="0" w:line="290"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i w:val="1"/>
          <w:iCs w:val="1"/>
          <w:color w:val="auto"/>
        </w:rPr>
        <w:t>Effect of Notice of Redemption</w:t>
      </w:r>
      <w:r>
        <w:rPr>
          <w:rFonts w:ascii="Arial" w:cs="Arial" w:eastAsia="Arial" w:hAnsi="Arial"/>
          <w:sz w:val="16"/>
          <w:szCs w:val="16"/>
          <w:color w:val="auto"/>
        </w:rPr>
        <w:t xml:space="preserve">. Once notice of redemption is sent or given as provided in Section 3.4 and, if provided for a particular Series pursuant to Section 2.2, subject to the satisfaction of any conditions set forth therein, Securities of a Series or portions thereof called for redemption become due and payable on the redemption date and at the redemption price and, unless the Company defaults in the payment of such redemption price, on and after that redemption date interest shall cease to accrue on the Securities of such Series and portions thereof called for redemption. Upon surrender to the Paying Agent, such Securities shall be paid at the redemption price plus accrued and unpaid interest to, but not including,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provided pursuant to Section 2.2, installments of interest whose Stated Maturity is on or prior to the redemption date shall be payable to the Holders of such Securities (or one or more predecessor Securities) registered as such at the close of business on the relevant record date therefor according to their terms and the terms of this Indenture.</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Deposit of Redemption Price</w:t>
      </w:r>
      <w:r>
        <w:rPr>
          <w:rFonts w:ascii="Arial" w:cs="Arial" w:eastAsia="Arial" w:hAnsi="Arial"/>
          <w:sz w:val="18"/>
          <w:szCs w:val="18"/>
          <w:color w:val="auto"/>
        </w:rPr>
        <w:t>. On or before 11:00 a.m., New York City time, on the Business Day preceding each redemption date, the Company shall deposit with the Paying Agent money sufficient to pay the redemption price of and accrued and unpaid interest, if any, on all Securities to be redeemed on that date.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58" w:name="page59"/>
    <w:bookmarkEnd w:id="58"/>
    <w:p>
      <w:pPr>
        <w:ind w:left="4" w:right="4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3.7 </w:t>
      </w:r>
      <w:r>
        <w:rPr>
          <w:rFonts w:ascii="Arial" w:cs="Arial" w:eastAsia="Arial" w:hAnsi="Arial"/>
          <w:sz w:val="18"/>
          <w:szCs w:val="18"/>
          <w:i w:val="1"/>
          <w:iCs w:val="1"/>
          <w:color w:val="auto"/>
        </w:rPr>
        <w:t>Securities Redeemed in Part</w:t>
      </w:r>
      <w:r>
        <w:rPr>
          <w:rFonts w:ascii="Arial" w:cs="Arial" w:eastAsia="Arial" w:hAnsi="Arial"/>
          <w:sz w:val="18"/>
          <w:szCs w:val="18"/>
          <w:color w:val="auto"/>
        </w:rPr>
        <w:t>. Upon surrender of a Security that is redeemed in part, the Trustee shall authenticate (or cause to be delivered by book-entry transfer) for the Holder a new Security of the same Series and the same tenor and terms equal in principal amount to the unredeemed portion of the Security surrendered.</w:t>
      </w:r>
    </w:p>
    <w:p>
      <w:pPr>
        <w:spacing w:after="0" w:line="176"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ARTICLE 4</w:t>
      </w:r>
    </w:p>
    <w:p>
      <w:pPr>
        <w:spacing w:after="0" w:line="2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w:t>
      </w:r>
    </w:p>
    <w:p>
      <w:pPr>
        <w:spacing w:after="0" w:line="22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84"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SEC Reports</w:t>
      </w:r>
      <w:r>
        <w:rPr>
          <w:rFonts w:ascii="Arial" w:cs="Arial" w:eastAsia="Arial" w:hAnsi="Arial"/>
          <w:sz w:val="16"/>
          <w:szCs w:val="16"/>
          <w:color w:val="auto"/>
        </w:rPr>
        <w:t>. The Company covenants and agrees, for the benefit of the Holders of the Securities of each Series, to provide (which delivery may be via electronic mail) to the Trustee within 15 days, after the Company files the same with the SEC, copies of the annual reports and of the information, documents and other reports (or copies of such portions of any of the foregoing as the SEC may from time to time by rules and regulations prescribe) that the Company is required to file with the SEC pursuant to Section 13 or Section 15(d) of the Exchange Act or pursuant to TIA</w:t>
      </w:r>
    </w:p>
    <w:p>
      <w:pPr>
        <w:spacing w:after="0" w:line="1" w:lineRule="exact"/>
        <w:rPr>
          <w:sz w:val="20"/>
          <w:szCs w:val="20"/>
          <w:color w:val="auto"/>
        </w:rPr>
      </w:pPr>
    </w:p>
    <w:p>
      <w:pPr>
        <w:ind w:left="4" w:hanging="4"/>
        <w:spacing w:after="0" w:line="284" w:lineRule="auto"/>
        <w:tabs>
          <w:tab w:leader="none" w:pos="1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314;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Company shall not be required to deliver to the Trustee any materials for which the Company has sought and received confidential treatment by the SEC; and </w:t>
      </w:r>
      <w:r>
        <w:rPr>
          <w:rFonts w:ascii="Arial" w:cs="Arial" w:eastAsia="Arial" w:hAnsi="Arial"/>
          <w:sz w:val="16"/>
          <w:szCs w:val="16"/>
          <w:i w:val="1"/>
          <w:iCs w:val="1"/>
          <w:color w:val="auto"/>
        </w:rPr>
        <w:t>provided further</w:t>
      </w:r>
      <w:r>
        <w:rPr>
          <w:rFonts w:ascii="Arial" w:cs="Arial" w:eastAsia="Arial" w:hAnsi="Arial"/>
          <w:sz w:val="16"/>
          <w:szCs w:val="16"/>
          <w:color w:val="auto"/>
        </w:rPr>
        <w:t>, annual reports, information, documents and reports that are filed or furnished by the Company with the SEC via the Electronic Data Gathering, Analysis and Retrieval (“</w:t>
      </w:r>
      <w:r>
        <w:rPr>
          <w:rFonts w:ascii="Arial" w:cs="Arial" w:eastAsia="Arial" w:hAnsi="Arial"/>
          <w:sz w:val="16"/>
          <w:szCs w:val="16"/>
          <w:b w:val="1"/>
          <w:bCs w:val="1"/>
          <w:color w:val="auto"/>
        </w:rPr>
        <w:t>EDGAR</w:t>
      </w:r>
      <w:r>
        <w:rPr>
          <w:rFonts w:ascii="Arial" w:cs="Arial" w:eastAsia="Arial" w:hAnsi="Arial"/>
          <w:sz w:val="16"/>
          <w:szCs w:val="16"/>
          <w:color w:val="auto"/>
        </w:rPr>
        <w:t>”) system or any successor electronic delivery procedure will be deemed to be filed with the Trustee at the time such documents are filed via the EDGAR system or such successor procedure for purposes of this Section 4.2 without any further action required by the Company. The Company also shall comply with the other provisions of TIA § 314(a). For the avoidance of doubt, nothing in this Section 4.2 shall require the Company to file any annual reports or information, documents or other reports with the SEC and, without limitation to the foregoing and anything in this Indenture to the contrary notwithstanding, any failure by the Company to file any annual reports, information, documents or other reports with the SEC within the time periods prescribed therefor by the SEC, or at all, shall not be deemed a breach of this Section 4.2. Delivery of such information, documents and reports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liability whatsoever to determine whether any financial information has been filed or posted on the EDGAR system (or any successor electronic delivery procedure) or have any duty to monitor or determine whether the Company has delivered the reports described under this Section 4.2 or otherwise complied with its obligation under this Section 4.2. If the Company shall fail to provide any annual report, information, document or other report (or any portion thereof) to the Trustee by the date, or otherwise in the manner, required by this Section 4.2, but the Company thereafter provides such annual report, information, document or other report (or such portion thereof), as the case may be, to the Trustee, then any default, Default or Event of Default resulting from the failure to provide such annual report, information, document or other report (or portion thereof) to the Trustee shall be deemed to have been cured.</w:t>
      </w:r>
    </w:p>
    <w:p>
      <w:pPr>
        <w:spacing w:after="0" w:line="32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59" w:name="page60"/>
    <w:bookmarkEnd w:id="59"/>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8"/>
          <w:szCs w:val="18"/>
          <w:i w:val="1"/>
          <w:iCs w:val="1"/>
          <w:color w:val="auto"/>
        </w:rPr>
        <w:t>Compliance Certificate</w:t>
      </w:r>
      <w:r>
        <w:rPr>
          <w:rFonts w:ascii="Arial" w:cs="Arial" w:eastAsia="Arial" w:hAnsi="Arial"/>
          <w:sz w:val="18"/>
          <w:szCs w:val="18"/>
          <w:color w:val="auto"/>
        </w:rPr>
        <w:t>. The Company covenants and agrees, for the benefit of the Holders of the Securities of each Series, that, it will deliver to the Trustee, within 120 days after the end of each fiscal year of the Company (ending September 30), an Officers’ Certificate (one of the signers of which shall include the Company’s Chief Executive Officer, Chief Financial Officer or Chief Accounting Officer) stating whether or not, to the knowledge of the signers thereof, the Company is in default in the performance or observance of any of the terms, provisions and conditions of this Indenture (without regard to notice requirements or periods of grace) and if the Company shall be in default, specifying all such defaults and the nature and status thereof of which he or she may have knowledge.</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for the benefit of the Holders of Securities of each Series,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(to the extent it may lawfully do so) that it will not, by resort to any such law, hinder, delay or impede the execution of any power herein granted to the Trustee, but will (to the extent it may lawfully do so) suffer and permit the execution of every such power as though no such law has been enacted.</w:t>
      </w:r>
    </w:p>
    <w:p>
      <w:pPr>
        <w:spacing w:after="0" w:line="164"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Existence</w:t>
      </w:r>
      <w:r>
        <w:rPr>
          <w:rFonts w:ascii="Arial" w:cs="Arial" w:eastAsia="Arial" w:hAnsi="Arial"/>
          <w:sz w:val="16"/>
          <w:szCs w:val="16"/>
          <w:color w:val="auto"/>
        </w:rPr>
        <w:t>. The Company covenants and agrees, for the benefit of the Holders of Securities of each Series, that, subject to Article 5, the Company will do or cause to be done all things necessary to preserve and keep in full force and effect its existence as a corporation or other legal entity, as applicable and the Company shall provide written notice to the Trustee of any change in name or formation of the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UCCESSORS</w:t>
      </w:r>
    </w:p>
    <w:p>
      <w:pPr>
        <w:spacing w:after="0" w:line="21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When Company May Merge, Etc</w:t>
      </w:r>
      <w:r>
        <w:rPr>
          <w:rFonts w:ascii="Arial" w:cs="Arial" w:eastAsia="Arial" w:hAnsi="Arial"/>
          <w:sz w:val="18"/>
          <w:szCs w:val="18"/>
          <w:color w:val="auto"/>
        </w:rPr>
        <w:t>. The Company covenants and agrees, for the benefit of the Holders of the Securities of each Series, that the Company shall not merge into or consolidate with, or sell, convey, transfer or otherwise dispose of all or substantially all of its assets to, any person (a “</w:t>
      </w:r>
      <w:r>
        <w:rPr>
          <w:rFonts w:ascii="Arial" w:cs="Arial" w:eastAsia="Arial" w:hAnsi="Arial"/>
          <w:sz w:val="18"/>
          <w:szCs w:val="18"/>
          <w:b w:val="1"/>
          <w:bCs w:val="1"/>
          <w:color w:val="auto"/>
        </w:rPr>
        <w:t>successor person</w:t>
      </w:r>
      <w:r>
        <w:rPr>
          <w:rFonts w:ascii="Arial" w:cs="Arial" w:eastAsia="Arial" w:hAnsi="Arial"/>
          <w:sz w:val="18"/>
          <w:szCs w:val="18"/>
          <w:color w:val="auto"/>
        </w:rPr>
        <w:t>”) (other than a Subsidiary), in each case, unless: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0" w:name="page61"/>
    <w:bookmarkEnd w:id="60"/>
    <w:p>
      <w:pPr>
        <w:ind w:right="180" w:firstLine="436"/>
        <w:spacing w:after="0" w:line="279" w:lineRule="auto"/>
        <w:tabs>
          <w:tab w:leader="none" w:pos="685"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the Company is the continuing person or the successor person (if not the Company) is a corporation, limited liability company or other entity that pursuant to a supplemental indenture hereto expressly assumes all of the Company’s obligations under this Indenture and the Securities of each Series; provided that, in the event that the successor person is not a corporation, another person that is a corporation shall expressly assume, as co-obligor with that successor person, all of our obligations under this Indenture and the Securities of each Series;</w:t>
      </w:r>
    </w:p>
    <w:p>
      <w:pPr>
        <w:spacing w:after="0" w:line="63" w:lineRule="exact"/>
        <w:rPr>
          <w:rFonts w:ascii="Arial" w:cs="Arial" w:eastAsia="Arial" w:hAnsi="Arial"/>
          <w:sz w:val="17"/>
          <w:szCs w:val="17"/>
          <w:color w:val="auto"/>
        </w:rPr>
      </w:pPr>
    </w:p>
    <w:p>
      <w:pPr>
        <w:ind w:right="480" w:firstLine="436"/>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that merger or consolidation, or that sale, conveyance, transfer or other disposition, no Default or Event of Default has occurred and is continuing; and</w:t>
      </w:r>
    </w:p>
    <w:p>
      <w:pPr>
        <w:spacing w:after="0" w:line="62" w:lineRule="exact"/>
        <w:rPr>
          <w:rFonts w:ascii="Arial" w:cs="Arial" w:eastAsia="Arial" w:hAnsi="Arial"/>
          <w:sz w:val="18"/>
          <w:szCs w:val="18"/>
          <w:color w:val="auto"/>
        </w:rPr>
      </w:pPr>
    </w:p>
    <w:p>
      <w:pPr>
        <w:ind w:right="100" w:firstLine="436"/>
        <w:spacing w:after="0" w:line="259"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the merger, consolidation, sale, conveyance, transfer or other disposition and that supplemental indenture (if any) comply with this Indenture and, with respect to such Opinion of Counsel, that such supplemental indenture (if any) is authorized or permitted by this Indenture and is the legal, valid and binding obligation of such successor person.</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Notwithstanding the above, any Subsidiary of the Company may consolidate with, merge into or convey, transfer or lease all or any part of its properties or assets to the Company or any of the Company’s Subsidiaries. Neither an Officers’ Certificate nor an Opinion of Counsel shall be required to be delivered in connection therewith.</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Successor Person Substituted</w:t>
      </w:r>
      <w:r>
        <w:rPr>
          <w:rFonts w:ascii="Arial" w:cs="Arial" w:eastAsia="Arial" w:hAnsi="Arial"/>
          <w:sz w:val="18"/>
          <w:szCs w:val="18"/>
          <w:color w:val="auto"/>
        </w:rPr>
        <w:t>. Upon any merger, consolidation, sale, conveyance (other than by way of lease), transfer or other disposition, and upon any such assumption by the successor person or persons, such successor person or persons shall succeed to and be substituted for the Company, with the same effect as if it or they had been named as the Company herein and in the Securities and the Company shall be relieved of any further obligations under this Indenture and the Securities of each Series and the predecessor company may be dissolved, wound up and liquidated at any time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EFAULTS AND</w:t>
      </w:r>
      <w:r>
        <w:rPr>
          <w:rFonts w:ascii="Arial" w:cs="Arial" w:eastAsia="Arial" w:hAnsi="Arial"/>
          <w:sz w:val="18"/>
          <w:szCs w:val="18"/>
          <w:color w:val="auto"/>
        </w:rPr>
        <w:t xml:space="preserve"> R</w:t>
      </w:r>
      <w:r>
        <w:rPr>
          <w:rFonts w:ascii="Arial" w:cs="Arial" w:eastAsia="Arial" w:hAnsi="Arial"/>
          <w:sz w:val="14"/>
          <w:szCs w:val="14"/>
          <w:color w:val="auto"/>
        </w:rPr>
        <w:t>EMEDIES</w:t>
      </w:r>
    </w:p>
    <w:p>
      <w:pPr>
        <w:spacing w:after="0" w:line="207"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wherever used herein with respect to Securities of any Series, means any one of the following events, unless otherwise provided as contemplated by Section 2.2:</w:t>
      </w:r>
    </w:p>
    <w:p>
      <w:pPr>
        <w:spacing w:after="0" w:line="58" w:lineRule="exact"/>
        <w:rPr>
          <w:sz w:val="20"/>
          <w:szCs w:val="20"/>
          <w:color w:val="auto"/>
        </w:rPr>
      </w:pPr>
    </w:p>
    <w:p>
      <w:pPr>
        <w:ind w:right="140" w:firstLine="436"/>
        <w:spacing w:after="0" w:line="277"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Security of that Series when due and payable, and the continuance of such default for a period of 30 days; or</w:t>
      </w:r>
    </w:p>
    <w:p>
      <w:pPr>
        <w:spacing w:after="0" w:line="62"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when due and payable (whether at Maturity, upon redemption, or otherwise);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61" w:name="page62"/>
    <w:bookmarkEnd w:id="61"/>
    <w:p>
      <w:pPr>
        <w:ind w:left="-20" w:right="20" w:firstLine="436"/>
        <w:spacing w:after="0" w:line="311" w:lineRule="auto"/>
        <w:tabs>
          <w:tab w:leader="none" w:pos="665"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observe or perform any covenant or agreement in this Indenture in respect of the Securities of that Series, which failure continues for 90 days after receipt of written notice to the Company from the Trustee, or to the Company and the Trustee from the Holders of at least 25% of the outstanding aggregate principal amount of the Securities of that Series as provided herein, in each case, requiring the Company to remedy the same; or</w:t>
      </w:r>
    </w:p>
    <w:p>
      <w:pPr>
        <w:spacing w:after="0" w:line="40" w:lineRule="exact"/>
        <w:rPr>
          <w:rFonts w:ascii="Arial" w:cs="Arial" w:eastAsia="Arial" w:hAnsi="Arial"/>
          <w:sz w:val="16"/>
          <w:szCs w:val="16"/>
          <w:color w:val="auto"/>
        </w:rPr>
      </w:pPr>
    </w:p>
    <w:p>
      <w:pPr>
        <w:ind w:left="-20" w:right="40" w:firstLine="436"/>
        <w:spacing w:after="0" w:line="271" w:lineRule="auto"/>
        <w:tabs>
          <w:tab w:leader="none" w:pos="6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 failure to make any payment at Maturity, including any applicable grace period, on any of the Company’s indebtedness (other than indebtedness which the Company owes to any of its Subsidiaries) outstanding in an amount in excess of $100 million or (ii) a default on any of the Company’s indebtedness (other than indebtedness which the Company owes to any of its Subsidiaries), which default results in the acceleration of such indebtedness in an amount in excess of $100 million without such indebtedness having been discharged or the acceleration having been cured, waived, rescinded or annulled, in the case of clause (i) or (ii) above, for a period of 30 days after written notice thereof to the Company by the Trustee or to the Company and the Trustee by the Holders of not less than 25% in aggregate principal amount of then outstanding Securities of that Series (including any additional Securities); provided, however, that if any failure, default or acceleration referred to in clause (i) or (ii) above ceases or is cured, waived, rescinded or annulled, then the Event of Default will be deemed cured; or</w:t>
      </w:r>
    </w:p>
    <w:p>
      <w:pPr>
        <w:spacing w:after="0" w:line="70" w:lineRule="exact"/>
        <w:rPr>
          <w:rFonts w:ascii="Arial" w:cs="Arial" w:eastAsia="Arial" w:hAnsi="Arial"/>
          <w:sz w:val="17"/>
          <w:szCs w:val="17"/>
          <w:color w:val="auto"/>
        </w:rPr>
      </w:pPr>
    </w:p>
    <w:p>
      <w:pPr>
        <w:ind w:left="660" w:hanging="244"/>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060" w:hanging="221"/>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100" w:hanging="261"/>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60" w:hanging="321"/>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140" w:hanging="301"/>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100" w:hanging="261"/>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admits in writing its inability generally to pay its debts as the same become due; or</w:t>
      </w:r>
    </w:p>
    <w:p>
      <w:pPr>
        <w:spacing w:after="0" w:line="117" w:lineRule="exact"/>
        <w:rPr>
          <w:rFonts w:ascii="Arial" w:cs="Arial" w:eastAsia="Arial" w:hAnsi="Arial"/>
          <w:sz w:val="18"/>
          <w:szCs w:val="18"/>
          <w:color w:val="auto"/>
        </w:rPr>
      </w:pPr>
    </w:p>
    <w:p>
      <w:pPr>
        <w:ind w:left="640" w:hanging="224"/>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060" w:hanging="221"/>
        <w:spacing w:after="0"/>
        <w:tabs>
          <w:tab w:leader="none" w:pos="10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100" w:hanging="261"/>
        <w:spacing w:after="0"/>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160" w:hanging="321"/>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the order or decree remains unstayed and in effect for 90 days; or</w:t>
      </w:r>
    </w:p>
    <w:p>
      <w:pPr>
        <w:spacing w:after="0" w:line="117" w:lineRule="exact"/>
        <w:rPr>
          <w:sz w:val="20"/>
          <w:szCs w:val="20"/>
          <w:color w:val="auto"/>
        </w:rPr>
      </w:pPr>
    </w:p>
    <w:p>
      <w:pPr>
        <w:ind w:left="-20" w:firstLine="436"/>
        <w:spacing w:after="0" w:line="259" w:lineRule="auto"/>
        <w:tabs>
          <w:tab w:leader="none" w:pos="6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 involuntary proceeding shall be commenced or an involuntary petition shall be filed seeking a declaration that the Company is </w:t>
      </w:r>
      <w:r>
        <w:rPr>
          <w:rFonts w:ascii="Arial" w:cs="Arial" w:eastAsia="Arial" w:hAnsi="Arial"/>
          <w:sz w:val="18"/>
          <w:szCs w:val="18"/>
          <w:i w:val="1"/>
          <w:iCs w:val="1"/>
          <w:color w:val="auto"/>
        </w:rPr>
        <w:t>en désastre,</w:t>
      </w:r>
      <w:r>
        <w:rPr>
          <w:rFonts w:ascii="Arial" w:cs="Arial" w:eastAsia="Arial" w:hAnsi="Arial"/>
          <w:sz w:val="18"/>
          <w:szCs w:val="18"/>
          <w:color w:val="auto"/>
        </w:rPr>
        <w:t xml:space="preserve"> or proceedings are commenced </w:t>
      </w:r>
      <w:r>
        <w:rPr>
          <w:rFonts w:ascii="Arial" w:cs="Arial" w:eastAsia="Arial" w:hAnsi="Arial"/>
          <w:sz w:val="18"/>
          <w:szCs w:val="18"/>
          <w:i w:val="1"/>
          <w:iCs w:val="1"/>
          <w:color w:val="auto"/>
        </w:rPr>
        <w:t>in saisie</w:t>
      </w:r>
      <w:r>
        <w:rPr>
          <w:rFonts w:ascii="Arial" w:cs="Arial" w:eastAsia="Arial" w:hAnsi="Arial"/>
          <w:sz w:val="18"/>
          <w:szCs w:val="18"/>
          <w:color w:val="auto"/>
        </w:rPr>
        <w:t xml:space="preserve"> or an initial vesting is declared over the Company or over the assets of the Company, and, in any such case, such proceeding or petition shall continue undismissed for 60 days or an order or decree approving, ordering or declaring either of the foregoing shall be entered; or</w:t>
      </w:r>
    </w:p>
    <w:p>
      <w:pPr>
        <w:spacing w:after="0" w:line="78" w:lineRule="exact"/>
        <w:rPr>
          <w:rFonts w:ascii="Arial" w:cs="Arial" w:eastAsia="Arial" w:hAnsi="Arial"/>
          <w:sz w:val="18"/>
          <w:szCs w:val="18"/>
          <w:color w:val="auto"/>
        </w:rPr>
      </w:pPr>
    </w:p>
    <w:p>
      <w:pPr>
        <w:ind w:left="680" w:hanging="264"/>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Company commences any proceeding or files any petition seeking a declaration that the Company is </w:t>
      </w:r>
      <w:r>
        <w:rPr>
          <w:rFonts w:ascii="Arial" w:cs="Arial" w:eastAsia="Arial" w:hAnsi="Arial"/>
          <w:sz w:val="18"/>
          <w:szCs w:val="18"/>
          <w:i w:val="1"/>
          <w:iCs w:val="1"/>
          <w:color w:val="auto"/>
        </w:rPr>
        <w:t>en desastre;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60" w:top="274" w:right="479" w:bottom="1440" w:gutter="0" w:footer="0" w:header="0"/>
        </w:sectPr>
      </w:pPr>
    </w:p>
    <w:bookmarkStart w:id="62" w:name="page63"/>
    <w:bookmarkEnd w:id="62"/>
    <w:p>
      <w:pPr>
        <w:ind w:right="700" w:firstLine="436"/>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other Event of Default provided with respect to Securities of that Series, which is specified in a Board Resolution and an Officers’ Certificate or a supplemental indenture hereto, in accordance with Section 2.2.</w:t>
      </w:r>
    </w:p>
    <w:p>
      <w:pPr>
        <w:spacing w:after="0" w:line="16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U.S. Federal, State or Guernsey law for the relief of debtors. The term “</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6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Acceleration of Maturity; Rescission and Annulment</w:t>
      </w:r>
      <w:r>
        <w:rPr>
          <w:rFonts w:ascii="Arial" w:cs="Arial" w:eastAsia="Arial" w:hAnsi="Arial"/>
          <w:sz w:val="16"/>
          <w:szCs w:val="16"/>
          <w:color w:val="auto"/>
        </w:rPr>
        <w:t xml:space="preserve">. If an Event of Default with respect to Securities of any Series at the time outstanding occurs and is continuing (other than an Event of Default referred to in Section 6.1(e), (f), (g) or (h)), then in every such case the Trustee or the Holders of not less than 25% in aggregate principal amount of the outstanding Securities of that Series may declare the principal (or, if any Securities of that Series are Discount Securities, such portion of the principal as may be specified in the terms of such Securities) of all of the Securities of that Series to be due and payable immediately, by a notice in writing to the Company (and to the Trustee if given by Holders), and upon any such declaration such principal (or specified amount) shall become immediately due and payable. If an Event of Default specified in Section 6.1(e), (f), (g) or (h) occurs and is continuing with respect to the Securities of any Series, the principal (or, if any Securities of that Series are Discount Securities, such portion of the principal as may be specified in the terms of such Securities) of all outstanding Securities of such Series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further action or notice on the part of the Trustee or any Holder of Securities of such Series.</w:t>
      </w:r>
    </w:p>
    <w:p>
      <w:pPr>
        <w:spacing w:after="0" w:line="166"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At any time after the principal amount of all outstanding Securities of any Series shall have been so declared or otherwise become due and payable, and before a judgment or decree for payment of the money due shall have been obtained by the Trustee as hereinafter in this Article provided, the Holders of a majority in aggregate principal amount of the outstanding Securities of that Series, by written notice to the Company and the Trustee, may rescind and annul that declaration or acceleration and its consequences if all Events of Default with respect to Securities of that Series, other than the non-payment of the principal and interest, if any, of Securities of that Series which have become due solely by such acceleration, have been cured or have been waived as provided in Section 6.13.</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right="260" w:firstLine="436"/>
        <w:spacing w:after="0" w:line="263"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(unless the entire amount of such payment is deposited by the Company with the Trustee or with a Paying Agent prior to the expiration of such 30-day period);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63" w:name="page64"/>
    <w:bookmarkEnd w:id="63"/>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is made in the payment of principal of any Security when due and payable; or</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permitted by law,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Trustee May File Proofs of Claim</w:t>
      </w:r>
      <w:r>
        <w:rPr>
          <w:rFonts w:ascii="Arial" w:cs="Arial" w:eastAsia="Arial" w:hAnsi="Arial"/>
          <w:sz w:val="17"/>
          <w:szCs w:val="17"/>
          <w:color w:val="auto"/>
        </w:rPr>
        <w:t xml:space="preserve">. In case of the pendency of any receivership, insolvency, liquidation, bankruptcy, reorganization, arrangement, adjustment, composition or other similar judicial proceeding relative to the Company (a declaration that the Company’s affairs are declared </w:t>
      </w:r>
      <w:r>
        <w:rPr>
          <w:rFonts w:ascii="Arial" w:cs="Arial" w:eastAsia="Arial" w:hAnsi="Arial"/>
          <w:sz w:val="17"/>
          <w:szCs w:val="17"/>
          <w:i w:val="1"/>
          <w:iCs w:val="1"/>
          <w:color w:val="auto"/>
        </w:rPr>
        <w:t xml:space="preserve">en état de désastre </w:t>
      </w:r>
      <w:r>
        <w:rPr>
          <w:rFonts w:ascii="Arial" w:cs="Arial" w:eastAsia="Arial" w:hAnsi="Arial"/>
          <w:sz w:val="17"/>
          <w:szCs w:val="17"/>
          <w:color w:val="auto"/>
        </w:rPr>
        <w:t>and/or a preliminary vesting order</w:t>
      </w:r>
      <w:r>
        <w:rPr>
          <w:rFonts w:ascii="Arial" w:cs="Arial" w:eastAsia="Arial" w:hAnsi="Arial"/>
          <w:sz w:val="17"/>
          <w:szCs w:val="17"/>
          <w:i w:val="1"/>
          <w:iCs w:val="1"/>
          <w:color w:val="auto"/>
        </w:rPr>
        <w:t xml:space="preserve"> in saisie </w:t>
      </w:r>
      <w:r>
        <w:rPr>
          <w:rFonts w:ascii="Arial" w:cs="Arial" w:eastAsia="Arial" w:hAnsi="Arial"/>
          <w:sz w:val="17"/>
          <w:szCs w:val="17"/>
          <w:color w:val="auto"/>
        </w:rPr>
        <w:t>proceedings in Guernsey being made in respect of the Company’s realty)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obligor upon the Securities of any Series or the property of the Company or of such other obligor or their creditors, the Trustee (irrespective of whether the principal of the Securities of such Series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9" w:lineRule="exact"/>
        <w:rPr>
          <w:sz w:val="20"/>
          <w:szCs w:val="20"/>
          <w:color w:val="auto"/>
        </w:rPr>
      </w:pPr>
    </w:p>
    <w:p>
      <w:pPr>
        <w:ind w:right="40" w:firstLine="436"/>
        <w:spacing w:after="0" w:line="311"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of such Series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to collect and receive any moneys or other property payable or deliverable on any such claims and to distribute the same,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8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Trustee May Enforce Claims Without Possession of Securities</w:t>
      </w:r>
      <w:r>
        <w:rPr>
          <w:rFonts w:ascii="Arial" w:cs="Arial" w:eastAsia="Arial" w:hAnsi="Arial"/>
          <w:sz w:val="16"/>
          <w:szCs w:val="16"/>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Application of Money Collected</w:t>
      </w:r>
      <w:r>
        <w:rPr>
          <w:rFonts w:ascii="Arial" w:cs="Arial" w:eastAsia="Arial" w:hAnsi="Arial"/>
          <w:sz w:val="16"/>
          <w:szCs w:val="16"/>
          <w:color w:val="auto"/>
        </w:rPr>
        <w:t>. Any money collected by the Trustee after the occurrence and continuation of an Event of Default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amounts due the Trustee, its agents and counsel under Section 7.7; and</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the amounts then due and unpaid for principal of and interest, if any, on the Securities in respect of which or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which such money has been collected, ratably, without preference or priority of any kind, according to the amounts due and payable on such Securities for principal and interest;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such other Person as a court of competent jurisdiction directs.</w:t>
      </w:r>
    </w:p>
    <w:p>
      <w:pPr>
        <w:spacing w:after="0" w:line="22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Limitation on Suits</w:t>
      </w:r>
      <w:r>
        <w:rPr>
          <w:rFonts w:ascii="Arial" w:cs="Arial" w:eastAsia="Arial" w:hAnsi="Arial"/>
          <w:sz w:val="18"/>
          <w:szCs w:val="18"/>
          <w:color w:val="auto"/>
        </w:rPr>
        <w:t>. No Holder of any Security of any Series shall have any right to institute any proceeding, judicial or otherwise, with respect to this Indenture or the Securities of such Series, or for the appointment of a receiver, trustee or similar official, or for any other remedy hereunder, unless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40" w:top="274" w:right="539" w:bottom="1440" w:gutter="0" w:footer="0" w:header="0"/>
        </w:sectPr>
      </w:pPr>
    </w:p>
    <w:bookmarkStart w:id="65" w:name="page66"/>
    <w:bookmarkEnd w:id="65"/>
    <w:p>
      <w:pPr>
        <w:ind w:left="680" w:hanging="244"/>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right="280" w:firstLine="436"/>
        <w:spacing w:after="0" w:line="277"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440" w:firstLine="436"/>
        <w:spacing w:after="0" w:line="27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Trustee for 90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right="320" w:firstLine="436"/>
        <w:spacing w:after="0" w:line="277"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90-day period by the Holders of a majority in aggregate principal amount of the outstanding Securities of that Series;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Unconditional Right of Holders to Receive Principal and Interest</w:t>
      </w:r>
      <w:r>
        <w:rPr>
          <w:rFonts w:ascii="Arial" w:cs="Arial" w:eastAsia="Arial" w:hAnsi="Arial"/>
          <w:sz w:val="18"/>
          <w:szCs w:val="18"/>
          <w:color w:val="auto"/>
        </w:rPr>
        <w:t>. Notwithstanding any other provision in this Indenture, the right of any Holder of any Security to receive payment of the principal of, and premium or interest, if any, on such Security at the place, time, rates and in the currency expressed in such Security, or to institute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i w:val="1"/>
          <w:iCs w:val="1"/>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and to the extent permitted by applicable law,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6"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Securities in Section 2.8, to the extent permitted by applicable law, no right or remedy herein conferred upon or reserved to the Trustee or to the Holders is intended to be exclusive of any other right or remedy and every right and remedy shall, to the extent permitted by applicable law, be cumulative and in addition to every other right and remedy given hereunder or now or hereafter existing at law or in equity or otherwise. The assertion or employment of any right or remedy hereunder, or otherwise, shall not, to the extent permitted by applicable law, prevent the concurrent assertion or employment of any other appropriate right or remedy.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66" w:name="page67"/>
    <w:bookmarkEnd w:id="66"/>
    <w:p>
      <w:pPr>
        <w:ind w:right="2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6.11 </w:t>
      </w:r>
      <w:r>
        <w:rPr>
          <w:rFonts w:ascii="Arial" w:cs="Arial" w:eastAsia="Arial" w:hAnsi="Arial"/>
          <w:sz w:val="16"/>
          <w:szCs w:val="16"/>
          <w:i w:val="1"/>
          <w:iCs w:val="1"/>
          <w:color w:val="auto"/>
        </w:rPr>
        <w:t>Delay or Omission Not Waiver</w:t>
      </w:r>
      <w:r>
        <w:rPr>
          <w:rFonts w:ascii="Arial" w:cs="Arial" w:eastAsia="Arial" w:hAnsi="Arial"/>
          <w:sz w:val="16"/>
          <w:szCs w:val="16"/>
          <w:color w:val="auto"/>
        </w:rPr>
        <w:t>. To the extent permitted by applicable law, no delay or omission of the Trustee or of any Holder of any Securities to exercise any right or remedy accruing upon any Event of Default shall impair any such right or remedy or constitute a waiver of any such Event of Default or an acquiescence therein and every right and remedy given by this Article or by law to the Trustee or to the Holders may be exercised from time to time, and as often as may be deemed expedient, by the Trustee or by the Holders, as the case may be.</w:t>
      </w:r>
    </w:p>
    <w:p>
      <w:pPr>
        <w:spacing w:after="0" w:line="15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Control by Holders</w:t>
      </w:r>
      <w:r>
        <w:rPr>
          <w:rFonts w:ascii="Arial" w:cs="Arial" w:eastAsia="Arial" w:hAnsi="Arial"/>
          <w:sz w:val="18"/>
          <w:szCs w:val="18"/>
          <w:color w:val="auto"/>
        </w:rPr>
        <w:t xml:space="preserve">.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680" w:hanging="244"/>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right="580" w:firstLine="436"/>
        <w:spacing w:after="0" w:line="277"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62"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and the Holders shall have offered to the Trustee security or indemnity satisfactory to it against the costs, expenses and liabilities which might be incurred by it in compliance with such request or direction.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Waiver of Past Defaults</w:t>
      </w:r>
      <w:r>
        <w:rPr>
          <w:rFonts w:ascii="Arial" w:cs="Arial" w:eastAsia="Arial" w:hAnsi="Arial"/>
          <w:sz w:val="17"/>
          <w:szCs w:val="17"/>
          <w:color w:val="auto"/>
        </w:rPr>
        <w:t>. The Holders of not less than a majority in aggregate principal amount of the outstanding Securities of any Series may (including by consents obtained in connection with a tender offer or exchange offer for the Securities of such Series), on behalf of the Holders of all the Securities of such Series, waive any past Default hereunder with respect to the Securities of such Series and its consequences, except a Default in the payment of the principal of or interest, if any, on any Security of such Series and any Default, the modification of which requires the consent of the Holders of all of the outstanding Securities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outstanding Securities of any Series may rescind an acceleration of the Securities of that Series and its consequences, including any related payment default that resulted from such acceleration). Upon any such waiver, such Default shall cease to exist, and any Event of Default arising therefrom shall be deemed to have been cured, for every purpose of this Indenture; but, to the extent permitted by applicable law, no such waiver shall extend to any subsequent or other Default or impair any right consequent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67" w:name="page68"/>
    <w:bookmarkEnd w:id="67"/>
    <w:p>
      <w:pPr>
        <w:ind w:right="2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6.14 </w:t>
      </w:r>
      <w:r>
        <w:rPr>
          <w:rFonts w:ascii="Arial" w:cs="Arial" w:eastAsia="Arial" w:hAnsi="Arial"/>
          <w:sz w:val="16"/>
          <w:szCs w:val="16"/>
          <w:i w:val="1"/>
          <w:iCs w:val="1"/>
          <w:color w:val="auto"/>
        </w:rPr>
        <w:t>Undertaking for Costs</w:t>
      </w:r>
      <w:r>
        <w:rPr>
          <w:rFonts w:ascii="Arial" w:cs="Arial" w:eastAsia="Arial" w:hAnsi="Arial"/>
          <w:sz w:val="16"/>
          <w:szCs w:val="16"/>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respective due dates expressed in such Security.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RUSTEE</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Duties of Trustee</w:t>
      </w:r>
      <w:r>
        <w:rPr>
          <w:rFonts w:ascii="Arial" w:cs="Arial" w:eastAsia="Arial" w:hAnsi="Arial"/>
          <w:sz w:val="18"/>
          <w:szCs w:val="18"/>
          <w:color w:val="auto"/>
        </w:rPr>
        <w:t>. (a)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or her own affairs.</w:t>
      </w:r>
    </w:p>
    <w:p>
      <w:pPr>
        <w:spacing w:after="0" w:line="76" w:lineRule="exact"/>
        <w:rPr>
          <w:sz w:val="20"/>
          <w:szCs w:val="20"/>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implied covenants or obligations shall be read into this Indenture against the Trustee.</w:t>
      </w:r>
    </w:p>
    <w:p>
      <w:pPr>
        <w:spacing w:after="0" w:line="62" w:lineRule="exact"/>
        <w:rPr>
          <w:rFonts w:ascii="Arial" w:cs="Arial" w:eastAsia="Arial" w:hAnsi="Arial"/>
          <w:sz w:val="18"/>
          <w:szCs w:val="18"/>
          <w:color w:val="auto"/>
        </w:rPr>
      </w:pPr>
    </w:p>
    <w:p>
      <w:pPr>
        <w:ind w:left="440" w:right="40" w:firstLine="419"/>
        <w:spacing w:after="0" w:line="275" w:lineRule="auto"/>
        <w:tabs>
          <w:tab w:leader="none" w:pos="1128"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any certificates or opinions that are provided to the Trustee and conform to the requirements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in the case of any such certificates or opinions which by any provisions hereof are specifically required to be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68" w:lineRule="exact"/>
        <w:rPr>
          <w:rFonts w:ascii="Arial" w:cs="Arial" w:eastAsia="Arial" w:hAnsi="Arial"/>
          <w:sz w:val="17"/>
          <w:szCs w:val="17"/>
          <w:color w:val="auto"/>
        </w:rPr>
      </w:pPr>
    </w:p>
    <w:p>
      <w:pPr>
        <w:ind w:right="480" w:firstLine="436"/>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68" w:name="page69"/>
    <w:bookmarkEnd w:id="68"/>
    <w:p>
      <w:pPr>
        <w:ind w:left="440" w:right="580" w:firstLine="419"/>
        <w:spacing w:after="0" w:line="277" w:lineRule="auto"/>
        <w:tabs>
          <w:tab w:leader="none" w:pos="1128"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for any error of judgment made in good faith by a Responsible Officer, unless it is proved that the Responsible Officer was negligent in ascertaining the pertinent facts.</w:t>
      </w:r>
    </w:p>
    <w:p>
      <w:pPr>
        <w:spacing w:after="0" w:line="62" w:lineRule="exact"/>
        <w:rPr>
          <w:rFonts w:ascii="Arial" w:cs="Arial" w:eastAsia="Arial" w:hAnsi="Arial"/>
          <w:sz w:val="18"/>
          <w:szCs w:val="18"/>
          <w:color w:val="auto"/>
        </w:rPr>
      </w:pPr>
    </w:p>
    <w:p>
      <w:pPr>
        <w:ind w:left="440" w:right="180" w:firstLine="419"/>
        <w:spacing w:after="0" w:line="279" w:lineRule="auto"/>
        <w:tabs>
          <w:tab w:leader="none" w:pos="1178"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this Section and Section 7.2.</w:t>
      </w:r>
    </w:p>
    <w:p>
      <w:pPr>
        <w:spacing w:after="0" w:line="117" w:lineRule="exact"/>
        <w:rPr>
          <w:rFonts w:ascii="Arial" w:cs="Arial" w:eastAsia="Arial" w:hAnsi="Arial"/>
          <w:sz w:val="18"/>
          <w:szCs w:val="18"/>
          <w:color w:val="auto"/>
        </w:rPr>
      </w:pPr>
    </w:p>
    <w:p>
      <w:pPr>
        <w:ind w:right="300" w:firstLine="436"/>
        <w:spacing w:after="0" w:line="308" w:lineRule="auto"/>
        <w:tabs>
          <w:tab w:leader="none" w:pos="6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Trustee shall not be liable for interest on (or the investment of) any money received by it except as the Trustee may agree to in writing with the Company. Money held in trust by the Trustee need not be segregated from other funds except to the extent required by law.</w:t>
      </w:r>
    </w:p>
    <w:p>
      <w:pPr>
        <w:spacing w:after="0" w:line="38" w:lineRule="exact"/>
        <w:rPr>
          <w:rFonts w:ascii="Arial" w:cs="Arial" w:eastAsia="Arial" w:hAnsi="Arial"/>
          <w:sz w:val="17"/>
          <w:szCs w:val="17"/>
          <w:color w:val="auto"/>
        </w:rPr>
      </w:pPr>
    </w:p>
    <w:p>
      <w:pPr>
        <w:ind w:right="180" w:firstLine="436"/>
        <w:spacing w:after="0" w:line="263" w:lineRule="auto"/>
        <w:tabs>
          <w:tab w:leader="none" w:pos="6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 if it shall have grounds for believing that repayment of such funds or adequate indemnity against such risk is not reasonably assured to it.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Rights of Trustee</w:t>
      </w:r>
      <w:r>
        <w:rPr>
          <w:rFonts w:ascii="Arial" w:cs="Arial" w:eastAsia="Arial" w:hAnsi="Arial"/>
          <w:sz w:val="18"/>
          <w:szCs w:val="18"/>
          <w:color w:val="auto"/>
        </w:rPr>
        <w:t>. (a) 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76" w:lineRule="exact"/>
        <w:rPr>
          <w:sz w:val="20"/>
          <w:szCs w:val="20"/>
          <w:color w:val="auto"/>
        </w:rPr>
      </w:pPr>
    </w:p>
    <w:p>
      <w:pPr>
        <w:ind w:right="100" w:firstLine="436"/>
        <w:spacing w:after="0" w:line="308"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or both.</w:t>
      </w:r>
    </w:p>
    <w:p>
      <w:pPr>
        <w:spacing w:after="0" w:line="38" w:lineRule="exact"/>
        <w:rPr>
          <w:rFonts w:ascii="Arial" w:cs="Arial" w:eastAsia="Arial" w:hAnsi="Arial"/>
          <w:sz w:val="17"/>
          <w:szCs w:val="17"/>
          <w:color w:val="auto"/>
        </w:rPr>
      </w:pPr>
    </w:p>
    <w:p>
      <w:pPr>
        <w:ind w:firstLine="436"/>
        <w:spacing w:after="0" w:line="259" w:lineRule="auto"/>
        <w:tabs>
          <w:tab w:leader="none" w:pos="6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Trustee may act through agents and shall not be responsible for the misconduct or negligence of any agent appointed with due care. No Depositary shall be deemed an agent of the Trustee and the Trustee shall not be responsible for any act or omission by any Depositary. The Trustee shall not be liable for any action it takes or omits to take in good faith which it believes to be authorized or within its rights or powers,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Trustee’s conduct does not constitute negligence or willful misconduct.</w:t>
      </w:r>
    </w:p>
    <w:p>
      <w:pPr>
        <w:spacing w:after="0" w:line="78" w:lineRule="exact"/>
        <w:rPr>
          <w:rFonts w:ascii="Arial" w:cs="Arial" w:eastAsia="Arial" w:hAnsi="Arial"/>
          <w:sz w:val="18"/>
          <w:szCs w:val="18"/>
          <w:color w:val="auto"/>
        </w:rPr>
      </w:pPr>
    </w:p>
    <w:p>
      <w:pPr>
        <w:ind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may, at the expense of the Company, consult with counsel reasonably selected by it and the advice of such counsel or any Opinion of Counsel shall be full and complete authorization and protection in respect of any action taken, suffered or omitted by it hereunder in good faith reliance thereon.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69" w:name="page70"/>
    <w:bookmarkEnd w:id="69"/>
    <w:p>
      <w:pPr>
        <w:ind w:right="100" w:firstLine="436"/>
        <w:spacing w:after="0" w:line="286" w:lineRule="auto"/>
        <w:tabs>
          <w:tab w:leader="none" w:pos="685"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be under no obligation to exercise any of the rights or powers vested in it by this Indenture at the request, order or direction of any of the Holders of Securities of any Series unless such Holders shall have offered to the Trustee security or indemnity satisfactory to it against the costs, expenses and liabilities which might be incurred by it in compliance with such request or direction.</w:t>
      </w:r>
    </w:p>
    <w:p>
      <w:pPr>
        <w:spacing w:after="0" w:line="57" w:lineRule="exact"/>
        <w:rPr>
          <w:rFonts w:ascii="Arial" w:cs="Arial" w:eastAsia="Arial" w:hAnsi="Arial"/>
          <w:sz w:val="17"/>
          <w:szCs w:val="17"/>
          <w:color w:val="auto"/>
        </w:rPr>
      </w:pPr>
    </w:p>
    <w:p>
      <w:pPr>
        <w:ind w:right="260" w:firstLine="436"/>
        <w:spacing w:after="0" w:line="286" w:lineRule="auto"/>
        <w:tabs>
          <w:tab w:leader="none" w:pos="6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57" w:lineRule="exact"/>
        <w:rPr>
          <w:rFonts w:ascii="Arial" w:cs="Arial" w:eastAsia="Arial" w:hAnsi="Arial"/>
          <w:sz w:val="17"/>
          <w:szCs w:val="17"/>
          <w:color w:val="auto"/>
        </w:rPr>
      </w:pPr>
    </w:p>
    <w:p>
      <w:pPr>
        <w:ind w:right="200" w:firstLine="436"/>
        <w:spacing w:after="0" w:line="259"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Securities generally or the Securities of a particular Series and this Indenture and indicates it is a “notice of default.”</w:t>
      </w:r>
    </w:p>
    <w:p>
      <w:pPr>
        <w:spacing w:after="0" w:line="78" w:lineRule="exact"/>
        <w:rPr>
          <w:rFonts w:ascii="Arial" w:cs="Arial" w:eastAsia="Arial" w:hAnsi="Arial"/>
          <w:sz w:val="18"/>
          <w:szCs w:val="18"/>
          <w:color w:val="auto"/>
        </w:rPr>
      </w:pPr>
    </w:p>
    <w:p>
      <w:pPr>
        <w:ind w:right="380" w:firstLine="436"/>
        <w:spacing w:after="0" w:line="263"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its right to be indemnified, are extended to, and shall be enforceable by, the Trustee in each of its capacities hereunder, each Agent, and each agent, custodian and other person employed to act hereunder.</w:t>
      </w:r>
    </w:p>
    <w:p>
      <w:pPr>
        <w:spacing w:after="0" w:line="75" w:lineRule="exact"/>
        <w:rPr>
          <w:rFonts w:ascii="Arial" w:cs="Arial" w:eastAsia="Arial" w:hAnsi="Arial"/>
          <w:sz w:val="18"/>
          <w:szCs w:val="18"/>
          <w:color w:val="auto"/>
        </w:rPr>
      </w:pPr>
    </w:p>
    <w:p>
      <w:pPr>
        <w:ind w:right="40" w:firstLine="436"/>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action taken or omitted by it in good faith at the direction of the Holders of not less than a majority in aggregate principal amount of the outstanding Securities of the relevant Series as to the time, method and place of conducting any proceedings for any remedy available to the Trustee or the exercising of any power conferred by this Indenture.</w:t>
      </w:r>
    </w:p>
    <w:p>
      <w:pPr>
        <w:spacing w:after="0" w:line="75" w:lineRule="exact"/>
        <w:rPr>
          <w:rFonts w:ascii="Arial" w:cs="Arial" w:eastAsia="Arial" w:hAnsi="Arial"/>
          <w:sz w:val="18"/>
          <w:szCs w:val="18"/>
          <w:color w:val="auto"/>
        </w:rPr>
      </w:pPr>
    </w:p>
    <w:p>
      <w:pPr>
        <w:ind w:right="80" w:firstLine="436"/>
        <w:spacing w:after="0" w:line="286"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action taken, or omitted to be taken, by the Trustee in good faith pursuant to this Indenture upon the request or authority or consent of any person who, at the time of making such request or giving such authority or consent, is the Holder of any Security shall be conclusive and binding upon future Holders of such Securities and upon any Security executed and delivered in exchange therefor or in place thereof.</w:t>
      </w:r>
    </w:p>
    <w:p>
      <w:pPr>
        <w:spacing w:after="0" w:line="57" w:lineRule="exact"/>
        <w:rPr>
          <w:rFonts w:ascii="Arial" w:cs="Arial" w:eastAsia="Arial" w:hAnsi="Arial"/>
          <w:sz w:val="17"/>
          <w:szCs w:val="17"/>
          <w:color w:val="auto"/>
        </w:rPr>
      </w:pPr>
    </w:p>
    <w:p>
      <w:pPr>
        <w:jc w:val="both"/>
        <w:ind w:firstLine="436"/>
        <w:spacing w:after="0" w:line="263"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punitive, special, indirect, or consequential loss or damage of any kind whatsoever (including, but not limited to, loss of profit) irrespective of whether the Trustee has been advised of the likelihood of such loss or damage and regardless of the form of actions.</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execution of the trusts and powers under this Indenture.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0" w:name="page71"/>
    <w:bookmarkEnd w:id="70"/>
    <w:p>
      <w:pPr>
        <w:ind w:left="740" w:hanging="304"/>
        <w:spacing w:after="0"/>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permissive right of the Trustee to take or refrain from taking actions enumerated in this Indenture or the Securities shall not be construed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 duty.</w:t>
      </w:r>
    </w:p>
    <w:p>
      <w:pPr>
        <w:spacing w:after="0" w:line="102" w:lineRule="exact"/>
        <w:rPr>
          <w:rFonts w:ascii="Arial" w:cs="Arial" w:eastAsia="Arial" w:hAnsi="Arial"/>
          <w:sz w:val="16"/>
          <w:szCs w:val="16"/>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Nothing herein shall be deemed to require the Trustee to submit to the jurisdiction or venue of a non-U.S. court.</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is not responsible for monitoring the performance by any third party of their duties or for their failure to perform.</w:t>
      </w:r>
    </w:p>
    <w:p>
      <w:pPr>
        <w:spacing w:after="0" w:line="117"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Nothing herein shall be construed to impose an obligation on the part of the Trustee to monitor, recalculate, evaluate or verify any report, certificate or information received from the Company or any other person (unless and except to the extent otherwise expressly set forth herein), or to monitor, verify or independently determine compliance by the Company with the terms hereof.</w:t>
      </w:r>
    </w:p>
    <w:p>
      <w:pPr>
        <w:spacing w:after="0" w:line="75" w:lineRule="exact"/>
        <w:rPr>
          <w:rFonts w:ascii="Arial" w:cs="Arial" w:eastAsia="Arial" w:hAnsi="Arial"/>
          <w:sz w:val="18"/>
          <w:szCs w:val="18"/>
          <w:color w:val="auto"/>
        </w:rPr>
      </w:pPr>
    </w:p>
    <w:p>
      <w:pPr>
        <w:ind w:right="140" w:firstLine="436"/>
        <w:spacing w:after="0" w:line="286"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will not be (A) responsible for, and makes no representation as to, the validity or adequacy of this Indenture or the Securities; (B) accountable for the Company’s use of the proceeds from the Securities,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Securities or any other document relating to the sale of the Securities or this Indenture, other than its certificate of authentication.</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i w:val="1"/>
          <w:iCs w:val="1"/>
          <w:color w:val="auto"/>
        </w:rPr>
        <w:t>Notice of Defaults</w:t>
      </w:r>
      <w:r>
        <w:rPr>
          <w:rFonts w:ascii="Arial" w:cs="Arial" w:eastAsia="Arial" w:hAnsi="Arial"/>
          <w:sz w:val="17"/>
          <w:szCs w:val="17"/>
          <w:color w:val="auto"/>
        </w:rPr>
        <w:t xml:space="preserve">. If a Default or Event of Default occurs and is continuing with respect to the Securities of any Series and if a Responsible Officer of the Trustee is deemed to have knowledge of such Default or Event of Default in accordance with Section 7.2(g), the Trustee shall send to each Securityholder of the Securities of that Series notice of a Default or Event of Default within 90 days after it occurs or, if later, after a Responsible Officer of the Trustee is deemed to have actual knowledge of such Default or Event of Default, in each case unless such Default or Event of Default shall have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Default of the character specified in Section 6.1(d), no such notice to Holder shall be given until at least 30 days after the occurrence thereof. Except in the case of a Default or Event of Default in payment of principal of or interest on any Security of any Series, the Trustee may withhold the notice if and so long as a committee of its Responsible Officers in good faith determines the withholding of such notice is in the interests of Securityholders of that Series.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71" w:name="page72"/>
    <w:bookmarkEnd w:id="71"/>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Within 60 days after May 15 in each year, commencing May 15, 2021, the Trustee shall transmit by mail to all Securityholders, as their names and addresses appear on the register kept by the Registrar, a brief report dated as of such May 15, in accordance with, and to the extent required under, TIA § 313.</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2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the Trustee in the performance of its duties under this Indenture, as Trustee or Agent. Such expenses shall include the reasonable compensation and expenses of the Trustee’s agents and counsel.</w:t>
      </w:r>
    </w:p>
    <w:p>
      <w:pPr>
        <w:spacing w:after="0" w:line="188"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The Company shall indemnify the Trustee in any capacity under this Indenture and any other document or transaction entered into in connection herewith, each Agent and each of its respective agents and any authenticating agent for, and to hold each of them harmless against, any and all losses, liabilities, damages, costs, claims or expenses (including the fees and expenses of counsel) incurred by it arising out of or in connection with the acceptance or administration of its duties under this Indenture including the costs and expenses of enforcing this Indenture against the Company (including this Section 7.7) and defending itself against any claim (whether asserted by the Company, any Holder or any other Person) or liability in connection with the exercise or performance of any of its rights, powers or duties under this Indenture, except to the extent any such loss, liability or expense may be attributable to its own negligence or willful misconduct. The obligations of the Company under this Section 7.7 to compensate or indemnify the Trustee and to pay or reimburse the Trustee for expenses, disbursements and advances shall be secured by a senior claim to which the Securities are hereby made subordinate on all money or property held or collected by the Trustee, except, subject to the effect of Section 6.6, funds held in trust herewith for the benefit of the Holders of particular Series of Securities. The Trustee’s right to receive payment of any amounts due under this Section 7.7 shall not be subordinate to any other liability or indebtedness of the Company. The obligation of the Company under this Section 7.7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7.7 shall extend to the officers, directors, agents and employees of the Trustee.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440" w:top="274" w:right="519" w:bottom="1440" w:gutter="0" w:footer="0" w:header="0"/>
        </w:sectPr>
      </w:pPr>
    </w:p>
    <w:bookmarkStart w:id="72" w:name="page73"/>
    <w:bookmarkEnd w:id="72"/>
    <w:p>
      <w:pPr>
        <w:jc w:val="both"/>
        <w:ind w:right="6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Anything in this Indenture to the contrary notwithstanding (including, without limitation, the first two paragraphs of this Section 7.7), the Company need not reimburse any expense or indemnify against any loss, liability or expense incurred by the Trustee or by any officer, director, employee, shareholder or agent of the Trustee through negligence, willful misconduct or bad faith.</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any Securities.</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6.1(e), (f), (g) or (h)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(or such shorter time as the Trustee deems necessary, provided a successor Trustee is in place) prior to the date of the proposed resignation. The Holders of a majority in aggregate principal amount of the outstanding Securities of any Series may remove the Trustee with respect to that Series by so notifying the Company and the Trustee in writing. The Company may remove the Trustee with respect to Securities of one or more Series if:</w:t>
      </w:r>
    </w:p>
    <w:p>
      <w:pPr>
        <w:spacing w:after="0" w:line="63" w:lineRule="exact"/>
        <w:rPr>
          <w:sz w:val="20"/>
          <w:szCs w:val="20"/>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Trustee is adjudged bankrupt or insolvent or an order for relief is entered with respect to the Trustee under any Bankruptcy Law;</w:t>
      </w:r>
    </w:p>
    <w:p>
      <w:pPr>
        <w:spacing w:after="0" w:line="128" w:lineRule="exact"/>
        <w:rPr>
          <w:rFonts w:ascii="Arial" w:cs="Arial" w:eastAsia="Arial" w:hAnsi="Arial"/>
          <w:sz w:val="17"/>
          <w:szCs w:val="17"/>
          <w:color w:val="auto"/>
        </w:rPr>
      </w:pPr>
    </w:p>
    <w:p>
      <w:pPr>
        <w:ind w:left="680" w:hanging="244"/>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If a successor Trustee with respect to the Securities of any one or more Series does not take office within 60 days after the retiring Trustee resigns or is removed, the retiring Trustee, the Company or the Holders of at least a majority in aggregate principal amount of the outstanding Securities of the applicable Series may petition any court of competent jurisdiction for the appointment of a successor Trustee at the Company’s expense.</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40" w:top="274" w:right="539" w:bottom="1440" w:gutter="0" w:footer="0" w:header="0"/>
        </w:sectPr>
      </w:pPr>
    </w:p>
    <w:bookmarkStart w:id="73" w:name="page74"/>
    <w:bookmarkEnd w:id="73"/>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give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6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i w:val="1"/>
          <w:iCs w:val="1"/>
          <w:color w:val="auto"/>
        </w:rPr>
        <w:t>Successor Trustee by Merger, Etc</w:t>
      </w:r>
      <w:r>
        <w:rPr>
          <w:rFonts w:ascii="Arial" w:cs="Arial" w:eastAsia="Arial" w:hAnsi="Arial"/>
          <w:sz w:val="17"/>
          <w:szCs w:val="17"/>
          <w:color w:val="auto"/>
        </w:rPr>
        <w:t>. If the Trustee consolidates with, merges or converts into, or transfers all or substantially all of its corporate trust business to, another person, the successor person without any further act shall be the successor Trustee.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Eligibility; Disqualification</w:t>
      </w:r>
      <w:r>
        <w:rPr>
          <w:rFonts w:ascii="Arial" w:cs="Arial" w:eastAsia="Arial" w:hAnsi="Arial"/>
          <w:sz w:val="16"/>
          <w:szCs w:val="16"/>
          <w:color w:val="auto"/>
        </w:rPr>
        <w:t>. This Indenture shall always have a Trustee who satisfies the requirements of TIA § 310(a)(1), (2) and</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(5). The Trustee shall always have a combined capital and surplus of at least $25,000,000 as set forth in its most recent published annual report of condition. The Trustee shall comply with TIA § 310(b).</w:t>
      </w:r>
    </w:p>
    <w:p>
      <w:pPr>
        <w:spacing w:after="0" w:line="18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Preferential Collection of Claims Against Company</w:t>
      </w:r>
      <w:r>
        <w:rPr>
          <w:rFonts w:ascii="Arial" w:cs="Arial" w:eastAsia="Arial" w:hAnsi="Arial"/>
          <w:sz w:val="18"/>
          <w:szCs w:val="18"/>
          <w:color w:val="auto"/>
        </w:rPr>
        <w:t>. The Trustee is subject to TIA § 311(a), excluding any creditor relationship listed in TIA § 311(b). A Trustee who has resigned or been removed shall be subject to TIA § 311(a) to the extent indicated.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w:t>
      </w:r>
      <w:r>
        <w:rPr>
          <w:rFonts w:ascii="Arial" w:cs="Arial" w:eastAsia="Arial" w:hAnsi="Arial"/>
          <w:sz w:val="18"/>
          <w:szCs w:val="18"/>
          <w:color w:val="auto"/>
        </w:rPr>
        <w:t>; D</w:t>
      </w:r>
      <w:r>
        <w:rPr>
          <w:rFonts w:ascii="Arial" w:cs="Arial" w:eastAsia="Arial" w:hAnsi="Arial"/>
          <w:sz w:val="14"/>
          <w:szCs w:val="14"/>
          <w:color w:val="auto"/>
        </w:rPr>
        <w:t>EFEASANCE</w:t>
      </w:r>
    </w:p>
    <w:p>
      <w:pPr>
        <w:spacing w:after="0" w:line="211"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Satisfaction and Discharge of Indenture.</w:t>
      </w:r>
      <w:r>
        <w:rPr>
          <w:rFonts w:ascii="Arial" w:cs="Arial" w:eastAsia="Arial" w:hAnsi="Arial"/>
          <w:sz w:val="18"/>
          <w:szCs w:val="18"/>
          <w:color w:val="auto"/>
        </w:rPr>
        <w:t xml:space="preserve"> This Indenture shall upon Company Order cease to be of further effect (except as hereinafter provided in this Section 8.1) with respect to any Series of Securities specified in such Company Order, and the Trustee, at the expense of the Company, shall execute instruments acknowledging satisfaction and discharge of this Indenture, when</w:t>
      </w:r>
    </w:p>
    <w:p>
      <w:pPr>
        <w:spacing w:after="0" w:line="76" w:lineRule="exact"/>
        <w:rPr>
          <w:sz w:val="20"/>
          <w:szCs w:val="20"/>
          <w:color w:val="auto"/>
        </w:rPr>
      </w:pPr>
    </w:p>
    <w:p>
      <w:pPr>
        <w:ind w:left="680" w:hanging="244"/>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the following shall have occurred:</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Securities of such Series have been issued hereunder;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74" w:name="page75"/>
    <w:bookmarkEnd w:id="74"/>
    <w:p>
      <w:pPr>
        <w:ind w:left="440" w:firstLine="419"/>
        <w:spacing w:after="0" w:line="259" w:lineRule="auto"/>
        <w:tabs>
          <w:tab w:leader="none" w:pos="1128"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of such Series theretofore authenticated and delivered (other than Securities of such Series that have been destroyed, lost or stolen and that have been replaced or paid and Securities of such Series for whose payment money has theretofore been deposited in trust or segregated and held in trust by the Company or any of its Subsidiaries and thereafter repaid to the Company or discharged from such trust as in this Indenture provided) have been delivered to the Trustee for cancellation; or</w:t>
      </w:r>
    </w:p>
    <w:p>
      <w:pPr>
        <w:spacing w:after="0" w:line="78" w:lineRule="exact"/>
        <w:rPr>
          <w:rFonts w:ascii="Arial" w:cs="Arial" w:eastAsia="Arial" w:hAnsi="Arial"/>
          <w:sz w:val="18"/>
          <w:szCs w:val="18"/>
          <w:color w:val="auto"/>
        </w:rPr>
      </w:pPr>
    </w:p>
    <w:p>
      <w:pPr>
        <w:ind w:left="1180" w:hanging="321"/>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80" w:right="40" w:firstLine="408"/>
        <w:spacing w:after="0" w:line="277" w:lineRule="auto"/>
        <w:tabs>
          <w:tab w:leader="none" w:pos="16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in the name, and at the expense, of the Company,</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and the Company, in the case of (1), (2) or (3) above, has irrevocably (except as provided in Sections 8.2(c) and 8.5 hereof) deposited or caused to be deposited with the Trustee as trust funds in trust an amount sufficient for the purpose of paying and discharging the entire indebtedness on such Securities not theretofore delivered to the Trustee for cancellation, for principal and interest, if any, to the date of such deposit (in the case of Securities which have become due and payable on or prior to the date of such deposit) or to the Stated Maturity or redemption date, as the case may be, provided that if the Securities of such Series are redeemable at a premium that is calculated pursuant to a formula or spread to the spread on a government security, the amount of money that the Company must irrevocably deposit or cause to be deposited will be determined using an assumed premium calculated as of the date of such deposit, as calculated by the Company in good faith, and the Company must irrevocably deposit or cause to be deposited additional money in trust on the redemption date as necessary to pay the premium as determined on such date;</w:t>
      </w:r>
    </w:p>
    <w:p>
      <w:pPr>
        <w:spacing w:after="0" w:line="57" w:lineRule="exact"/>
        <w:rPr>
          <w:sz w:val="20"/>
          <w:szCs w:val="20"/>
          <w:color w:val="auto"/>
        </w:rPr>
      </w:pPr>
    </w:p>
    <w:p>
      <w:pPr>
        <w:ind w:left="700" w:hanging="264"/>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with respect to the Securities of such Series; and</w:t>
      </w:r>
    </w:p>
    <w:p>
      <w:pPr>
        <w:spacing w:after="0" w:line="140" w:lineRule="exact"/>
        <w:rPr>
          <w:rFonts w:ascii="Arial" w:cs="Arial" w:eastAsia="Arial" w:hAnsi="Arial"/>
          <w:sz w:val="16"/>
          <w:szCs w:val="16"/>
          <w:color w:val="auto"/>
        </w:rPr>
      </w:pPr>
    </w:p>
    <w:p>
      <w:pPr>
        <w:ind w:right="100" w:firstLine="436"/>
        <w:spacing w:after="0" w:line="342"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24"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7.7, the provisions of this Section 8.1 and, if money shall have been deposited with the Trustee pursuant to clause (a) of this Section, the provisions of Sections 2.4, 2.7, 2.8, 8.2 and 8.5 and, if the Securities of such Series have been or are to be called for redemption, Article 3 shall survive.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75" w:name="page76"/>
    <w:bookmarkEnd w:id="75"/>
    <w:p>
      <w:pPr>
        <w:ind w:right="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8.2 </w:t>
      </w:r>
      <w:r>
        <w:rPr>
          <w:rFonts w:ascii="Arial" w:cs="Arial" w:eastAsia="Arial" w:hAnsi="Arial"/>
          <w:sz w:val="16"/>
          <w:szCs w:val="16"/>
          <w:i w:val="1"/>
          <w:iCs w:val="1"/>
          <w:color w:val="auto"/>
        </w:rPr>
        <w:t>Application of Trust Funds; Indemnification</w:t>
      </w:r>
      <w:r>
        <w:rPr>
          <w:rFonts w:ascii="Arial" w:cs="Arial" w:eastAsia="Arial" w:hAnsi="Arial"/>
          <w:sz w:val="16"/>
          <w:szCs w:val="16"/>
          <w:color w:val="auto"/>
        </w:rPr>
        <w:t>. (a) Subject to the provisions of Sections 8.2(c) and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with respect to the Securities of any Series, shall be held in trust and applied by it, in accordance with the provisions of the Securities of such Series and this Indenture, to the payment, either directly or through any Paying Agent (including the Company acting as its own Paying Agent) as the Trustee may determine, to the persons entitled thereto, of the principal and interest for whose payment such money and/or U.S. Government Obligations or Foreign Government Obligations have been deposited with or received by the Trustee or to make mandatory sinking fund payments or analogous payments as contemplated by Sections 8.3 or 8.4 with respect to the Securities of such Series.</w:t>
      </w:r>
    </w:p>
    <w:p>
      <w:pPr>
        <w:spacing w:after="0" w:line="57" w:lineRule="exact"/>
        <w:rPr>
          <w:sz w:val="20"/>
          <w:szCs w:val="20"/>
          <w:color w:val="auto"/>
        </w:rPr>
      </w:pPr>
    </w:p>
    <w:p>
      <w:pPr>
        <w:ind w:right="140" w:firstLine="436"/>
        <w:spacing w:after="0" w:line="311"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shall pay and indemnify the Trustee against any tax, fee or other charge imposed on or assessed against U.S. Government Obligations or Foreign Government Obligations deposited pursuant to Sections 8.3 or 8.4 or the principal and interest received in respect thereof, other than any such tax, fee or other charge which by law is for the account of the Holders of the outstanding Securities of such Series.</w:t>
      </w:r>
    </w:p>
    <w:p>
      <w:pPr>
        <w:spacing w:after="0" w:line="40" w:lineRule="exact"/>
        <w:rPr>
          <w:rFonts w:ascii="Arial" w:cs="Arial" w:eastAsia="Arial" w:hAnsi="Arial"/>
          <w:sz w:val="16"/>
          <w:szCs w:val="16"/>
          <w:color w:val="auto"/>
        </w:rPr>
      </w:pPr>
    </w:p>
    <w:p>
      <w:pPr>
        <w:ind w:right="200" w:firstLine="436"/>
        <w:spacing w:after="0" w:line="257"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8.3 or 8.4 which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Section 8.3 or 8.4 of this Indenture.</w:t>
      </w:r>
    </w:p>
    <w:p>
      <w:pPr>
        <w:spacing w:after="0" w:line="188"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Legal Defeasance of Securities of any Series</w:t>
      </w:r>
      <w:r>
        <w:rPr>
          <w:rFonts w:ascii="Arial" w:cs="Arial" w:eastAsia="Arial" w:hAnsi="Arial"/>
          <w:sz w:val="16"/>
          <w:szCs w:val="16"/>
          <w:color w:val="auto"/>
        </w:rPr>
        <w:t>. Except in the case of any Series of Securities as to which it is expressly provided, pursuant to Section 2.2, that this Section 8.3 shall not apply to the Securities of such Series, the Company shall be deemed to have paid and discharged the entire indebtedness on all the outstanding Securities of any Series on the 91st day after the date of the deposit referred to in subparagraph (d) of this Section 8.3, and the provisions of this Indenture, as it relates to such outstanding Securities of such Series, shall no longer be in effect (and the Trustee, at the expense of the Company, shall, at Company Request, execute instruments acknowledging the same (“</w:t>
      </w:r>
      <w:r>
        <w:rPr>
          <w:rFonts w:ascii="Arial" w:cs="Arial" w:eastAsia="Arial" w:hAnsi="Arial"/>
          <w:sz w:val="16"/>
          <w:szCs w:val="16"/>
          <w:b w:val="1"/>
          <w:bCs w:val="1"/>
          <w:color w:val="auto"/>
        </w:rPr>
        <w:t>legal defeasance</w:t>
      </w:r>
      <w:r>
        <w:rPr>
          <w:rFonts w:ascii="Arial" w:cs="Arial" w:eastAsia="Arial" w:hAnsi="Arial"/>
          <w:sz w:val="16"/>
          <w:szCs w:val="16"/>
          <w:color w:val="auto"/>
        </w:rPr>
        <w:t>”)), except as to:</w:t>
      </w:r>
    </w:p>
    <w:p>
      <w:pPr>
        <w:spacing w:after="0" w:line="53" w:lineRule="exact"/>
        <w:rPr>
          <w:sz w:val="20"/>
          <w:szCs w:val="20"/>
          <w:color w:val="auto"/>
        </w:rPr>
      </w:pPr>
    </w:p>
    <w:p>
      <w:pPr>
        <w:ind w:firstLine="436"/>
        <w:spacing w:after="0" w:line="301"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solely from the trust funds described in subparagraph (d) of this Section 8.3, (i) payment of the principal of and each installment, if any,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76" w:name="page77"/>
    <w:bookmarkEnd w:id="76"/>
    <w:p>
      <w:pPr>
        <w:ind w:right="500" w:firstLine="436"/>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provisions of Sections 2.4, 2.7, 2.8, 8.2, 8.3 and 8.5 and, if the Securities of such Series have been or are to be called for redemption, Article 3; and</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rights, powers, trust, indemnities and immunities of the Trustee hereunder and the obligations of the Company in connection therewith;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7" w:lineRule="exact"/>
        <w:rPr>
          <w:sz w:val="20"/>
          <w:szCs w:val="20"/>
          <w:color w:val="auto"/>
        </w:rPr>
      </w:pPr>
    </w:p>
    <w:p>
      <w:pPr>
        <w:ind w:firstLine="436"/>
        <w:spacing w:after="0" w:line="269" w:lineRule="auto"/>
        <w:tabs>
          <w:tab w:leader="none" w:pos="6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8.2(c) and Section 8.5) with the Trustee as trust funds in trust for the purpose of making the following payments, specifically pledged as security for and dedicated solely to the benefit of the Holders of the Securities of such Series (i) in the case of Securities of such Series denominated in Dollars, cash in Dollars and/or U.S. Government Obligations, or (ii) in the case of Securities of such Series denominated in a Foreign Currency (other than a composite currency), money and/or Foreign Government Obligations, in each case which through the payment of interest and principal in respect thereof in accordance with their terms, will provide (and without reinvestment and assuming no tax liability will be imposed on such Trustee), not later than one day before the due date of any payment of principal of or interest, if any, on and any mandatory sinking fund payments in respect of, the Securities of such Series, an amount in cash sufficient (which, in the case of U.S. Government Obligations and/or Foreign Government Obligations, shall be determined based on the opinion of a nationally recognized firm of independent public accountants, investment bank or consultants expressed in a written certificate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or, if applicable, any redemption date specified by the Company;</w:t>
      </w:r>
    </w:p>
    <w:p>
      <w:pPr>
        <w:spacing w:after="0" w:line="70" w:lineRule="exact"/>
        <w:rPr>
          <w:rFonts w:ascii="Arial" w:cs="Arial" w:eastAsia="Arial" w:hAnsi="Arial"/>
          <w:sz w:val="17"/>
          <w:szCs w:val="17"/>
          <w:color w:val="auto"/>
        </w:rPr>
      </w:pPr>
    </w:p>
    <w:p>
      <w:pPr>
        <w:ind w:right="720" w:firstLine="436"/>
        <w:spacing w:after="0" w:line="342" w:lineRule="auto"/>
        <w:tabs>
          <w:tab w:leader="none" w:pos="685"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this Indenture or any other material instrument or agreement relating to or evidencing indebtedness for borrowed money to which the Company is a party or by which it is bound;</w:t>
      </w:r>
    </w:p>
    <w:p>
      <w:pPr>
        <w:spacing w:after="0" w:line="15" w:lineRule="exact"/>
        <w:rPr>
          <w:rFonts w:ascii="Arial" w:cs="Arial" w:eastAsia="Arial" w:hAnsi="Arial"/>
          <w:sz w:val="16"/>
          <w:szCs w:val="16"/>
          <w:color w:val="auto"/>
        </w:rPr>
      </w:pPr>
    </w:p>
    <w:p>
      <w:pPr>
        <w:ind w:right="20" w:firstLine="436"/>
        <w:spacing w:after="0" w:line="277" w:lineRule="auto"/>
        <w:tabs>
          <w:tab w:leader="none" w:pos="6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firstLine="436"/>
        <w:spacing w:after="0" w:line="255"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(i) the Company has received from, or there has been published by, the Internal Revenue Service a ruling, or (ii) since the date of this Indenture, there has been a change in the applicable U.S. Federal income tax law, in either case to the effect that, and based thereon such Opinion of Counsel shall confirm that, the beneficial owners of the Securities of such Series will not recognize income, gain or loss for U.S. Federal income tax purposes as a result of such legal defeasance and will be subject to U.S. Federal income tax on the same amounts and in the same manner and at the same times as would have been the case if such legal defeasance had not occurred;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77" w:name="page78"/>
    <w:bookmarkEnd w:id="77"/>
    <w:p>
      <w:pPr>
        <w:ind w:right="20" w:firstLine="436"/>
        <w:spacing w:after="0" w:line="301"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deposit of money and/or U.S. Government Obligations or Foreign Government Obligations shall be sufficient to pay the principal of, interest, if any on and any mandatory sinking fund payments in respect of any or all of the outstanding Securities of such Series provided such Securities are redeemed on a particular redemption date, and if such Securities have not been called for redemption, the Company shall make arrangements reasonably satisfactory to the Trustee for the giving of notice of such redemption in the name, and at the expense of, the Company; and</w:t>
      </w:r>
    </w:p>
    <w:p>
      <w:pPr>
        <w:spacing w:after="0" w:line="49" w:lineRule="exact"/>
        <w:rPr>
          <w:rFonts w:ascii="Arial" w:cs="Arial" w:eastAsia="Arial" w:hAnsi="Arial"/>
          <w:sz w:val="16"/>
          <w:szCs w:val="16"/>
          <w:color w:val="auto"/>
        </w:rPr>
      </w:pPr>
    </w:p>
    <w:p>
      <w:pPr>
        <w:ind w:right="160" w:firstLine="436"/>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all conditions precedent provided for relating to the legal defeasance contemplated by this Section 8.3 have been complied with.</w:t>
      </w:r>
    </w:p>
    <w:p>
      <w:pPr>
        <w:spacing w:after="0" w:line="170"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The Company may effect legal defeasance with respect to the Securities of any Series notwithstanding that the Company may have previously effected covenant defeasance with respect to the Securities of such Series. For the avoidance of doubt and without limitation to any of the other provisions set forth in this Article 8, if the Company effects legal defeasance with respect to the Securities of any Series, payment of the Securities of such Series may not be accelerated because of an Event of Default with respect to the Securities of such Series.</w:t>
      </w:r>
    </w:p>
    <w:p>
      <w:pPr>
        <w:spacing w:after="0" w:line="17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Covenant Defeasance</w:t>
      </w:r>
      <w:r>
        <w:rPr>
          <w:rFonts w:ascii="Arial" w:cs="Arial" w:eastAsia="Arial" w:hAnsi="Arial"/>
          <w:sz w:val="17"/>
          <w:szCs w:val="17"/>
          <w:color w:val="auto"/>
        </w:rPr>
        <w:t>. Except in the case of any Series of Securities as to which it is expressly provided, pursuant to Section 2.2, that this Section 8.4 shall not apply to the Securities of such Series, the Company shall be released from its obligations under, and may omit to comply with, any term, provision or condition set forth in Sections 4.2, 4.4, 4.5 and 5.1 with respect to the Securities of any Series as well as any additional covenants specified in a supplemental indenture, a Board Resolution or an Officers’ Certificate delivered pursuant to Section 2.2 with respect to the Securities of such Series (and the failure to comply with any such covenants shall not constitute a default, Default or Event of Default with respect to any Securities of such Series, whether such default, Default or Event of Default is specified in this Indenture or in any supplemental indenture or any Board Resolution and Officers’ Certificate delivered pursuant to Section 2.2 in respect of such Series (“</w:t>
      </w:r>
      <w:r>
        <w:rPr>
          <w:rFonts w:ascii="Arial" w:cs="Arial" w:eastAsia="Arial" w:hAnsi="Arial"/>
          <w:sz w:val="17"/>
          <w:szCs w:val="17"/>
          <w:b w:val="1"/>
          <w:bCs w:val="1"/>
          <w:color w:val="auto"/>
        </w:rPr>
        <w:t>covenant defeasance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conditions shall have been satisfied:</w:t>
      </w:r>
    </w:p>
    <w:p>
      <w:pPr>
        <w:spacing w:after="0" w:line="70" w:lineRule="exact"/>
        <w:rPr>
          <w:sz w:val="20"/>
          <w:szCs w:val="20"/>
          <w:color w:val="auto"/>
        </w:rPr>
      </w:pPr>
    </w:p>
    <w:p>
      <w:pPr>
        <w:ind w:firstLine="436"/>
        <w:spacing w:after="0" w:line="269" w:lineRule="auto"/>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shall have deposited or caused to be irrevocably deposited (except as provided in Section 8.2(c) and Section 8.5) with the Trustee as trust funds in trust for the purpose of making the following payments, specifically pledged as security for and dedicated solely to the benefit of the Holders of the Securities of such Series (i) in the case of Securities of such Series denominated in Dollars, cash in Dollars and/or U.S. Government Obligations, or (ii) in the case of Securities of such Series denominated in a Foreign Currency (other than a composite currency), money and/or Foreign Government Obligations, in each case which through the payment of interest and principal in respect thereof in accordance with their terms, will provide (and without reinvestment and assuming no tax liability will be imposed on such Trustee), not later than one day before the due date of any payment of principal of or interest, if any, on and any mandatory sinking fund payments in respect of, the Securities of such Series, an amount in cash sufficient (which, in the case of U.S. Government Obligations and/or Foreign Government Obligations, shall be determined based on the opinion of a nationally recognized firm of independent public accountants, investment bank or consultants expressed in a written certificate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 or, if applicable, any redemption date specified by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78" w:name="page79"/>
    <w:bookmarkEnd w:id="78"/>
    <w:p>
      <w:pPr>
        <w:ind w:right="720" w:firstLine="436"/>
        <w:spacing w:after="0" w:line="342" w:lineRule="auto"/>
        <w:tabs>
          <w:tab w:leader="none" w:pos="695"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deposit will not result in a breach or violation of, or constitute a default under, this Indenture or any other material instrument or agreement relating to or evidencing indebtedness for borrowed money to which the Company is a party or by which it is bound;</w:t>
      </w:r>
    </w:p>
    <w:p>
      <w:pPr>
        <w:spacing w:after="0" w:line="15" w:lineRule="exact"/>
        <w:rPr>
          <w:rFonts w:ascii="Arial" w:cs="Arial" w:eastAsia="Arial" w:hAnsi="Arial"/>
          <w:sz w:val="16"/>
          <w:szCs w:val="16"/>
          <w:color w:val="auto"/>
        </w:rPr>
      </w:pPr>
    </w:p>
    <w:p>
      <w:pPr>
        <w:ind w:left="680" w:hanging="244"/>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40" w:lineRule="exact"/>
        <w:rPr>
          <w:rFonts w:ascii="Arial" w:cs="Arial" w:eastAsia="Arial" w:hAnsi="Arial"/>
          <w:sz w:val="16"/>
          <w:szCs w:val="16"/>
          <w:color w:val="auto"/>
        </w:rPr>
      </w:pPr>
    </w:p>
    <w:p>
      <w:pPr>
        <w:ind w:right="20" w:firstLine="436"/>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beneficial owners of the Securities of such Series will not recognize income, gain or loss for U.S. Federal income tax purposes as a result of such covenant defeasance and will be subject to U.S. Federal income tax on the same amounts and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20" w:firstLine="436"/>
        <w:spacing w:after="0" w:line="301" w:lineRule="auto"/>
        <w:tabs>
          <w:tab w:leader="none" w:pos="6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deposit of money and/or U.S. Government Obligations or Foreign Government Obligations shall be sufficient to pay the principal of, interest, if any on and any mandatory sinking fund payments in respect of any or all of the outstanding Securities of such Series provided such Securities are redeemed on a particular redemption date, and if such Securities have not been called for redemption, the Company shall make arrangements reasonably satisfactory to the Trustee for the giving of notice of such redemption in the name, and at the expense of, the Company; and</w:t>
      </w:r>
    </w:p>
    <w:p>
      <w:pPr>
        <w:spacing w:after="0" w:line="49" w:lineRule="exact"/>
        <w:rPr>
          <w:rFonts w:ascii="Arial" w:cs="Arial" w:eastAsia="Arial" w:hAnsi="Arial"/>
          <w:sz w:val="16"/>
          <w:szCs w:val="16"/>
          <w:color w:val="auto"/>
        </w:rPr>
      </w:pPr>
    </w:p>
    <w:p>
      <w:pPr>
        <w:ind w:right="520" w:firstLine="436"/>
        <w:spacing w:after="0" w:line="308" w:lineRule="auto"/>
        <w:tabs>
          <w:tab w:leader="none" w:pos="6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to the effect that all conditions precedent provided for relating to the covenant defeasance contemplated by this Section 8.4 have been complied with.</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Repayment to Company</w:t>
      </w:r>
      <w:r>
        <w:rPr>
          <w:rFonts w:ascii="Arial" w:cs="Arial" w:eastAsia="Arial" w:hAnsi="Arial"/>
          <w:sz w:val="18"/>
          <w:szCs w:val="18"/>
          <w:color w:val="auto"/>
        </w:rPr>
        <w:t>. Subject to applicable law, the Trustee and the Paying Agent shall pay to the Company upon request any money, U.S. Government Obligations and Foreign Government Obligations held by them in trust for the payment of principal, interest, premium, if any, or any sinking fund payment on any Securities and not applied that remains unclaimed for two years after the respective dates such principal, interest or premium, if any, or sinking fund payment on such Securities, as the case may be, shall have become due and payable. After that, Securityholders entitled to the payment thereof must look to the Company for payment as general creditors unless an applicable abandoned property law designates another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79" w:name="page80"/>
    <w:bookmarkEnd w:id="79"/>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8.6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the Paying Agent is unable to apply any money deposited with respect to Securities of any Series in accordance with Sections 8.1, 8.3 or 8.4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Section 8.3 and/or Section 8.4, as applicable, until such time as the Trustee or the Paying Agent is permitted to apply all such money in accordance with Section 8.1, Section 8.3 and/or Section 8.4,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has made any payment of principal of or interest or premium on or any sinking fund payments with respect to any Securities because of the reinstatement of its obligations, the Company shall be subrogated to the rights of the Holders of such Securities to receive such payment from the money held by the Trustee or Paying Agent.</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i w:val="1"/>
          <w:iCs w:val="1"/>
          <w:color w:val="auto"/>
        </w:rPr>
        <w:t>Release of Other Obligations</w:t>
      </w:r>
      <w:r>
        <w:rPr>
          <w:rFonts w:ascii="Arial" w:cs="Arial" w:eastAsia="Arial" w:hAnsi="Arial"/>
          <w:sz w:val="17"/>
          <w:szCs w:val="17"/>
          <w:color w:val="auto"/>
        </w:rPr>
        <w:t xml:space="preserve">. Upon legal defeasance or covenant defeasance of the Securities of any Series or if the Company shall effect satisfaction and discharge of this Indenture with respect to the Securities of any Series pursuant to Section 8.1, then all guarantees, if any, of the Securities of such Series shall be automatically released and terminated, all guarantors, if any, of the Securities of such Series shall be automatically released and discharged from all of their obligations under this Indenture, their respective guarantees of the Securities of such Series and any other instruments or agreements creating or evidencing such guarantees, all collateral, if any, for the Securities of such Series (other than the money and/or U.S. Government Obligations or Foreign Government Obligations, as the case may be, deposited to effect such legal defeasance, covenant defeasance or satisfaction and discharge, as the case may be, in respect of the Securities of such Series pursuant to Section 8.1, 8.3 or 8.4, as the case may be) shall be automatically released and all Liens on such collateral (other than Liens on such money and/or U.S. Government Obligations or Foreign Government Obligations deposited as aforesaid) securing the Securities of such Series shall be automatically released and terminated, all without any action by the Company, any Holder or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agrees to take such action as the Company may reasonably request in order to evidence or effectuate the release, discharge and termination of any such guarantees, guarantors, collateral and Liens upon receipt of an Officers’ Certificate and Opinion of Counsel delivered pursuant to Section 10.4.</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9</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 AND</w:t>
      </w:r>
      <w:r>
        <w:rPr>
          <w:rFonts w:ascii="Arial" w:cs="Arial" w:eastAsia="Arial" w:hAnsi="Arial"/>
          <w:sz w:val="18"/>
          <w:szCs w:val="18"/>
          <w:color w:val="auto"/>
        </w:rPr>
        <w:t xml:space="preserve"> W</w:t>
      </w:r>
      <w:r>
        <w:rPr>
          <w:rFonts w:ascii="Arial" w:cs="Arial" w:eastAsia="Arial" w:hAnsi="Arial"/>
          <w:sz w:val="14"/>
          <w:szCs w:val="14"/>
          <w:color w:val="auto"/>
        </w:rPr>
        <w:t>AIVERS</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enter into a supplemental indenture in order to amend or supplement this Indenture with respect to Securities of one or more Series or amend or supplement the Securities of one or more Series without notice to or the consent of any Securityholder to:</w:t>
      </w:r>
    </w:p>
    <w:p>
      <w:pPr>
        <w:spacing w:after="0" w:line="184" w:lineRule="exact"/>
        <w:rPr>
          <w:sz w:val="20"/>
          <w:szCs w:val="20"/>
          <w:color w:val="auto"/>
        </w:rPr>
      </w:pPr>
    </w:p>
    <w:p>
      <w:pPr>
        <w:jc w:val="both"/>
        <w:ind w:right="300" w:firstLine="436"/>
        <w:spacing w:after="0" w:line="311"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Company, or successive successions, and the assumption by the successor person of the covenants, agreements and obligations of the Company pursuant to Article 5 hereof, or to evidence the assumption by a corporation, as a co-obligor under this Indenture and the Securities, of the covenants, agreements and obligations of the Company pursuant to Article 5;</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80" w:name="page81"/>
    <w:bookmarkEnd w:id="80"/>
    <w:p>
      <w:pPr>
        <w:ind w:left="-20" w:right="20" w:firstLine="436"/>
        <w:spacing w:after="0" w:line="290" w:lineRule="auto"/>
        <w:tabs>
          <w:tab w:leader="none" w:pos="675"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add to the covenants of the Company such further covenants, restrictions, conditions or provisions for the protection of the holders of all or any Series of Securities (and if such covenants are to be for the benefit of less than all Series of Securities, stating that such covenants are expressly being included for the benefit of such Series) as the Board of Directors of the Company shall consider to be for the protection of the Holders of such Securities, and to make the occurrence, or the occurrence and continuance, of a default in any of such additional covenants, restrictions, conditions or provisions a Default or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165" w:lineRule="exact"/>
        <w:rPr>
          <w:rFonts w:ascii="Arial" w:cs="Arial" w:eastAsia="Arial" w:hAnsi="Arial"/>
          <w:sz w:val="16"/>
          <w:szCs w:val="16"/>
          <w:color w:val="auto"/>
        </w:rPr>
      </w:pPr>
    </w:p>
    <w:p>
      <w:pPr>
        <w:ind w:left="-20" w:firstLine="436"/>
        <w:spacing w:after="0" w:line="259" w:lineRule="auto"/>
        <w:tabs>
          <w:tab w:leader="none" w:pos="6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to conform the terms of Securities of any Series to the description thereof in the applicable offering document used in connection with the offering of such Securities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made solely to conform the provisions of this Indenture to the description of the Securities contained in the prospectus or other offering document pursuant to which such Securities were sold will not be deemed to adversely affect the interests of the Holders of the Securities;</w:t>
      </w:r>
    </w:p>
    <w:p>
      <w:pPr>
        <w:spacing w:after="0" w:line="186" w:lineRule="exact"/>
        <w:rPr>
          <w:rFonts w:ascii="Arial" w:cs="Arial" w:eastAsia="Arial" w:hAnsi="Arial"/>
          <w:sz w:val="18"/>
          <w:szCs w:val="18"/>
          <w:color w:val="auto"/>
        </w:rPr>
      </w:pPr>
    </w:p>
    <w:p>
      <w:pPr>
        <w:ind w:left="680" w:hanging="264"/>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establish the forms or terms of Securities of any Series as permitted by Sections 2.1 and 2.2;</w:t>
      </w:r>
    </w:p>
    <w:p>
      <w:pPr>
        <w:spacing w:after="0" w:line="225" w:lineRule="exact"/>
        <w:rPr>
          <w:rFonts w:ascii="Arial" w:cs="Arial" w:eastAsia="Arial" w:hAnsi="Arial"/>
          <w:sz w:val="18"/>
          <w:szCs w:val="18"/>
          <w:color w:val="auto"/>
        </w:rPr>
      </w:pPr>
    </w:p>
    <w:p>
      <w:pPr>
        <w:ind w:left="-20" w:right="300" w:firstLine="436"/>
        <w:spacing w:after="0" w:line="259" w:lineRule="auto"/>
        <w:tabs>
          <w:tab w:leader="none" w:pos="6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do not adversely affect the interests of the Securityholders of any Securities of such Series in any material respect;</w:t>
      </w:r>
    </w:p>
    <w:p>
      <w:pPr>
        <w:spacing w:after="0" w:line="186" w:lineRule="exact"/>
        <w:rPr>
          <w:rFonts w:ascii="Arial" w:cs="Arial" w:eastAsia="Arial" w:hAnsi="Arial"/>
          <w:sz w:val="18"/>
          <w:szCs w:val="18"/>
          <w:color w:val="auto"/>
        </w:rPr>
      </w:pPr>
    </w:p>
    <w:p>
      <w:pPr>
        <w:ind w:left="-20" w:right="40" w:firstLine="436"/>
        <w:spacing w:after="0" w:line="277" w:lineRule="auto"/>
        <w:tabs>
          <w:tab w:leader="none" w:pos="6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modify or amend this Indenture to permit the qualification of this Indenture or any indentures supplemental hereto under the Trust Indenture Act as then in effect;</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provide for the issuance of additional Securities of any Series of Securities;</w:t>
      </w:r>
    </w:p>
    <w:p>
      <w:pPr>
        <w:spacing w:after="0" w:line="225" w:lineRule="exact"/>
        <w:rPr>
          <w:rFonts w:ascii="Arial" w:cs="Arial" w:eastAsia="Arial" w:hAnsi="Arial"/>
          <w:sz w:val="18"/>
          <w:szCs w:val="18"/>
          <w:color w:val="auto"/>
        </w:rPr>
      </w:pPr>
    </w:p>
    <w:p>
      <w:pPr>
        <w:ind w:left="-20" w:firstLine="436"/>
        <w:spacing w:after="0" w:line="342" w:lineRule="auto"/>
        <w:tabs>
          <w:tab w:leader="none" w:pos="6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provide for the exchange of any Global Securities for Physical Securities of the same Series issued under this Indenture in the circumstances permitted by the terms of this Indenture and such Securities, and to make all appropriate changes to this Indenture for such purpose;</w:t>
      </w:r>
    </w:p>
    <w:p>
      <w:pPr>
        <w:spacing w:after="0" w:line="123" w:lineRule="exact"/>
        <w:rPr>
          <w:rFonts w:ascii="Arial" w:cs="Arial" w:eastAsia="Arial" w:hAnsi="Arial"/>
          <w:sz w:val="16"/>
          <w:szCs w:val="16"/>
          <w:color w:val="auto"/>
        </w:rPr>
      </w:pPr>
    </w:p>
    <w:p>
      <w:pPr>
        <w:ind w:left="-20" w:right="20" w:firstLine="436"/>
        <w:spacing w:after="0" w:line="259"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contained herein or in any indentures supplemental hereto in respect of one or more Series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addition, change or elimination (i) shall not apply to, or modify the rights of any Holder of, any Security of any Series created prior to the execution of such supplemental indenture, or (ii) shall become effective only when no Securities of any Series created prior to the execution of such supplemental indenture are Outstanding;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60" w:top="274" w:right="479" w:bottom="1440" w:gutter="0" w:footer="0" w:header="0"/>
        </w:sectPr>
      </w:pPr>
    </w:p>
    <w:bookmarkStart w:id="81" w:name="page82"/>
    <w:bookmarkEnd w:id="81"/>
    <w:p>
      <w:pPr>
        <w:ind w:left="660" w:hanging="22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add guarantees with respect to the Securities of any Series or to secure the Securities of any Series; and</w:t>
      </w:r>
    </w:p>
    <w:p>
      <w:pPr>
        <w:spacing w:after="0" w:line="225" w:lineRule="exact"/>
        <w:rPr>
          <w:rFonts w:ascii="Arial" w:cs="Arial" w:eastAsia="Arial" w:hAnsi="Arial"/>
          <w:sz w:val="18"/>
          <w:szCs w:val="18"/>
          <w:color w:val="auto"/>
        </w:rPr>
      </w:pPr>
    </w:p>
    <w:p>
      <w:pPr>
        <w:jc w:val="both"/>
        <w:ind w:right="20" w:firstLine="436"/>
        <w:spacing w:after="0" w:line="263"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or separate trustee with respect to the Securities of one or more Series or to add to or change any of the provisions of this Indenture as shall be necessary to provide for or facilitate the administration of the trusts hereunder by more than one trustee, pursuant to the requirements of Section 7.8.</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With Consent of Holders</w:t>
      </w:r>
      <w:r>
        <w:rPr>
          <w:rFonts w:ascii="Arial" w:cs="Arial" w:eastAsia="Arial" w:hAnsi="Arial"/>
          <w:sz w:val="16"/>
          <w:szCs w:val="16"/>
          <w:color w:val="auto"/>
        </w:rPr>
        <w:t xml:space="preserve">. Subject to Section 9.3 and Section 9.5, the Company and the Trustee may enter into a supplemental indenture for the purpose of supplementing or amending in any manner this Indenture with respect to the Securities of any Series, or supplementing or amending the Securities of any Series, with the written consent of the Holders of at least a majority in aggregate principal amount of the outstanding Securities of such Series affected by such supplement or amendment, voting as a single class (including consents obtained in connection with a tender offer or exchange offer for the Securities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consent of Holders shall be required in respect of any supplement or amendment permitted by Section 9.1 hereof;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supplement or amendment affecting more than one Series of Securities may be set forth in a single supplemental indenture. Without limitation to Section 6.13 and subject to Section 9.3, the Holders of at least a majority in aggregate principal amount of the outstanding Securities of any Series by written notice to the Trustee (including consents obtained in connection with a tender offer or exchange offer for the Securities of such Series) may, on behalf of the Holders of all Securities of that Series, waive compliance by the Company with covenants or other provisions of this Indenture and the Securities of such Series (including, without limitation, covenants and provisions that may be set forth in a Board Resolution and Officers’ Certificate or supplemental indenture).</w:t>
      </w:r>
    </w:p>
    <w:p>
      <w:pPr>
        <w:spacing w:after="0" w:line="17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Holders of the Securities of any Series shall vote as a separate class with respect to modifications or amendments that affect only the Securities of such Series, and the Holders of other Series of Securities shall not have any voting rights with respect to such matters as they relate to the Securities of such Series.</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Upon the request of the Company, accompanied by the Board Resolutions authorizing the execution and delivery of any such supplemental indenture pursuant to this Section 9.2, and upon the filing with the Trustee of evidence of the consent of Securityholders,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4" w:right="499" w:bottom="1440" w:gutter="0" w:footer="0" w:header="0"/>
        </w:sectPr>
      </w:pPr>
    </w:p>
    <w:bookmarkStart w:id="82" w:name="page83"/>
    <w:bookmarkEnd w:id="82"/>
    <w:p>
      <w:pPr>
        <w:ind w:right="3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9.2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Limitations</w:t>
      </w:r>
      <w:r>
        <w:rPr>
          <w:rFonts w:ascii="Arial" w:cs="Arial" w:eastAsia="Arial" w:hAnsi="Arial"/>
          <w:sz w:val="18"/>
          <w:szCs w:val="18"/>
          <w:color w:val="auto"/>
        </w:rPr>
        <w:t>. Subject to Section 9.5, an amendment, supplement or waiver pursuant to Section 9.2 affecting the Securities of any Series may not, without the consent of the affected Holders:</w:t>
      </w:r>
    </w:p>
    <w:p>
      <w:pPr>
        <w:spacing w:after="0" w:line="170" w:lineRule="exact"/>
        <w:rPr>
          <w:sz w:val="20"/>
          <w:szCs w:val="20"/>
          <w:color w:val="auto"/>
        </w:rPr>
      </w:pPr>
    </w:p>
    <w:p>
      <w:pPr>
        <w:ind w:left="680" w:hanging="244"/>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Stated Maturity of principal of, or any installment of principal of or interest on, any Security;</w:t>
      </w:r>
    </w:p>
    <w:p>
      <w:pPr>
        <w:spacing w:after="0" w:line="225"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any Series of subordinated Securities, modify the subordination provisions of that Series of subordinated Securities in a manner materially adverse to the Holders of that Series of subordinated Securities;</w:t>
      </w:r>
    </w:p>
    <w:p>
      <w:pPr>
        <w:spacing w:after="0" w:line="170"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adversely affect the right of any Holder of the Securities to convert or exchange any Security into or for the Company’s common stock or other securities in accordance with the terms of such Security;</w:t>
      </w:r>
    </w:p>
    <w:p>
      <w:pPr>
        <w:spacing w:after="0" w:line="170" w:lineRule="exact"/>
        <w:rPr>
          <w:rFonts w:ascii="Arial" w:cs="Arial" w:eastAsia="Arial" w:hAnsi="Arial"/>
          <w:sz w:val="18"/>
          <w:szCs w:val="18"/>
          <w:color w:val="auto"/>
        </w:rPr>
      </w:pPr>
    </w:p>
    <w:p>
      <w:pPr>
        <w:ind w:firstLine="436"/>
        <w:spacing w:after="0" w:line="263"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rate of or extend the time of payment of interest, if any, on any Security, or alter the manner of calculation of interest payable on any Security (except as part of any remarketing of the Securities of any Series) or any interest rate reset with respect to the Securities of any Series, in each case in accordance with the terms of the Securities of such Series;</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principal amount or premium, if any, on any Security;</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make the principal amount or premium, if any, or interest on any Security, payable in any coin or currency other than that provided in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Security;</w:t>
      </w:r>
    </w:p>
    <w:p>
      <w:pPr>
        <w:spacing w:after="0" w:line="210" w:lineRule="exact"/>
        <w:rPr>
          <w:rFonts w:ascii="Arial" w:cs="Arial" w:eastAsia="Arial" w:hAnsi="Arial"/>
          <w:sz w:val="17"/>
          <w:szCs w:val="17"/>
          <w:color w:val="auto"/>
        </w:rPr>
      </w:pPr>
    </w:p>
    <w:p>
      <w:pPr>
        <w:ind w:right="240" w:firstLine="436"/>
        <w:spacing w:after="0" w:line="277"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outstanding Securities of any Series, the Holders of which are required to consent to any such supplemental indenture or any waiver of any past default or Event of Default pursuant to Section 6.13;</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any place of payment where the Securities of any Series or interest thereon is payable;</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modify the interest rate reset provision of any Security;</w:t>
      </w:r>
    </w:p>
    <w:p>
      <w:pPr>
        <w:spacing w:after="0" w:line="225" w:lineRule="exact"/>
        <w:rPr>
          <w:rFonts w:ascii="Arial" w:cs="Arial" w:eastAsia="Arial" w:hAnsi="Arial"/>
          <w:sz w:val="18"/>
          <w:szCs w:val="18"/>
          <w:color w:val="auto"/>
        </w:rPr>
      </w:pPr>
    </w:p>
    <w:p>
      <w:pPr>
        <w:ind w:firstLine="436"/>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impair the right of any Holder of a Security to receive payment of the principal of, or premium, if any, or interest on any Security on or after the respective due dates for such principal, premium or interest, or to institute suit for the enforcement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83" w:name="page84"/>
    <w:bookmarkEnd w:id="83"/>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payment, or reduce the amount of the principal of a Discount Security that would be due and payable upon an acceleration of the maturity thereof pursuant to Section 6.1, or adversely affect the right of repayment, if any, at the option of the Holder, or extend the time for, or reduce the amount of, any payment to any sinking fund or analogous obligation relating to any Security; or</w:t>
      </w:r>
    </w:p>
    <w:p>
      <w:pPr>
        <w:spacing w:after="0" w:line="184" w:lineRule="exact"/>
        <w:rPr>
          <w:sz w:val="20"/>
          <w:szCs w:val="20"/>
          <w:color w:val="auto"/>
        </w:rPr>
      </w:pPr>
    </w:p>
    <w:p>
      <w:pPr>
        <w:ind w:right="300" w:firstLine="436"/>
        <w:spacing w:after="0" w:line="263"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modify any provision of Section 6.13 or this Section 9.3 (except to increase the percentage in aggregate principal amount of outstanding Securities whose Holders must consent to an amendment, or to provide that certain other provisions of this Indenture cannot be modified or waived without the consent of the Holder of each Security of the Series affected by the modification or waiver).</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Compliance with Trust Indenture Act</w:t>
      </w:r>
      <w:r>
        <w:rPr>
          <w:rFonts w:ascii="Arial" w:cs="Arial" w:eastAsia="Arial" w:hAnsi="Arial"/>
          <w:sz w:val="18"/>
          <w:szCs w:val="18"/>
          <w:color w:val="auto"/>
        </w:rPr>
        <w:t>. Every amendment or supplement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i w:val="1"/>
          <w:iCs w:val="1"/>
          <w:color w:val="auto"/>
        </w:rPr>
        <w:t>Revocation and Effect of Consents</w:t>
      </w:r>
      <w:r>
        <w:rPr>
          <w:rFonts w:ascii="Arial" w:cs="Arial" w:eastAsia="Arial" w:hAnsi="Arial"/>
          <w:sz w:val="17"/>
          <w:szCs w:val="17"/>
          <w:color w:val="auto"/>
        </w:rPr>
        <w:t>. Until an amendment or supplement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the notice of revocation before the date of the supplemental indenture or the date the waiver becomes effective.</w:t>
      </w:r>
    </w:p>
    <w:p>
      <w:pPr>
        <w:spacing w:after="0" w:line="17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Any amendment, supplement or waiver once effective shall bind every Securityholder of each Series affected by such amendment, supplement or waiver unless it is of the type or relates to any matters described in any of clauses (a) through (j) of Section 9.3. In that case then, anything herein to the contrary notwithstanding, the amendment, supplement or waiver shall bind each Holder of a Security who has consented to it and every subsequent Holder of a Security or portion of a Security that evidences the same debt as the consenting Holder’s Security.</w:t>
      </w:r>
    </w:p>
    <w:p>
      <w:pPr>
        <w:spacing w:after="0" w:line="17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i w:val="1"/>
          <w:iCs w:val="1"/>
          <w:color w:val="auto"/>
        </w:rPr>
        <w:t>Notation on or Exchange of Securities</w:t>
      </w:r>
      <w:r>
        <w:rPr>
          <w:rFonts w:ascii="Arial" w:cs="Arial" w:eastAsia="Arial" w:hAnsi="Arial"/>
          <w:sz w:val="17"/>
          <w:szCs w:val="17"/>
          <w:color w:val="auto"/>
        </w:rPr>
        <w:t>. The Trustee may place an appropriate notation about an amendment, supplement or waiver on any Security of any Series thereafter authenticated. The Company in exchange for Securities of that Series may issue and the Trustee shall authenticate upon Company Request new Securities of that Series that reflect the amendment, supplement or waiver.</w:t>
      </w:r>
    </w:p>
    <w:p>
      <w:pPr>
        <w:spacing w:after="0" w:line="16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i w:val="1"/>
          <w:iCs w:val="1"/>
          <w:color w:val="auto"/>
        </w:rPr>
        <w:t>Trustee Protected</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to the effect that the execution of such supplemental indenture is authorized or permitted by this Indenture, that all conditions precedent thereto under this Indenture have been satisfied, and, with respect to such Opinion of Counsel, that the supplemental indenture is the legal, valid and binding obligation of the Company. The Trustee shall sign all supplemental indentures, except that the Trustee need not sign any supplemental indenture that affects the Trustee’s own rights, duties or immunities under this Indenture or otherwise.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440" w:top="274" w:right="5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Trust Indenture Act Controls</w:t>
      </w:r>
      <w:r>
        <w:rPr>
          <w:rFonts w:ascii="Arial" w:cs="Arial" w:eastAsia="Arial" w:hAnsi="Arial"/>
          <w:sz w:val="18"/>
          <w:szCs w:val="18"/>
          <w:color w:val="auto"/>
        </w:rPr>
        <w:t>. 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Except as otherwise set forth herein, any notice or communication by the Company or the Trustee to the other, or by a Holder to the Company or the Trustee, is duly given if in writing and delivered in person or by overnight courier or five days after it is mailed by first class mail or when transmitted by facsimile transmission (confirmed, in the case of facsimile transmission, by delivery in person or by overnight courier no later than the next day), provided, however, that notices to the Trustee shall only be deemed duly given upon actual receipt thereof:</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 Peter Port, Guernsey, GY1 2NG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(314) 212-8328</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240 Greenwich Street, Floor 7 East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10286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Global Corporate Trust Administration</w:t>
      </w:r>
    </w:p>
    <w:p>
      <w:pPr>
        <w:spacing w:after="0" w:line="211"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Trustee shall have the right, but shall not be required, to rely upon and comply with instructions and directions sent by e-mail, facsimile and other similar unsecured electronic methods by persons believed by the Trustee to be authorized to give instructions and directions on behalf of the Company. The Trustee shall have no duty or obligation to verify or confirm that the person who sent such instructions or directions is, in fact, a person authorized to give instructions or directions on behalf of the Company; and the Trustee shall have no liability for any losses, liabilities, costs or expenses incurred or sustained by the Company as a result of such reliance upon or compliance with such instructions or directions. The Company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67" w:right="479" w:bottom="1440" w:gutter="0" w:footer="0" w:header="0"/>
        </w:sectPr>
      </w:pPr>
    </w:p>
    <w:bookmarkStart w:id="85" w:name="page86"/>
    <w:bookmarkEnd w:id="8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otherwise set forth in this Indenture and except as may otherwise be provided with respect to the Securities of any Series pursuant to Section 2.2, any notice or communication to a Securityholder of a Physical Security shall be mailed by first-class mail, sent by overnight courier or hand delivery, transmitted by email or transmitted by facsimile transmission to his or her address shown on the register kept by the Registrar;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Securityholder to which any such notice or communication is to be mailed, delivered or otherwise transmitted is a Depositary or its nominee, such notice or communication may instead be given by such other means as may be required or permitted by the procedures of such Depositary. Failure to deliver a notice or communication to a Securityholder of any Series or any defect in it shall not affect its sufficiency with respect to other Securityholders of that or any other Series.</w:t>
      </w:r>
    </w:p>
    <w:p>
      <w:pPr>
        <w:spacing w:after="0" w:line="19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If a notice or communication is delivered in the manner provided above or as otherwise provided in this Indenture, within the time prescribed, it is duly given, whether or not the Securityholder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delivers a notice or communication to Securityholders, it shall deliver a copy to the Trustee and each Agent at the same time.</w:t>
      </w:r>
    </w:p>
    <w:p>
      <w:pPr>
        <w:spacing w:after="0" w:line="24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140" w:firstLine="436"/>
        <w:spacing w:after="0" w:line="277" w:lineRule="auto"/>
        <w:tabs>
          <w:tab w:leader="none" w:pos="6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right="60" w:firstLine="436"/>
        <w:spacing w:after="0" w:line="308" w:lineRule="auto"/>
        <w:tabs>
          <w:tab w:leader="none" w:pos="69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Opinion of Counsel to the effect that, in the opinion of such counsel, all such conditions precedent provided for in this Indenture relating to the proposed action have been complied with, unless such requirement has been waived or is not required by the Trustee.</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a certificate provided pursuant to TIA § 314(a)(4)) shall comply with the provisions of TIA § 314(e) and shall include: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86" w:name="page87"/>
    <w:bookmarkEnd w:id="86"/>
    <w:p>
      <w:pPr>
        <w:ind w:left="680" w:hanging="244"/>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440" w:firstLine="436"/>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i w:val="1"/>
          <w:iCs w:val="1"/>
          <w:color w:val="auto"/>
        </w:rPr>
        <w:t>Rules by Trustee and Agents</w:t>
      </w:r>
      <w:r>
        <w:rPr>
          <w:rFonts w:ascii="Arial" w:cs="Arial" w:eastAsia="Arial" w:hAnsi="Arial"/>
          <w:sz w:val="18"/>
          <w:szCs w:val="18"/>
          <w:color w:val="auto"/>
        </w:rPr>
        <w:t>. 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i w:val="1"/>
          <w:iCs w:val="1"/>
          <w:color w:val="auto"/>
        </w:rPr>
        <w:t>Legal Holidays</w:t>
      </w:r>
      <w:r>
        <w:rPr>
          <w:rFonts w:ascii="Arial" w:cs="Arial" w:eastAsia="Arial" w:hAnsi="Arial"/>
          <w:sz w:val="16"/>
          <w:szCs w:val="16"/>
          <w:color w:val="auto"/>
        </w:rPr>
        <w:t>. Unless otherwise provided pursuant to Section 2.2 for a Series of Securities, if any interest payment date, redemption date, Maturity or other date on which any payment on any Security is due is not a Business Day, then payment of the principal and interest, if any, as the case may be, due on such Security on such interest payment date, redemption date, Maturity or other date, as the case may be, need not be made on such interest payment date, redemption date, Maturity or other date, as the case may be, but may be made on the next succeeding Business Day with the same force and effect as if made on such interest payment date, redemption date, Maturity or other date, as the case may be, and no interest will accrue on such payment for the period from and after such interest payment date, redemption date, Maturity or other date, as the case may be.</w:t>
      </w:r>
    </w:p>
    <w:p>
      <w:pPr>
        <w:spacing w:after="0" w:line="164"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or stockholder, as such, of the Company shall not have any liability for any obligations of the Company under the Securities or this Indenture or for any claim based on, in respect of or by reason of such obligations or their creation. Each Securityholder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i w:val="1"/>
          <w:iCs w:val="1"/>
          <w:color w:val="auto"/>
        </w:rPr>
        <w:t>Counterparts</w:t>
      </w:r>
      <w:r>
        <w:rPr>
          <w:rFonts w:ascii="Arial" w:cs="Arial" w:eastAsia="Arial" w:hAnsi="Arial"/>
          <w:sz w:val="16"/>
          <w:szCs w:val="16"/>
          <w:color w:val="auto"/>
        </w:rPr>
        <w:t>. 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Governing Law; Waiver of Jury Trial; Submission to Jurisdiction; Waiver of Immunity</w:t>
      </w:r>
      <w:r>
        <w:rPr>
          <w:rFonts w:ascii="Arial" w:cs="Arial" w:eastAsia="Arial" w:hAnsi="Arial"/>
          <w:sz w:val="18"/>
          <w:szCs w:val="18"/>
          <w:color w:val="auto"/>
        </w:rPr>
        <w:t>. THIS INDENTURE AND THE SECURITIES SHALL BE GOVERNED BY, AND CONSTRUED IN ACCORDANCE WITH, THE INTERNAL LAWS OF THE STATE OF NEW YORK APPLICABLE TO AGREEMENTS MADE AND TO BE PERFORMED IN SUCH STATE, WITHOUT REGARD TO THE CONFLICT OF LAWS PROVISIONS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87" w:name="page88"/>
    <w:bookmarkEnd w:id="87"/>
    <w:p>
      <w:pPr>
        <w:jc w:val="both"/>
        <w:ind w:right="2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TRUSTEE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the Securities or the transactions contemplated hereby or thereby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and the Trustee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To the extent that the Company has or hereafter may acquire any immunity (sovereign or otherwise) from jurisdiction of any court of (i) Guernsey or any political subdivision thereof, (ii) The United States of America or the State of New York or (iii) any jurisdiction in which it owns or leases property or assets or from any legal process (whether through service of notice, attachment prior to judgment, attachment in aid of execution, execution, set-off or otherwise) with respect to itself or its property and assets or this Indenture, the Company hereby irrevocably waives such immunity in respect of its obligations under this Indenture to the fullest extent permitted by applicable law.</w:t>
      </w:r>
    </w:p>
    <w:p>
      <w:pPr>
        <w:spacing w:after="0" w:line="176"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Appointment of Agent for Service</w:t>
      </w:r>
      <w:r>
        <w:rPr>
          <w:rFonts w:ascii="Arial" w:cs="Arial" w:eastAsia="Arial" w:hAnsi="Arial"/>
          <w:sz w:val="16"/>
          <w:szCs w:val="16"/>
          <w:color w:val="auto"/>
        </w:rPr>
        <w:t>. The Company has designated and appointed Amdocs Inc., 1390 Timberlake Manor Parkway, Chesterfield, Missouri 63017,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suit or proceeding in any Federal or State court in the Borough of Manhattan, The City of New York arising out of or relating to the Securities or this Indenture, but for that purpose only, and agrees that service of process upon said Authorized Agent shall be deemed in every respect effective service of process upon it in any such suit or proceeding in any Federal or State court in the Borough of Manhattan, The City of New York, New York. Such appointment shall be irrevocable so long as any of the Securities remain outstanding until the appointment of a successor by the Company and such successor’s acceptance of such appointment; provided, that, if any such successor Authorized Agent is another Subsidiary of the Company, such Subsidiary shall be organized under the laws of The United States of America, any State thereof or the District of Columbia. Upon such acceptance, the Company shall notify the Trustee of the name and address of such successor. If Amdocs Inc. ceases to be a Subsidiary of the Company for any reason or is no longer incorporated under the laws of The United States of America, any State thereof or the District of Columbia, the Company shall designate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88" w:name="page89"/>
    <w:bookmarkEnd w:id="88"/>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appoint a successor Authorized Agent that is organized under the laws of The United States of America, any State thereof or the District of Columbia. The Company further agrees to take any and all action, including the execution and filing of any and all such documents and instruments, as may be necessary to continue such designation and appointment of said Authorized Agent in full force and effect so long as any of the Securities shall be outstanding. The Trustee shall not be obligated and shall have no responsibility with respect to any failure by the Company to take any such action.</w:t>
      </w:r>
    </w:p>
    <w:p>
      <w:pPr>
        <w:spacing w:after="0" w:line="157"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i w:val="1"/>
          <w:iCs w:val="1"/>
          <w:color w:val="auto"/>
        </w:rPr>
        <w:t>Judgment Currency.</w:t>
      </w:r>
      <w:r>
        <w:rPr>
          <w:rFonts w:ascii="Arial" w:cs="Arial" w:eastAsia="Arial" w:hAnsi="Arial"/>
          <w:sz w:val="17"/>
          <w:szCs w:val="17"/>
          <w:color w:val="auto"/>
        </w:rPr>
        <w:t xml:space="preserve"> If for the purposes of obtaining judgment in any court it is necessary to convert a sum due hereunder into any currency other than Dollars, to the fullest extent permitted by law, the rate of exchange used shall be the rate at which in accordance with normal banking procedures the Trustee or any Holder could purchase Dollars with such other currency in The City of New York on the Business Day preceding that on which final judgment is given. The obligation of the Company with respect to any sum due from it to the Trustee and the Holders shall, notwithstanding any judgment in a currency other than Dollars, not be discharged until the first Business Day following receipt by the Trustee or the Holders of any sum in such other currency, and only to the extent that the Trustee or such Holders may in accordance with normal banking procedures purchase Dollars with such other currency. If the Dollars so purchased are less than the sum originally due to the Trustee or the Holders, the Company will indemnify the Trustee and such Holders against such loss. If the Dollars so purchased are greater than the sum originally due to the Trustee or the Holders, the Trustee and the Holders hereby agree to pay to the Company an amount equal to the excess of the Dollars so purchased over the sum originally due to such person.</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 To the extent permitted by applicable law, this Indenture may not be used to interpret another indenture, loan or debt agreement of the Company or a Subsidiary of the Company and any such indenture, loan or debt agreement may not be used to interpret this Indenture.</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Severability</w:t>
      </w:r>
      <w:r>
        <w:rPr>
          <w:rFonts w:ascii="Arial" w:cs="Arial" w:eastAsia="Arial" w:hAnsi="Arial"/>
          <w:sz w:val="16"/>
          <w:szCs w:val="16"/>
          <w:color w:val="auto"/>
        </w:rPr>
        <w:t>. To the extent permitted by applicable law, in case any provision in this Indenture or in the Securities shall be invalid, illegal or unenforceable, the validity, legality and enforceability of the remaining provisions shall not in any way be affected or impaired thereby.</w:t>
      </w:r>
    </w:p>
    <w:p>
      <w:pPr>
        <w:spacing w:after="0" w:line="12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Cross Reference Table, and headings of the Articles and Sections of this Indenture and in any Securities have been inserted for convenience of reference only, are not to be considered a part hereof, and shall in no way modify or restrict any of the terms or provisions hereof or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89" w:name="page90"/>
    <w:bookmarkEnd w:id="89"/>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10.17 </w:t>
      </w:r>
      <w:r>
        <w:rPr>
          <w:rFonts w:ascii="Arial" w:cs="Arial" w:eastAsia="Arial" w:hAnsi="Arial"/>
          <w:sz w:val="16"/>
          <w:szCs w:val="16"/>
          <w:i w:val="1"/>
          <w:iCs w:val="1"/>
          <w:color w:val="auto"/>
        </w:rPr>
        <w:t>Securities in a Composite Currency, Currency Unit or Foreign Currency</w:t>
      </w:r>
      <w:r>
        <w:rPr>
          <w:rFonts w:ascii="Arial" w:cs="Arial" w:eastAsia="Arial" w:hAnsi="Arial"/>
          <w:sz w:val="16"/>
          <w:szCs w:val="16"/>
          <w:color w:val="auto"/>
        </w:rPr>
        <w:t>. Unless otherwise provided pursuant to Section 2.2 of this Indenture with respect to a particular Series of Securities, whenever for purposes of this Indenture any consent, notice, waiver or other action may be taken or given by the Holders of a specified percentage in aggregate principal amount of Securities of one or more Series at the time outstanding and, at such time, all the outstanding Securities of such Series are not denominated in the same currency or currency unit, then the principal amount (which, in the case of Discount Securities, shall be determined as provided in the last paragraph of Section 2.9 hereof) of Securities of such Series which shall be deemed to be outstanding for the purpose of giving any consent, notice or waiver or taking any other action under this Indenture or the Securities of such Series shall be (except in the case of any such Securities denominated in Dollars) that amount of Dollars that could be obtained for such principal amount (or other amount, as the case may be) at the Market Exchange Rate at such time. For purposes of this Section 10.17, “</w:t>
      </w:r>
      <w:r>
        <w:rPr>
          <w:rFonts w:ascii="Arial" w:cs="Arial" w:eastAsia="Arial" w:hAnsi="Arial"/>
          <w:sz w:val="16"/>
          <w:szCs w:val="16"/>
          <w:b w:val="1"/>
          <w:bCs w:val="1"/>
          <w:color w:val="auto"/>
        </w:rPr>
        <w:t>Market Exchange Rate</w:t>
      </w:r>
      <w:r>
        <w:rPr>
          <w:rFonts w:ascii="Arial" w:cs="Arial" w:eastAsia="Arial" w:hAnsi="Arial"/>
          <w:sz w:val="16"/>
          <w:szCs w:val="16"/>
          <w:color w:val="auto"/>
        </w:rPr>
        <w:t>” shall mean the noon Dollar buying rate in New York City for cable transfers of such currency or currencies as published by the Federal Reserve Bank of New York, as of the most recent available date. If such Market Exchange Rate is not available for any reason with respect to any such currency, the Company shall use, in its sole discretion, such quotation of the Federal Reserve Bank of New York as of the most recent available date, or quotations or rates of exchange from one or more major banks in The City of New York or in the country of issue of the currency in question, which for purposes of Euros shall be Brussels, Belgium, or such other quotations or rates of exchange as the Company shall deem appropriate.</w:t>
      </w:r>
    </w:p>
    <w:p>
      <w:pPr>
        <w:spacing w:after="0" w:line="17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may, at its option, appoint an agent to obtain the Market Exchange Rate (or alternative rate) and to perform the relevant calculations with respect to any Securities denominated in a currency or currencies other than Dollars. All decisions and determinations of the Company or any such agent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8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Force Majeure</w:t>
      </w:r>
      <w:r>
        <w:rPr>
          <w:rFonts w:ascii="Arial" w:cs="Arial" w:eastAsia="Arial" w:hAnsi="Arial"/>
          <w:sz w:val="18"/>
          <w:szCs w:val="18"/>
          <w:color w:val="auto"/>
        </w:rPr>
        <w:t>. In no event will the Trustee or any Agent be responsible or liable for any failure or delay in the performance of its obligations under this Indenture arising out of or caused by, directly or indirectly, forces beyond its control, including, without limitation, any present or future law or regulation or government authority, strikes, work stoppages, accidents, acts of war or terrorism, civil or military disturbances, nuclear or natural catastrophes or acts of God, epidemics, pandemics, interruptions, loss or malfunctions of utilities, communications or computer (software and hardware) services; the unavailability of the Federal Reserve Bank wire or telex or other wire or communication facility, it being understood that, the Trustee and each Agent will use reasonable efforts that are consistent with accepted practices in the banking industry to resume performance as soon as practicable under the circumstances.</w:t>
      </w:r>
    </w:p>
    <w:p>
      <w:pPr>
        <w:spacing w:after="0" w:line="195"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 xml:space="preserve">Section 10.19 </w:t>
      </w:r>
      <w:r>
        <w:rPr>
          <w:rFonts w:ascii="Arial" w:cs="Arial" w:eastAsia="Arial" w:hAnsi="Arial"/>
          <w:sz w:val="16"/>
          <w:szCs w:val="16"/>
          <w:i w:val="1"/>
          <w:iCs w:val="1"/>
          <w:color w:val="auto"/>
        </w:rPr>
        <w:t>U.S.A. Patriot Act</w:t>
      </w:r>
      <w:r>
        <w:rPr>
          <w:rFonts w:ascii="Arial" w:cs="Arial" w:eastAsia="Arial" w:hAnsi="Arial"/>
          <w:sz w:val="16"/>
          <w:szCs w:val="16"/>
          <w:color w:val="auto"/>
        </w:rPr>
        <w:t>. The parties hereto acknowledge that in accordance with Section 326 of the U.S.A. Patriot Act, the Trustee is required to obtain, verify, and record information that identifies each person that establishes a relationship or opens an account with the Trustee. The Company agrees that it will provide the Trustee with such information as the Trustee may reasonably request in order for the Trustee to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satisfy the requirements of the U.S.A. Patriot Act. For purposes of this Section 10.19, “</w:t>
      </w:r>
      <w:r>
        <w:rPr>
          <w:rFonts w:ascii="Arial" w:cs="Arial" w:eastAsia="Arial" w:hAnsi="Arial"/>
          <w:sz w:val="17"/>
          <w:szCs w:val="17"/>
          <w:b w:val="1"/>
          <w:bCs w:val="1"/>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Pub. L. 107-56, as amended, and signed into law October 26, 2001. The provisions of this Section 10.19 are for the sole and exclusive benefit of the Trustee and no failure by the Company to comply with, or any breach of, this Section 10.19 shall constitute a Default, Event of Default or other default with respect to the Securities of any Series or under this Indenture, nor shall any person other than the Company and the Trustee have any rights under this Section 10.19.</w:t>
      </w:r>
    </w:p>
    <w:p>
      <w:pPr>
        <w:spacing w:after="0" w:line="172"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i w:val="1"/>
          <w:iCs w:val="1"/>
          <w:color w:val="auto"/>
        </w:rPr>
        <w:t>Withholdings and Deductions</w:t>
      </w:r>
      <w:r>
        <w:rPr>
          <w:rFonts w:ascii="Arial" w:cs="Arial" w:eastAsia="Arial" w:hAnsi="Arial"/>
          <w:sz w:val="18"/>
          <w:szCs w:val="18"/>
          <w:color w:val="auto"/>
        </w:rPr>
        <w:t>. The Trustee and each Paying Agent will be entitled to make any withholding or deduction from payments to the extent necessary to comply with applicable law for which the Trustee and each Paying Agent shall not have any liability to the Company or any Holder or beneficial owner of the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Bank of New York Mellon, as Trustee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w:t>
      </w:r>
    </w:p>
    <w:p>
      <w:pPr>
        <w:sectPr>
          <w:pgSz w:w="11900" w:h="16838" w:orient="portrait"/>
          <w:cols w:equalWidth="0" w:num="1">
            <w:col w:w="9680"/>
          </w:cols>
          <w:pgMar w:left="880" w:top="274" w:right="1339" w:bottom="1440" w:gutter="0" w:footer="0" w:header="0"/>
        </w:sectPr>
      </w:pPr>
    </w:p>
    <w:bookmarkStart w:id="92" w:name="page93"/>
    <w:bookmarkEnd w:id="92"/>
    <w:p>
      <w:pPr>
        <w:ind w:left="9484"/>
        <w:spacing w:after="0"/>
        <w:rPr>
          <w:sz w:val="20"/>
          <w:szCs w:val="20"/>
          <w:color w:val="auto"/>
        </w:rPr>
      </w:pPr>
      <w:r>
        <w:rPr>
          <w:rFonts w:ascii="Arial" w:cs="Arial" w:eastAsia="Arial" w:hAnsi="Arial"/>
          <w:sz w:val="16"/>
          <w:szCs w:val="16"/>
          <w:b w:val="1"/>
          <w:bCs w:val="1"/>
          <w:color w:val="auto"/>
        </w:rPr>
        <w:t>Exhibit 5.1 and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57734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57734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186055</wp:posOffset>
            </wp:positionV>
            <wp:extent cx="1251585" cy="1200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251585" cy="1200150"/>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
        <w:spacing w:after="0"/>
        <w:tabs>
          <w:tab w:leader="none" w:pos="1864" w:val="left"/>
          <w:tab w:leader="none" w:pos="6924"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8"/>
          <w:szCs w:val="18"/>
          <w:color w:val="auto"/>
        </w:rPr>
        <w:t>1000662/0109/G11926518v5</w:t>
      </w:r>
      <w:r>
        <w:rPr>
          <w:sz w:val="20"/>
          <w:szCs w:val="20"/>
          <w:color w:val="auto"/>
        </w:rPr>
        <w:tab/>
      </w:r>
      <w:r>
        <w:rPr>
          <w:rFonts w:ascii="Arial" w:cs="Arial" w:eastAsia="Arial" w:hAnsi="Arial"/>
          <w:sz w:val="15"/>
          <w:szCs w:val="15"/>
          <w:color w:val="auto"/>
        </w:rPr>
        <w:t>15 June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addressee listed in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Amdocs Limited (the “Company”) – Registration of Securities under the Securities Act</w:t>
      </w:r>
    </w:p>
    <w:p>
      <w:pPr>
        <w:spacing w:after="0" w:line="374"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act as Guernsey legal advisers to the Company in connection with the Documents.</w:t>
      </w:r>
    </w:p>
    <w:p>
      <w:pPr>
        <w:spacing w:after="0" w:line="370" w:lineRule="exact"/>
        <w:rPr>
          <w:sz w:val="20"/>
          <w:szCs w:val="20"/>
          <w:color w:val="auto"/>
        </w:rPr>
      </w:pPr>
    </w:p>
    <w:p>
      <w:pPr>
        <w:ind w:left="424" w:hanging="424"/>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Capitalised terms used in this Opinion shall have the meanings given to them in Part A of Schedule 5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This Opinion shall be interpreted and construed in accordance with Part B of Schedule 5 (</w:t>
      </w:r>
      <w:r>
        <w:rPr>
          <w:rFonts w:ascii="Arial" w:cs="Arial" w:eastAsia="Arial" w:hAnsi="Arial"/>
          <w:sz w:val="16"/>
          <w:szCs w:val="16"/>
          <w:i w:val="1"/>
          <w:iCs w:val="1"/>
          <w:color w:val="auto"/>
        </w:rPr>
        <w:t>Definitions and Interpretation</w:t>
      </w:r>
      <w:r>
        <w:rPr>
          <w:rFonts w:ascii="Arial" w:cs="Arial" w:eastAsia="Arial" w:hAnsi="Arial"/>
          <w:sz w:val="16"/>
          <w:szCs w:val="16"/>
          <w:color w:val="auto"/>
        </w:rPr>
        <w:t>).</w:t>
      </w:r>
    </w:p>
    <w:p>
      <w:pPr>
        <w:spacing w:after="0" w:line="370" w:lineRule="exact"/>
        <w:rPr>
          <w:sz w:val="20"/>
          <w:szCs w:val="20"/>
          <w:color w:val="auto"/>
        </w:rPr>
      </w:pPr>
    </w:p>
    <w:p>
      <w:pPr>
        <w:ind w:left="424" w:hanging="424"/>
        <w:spacing w:after="0"/>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SCOPE</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This Opinion is limited to: (a) matters of Guernsey law and practice as at the date of this Opinion; and (b) matters expressly stated in this Opinion.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We have made no investigation and express no opinion with respect to the law or practice of any other jurisdiction.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This Opinion is based only on those matters of fact known to us at the date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4054475" cy="497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4054475" cy="4972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820420</wp:posOffset>
            </wp:positionV>
            <wp:extent cx="3429000" cy="2317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429000" cy="23177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820420</wp:posOffset>
            </wp:positionV>
            <wp:extent cx="745490" cy="111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45490" cy="11112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type w:val="continuous"/>
        </w:sectPr>
      </w:pPr>
    </w:p>
    <w:bookmarkStart w:id="93" w:name="page94"/>
    <w:bookmarkEnd w:id="9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24" w:hanging="424"/>
        <w:spacing w:after="0"/>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DOCUMENTS EXAMINED AND SEARCHES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 giving this Opinion we have examined a copy sent to us in electronic form by email of each Document.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 addition, we have examined each Further Document.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Documents and the Further Documents are the only documents we have seen or examined for the purposes of this Opinion.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Searches are the only searches, investigations or enquiries we have carried out for the purposes of this Opinion.</w:t>
      </w:r>
    </w:p>
    <w:p>
      <w:pPr>
        <w:spacing w:after="0" w:line="370" w:lineRule="exact"/>
        <w:rPr>
          <w:sz w:val="20"/>
          <w:szCs w:val="20"/>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ASSUMPTIONS AND QUALIFICATIONS</w:t>
      </w:r>
    </w:p>
    <w:p>
      <w:pPr>
        <w:spacing w:after="0" w:line="135" w:lineRule="exact"/>
        <w:rPr>
          <w:sz w:val="20"/>
          <w:szCs w:val="20"/>
          <w:color w:val="auto"/>
        </w:rPr>
      </w:pPr>
    </w:p>
    <w:p>
      <w:pPr>
        <w:jc w:val="right"/>
        <w:ind w:left="4" w:right="640"/>
        <w:spacing w:after="0" w:line="342" w:lineRule="auto"/>
        <w:rPr>
          <w:sz w:val="20"/>
          <w:szCs w:val="20"/>
          <w:color w:val="auto"/>
        </w:rPr>
      </w:pPr>
      <w:r>
        <w:rPr>
          <w:rFonts w:ascii="Arial" w:cs="Arial" w:eastAsia="Arial" w:hAnsi="Arial"/>
          <w:sz w:val="16"/>
          <w:szCs w:val="16"/>
          <w:color w:val="auto"/>
        </w:rPr>
        <w:t>5.1  This Opinion is given: (a) in reliance on the Assumptions; and (b) on the basis that the Assumptions (which we have not independently investigated or verified) are accurate, and have been accurate, in all respects at the date of this Opinion, and at all other relevant times.</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subject to the Qualifications.</w:t>
      </w:r>
    </w:p>
    <w:p>
      <w:pPr>
        <w:spacing w:after="0" w:line="370"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are of the opinion that: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is duly incorporated as a non-cellular company with limited liability and validly existing under Guernsey law.</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Company has the corporate power and capacity to authorise, execute, and to perform its obligations under, each Document.</w:t>
      </w:r>
    </w:p>
    <w:p>
      <w:pPr>
        <w:spacing w:after="0" w:line="131"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6.3</w:t>
        <w:tab/>
        <w:t>When the issuance of Notes of a new series by the Company has been duly authorized by the board of directors of the Company, the issuance of the Notes of such series will be duly authorized by the Company.</w:t>
      </w:r>
    </w:p>
    <w:p>
      <w:pPr>
        <w:spacing w:after="0" w:line="315"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GOVERNING LAW, LIMITATIONS, BENEFIT, DISCLOSURE AND RELIANCE</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This Opinion is governed by and shall be construed in accordance with Guernsey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109220</wp:posOffset>
            </wp:positionV>
            <wp:extent cx="1139825"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804"/>
          </w:cols>
          <w:pgMar w:left="436" w:top="274" w:right="65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20" w:right="340" w:hanging="431"/>
        <w:spacing w:after="0" w:line="277" w:lineRule="auto"/>
        <w:tabs>
          <w:tab w:leader="none" w:pos="400" w:val="left"/>
        </w:tabs>
        <w:rPr>
          <w:sz w:val="20"/>
          <w:szCs w:val="20"/>
          <w:color w:val="auto"/>
        </w:rPr>
      </w:pPr>
      <w:r>
        <w:rPr>
          <w:rFonts w:ascii="Arial" w:cs="Arial" w:eastAsia="Arial" w:hAnsi="Arial"/>
          <w:sz w:val="18"/>
          <w:szCs w:val="18"/>
          <w:color w:val="auto"/>
        </w:rPr>
        <w:t>7.2</w:t>
        <w:tab/>
        <w:t>We assume no obligation to advise you or any other person, or undertake any investigations, as to any legal developments or factual matters arising after the date of this Opinion that might affect the opinions expressed in this Opinion.</w:t>
      </w:r>
    </w:p>
    <w:p>
      <w:pPr>
        <w:spacing w:after="0" w:line="76" w:lineRule="exact"/>
        <w:rPr>
          <w:sz w:val="20"/>
          <w:szCs w:val="20"/>
          <w:color w:val="auto"/>
        </w:rPr>
      </w:pPr>
    </w:p>
    <w:p>
      <w:pPr>
        <w:ind w:left="420" w:hanging="431"/>
        <w:spacing w:after="0" w:line="279" w:lineRule="auto"/>
        <w:tabs>
          <w:tab w:leader="none" w:pos="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We consent to the filing of a copy of this Opinion as Exhibits 5.1 and 23.2 to the Registration Statement and to reference to us being made in the paragraph of the Base Prospectus forming part of the Registration Statement headed “Validity of Securities”. In giving this consent, we do not admit that we are included in the category of persons whose consent is required under Section 7 of the Securities Act or the rules and regulations promulgated by the US Securities and Exchange Commission under the Securities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Carey Olsen (Guernsey)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111760</wp:posOffset>
            </wp:positionV>
            <wp:extent cx="1139825"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840"/>
          </w:cols>
          <w:pgMar w:left="440" w:top="274" w:right="61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jc w:val="right"/>
        <w:ind w:right="395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7"/>
          <w:szCs w:val="17"/>
          <w:b w:val="1"/>
          <w:bCs w:val="1"/>
          <w:color w:val="auto"/>
        </w:rPr>
        <w:t>ADDRESSEE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Hirzel House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Smith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Peter 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GY1 2NG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109220</wp:posOffset>
            </wp:positionV>
            <wp:extent cx="1139825"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96" w:name="page97"/>
    <w:bookmarkEnd w:id="9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jc w:val="center"/>
        <w:ind w:right="-1003"/>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1003"/>
        <w:spacing w:after="0"/>
        <w:rPr>
          <w:sz w:val="20"/>
          <w:szCs w:val="20"/>
          <w:color w:val="auto"/>
        </w:rPr>
      </w:pPr>
      <w:r>
        <w:rPr>
          <w:rFonts w:ascii="Arial" w:cs="Arial" w:eastAsia="Arial" w:hAnsi="Arial"/>
          <w:sz w:val="18"/>
          <w:szCs w:val="18"/>
          <w:b w:val="1"/>
          <w:bCs w:val="1"/>
          <w:color w:val="auto"/>
        </w:rPr>
        <w:t>DOCUMENTS EXAMINED</w:t>
      </w:r>
    </w:p>
    <w:p>
      <w:pPr>
        <w:spacing w:after="0" w:line="225" w:lineRule="exact"/>
        <w:rPr>
          <w:sz w:val="20"/>
          <w:szCs w:val="20"/>
          <w:color w:val="auto"/>
        </w:rPr>
      </w:pPr>
    </w:p>
    <w:p>
      <w:pPr>
        <w:jc w:val="center"/>
        <w:ind w:right="-1003"/>
        <w:spacing w:after="0"/>
        <w:rPr>
          <w:sz w:val="20"/>
          <w:szCs w:val="20"/>
          <w:color w:val="auto"/>
        </w:rPr>
      </w:pPr>
      <w:r>
        <w:rPr>
          <w:rFonts w:ascii="Arial" w:cs="Arial" w:eastAsia="Arial" w:hAnsi="Arial"/>
          <w:sz w:val="18"/>
          <w:szCs w:val="18"/>
          <w:b w:val="1"/>
          <w:bCs w:val="1"/>
          <w:color w:val="auto"/>
        </w:rPr>
        <w:t>Part A</w:t>
      </w:r>
    </w:p>
    <w:p>
      <w:pPr>
        <w:spacing w:after="0" w:line="225" w:lineRule="exact"/>
        <w:rPr>
          <w:sz w:val="20"/>
          <w:szCs w:val="20"/>
          <w:color w:val="auto"/>
        </w:rPr>
      </w:pPr>
    </w:p>
    <w:p>
      <w:pPr>
        <w:ind w:left="4904"/>
        <w:spacing w:after="0"/>
        <w:rPr>
          <w:sz w:val="20"/>
          <w:szCs w:val="20"/>
          <w:color w:val="auto"/>
        </w:rPr>
      </w:pPr>
      <w:r>
        <w:rPr>
          <w:rFonts w:ascii="Arial" w:cs="Arial" w:eastAsia="Arial" w:hAnsi="Arial"/>
          <w:sz w:val="18"/>
          <w:szCs w:val="18"/>
          <w:b w:val="1"/>
          <w:bCs w:val="1"/>
          <w:color w:val="auto"/>
        </w:rPr>
        <w:t>The Documents</w:t>
      </w:r>
    </w:p>
    <w:p>
      <w:pPr>
        <w:spacing w:after="0" w:line="135" w:lineRule="exact"/>
        <w:rPr>
          <w:sz w:val="20"/>
          <w:szCs w:val="20"/>
          <w:color w:val="auto"/>
        </w:rPr>
      </w:pPr>
    </w:p>
    <w:p>
      <w:pPr>
        <w:ind w:left="424" w:hanging="424"/>
        <w:spacing w:after="0"/>
        <w:tabs>
          <w:tab w:leader="none" w:pos="4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Registration Statement on Form F-3 and the related prospectus filed with the Securities Exchange Commission on 15 June 2020.</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form of the Base Indenture between the Company and The Bank of New York Mellon (as Trustee).</w:t>
      </w:r>
    </w:p>
    <w:p>
      <w:pPr>
        <w:spacing w:after="0" w:line="200" w:lineRule="exact"/>
        <w:rPr>
          <w:sz w:val="20"/>
          <w:szCs w:val="20"/>
          <w:color w:val="auto"/>
        </w:rPr>
      </w:pPr>
    </w:p>
    <w:p>
      <w:pPr>
        <w:spacing w:after="0" w:line="237" w:lineRule="exact"/>
        <w:rPr>
          <w:sz w:val="20"/>
          <w:szCs w:val="20"/>
          <w:color w:val="auto"/>
        </w:rPr>
      </w:pPr>
    </w:p>
    <w:p>
      <w:pPr>
        <w:jc w:val="center"/>
        <w:ind w:right="-1003"/>
        <w:spacing w:after="0"/>
        <w:rPr>
          <w:sz w:val="20"/>
          <w:szCs w:val="20"/>
          <w:color w:val="auto"/>
        </w:rPr>
      </w:pPr>
      <w:r>
        <w:rPr>
          <w:rFonts w:ascii="Arial" w:cs="Arial" w:eastAsia="Arial" w:hAnsi="Arial"/>
          <w:sz w:val="18"/>
          <w:szCs w:val="18"/>
          <w:b w:val="1"/>
          <w:bCs w:val="1"/>
          <w:color w:val="auto"/>
        </w:rPr>
        <w:t>Part B</w:t>
      </w:r>
    </w:p>
    <w:p>
      <w:pPr>
        <w:spacing w:after="0" w:line="27" w:lineRule="exact"/>
        <w:rPr>
          <w:sz w:val="20"/>
          <w:szCs w:val="20"/>
          <w:color w:val="auto"/>
        </w:rPr>
      </w:pPr>
    </w:p>
    <w:p>
      <w:pPr>
        <w:jc w:val="center"/>
        <w:ind w:right="-1003"/>
        <w:spacing w:after="0"/>
        <w:rPr>
          <w:sz w:val="20"/>
          <w:szCs w:val="20"/>
          <w:color w:val="auto"/>
        </w:rPr>
      </w:pPr>
      <w:r>
        <w:rPr>
          <w:rFonts w:ascii="Arial" w:cs="Arial" w:eastAsia="Arial" w:hAnsi="Arial"/>
          <w:sz w:val="18"/>
          <w:szCs w:val="18"/>
          <w:b w:val="1"/>
          <w:bCs w:val="1"/>
          <w:color w:val="auto"/>
        </w:rPr>
        <w:t>Further Documents</w:t>
      </w:r>
    </w:p>
    <w:p>
      <w:pPr>
        <w:spacing w:after="0" w:line="238"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copy of:</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Certificate of Incorporation;</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Memorandum and Articles of Incorporation;</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Registers; and</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Derogation.</w:t>
      </w:r>
    </w:p>
    <w:p>
      <w:pPr>
        <w:spacing w:after="0" w:line="252"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copy of the Director Resolutions.</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copy of the Opinion Certificate.</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Public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109220</wp:posOffset>
            </wp:positionV>
            <wp:extent cx="1139825"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024"/>
          </w:cols>
          <w:pgMar w:left="436" w:top="274" w:right="1439" w:bottom="1440" w:gutter="0" w:footer="0" w:header="0"/>
        </w:sectPr>
      </w:pPr>
    </w:p>
    <w:bookmarkStart w:id="97" w:name="page98"/>
    <w:bookmarkEnd w:id="9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ASSUMPTIONS</w:t>
      </w:r>
    </w:p>
    <w:p>
      <w:pPr>
        <w:spacing w:after="0" w:line="374"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Authenticity</w:t>
      </w:r>
    </w:p>
    <w:p>
      <w:pPr>
        <w:spacing w:after="0" w:line="135" w:lineRule="exact"/>
        <w:rPr>
          <w:sz w:val="20"/>
          <w:szCs w:val="20"/>
          <w:color w:val="auto"/>
        </w:rPr>
      </w:pPr>
    </w:p>
    <w:p>
      <w:pPr>
        <w:ind w:left="424" w:hanging="431"/>
        <w:spacing w:after="0" w:line="257" w:lineRule="auto"/>
        <w:tabs>
          <w:tab w:leader="none" w:pos="404" w:val="left"/>
        </w:tabs>
        <w:rPr>
          <w:sz w:val="20"/>
          <w:szCs w:val="20"/>
          <w:color w:val="auto"/>
        </w:rPr>
      </w:pPr>
      <w:r>
        <w:rPr>
          <w:rFonts w:ascii="Arial" w:cs="Arial" w:eastAsia="Arial" w:hAnsi="Arial"/>
          <w:sz w:val="18"/>
          <w:szCs w:val="18"/>
          <w:color w:val="auto"/>
        </w:rPr>
        <w:t>1.1</w:t>
        <w:tab/>
        <w:t>The genuineness and authenticity of all signatures (including any electronic signatures), initials, stamps, seals and markings on all documents examined by us, including, in the case of copy documents examined by us, on the originals of those copies. An electronic signature has been inserted, affixed or appended with (1) the intention of that signatory to authenticate any document examined by us, including, in the case of copy documents examined by us, on the originals of those copies; and where relevant with (2) the express and clear authorisation of that signatory to insert, affix or append his electronic signature to such document.</w:t>
      </w:r>
    </w:p>
    <w:p>
      <w:pPr>
        <w:spacing w:after="0" w:line="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Each person who purported to execute a Document for or on behalf of the Company was an Authorised Signatory.</w:t>
      </w:r>
    </w:p>
    <w:p>
      <w:pPr>
        <w:spacing w:after="0" w:line="370"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Copies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completeness and conformity to original documents of all copies examined by us.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Execution versions/drafts</w:t>
      </w:r>
    </w:p>
    <w:p>
      <w:pPr>
        <w:spacing w:after="0" w:line="121" w:lineRule="exact"/>
        <w:rPr>
          <w:rFonts w:ascii="Arial" w:cs="Arial" w:eastAsia="Arial" w:hAnsi="Arial"/>
          <w:sz w:val="18"/>
          <w:szCs w:val="18"/>
          <w:color w:val="auto"/>
        </w:rPr>
      </w:pPr>
    </w:p>
    <w:p>
      <w:pPr>
        <w:ind w:left="444" w:right="20"/>
        <w:spacing w:after="0" w:line="259" w:lineRule="auto"/>
        <w:rPr>
          <w:rFonts w:ascii="Arial" w:cs="Arial" w:eastAsia="Arial" w:hAnsi="Arial"/>
          <w:sz w:val="18"/>
          <w:szCs w:val="18"/>
          <w:color w:val="auto"/>
        </w:rPr>
      </w:pPr>
      <w:r>
        <w:rPr>
          <w:rFonts w:ascii="Arial" w:cs="Arial" w:eastAsia="Arial" w:hAnsi="Arial"/>
          <w:sz w:val="18"/>
          <w:szCs w:val="18"/>
          <w:color w:val="auto"/>
        </w:rPr>
        <w:t>Where we have been provided with a document (whether original or copy) in executed form or with only the signature page of an executed document, that such executed document does not differ from the latest draft or execution version of the document provided to us and/or, where a document has been reviewed by us only in draft, execution or specimen form, it has been executed in the form of that draft, execution version or specimen.</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Directors’ duties</w:t>
      </w:r>
    </w:p>
    <w:p>
      <w:pPr>
        <w:spacing w:after="0" w:line="135"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4.1</w:t>
        <w:tab/>
        <w:t>In resolving that the Company enters into each Document and the transaction(s) documented or contemplated by each Document the directors of the Company were acting with a view to the best interests of the Company and were otherwise exercising their powers in accordance with their duties under all applicable laws.</w:t>
      </w:r>
    </w:p>
    <w:p>
      <w:pPr>
        <w:spacing w:after="0" w:line="89" w:lineRule="exact"/>
        <w:rPr>
          <w:sz w:val="20"/>
          <w:szCs w:val="20"/>
          <w:color w:val="auto"/>
        </w:rPr>
      </w:pPr>
    </w:p>
    <w:p>
      <w:pPr>
        <w:ind w:left="424" w:right="340" w:hanging="431"/>
        <w:spacing w:after="0" w:line="277" w:lineRule="auto"/>
        <w:tabs>
          <w:tab w:leader="none" w:pos="404" w:val="left"/>
        </w:tabs>
        <w:rPr>
          <w:sz w:val="20"/>
          <w:szCs w:val="20"/>
          <w:color w:val="auto"/>
        </w:rPr>
      </w:pPr>
      <w:r>
        <w:rPr>
          <w:rFonts w:ascii="Arial" w:cs="Arial" w:eastAsia="Arial" w:hAnsi="Arial"/>
          <w:sz w:val="18"/>
          <w:szCs w:val="18"/>
          <w:color w:val="auto"/>
        </w:rPr>
        <w:t>4.2</w:t>
        <w:tab/>
        <w:t>Each director of the Company has disclosed all interests required to be disclosed by the Companies Law and the Articles of Incorporation in accordance with the provisions of the Companies Law and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74295</wp:posOffset>
            </wp:positionV>
            <wp:extent cx="1139825"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864"/>
          </w:cols>
          <w:pgMar w:left="436" w:top="274" w:right="599" w:bottom="1440" w:gutter="0" w:footer="0" w:header="0"/>
        </w:sectPr>
      </w:pPr>
    </w:p>
    <w:bookmarkStart w:id="98" w:name="page99"/>
    <w:bookmarkEnd w:id="9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121" w:lineRule="exact"/>
        <w:rPr>
          <w:rFonts w:ascii="Arial" w:cs="Arial" w:eastAsia="Arial" w:hAnsi="Arial"/>
          <w:sz w:val="18"/>
          <w:szCs w:val="18"/>
          <w:color w:val="auto"/>
        </w:rPr>
      </w:pPr>
    </w:p>
    <w:p>
      <w:pPr>
        <w:ind w:left="444" w:right="60"/>
        <w:spacing w:after="0" w:line="263" w:lineRule="auto"/>
        <w:rPr>
          <w:rFonts w:ascii="Arial" w:cs="Arial" w:eastAsia="Arial" w:hAnsi="Arial"/>
          <w:sz w:val="18"/>
          <w:szCs w:val="18"/>
          <w:color w:val="auto"/>
        </w:rPr>
      </w:pPr>
      <w:r>
        <w:rPr>
          <w:rFonts w:ascii="Arial" w:cs="Arial" w:eastAsia="Arial" w:hAnsi="Arial"/>
          <w:sz w:val="18"/>
          <w:szCs w:val="18"/>
          <w:color w:val="auto"/>
        </w:rPr>
        <w:t>The Company remains solvent (meaning that the Company will be able to discharge its liabilities as they fall due) after entering into each Document and the transaction(s) documented or contemplated by each Document, and all statements, assessments and opinions of solvency made or expressed by the directors of the Company in the Further Documents have been properly made.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Searches</w:t>
      </w:r>
    </w:p>
    <w:p>
      <w:pPr>
        <w:spacing w:after="0" w:line="121" w:lineRule="exact"/>
        <w:rPr>
          <w:rFonts w:ascii="Arial" w:cs="Arial" w:eastAsia="Arial" w:hAnsi="Arial"/>
          <w:sz w:val="18"/>
          <w:szCs w:val="18"/>
          <w:color w:val="auto"/>
        </w:rPr>
      </w:pPr>
    </w:p>
    <w:p>
      <w:pPr>
        <w:ind w:left="444"/>
        <w:spacing w:after="0" w:line="263" w:lineRule="auto"/>
        <w:rPr>
          <w:rFonts w:ascii="Arial" w:cs="Arial" w:eastAsia="Arial" w:hAnsi="Arial"/>
          <w:sz w:val="18"/>
          <w:szCs w:val="18"/>
          <w:color w:val="auto"/>
        </w:rPr>
      </w:pPr>
      <w:r>
        <w:rPr>
          <w:rFonts w:ascii="Arial" w:cs="Arial" w:eastAsia="Arial" w:hAnsi="Arial"/>
          <w:sz w:val="18"/>
          <w:szCs w:val="18"/>
          <w:color w:val="auto"/>
        </w:rPr>
        <w:t>All documents or information that are required to be filed or registered by or in relation to the Company with the Registrar of Companies (whether or not any time limit for such filing or registration has yet expired) have been so filed or registered and appear on the Public Records and are accurate and complete.</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Unknown facts</w:t>
      </w:r>
    </w:p>
    <w:p>
      <w:pPr>
        <w:spacing w:after="0" w:line="121" w:lineRule="exact"/>
        <w:rPr>
          <w:rFonts w:ascii="Arial" w:cs="Arial" w:eastAsia="Arial" w:hAnsi="Arial"/>
          <w:sz w:val="18"/>
          <w:szCs w:val="18"/>
          <w:color w:val="auto"/>
        </w:rPr>
      </w:pPr>
    </w:p>
    <w:p>
      <w:pPr>
        <w:ind w:left="444" w:right="420"/>
        <w:spacing w:after="0" w:line="277" w:lineRule="auto"/>
        <w:rPr>
          <w:rFonts w:ascii="Arial" w:cs="Arial" w:eastAsia="Arial" w:hAnsi="Arial"/>
          <w:sz w:val="18"/>
          <w:szCs w:val="18"/>
          <w:color w:val="auto"/>
        </w:rPr>
      </w:pPr>
      <w:r>
        <w:rPr>
          <w:rFonts w:ascii="Arial" w:cs="Arial" w:eastAsia="Arial" w:hAnsi="Arial"/>
          <w:sz w:val="18"/>
          <w:szCs w:val="18"/>
          <w:color w:val="auto"/>
        </w:rPr>
        <w:t>That there is no document or other information or matter (including, without limitation, any arrangement or understanding) that has not been provided or disclosed to us that is relevant to or that might affect the opinions expressed in this Opinion.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Consents—Guernsey</w:t>
      </w:r>
    </w:p>
    <w:p>
      <w:pPr>
        <w:spacing w:after="0" w:line="121" w:lineRule="exact"/>
        <w:rPr>
          <w:rFonts w:ascii="Arial" w:cs="Arial" w:eastAsia="Arial" w:hAnsi="Arial"/>
          <w:sz w:val="18"/>
          <w:szCs w:val="18"/>
          <w:color w:val="auto"/>
        </w:rPr>
      </w:pPr>
    </w:p>
    <w:p>
      <w:pPr>
        <w:ind w:left="444" w:right="80"/>
        <w:spacing w:after="0" w:line="263" w:lineRule="auto"/>
        <w:rPr>
          <w:rFonts w:ascii="Arial" w:cs="Arial" w:eastAsia="Arial" w:hAnsi="Arial"/>
          <w:sz w:val="18"/>
          <w:szCs w:val="18"/>
          <w:color w:val="auto"/>
        </w:rPr>
      </w:pPr>
      <w:r>
        <w:rPr>
          <w:rFonts w:ascii="Arial" w:cs="Arial" w:eastAsia="Arial" w:hAnsi="Arial"/>
          <w:sz w:val="18"/>
          <w:szCs w:val="18"/>
          <w:color w:val="auto"/>
        </w:rPr>
        <w:t>The Derogation is in full force and effect and has not been revoked, superseded or amended and no other consents, authorisations, registrations, approvals, filings or other requirements of any governmental, judicial or other public bodies or authorities in Guernsey have been or, should have been obtained, made or satisfied by the Company.</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Consents—other laws</w:t>
      </w:r>
    </w:p>
    <w:p>
      <w:pPr>
        <w:spacing w:after="0" w:line="121" w:lineRule="exact"/>
        <w:rPr>
          <w:rFonts w:ascii="Arial" w:cs="Arial" w:eastAsia="Arial" w:hAnsi="Arial"/>
          <w:sz w:val="18"/>
          <w:szCs w:val="18"/>
          <w:color w:val="auto"/>
        </w:rPr>
      </w:pPr>
    </w:p>
    <w:p>
      <w:pPr>
        <w:ind w:left="444" w:right="40"/>
        <w:spacing w:after="0" w:line="259" w:lineRule="auto"/>
        <w:rPr>
          <w:rFonts w:ascii="Arial" w:cs="Arial" w:eastAsia="Arial" w:hAnsi="Arial"/>
          <w:sz w:val="18"/>
          <w:szCs w:val="18"/>
          <w:color w:val="auto"/>
        </w:rPr>
      </w:pPr>
      <w:r>
        <w:rPr>
          <w:rFonts w:ascii="Arial" w:cs="Arial" w:eastAsia="Arial" w:hAnsi="Arial"/>
          <w:sz w:val="18"/>
          <w:szCs w:val="18"/>
          <w:color w:val="auto"/>
        </w:rPr>
        <w:t>All consents, authorisations, registrations, approvals, filings or other requirements of any governmental, judicial or other public bodies or authorities required to be obtained, made or satisfied by the Company under any law (other than Guernsey law): (a) for the execution and delivery of each Document and the performance of its obligations under each Document; and (b) generally for the enforceability of each Document, have been obtained, made or satisfied and, where appropriate,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84455</wp:posOffset>
            </wp:positionV>
            <wp:extent cx="1139825"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99" w:name="page100"/>
    <w:bookmarkEnd w:id="9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Opinion certificate and other documents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The accuracy, correctness and completeness of the Opinion Certificate and of all statements, assessments and opinions as to matters of fact contained in each Document and each Further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74295</wp:posOffset>
            </wp:positionV>
            <wp:extent cx="1139825"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424"/>
          </w:cols>
          <w:pgMar w:left="436" w:top="274" w:right="1039" w:bottom="1440" w:gutter="0" w:footer="0" w:header="0"/>
        </w:sectPr>
      </w:pPr>
    </w:p>
    <w:bookmarkStart w:id="100" w:name="page101"/>
    <w:bookmarkEnd w:id="10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QUALIFICATIONS</w:t>
      </w:r>
    </w:p>
    <w:p>
      <w:pPr>
        <w:spacing w:after="0" w:line="355"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121" w:lineRule="exact"/>
        <w:rPr>
          <w:rFonts w:ascii="Arial" w:cs="Arial" w:eastAsia="Arial" w:hAnsi="Arial"/>
          <w:sz w:val="18"/>
          <w:szCs w:val="18"/>
          <w:color w:val="auto"/>
        </w:rPr>
      </w:pPr>
    </w:p>
    <w:p>
      <w:pPr>
        <w:ind w:left="444" w:right="100"/>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as to the title or interest of the Company or any other person to or in, or the existence of, any property or assets the subject of any Document.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No conflict – contractual obligations etc.</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on whether there are any contractual or other obligations or restrictions binding on the Company that would or could have any adverse implication in relation to the opinions expressed in this Opinion.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color w:val="auto"/>
        </w:rPr>
      </w:pPr>
    </w:p>
    <w:p>
      <w:pPr>
        <w:ind w:left="444" w:right="300"/>
        <w:spacing w:after="0" w:line="277" w:lineRule="auto"/>
        <w:rPr>
          <w:rFonts w:ascii="Arial" w:cs="Arial" w:eastAsia="Arial" w:hAnsi="Arial"/>
          <w:sz w:val="18"/>
          <w:szCs w:val="18"/>
          <w:color w:val="auto"/>
        </w:rPr>
      </w:pPr>
      <w:r>
        <w:rPr>
          <w:rFonts w:ascii="Arial" w:cs="Arial" w:eastAsia="Arial" w:hAnsi="Arial"/>
          <w:sz w:val="18"/>
          <w:szCs w:val="18"/>
          <w:color w:val="auto"/>
        </w:rPr>
        <w:t>Unless expressly stated otherwise, we offer no opinion in relation to any representation or warranty made or given in or in connection with any Document or any Further Document.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Searches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Searches are not conclusively capable of revealing whether or not:</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 winding up order has been made or a resolution passed for the winding up of the Company; or</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an order has been made or a resolution passed appointing a liquidator or administrator or other person to control the assets of the Company,</w:t>
      </w:r>
    </w:p>
    <w:p>
      <w:pPr>
        <w:spacing w:after="0" w:line="117" w:lineRule="exact"/>
        <w:rPr>
          <w:sz w:val="20"/>
          <w:szCs w:val="20"/>
          <w:color w:val="auto"/>
        </w:rPr>
      </w:pPr>
    </w:p>
    <w:p>
      <w:pPr>
        <w:ind w:left="444" w:right="20"/>
        <w:spacing w:after="0" w:line="253" w:lineRule="auto"/>
        <w:rPr>
          <w:sz w:val="20"/>
          <w:szCs w:val="20"/>
          <w:color w:val="auto"/>
        </w:rPr>
      </w:pPr>
      <w:r>
        <w:rPr>
          <w:rFonts w:ascii="Arial" w:cs="Arial" w:eastAsia="Arial" w:hAnsi="Arial"/>
          <w:sz w:val="18"/>
          <w:szCs w:val="18"/>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90805</wp:posOffset>
            </wp:positionV>
            <wp:extent cx="1139825"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101" w:name="page102"/>
    <w:bookmarkEnd w:id="10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Guernsey company pursuant to the laws of a foreign jurisdiction. Any such recognition may not be revealed by our Searches.</w:t>
      </w:r>
    </w:p>
    <w:p>
      <w:pPr>
        <w:spacing w:after="0" w:line="131" w:lineRule="exact"/>
        <w:rPr>
          <w:sz w:val="20"/>
          <w:szCs w:val="20"/>
          <w:color w:val="auto"/>
        </w:rPr>
      </w:pPr>
    </w:p>
    <w:p>
      <w:pPr>
        <w:ind w:left="424" w:right="20" w:hanging="431"/>
        <w:spacing w:after="0" w:line="259" w:lineRule="auto"/>
        <w:tabs>
          <w:tab w:leader="none" w:pos="404" w:val="left"/>
        </w:tabs>
        <w:rPr>
          <w:sz w:val="20"/>
          <w:szCs w:val="20"/>
          <w:color w:val="auto"/>
        </w:rPr>
      </w:pPr>
      <w:r>
        <w:rPr>
          <w:rFonts w:ascii="Arial" w:cs="Arial" w:eastAsia="Arial" w:hAnsi="Arial"/>
          <w:sz w:val="18"/>
          <w:szCs w:val="18"/>
          <w:color w:val="auto"/>
        </w:rPr>
        <w:t>4.2</w:t>
        <w:tab/>
        <w:t xml:space="preserve">There is no official register of pending actions in Guernsey available for public inspection and no formal procedure for determining whether any proceedings have been commenced against the Company including as to whether proceedings have commenced to declare the Company </w:t>
      </w:r>
      <w:r>
        <w:rPr>
          <w:rFonts w:ascii="Arial" w:cs="Arial" w:eastAsia="Arial" w:hAnsi="Arial"/>
          <w:sz w:val="18"/>
          <w:szCs w:val="18"/>
          <w:i w:val="1"/>
          <w:iCs w:val="1"/>
          <w:color w:val="auto"/>
        </w:rPr>
        <w:t>en</w:t>
      </w:r>
      <w:r>
        <w:rPr>
          <w:rFonts w:ascii="Arial" w:cs="Arial" w:eastAsia="Arial" w:hAnsi="Arial"/>
          <w:sz w:val="18"/>
          <w:szCs w:val="18"/>
          <w:color w:val="auto"/>
        </w:rPr>
        <w:t xml:space="preserve"> </w:t>
      </w:r>
      <w:r>
        <w:rPr>
          <w:rFonts w:ascii="Arial" w:cs="Arial" w:eastAsia="Arial" w:hAnsi="Arial"/>
          <w:sz w:val="18"/>
          <w:szCs w:val="18"/>
          <w:i w:val="1"/>
          <w:iCs w:val="1"/>
          <w:color w:val="auto"/>
        </w:rPr>
        <w:t>désastre</w:t>
      </w:r>
      <w:r>
        <w:rPr>
          <w:rFonts w:ascii="Arial" w:cs="Arial" w:eastAsia="Arial" w:hAnsi="Arial"/>
          <w:sz w:val="18"/>
          <w:szCs w:val="18"/>
          <w:color w:val="auto"/>
        </w:rPr>
        <w:t>; the Searches and enquiry of the Public Records referred to in this Opinion are an informal enquiry only and cannot be relied upon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w:t>
      </w:r>
    </w:p>
    <w:p>
      <w:pPr>
        <w:spacing w:after="0" w:line="331"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We offer no opinion as to the enforceability of any obligations under or pursuant to any transaction, agreement or document entered into or to be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74295</wp:posOffset>
            </wp:positionV>
            <wp:extent cx="1139825"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0844"/>
          </w:cols>
          <w:pgMar w:left="436" w:top="274" w:right="6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Addressee</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Assumptions</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Indenture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Law</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Derogation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Resolutions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Further Documents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860"/>
        <w:spacing w:after="0"/>
        <w:rPr>
          <w:sz w:val="20"/>
          <w:szCs w:val="20"/>
          <w:color w:val="auto"/>
        </w:rPr>
      </w:pPr>
      <w:r>
        <w:rPr>
          <w:rFonts w:ascii="Arial" w:cs="Arial" w:eastAsia="Arial" w:hAnsi="Arial"/>
          <w:sz w:val="18"/>
          <w:szCs w:val="18"/>
          <w:b w:val="1"/>
          <w:bCs w:val="1"/>
          <w:color w:val="auto"/>
        </w:rPr>
        <w:t>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-719455</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5" w:lineRule="exact"/>
        <w:rPr>
          <w:sz w:val="20"/>
          <w:szCs w:val="20"/>
          <w:color w:val="auto"/>
        </w:rPr>
      </w:pPr>
    </w:p>
    <w:p>
      <w:pPr>
        <w:jc w:val="center"/>
        <w:ind w:right="3860"/>
        <w:spacing w:after="0"/>
        <w:rPr>
          <w:sz w:val="20"/>
          <w:szCs w:val="20"/>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jc w:val="center"/>
        <w:ind w:right="3860"/>
        <w:spacing w:after="0"/>
        <w:rPr>
          <w:sz w:val="20"/>
          <w:szCs w:val="20"/>
          <w:color w:val="auto"/>
        </w:rPr>
      </w:pPr>
      <w:r>
        <w:rPr>
          <w:rFonts w:ascii="Arial" w:cs="Arial" w:eastAsia="Arial" w:hAnsi="Arial"/>
          <w:sz w:val="18"/>
          <w:szCs w:val="18"/>
          <w:b w:val="1"/>
          <w:bCs w:val="1"/>
          <w:color w:val="auto"/>
        </w:rPr>
        <w:t>Part 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means the addressee of this Opinion set out in Schedule 1 (</w:t>
      </w:r>
      <w:r>
        <w:rPr>
          <w:rFonts w:ascii="Arial" w:cs="Arial" w:eastAsia="Arial" w:hAnsi="Arial"/>
          <w:sz w:val="17"/>
          <w:szCs w:val="17"/>
          <w:i w:val="1"/>
          <w:iCs w:val="1"/>
          <w:color w:val="auto"/>
        </w:rPr>
        <w:t>Addressee</w:t>
      </w:r>
      <w:r>
        <w:rPr>
          <w:rFonts w:ascii="Arial" w:cs="Arial" w:eastAsia="Arial" w:hAnsi="Arial"/>
          <w:sz w:val="17"/>
          <w:szCs w:val="17"/>
          <w:color w:val="auto"/>
        </w:rPr>
        <w:t>) to this Opinion;</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means the articles of incorporation of the Company, as referred to in the Opinion Certificate;</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means the assumptions set out in Schedule 3 (</w:t>
      </w:r>
      <w:r>
        <w:rPr>
          <w:rFonts w:ascii="Arial" w:cs="Arial" w:eastAsia="Arial" w:hAnsi="Arial"/>
          <w:sz w:val="18"/>
          <w:szCs w:val="18"/>
          <w:i w:val="1"/>
          <w:iCs w:val="1"/>
          <w:color w:val="auto"/>
        </w:rPr>
        <w:t>Assumptions</w:t>
      </w:r>
      <w:r>
        <w:rPr>
          <w:rFonts w:ascii="Arial" w:cs="Arial" w:eastAsia="Arial" w:hAnsi="Arial"/>
          <w:sz w:val="18"/>
          <w:szCs w:val="18"/>
          <w:color w:val="auto"/>
        </w:rPr>
        <w:t>);</w:t>
      </w:r>
    </w:p>
    <w:p>
      <w:pPr>
        <w:spacing w:after="0" w:line="266" w:lineRule="exact"/>
        <w:rPr>
          <w:sz w:val="20"/>
          <w:szCs w:val="20"/>
          <w:color w:val="auto"/>
        </w:rPr>
      </w:pPr>
    </w:p>
    <w:p>
      <w:pPr>
        <w:ind w:left="320" w:right="220"/>
        <w:spacing w:after="0" w:line="277" w:lineRule="auto"/>
        <w:rPr>
          <w:sz w:val="20"/>
          <w:szCs w:val="20"/>
          <w:color w:val="auto"/>
        </w:rPr>
      </w:pPr>
      <w:r>
        <w:rPr>
          <w:rFonts w:ascii="Arial" w:cs="Arial" w:eastAsia="Arial" w:hAnsi="Arial"/>
          <w:sz w:val="18"/>
          <w:szCs w:val="18"/>
          <w:color w:val="auto"/>
        </w:rPr>
        <w:t>means a person authorised to sign the Documents on behalf of the Company pursuant to the Director Resolutions;</w:t>
      </w:r>
    </w:p>
    <w:p>
      <w:pPr>
        <w:spacing w:after="0" w:line="197" w:lineRule="exact"/>
        <w:rPr>
          <w:sz w:val="20"/>
          <w:szCs w:val="20"/>
          <w:color w:val="auto"/>
        </w:rPr>
      </w:pPr>
    </w:p>
    <w:p>
      <w:pPr>
        <w:ind w:left="320" w:right="440"/>
        <w:spacing w:after="0" w:line="277" w:lineRule="auto"/>
        <w:rPr>
          <w:sz w:val="20"/>
          <w:szCs w:val="20"/>
          <w:color w:val="auto"/>
        </w:rPr>
      </w:pPr>
      <w:r>
        <w:rPr>
          <w:rFonts w:ascii="Arial" w:cs="Arial" w:eastAsia="Arial" w:hAnsi="Arial"/>
          <w:sz w:val="18"/>
          <w:szCs w:val="18"/>
          <w:color w:val="auto"/>
        </w:rPr>
        <w:t>means the base indenture between the Company and The Bank of New York Mellon (the Trustee), a form of which is filed with the Registration Statement;</w:t>
      </w:r>
    </w:p>
    <w:p>
      <w:pPr>
        <w:spacing w:after="0" w:line="197" w:lineRule="exact"/>
        <w:rPr>
          <w:sz w:val="20"/>
          <w:szCs w:val="20"/>
          <w:color w:val="auto"/>
        </w:rPr>
      </w:pPr>
    </w:p>
    <w:p>
      <w:pPr>
        <w:ind w:left="320" w:right="800"/>
        <w:spacing w:after="0" w:line="277" w:lineRule="auto"/>
        <w:rPr>
          <w:sz w:val="20"/>
          <w:szCs w:val="20"/>
          <w:color w:val="auto"/>
        </w:rPr>
      </w:pPr>
      <w:r>
        <w:rPr>
          <w:rFonts w:ascii="Arial" w:cs="Arial" w:eastAsia="Arial" w:hAnsi="Arial"/>
          <w:sz w:val="18"/>
          <w:szCs w:val="18"/>
          <w:color w:val="auto"/>
        </w:rPr>
        <w:t>means the certificate of incorporation of the Company, as referred to in the Opinion Certificate;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means the Companies (Guernsey) Law 2008, as amended;</w:t>
      </w:r>
    </w:p>
    <w:p>
      <w:pPr>
        <w:spacing w:after="0" w:line="266" w:lineRule="exact"/>
        <w:rPr>
          <w:sz w:val="20"/>
          <w:szCs w:val="20"/>
          <w:color w:val="auto"/>
        </w:rPr>
      </w:pPr>
    </w:p>
    <w:p>
      <w:pPr>
        <w:ind w:left="320"/>
        <w:spacing w:after="0" w:line="259" w:lineRule="auto"/>
        <w:rPr>
          <w:sz w:val="20"/>
          <w:szCs w:val="20"/>
          <w:color w:val="auto"/>
        </w:rPr>
      </w:pPr>
      <w:r>
        <w:rPr>
          <w:rFonts w:ascii="Arial" w:cs="Arial" w:eastAsia="Arial" w:hAnsi="Arial"/>
          <w:sz w:val="18"/>
          <w:szCs w:val="18"/>
          <w:color w:val="auto"/>
        </w:rPr>
        <w:t>means the letter dated 11 June 2020 from the Guernsey Financial Services Commission to the Company pursuant to Prospectus Rule 7.01(b) of The Prospectus Rules, 2018, confirming that, save for Prospectus Rule 4.01, The Prospectus Rules, 2018 are excluded in their entirety in relation to, the Registration Statement;</w:t>
      </w:r>
    </w:p>
    <w:p>
      <w:pPr>
        <w:spacing w:after="0" w:line="214" w:lineRule="exact"/>
        <w:rPr>
          <w:sz w:val="20"/>
          <w:szCs w:val="20"/>
          <w:color w:val="auto"/>
        </w:rPr>
      </w:pPr>
    </w:p>
    <w:p>
      <w:pPr>
        <w:ind w:left="320" w:right="40"/>
        <w:spacing w:after="0" w:line="342" w:lineRule="auto"/>
        <w:rPr>
          <w:sz w:val="20"/>
          <w:szCs w:val="20"/>
          <w:color w:val="auto"/>
        </w:rPr>
      </w:pPr>
      <w:r>
        <w:rPr>
          <w:rFonts w:ascii="Arial" w:cs="Arial" w:eastAsia="Arial" w:hAnsi="Arial"/>
          <w:sz w:val="16"/>
          <w:szCs w:val="16"/>
          <w:color w:val="auto"/>
        </w:rPr>
        <w:t>means the written resolutions of the directors of the Company stated as passed on 8 June 2020 relating to the Documents and as referred to in the Opinion Certificate of the Company;</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means the documents listed in Part A of Schedule 2 (</w:t>
      </w:r>
      <w:r>
        <w:rPr>
          <w:rFonts w:ascii="Arial" w:cs="Arial" w:eastAsia="Arial" w:hAnsi="Arial"/>
          <w:sz w:val="18"/>
          <w:szCs w:val="18"/>
          <w:i w:val="1"/>
          <w:iCs w:val="1"/>
          <w:color w:val="auto"/>
        </w:rPr>
        <w:t>Documents Examined</w:t>
      </w:r>
      <w:r>
        <w:rPr>
          <w:rFonts w:ascii="Arial" w:cs="Arial" w:eastAsia="Arial" w:hAnsi="Arial"/>
          <w:sz w:val="18"/>
          <w:szCs w:val="18"/>
          <w:color w:val="auto"/>
        </w:rPr>
        <w:t>);</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means the documents listed in Part B of Schedule 2 (</w:t>
      </w:r>
      <w:r>
        <w:rPr>
          <w:rFonts w:ascii="Arial" w:cs="Arial" w:eastAsia="Arial" w:hAnsi="Arial"/>
          <w:sz w:val="18"/>
          <w:szCs w:val="18"/>
          <w:i w:val="1"/>
          <w:iCs w:val="1"/>
          <w:color w:val="auto"/>
        </w:rPr>
        <w:t>Documents Examined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117475</wp:posOffset>
            </wp:positionV>
            <wp:extent cx="1139825"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2">
            <w:col w:w="3140" w:space="720"/>
            <w:col w:w="7140"/>
          </w:cols>
          <w:pgMar w:left="440" w:top="274"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Greffe</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Guernsey</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Guernsey Court</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Memorandum and Articles of Incorporation</w:t>
      </w: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Certificate</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Records Search</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Qualifications</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 of Companies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registry of the Guernsey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-721995</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means the islands of Guernsey (and excludes Alderney and Sark);</w:t>
      </w:r>
    </w:p>
    <w:p>
      <w:pPr>
        <w:spacing w:after="0" w:line="2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means the Royal Court of Guernsey which definition shall include any court in Guernsey where the context so requires;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together, the memorandum and articles of incorporation of the Company, as referred to in the Opinion Certificate;</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means all the notes being registered under the Registration Statement on Form F-3 filed with the Securities Exchange Commission on 15 June 2020 that can be issued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means this legal opinion and includes the Schedules;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means the certificate of a director or Authorised Signatory of the Company addressed to us and dated the date of this Opinion;</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means together the public records of the Company on file and available for the purposes of public inspection:</w:t>
      </w:r>
    </w:p>
    <w:p>
      <w:pPr>
        <w:spacing w:after="0" w:line="76" w:lineRule="exact"/>
        <w:rPr>
          <w:sz w:val="20"/>
          <w:szCs w:val="20"/>
          <w:color w:val="auto"/>
        </w:rPr>
      </w:pPr>
    </w:p>
    <w:p>
      <w:pPr>
        <w:ind w:left="220" w:hanging="174"/>
        <w:spacing w:after="0"/>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Registry (including its public website), on 12 June 2020: and</w:t>
      </w:r>
    </w:p>
    <w:p>
      <w:pPr>
        <w:spacing w:after="0" w:line="130" w:lineRule="exact"/>
        <w:rPr>
          <w:rFonts w:ascii="Arial" w:cs="Arial" w:eastAsia="Arial" w:hAnsi="Arial"/>
          <w:sz w:val="18"/>
          <w:szCs w:val="18"/>
          <w:color w:val="auto"/>
        </w:rPr>
      </w:pPr>
    </w:p>
    <w:p>
      <w:pPr>
        <w:ind w:left="220" w:right="80" w:hanging="174"/>
        <w:spacing w:after="0" w:line="277" w:lineRule="auto"/>
        <w:tabs>
          <w:tab w:leader="none" w:pos="2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a search of the computerised records of matters raised in the Guernsey Courts available for inspection at the Greffe on 12 June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means our inspection of the Public Records on the date of this Opinion;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means the observations and qualifications set out in Schedule 4 (</w:t>
      </w:r>
      <w:r>
        <w:rPr>
          <w:rFonts w:ascii="Arial" w:cs="Arial" w:eastAsia="Arial" w:hAnsi="Arial"/>
          <w:sz w:val="18"/>
          <w:szCs w:val="18"/>
          <w:i w:val="1"/>
          <w:iCs w:val="1"/>
          <w:color w:val="auto"/>
        </w:rPr>
        <w:t>Qualifications</w:t>
      </w:r>
      <w:r>
        <w:rPr>
          <w:rFonts w:ascii="Arial" w:cs="Arial" w:eastAsia="Arial" w:hAnsi="Arial"/>
          <w:sz w:val="18"/>
          <w:szCs w:val="18"/>
          <w:color w:val="auto"/>
        </w:rPr>
        <w:t>);</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means the registers of directors and secretaries of the Company, as referred to in the Opinion Certificate;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Registrar of Companies in Guernsey;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117475</wp:posOffset>
            </wp:positionV>
            <wp:extent cx="1139825"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2">
            <w:col w:w="3560" w:space="620"/>
            <w:col w:w="6800"/>
          </w:cols>
          <w:pgMar w:left="440" w:top="274" w:right="479" w:bottom="1440" w:gutter="0" w:footer="0" w:header="0"/>
        </w:sectPr>
      </w:pPr>
    </w:p>
    <w:bookmarkStart w:id="104" w:name="page105"/>
    <w:bookmarkEnd w:id="10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15 June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04"/>
          </w:cols>
          <w:pgMar w:left="436" w:top="274" w:right="459" w:bottom="1440" w:gutter="0" w:footer="0" w:header="0"/>
        </w:sectPr>
      </w:pPr>
    </w:p>
    <w:p>
      <w:pPr>
        <w:spacing w:after="0" w:line="13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3420"/>
        <w:spacing w:after="0"/>
        <w:rPr>
          <w:sz w:val="20"/>
          <w:szCs w:val="20"/>
          <w:color w:val="auto"/>
        </w:rPr>
      </w:pPr>
      <w:r>
        <w:rPr>
          <w:rFonts w:ascii="Arial" w:cs="Arial" w:eastAsia="Arial" w:hAnsi="Arial"/>
          <w:sz w:val="16"/>
          <w:szCs w:val="16"/>
          <w:color w:val="auto"/>
        </w:rPr>
        <w:t>means the Registry of Companies in Guernsey;</w:t>
      </w:r>
    </w:p>
    <w:p>
      <w:pPr>
        <w:spacing w:after="0" w:line="207" w:lineRule="exact"/>
        <w:rPr>
          <w:sz w:val="20"/>
          <w:szCs w:val="20"/>
          <w:color w:val="auto"/>
        </w:rPr>
      </w:pPr>
    </w:p>
    <w:p>
      <w:pPr>
        <w:sectPr>
          <w:pgSz w:w="11900" w:h="16838" w:orient="portrait"/>
          <w:cols w:equalWidth="0" w:num="2">
            <w:col w:w="3464" w:space="720"/>
            <w:col w:w="6820"/>
          </w:cols>
          <w:pgMar w:left="436" w:top="274" w:right="459" w:bottom="1440" w:gutter="0" w:footer="0" w:header="0"/>
          <w:type w:val="continuous"/>
        </w:sectPr>
      </w:pPr>
    </w:p>
    <w:p>
      <w:pPr>
        <w:spacing w:after="0" w:line="7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means the registration statement on Form F-3 dated 15 June 2020 filed with the Securities and Exchange Commission in relation to, among other things, the shelf registration of debt securities to be issued by the Company;</w:t>
      </w:r>
    </w:p>
    <w:p>
      <w:pPr>
        <w:spacing w:after="0" w:line="200" w:lineRule="exact"/>
        <w:rPr>
          <w:sz w:val="20"/>
          <w:szCs w:val="20"/>
          <w:color w:val="auto"/>
        </w:rPr>
      </w:pPr>
    </w:p>
    <w:p>
      <w:pPr>
        <w:sectPr>
          <w:pgSz w:w="11900" w:h="16838" w:orient="portrait"/>
          <w:cols w:equalWidth="0" w:num="2">
            <w:col w:w="3464" w:space="720"/>
            <w:col w:w="6820"/>
          </w:cols>
          <w:pgMar w:left="436" w:top="274" w:right="459" w:bottom="1440" w:gutter="0" w:footer="0" w:header="0"/>
          <w:type w:val="continuous"/>
        </w:sectPr>
      </w:pP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Searches</w:t>
      </w:r>
      <w:r>
        <w:rPr>
          <w:rFonts w:ascii="Arial" w:cs="Arial" w:eastAsia="Arial" w:hAnsi="Arial"/>
          <w:sz w:val="16"/>
          <w:szCs w:val="16"/>
          <w:color w:val="auto"/>
        </w:rPr>
        <w:t>” and “</w:t>
      </w:r>
      <w:r>
        <w:rPr>
          <w:rFonts w:ascii="Arial" w:cs="Arial" w:eastAsia="Arial" w:hAnsi="Arial"/>
          <w:sz w:val="16"/>
          <w:szCs w:val="16"/>
          <w:b w:val="1"/>
          <w:bCs w:val="1"/>
          <w:color w:val="auto"/>
        </w:rPr>
        <w:t>Searches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our inspection of the Public Records on 12 June 2020;</w:t>
      </w:r>
    </w:p>
    <w:p>
      <w:pPr>
        <w:spacing w:after="0" w:line="200" w:lineRule="exact"/>
        <w:rPr>
          <w:sz w:val="20"/>
          <w:szCs w:val="20"/>
          <w:color w:val="auto"/>
        </w:rPr>
      </w:pPr>
    </w:p>
    <w:p>
      <w:pPr>
        <w:sectPr>
          <w:pgSz w:w="11900" w:h="16838" w:orient="portrait"/>
          <w:cols w:equalWidth="0" w:num="2">
            <w:col w:w="3464" w:space="720"/>
            <w:col w:w="6820"/>
          </w:cols>
          <w:pgMar w:left="436" w:top="274" w:right="459" w:bottom="1440" w:gutter="0" w:footer="0" w:header="0"/>
          <w:type w:val="continuous"/>
        </w:sectPr>
      </w:pPr>
    </w:p>
    <w:p>
      <w:pPr>
        <w:spacing w:after="0" w:line="8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Act of 1933, as amended; and</w:t>
      </w:r>
    </w:p>
    <w:p>
      <w:pPr>
        <w:spacing w:after="0" w:line="200" w:lineRule="exact"/>
        <w:rPr>
          <w:sz w:val="20"/>
          <w:szCs w:val="20"/>
          <w:color w:val="auto"/>
        </w:rPr>
      </w:pPr>
    </w:p>
    <w:p>
      <w:pPr>
        <w:sectPr>
          <w:pgSz w:w="11900" w:h="16838" w:orient="portrait"/>
          <w:cols w:equalWidth="0" w:num="2">
            <w:col w:w="3464" w:space="720"/>
            <w:col w:w="6820"/>
          </w:cols>
          <w:pgMar w:left="436" w:top="274" w:right="459" w:bottom="1440" w:gutter="0" w:footer="0" w:header="0"/>
          <w:type w:val="continuous"/>
        </w:sectPr>
      </w:pPr>
    </w:p>
    <w:p>
      <w:pPr>
        <w:spacing w:after="0" w:line="27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Part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Interpretation</w:t>
      </w:r>
    </w:p>
    <w:p>
      <w:pPr>
        <w:sectPr>
          <w:pgSz w:w="11900" w:h="16838" w:orient="portrait"/>
          <w:cols w:equalWidth="0" w:num="1">
            <w:col w:w="11004"/>
          </w:cols>
          <w:pgMar w:left="436" w:top="274" w:right="459" w:bottom="1440" w:gutter="0" w:footer="0" w:header="0"/>
          <w:type w:val="continuous"/>
        </w:sectPr>
      </w:pPr>
    </w:p>
    <w:p>
      <w:pPr>
        <w:spacing w:after="0" w:line="146"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References in this Opinion to:</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 Schedule are references to a schedule to this Opinion;</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 “person” include any body of persons corporate or unincorporated;</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legislation include, where relevant, a reference to such legislation as amended at the date of this Opinion;</w:t>
      </w:r>
    </w:p>
    <w:p>
      <w:pPr>
        <w:spacing w:after="0" w:line="25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“you” means the Addressee; and</w:t>
      </w:r>
    </w:p>
    <w:p>
      <w:pPr>
        <w:spacing w:after="0" w:line="252" w:lineRule="exact"/>
        <w:rPr>
          <w:sz w:val="20"/>
          <w:szCs w:val="20"/>
          <w:color w:val="auto"/>
        </w:rPr>
      </w:pPr>
    </w:p>
    <w:p>
      <w:pPr>
        <w:ind w:left="424" w:right="260" w:hanging="431"/>
        <w:spacing w:after="0" w:line="277" w:lineRule="auto"/>
        <w:tabs>
          <w:tab w:leader="none" w:pos="404" w:val="left"/>
        </w:tabs>
        <w:rPr>
          <w:sz w:val="20"/>
          <w:szCs w:val="20"/>
          <w:color w:val="auto"/>
        </w:rPr>
      </w:pPr>
      <w:r>
        <w:rPr>
          <w:rFonts w:ascii="Arial" w:cs="Arial" w:eastAsia="Arial" w:hAnsi="Arial"/>
          <w:sz w:val="18"/>
          <w:szCs w:val="18"/>
          <w:color w:val="auto"/>
        </w:rPr>
        <w:t>1.5</w:t>
        <w:tab/>
        <w:t>“we”, “us” or “our” in relation to the examination, sight, receipt or review by us, or provision to us, of information or documents are references only to our lawyers who worked on the preparation of this Opinion in this matter.</w:t>
      </w:r>
    </w:p>
    <w:p>
      <w:pPr>
        <w:spacing w:after="0" w:line="197" w:lineRule="exact"/>
        <w:rPr>
          <w:sz w:val="20"/>
          <w:szCs w:val="20"/>
          <w:color w:val="auto"/>
        </w:rPr>
      </w:pPr>
    </w:p>
    <w:p>
      <w:pPr>
        <w:ind w:left="424" w:hanging="424"/>
        <w:spacing w:after="0" w:line="277"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a capitalised term appears in the left-hand column of Part A of Schedule 5 (</w:t>
      </w:r>
      <w:r>
        <w:rPr>
          <w:rFonts w:ascii="Arial" w:cs="Arial" w:eastAsia="Arial" w:hAnsi="Arial"/>
          <w:sz w:val="18"/>
          <w:szCs w:val="18"/>
          <w:i w:val="1"/>
          <w:iCs w:val="1"/>
          <w:color w:val="auto"/>
        </w:rPr>
        <w:t>Definitions and Interpretation</w:t>
      </w:r>
      <w:r>
        <w:rPr>
          <w:rFonts w:ascii="Arial" w:cs="Arial" w:eastAsia="Arial" w:hAnsi="Arial"/>
          <w:sz w:val="18"/>
          <w:szCs w:val="18"/>
          <w:color w:val="auto"/>
        </w:rPr>
        <w:t xml:space="preserve">) in the singular, its plural form, if used in this Opinion, shall be construed accordingly,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Headings in this Opinion are inserted for convenience only and shall not affect the construction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109220</wp:posOffset>
            </wp:positionV>
            <wp:extent cx="1139825"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Exhibits 5.2 and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2014220" cy="685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014220" cy="68580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171450</wp:posOffset>
            </wp:positionV>
            <wp:extent cx="1414780" cy="5060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41478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 Port, Island of Guernsey, GY1 2NG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Amdocs Limited, a Guernsey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 Statement on Form F-3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Company’s debt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 which may be issued pursuant to an indenture, between the Company and The Bank of New York Mellon,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Based upon the foregoing, and subject to the additional assumptions and qualifications set forth below, we advise you that, in our opinion, assuming the Indenture and any supplemental indenture to be entered into in connection with the issuance of any Securities have been duly authorized, executed and delivered by the Trustee and the Company; the specific terms of a particular series of Securities have been duly authorized and established in accordance with the Indenture; and such Securities have been duly authorized, executed, authenticated, issued and delivered in accordance with the Indenture and the applicable underwriting or other agreement against payment therefor, such Securities will constitute valid and binding obligations of the Company, enforceable in accordance with their terms, subject to applicable bankruptcy,</w:t>
      </w:r>
    </w:p>
    <w:p>
      <w:pPr>
        <w:sectPr>
          <w:pgSz w:w="11900" w:h="16838" w:orient="portrait"/>
          <w:cols w:equalWidth="0" w:num="1">
            <w:col w:w="11020"/>
          </w:cols>
          <w:pgMar w:left="440" w:top="121" w:right="439" w:bottom="1440" w:gutter="0" w:footer="0" w:header="0"/>
        </w:sectPr>
      </w:pPr>
    </w:p>
    <w:bookmarkStart w:id="106" w:name="page107"/>
    <w:bookmarkEnd w:id="106"/>
    <w:p>
      <w:pPr>
        <w:spacing w:after="0"/>
        <w:tabs>
          <w:tab w:leader="none" w:pos="9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r>
        <w:rPr>
          <w:sz w:val="20"/>
          <w:szCs w:val="20"/>
          <w:color w:val="auto"/>
        </w:rPr>
        <w:tab/>
      </w:r>
      <w:r>
        <w:rPr>
          <w:rFonts w:ascii="Arial" w:cs="Arial" w:eastAsia="Arial" w:hAnsi="Arial"/>
          <w:sz w:val="15"/>
          <w:szCs w:val="15"/>
          <w:color w:val="auto"/>
        </w:rPr>
        <w:t>June 15, 2020</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or (x) the validity, legally binding effect or enforceability of any provision that permits holders to collect any portion of stated principal amount upon acceleration of the Securities to the extent determined to constitute unearned interest.</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Securities (i) the Board of Directors of the Company shall have duly established the terms of the Securities and duly authorized the issuance and sale of the Securities and such authorization shall not have been modified or rescinded; (ii) the Company is, and shall remain, validly existing as a corporation under the laws of Guernsey; (iii) the Registration Statement shall have become effective and such effectiveness shall not have been terminated or rescinded; and (iv) the Indenture and the Securities are each valid, binding and enforceable agreements of each party thereto; and (v) there shall not have occurred any change in law affecting the validity or enforceability of such security. We have also assumed that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w:t>
      </w:r>
    </w:p>
    <w:p>
      <w:pPr>
        <w:spacing w:after="0" w:line="16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 Insofar as the foregoing opinion involves matters governed by the laws of Guernsey, we have relied, without independent inquiry or investigation, on the opinion of Carey Olsen (Guernsey) LLP.</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000"/>
          </w:cols>
          <w:pgMar w:left="440" w:top="274" w:right="4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consent to the reference to our firm under the caption “Experts” and “Summary Historical Consolidated Financial Information” in the Registration Statement on Form F-3 and related Prospectus of Amdocs Limited for the registration of debt securities and to the incorporation by reference therein of our reports dated December 16, 2019, with respect to the consolidated financial statements and schedule of Amdocs Limited, and the effectiveness of internal control over financial reporting of Amdocs Limited, included in its Annual Report (Form 20-F) for the year ended September 30, 2019,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14, 2020</w:t>
      </w:r>
    </w:p>
    <w:p>
      <w:pPr>
        <w:sectPr>
          <w:pgSz w:w="11900" w:h="16838" w:orient="portrait"/>
          <w:cols w:equalWidth="0" w:num="1">
            <w:col w:w="11020"/>
          </w:cols>
          <w:pgMar w:left="440" w:top="121" w:right="4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3"/>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24" w:right="180" w:hanging="424"/>
        <w:spacing w:after="0" w:line="256" w:lineRule="auto"/>
        <w:tabs>
          <w:tab w:leader="none" w:pos="424" w:val="left"/>
        </w:tabs>
        <w:numPr>
          <w:ilvl w:val="0"/>
          <w:numId w:val="8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206375</wp:posOffset>
            </wp:positionV>
            <wp:extent cx="1474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2"/>
              </w:rPr>
              <w:t>New York</w:t>
            </w:r>
          </w:p>
        </w:tc>
        <w:tc>
          <w:tcPr>
            <w:tcW w:w="3460" w:type="dxa"/>
            <w:vAlign w:val="bottom"/>
          </w:tcPr>
          <w:p>
            <w:pPr>
              <w:jc w:val="right"/>
              <w:ind w:right="2181"/>
              <w:spacing w:after="0"/>
              <w:rPr>
                <w:sz w:val="20"/>
                <w:szCs w:val="20"/>
                <w:color w:val="auto"/>
              </w:rPr>
            </w:pPr>
            <w:r>
              <w:rPr>
                <w:rFonts w:ascii="Arial" w:cs="Arial" w:eastAsia="Arial" w:hAnsi="Arial"/>
                <w:sz w:val="18"/>
                <w:szCs w:val="18"/>
                <w:b w:val="1"/>
                <w:bCs w:val="1"/>
                <w:color w:val="auto"/>
              </w:rPr>
              <w:t>13-5160382</w:t>
            </w:r>
          </w:p>
        </w:tc>
      </w:tr>
      <w:tr>
        <w:trPr>
          <w:trHeight w:val="148"/>
        </w:trPr>
        <w:tc>
          <w:tcPr>
            <w:tcW w:w="756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of incorporation</w:t>
            </w:r>
          </w:p>
        </w:tc>
        <w:tc>
          <w:tcPr>
            <w:tcW w:w="3460" w:type="dxa"/>
            <w:vAlign w:val="bottom"/>
          </w:tcPr>
          <w:p>
            <w:pPr>
              <w:jc w:val="center"/>
              <w:ind w:right="18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4"/>
              </w:rPr>
              <w:t>if not a U.S. national bank)</w:t>
            </w:r>
          </w:p>
        </w:tc>
        <w:tc>
          <w:tcPr>
            <w:tcW w:w="3460" w:type="dxa"/>
            <w:vAlign w:val="bottom"/>
          </w:tcPr>
          <w:p>
            <w:pPr>
              <w:jc w:val="center"/>
              <w:ind w:right="1821"/>
              <w:spacing w:after="0"/>
              <w:rPr>
                <w:sz w:val="20"/>
                <w:szCs w:val="20"/>
                <w:color w:val="auto"/>
              </w:rPr>
            </w:pPr>
            <w:r>
              <w:rPr>
                <w:rFonts w:ascii="Arial" w:cs="Arial" w:eastAsia="Arial" w:hAnsi="Arial"/>
                <w:sz w:val="14"/>
                <w:szCs w:val="14"/>
                <w:b w:val="1"/>
                <w:bCs w:val="1"/>
                <w:color w:val="auto"/>
                <w:w w:val="92"/>
              </w:rPr>
              <w:t>identification no.)</w:t>
            </w:r>
          </w:p>
        </w:tc>
      </w:tr>
      <w:tr>
        <w:trPr>
          <w:trHeight w:val="394"/>
        </w:trPr>
        <w:tc>
          <w:tcPr>
            <w:tcW w:w="756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2"/>
              </w:rPr>
              <w:t>240 Greenwich Street, New York, NY</w:t>
            </w:r>
          </w:p>
        </w:tc>
        <w:tc>
          <w:tcPr>
            <w:tcW w:w="3460" w:type="dxa"/>
            <w:vAlign w:val="bottom"/>
          </w:tcPr>
          <w:p>
            <w:pPr>
              <w:jc w:val="right"/>
              <w:ind w:right="2401"/>
              <w:spacing w:after="0"/>
              <w:rPr>
                <w:sz w:val="20"/>
                <w:szCs w:val="20"/>
                <w:color w:val="auto"/>
              </w:rPr>
            </w:pPr>
            <w:r>
              <w:rPr>
                <w:rFonts w:ascii="Arial" w:cs="Arial" w:eastAsia="Arial" w:hAnsi="Arial"/>
                <w:sz w:val="18"/>
                <w:szCs w:val="18"/>
                <w:b w:val="1"/>
                <w:bCs w:val="1"/>
                <w:color w:val="auto"/>
              </w:rPr>
              <w:t>10286</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7560" w:type="dxa"/>
            <w:vAlign w:val="bottom"/>
            <w:gridSpan w:val="3"/>
          </w:tcPr>
          <w:p>
            <w:pPr>
              <w:jc w:val="center"/>
              <w:ind w:left="3359"/>
              <w:spacing w:after="0"/>
              <w:rPr>
                <w:sz w:val="20"/>
                <w:szCs w:val="20"/>
                <w:color w:val="auto"/>
              </w:rPr>
            </w:pPr>
            <w:r>
              <w:rPr>
                <w:rFonts w:ascii="Arial" w:cs="Arial" w:eastAsia="Arial" w:hAnsi="Arial"/>
                <w:sz w:val="18"/>
                <w:szCs w:val="18"/>
                <w:b w:val="1"/>
                <w:bCs w:val="1"/>
                <w:color w:val="auto"/>
                <w:w w:val="91"/>
              </w:rPr>
              <w:t>Elizabeth Stern, Director and Managing Counsel</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79"/>
              <w:spacing w:after="0"/>
              <w:rPr>
                <w:sz w:val="20"/>
                <w:szCs w:val="20"/>
                <w:color w:val="auto"/>
              </w:rPr>
            </w:pPr>
            <w:r>
              <w:rPr>
                <w:rFonts w:ascii="Arial" w:cs="Arial" w:eastAsia="Arial" w:hAnsi="Arial"/>
                <w:sz w:val="18"/>
                <w:szCs w:val="18"/>
                <w:b w:val="1"/>
                <w:bCs w:val="1"/>
                <w:color w:val="auto"/>
                <w:w w:val="92"/>
              </w:rPr>
              <w:t>The Bank of New York Mellon</w:t>
            </w:r>
          </w:p>
        </w:tc>
        <w:tc>
          <w:tcPr>
            <w:tcW w:w="3460" w:type="dxa"/>
            <w:vAlign w:val="bottom"/>
          </w:tcPr>
          <w:p>
            <w:pPr>
              <w:spacing w:after="0"/>
              <w:rPr>
                <w:sz w:val="18"/>
                <w:szCs w:val="18"/>
                <w:color w:val="auto"/>
              </w:rPr>
            </w:pPr>
          </w:p>
        </w:tc>
      </w:tr>
      <w:tr>
        <w:trPr>
          <w:trHeight w:val="216"/>
        </w:trPr>
        <w:tc>
          <w:tcPr>
            <w:tcW w:w="7560" w:type="dxa"/>
            <w:vAlign w:val="bottom"/>
            <w:gridSpan w:val="3"/>
          </w:tcPr>
          <w:p>
            <w:pPr>
              <w:jc w:val="center"/>
              <w:ind w:left="3379"/>
              <w:spacing w:after="0"/>
              <w:rPr>
                <w:sz w:val="20"/>
                <w:szCs w:val="20"/>
                <w:color w:val="auto"/>
              </w:rPr>
            </w:pPr>
            <w:r>
              <w:rPr>
                <w:rFonts w:ascii="Arial" w:cs="Arial" w:eastAsia="Arial" w:hAnsi="Arial"/>
                <w:sz w:val="18"/>
                <w:szCs w:val="18"/>
                <w:b w:val="1"/>
                <w:bCs w:val="1"/>
                <w:color w:val="auto"/>
                <w:w w:val="90"/>
              </w:rPr>
              <w:t>240 Greenwich Street, Floor 18</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New York, New York 10286</w:t>
            </w:r>
          </w:p>
        </w:tc>
        <w:tc>
          <w:tcPr>
            <w:tcW w:w="3460" w:type="dxa"/>
            <w:vAlign w:val="bottom"/>
          </w:tcPr>
          <w:p>
            <w:pPr>
              <w:spacing w:after="0"/>
              <w:rPr>
                <w:sz w:val="18"/>
                <w:szCs w:val="18"/>
                <w:color w:val="auto"/>
              </w:rPr>
            </w:pPr>
          </w:p>
        </w:tc>
      </w:tr>
      <w:tr>
        <w:trPr>
          <w:trHeight w:val="212"/>
        </w:trPr>
        <w:tc>
          <w:tcPr>
            <w:tcW w:w="6660" w:type="dxa"/>
            <w:vAlign w:val="bottom"/>
            <w:gridSpan w:val="2"/>
          </w:tcPr>
          <w:p>
            <w:pPr>
              <w:jc w:val="center"/>
              <w:ind w:left="4259"/>
              <w:spacing w:after="0"/>
              <w:rPr>
                <w:sz w:val="20"/>
                <w:szCs w:val="20"/>
                <w:color w:val="auto"/>
              </w:rPr>
            </w:pPr>
            <w:r>
              <w:rPr>
                <w:rFonts w:ascii="Arial" w:cs="Arial" w:eastAsia="Arial" w:hAnsi="Arial"/>
                <w:sz w:val="18"/>
                <w:szCs w:val="18"/>
                <w:b w:val="1"/>
                <w:bCs w:val="1"/>
                <w:color w:val="auto"/>
                <w:w w:val="90"/>
              </w:rPr>
              <w:t>(212) 815-2421</w:t>
            </w:r>
          </w:p>
        </w:tc>
        <w:tc>
          <w:tcPr>
            <w:tcW w:w="9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86"/>
        </w:trPr>
        <w:tc>
          <w:tcPr>
            <w:tcW w:w="7560" w:type="dxa"/>
            <w:vAlign w:val="bottom"/>
            <w:gridSpan w:val="3"/>
          </w:tcPr>
          <w:p>
            <w:pPr>
              <w:jc w:val="center"/>
              <w:ind w:left="3379"/>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60" w:type="dxa"/>
            <w:vAlign w:val="bottom"/>
          </w:tcPr>
          <w:p>
            <w:pPr>
              <w:spacing w:after="0"/>
              <w:rPr>
                <w:sz w:val="16"/>
                <w:szCs w:val="16"/>
                <w:color w:val="auto"/>
              </w:rPr>
            </w:pP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AMDOCS LIMITED</w:t>
            </w:r>
          </w:p>
        </w:tc>
        <w:tc>
          <w:tcPr>
            <w:tcW w:w="3460" w:type="dxa"/>
            <w:vAlign w:val="bottom"/>
          </w:tcPr>
          <w:p>
            <w:pPr>
              <w:spacing w:after="0"/>
              <w:rPr>
                <w:sz w:val="24"/>
                <w:szCs w:val="24"/>
                <w:color w:val="auto"/>
              </w:rPr>
            </w:pPr>
          </w:p>
        </w:tc>
      </w:tr>
      <w:tr>
        <w:trPr>
          <w:trHeight w:val="186"/>
        </w:trPr>
        <w:tc>
          <w:tcPr>
            <w:tcW w:w="7560" w:type="dxa"/>
            <w:vAlign w:val="bottom"/>
            <w:gridSpan w:val="3"/>
          </w:tcPr>
          <w:p>
            <w:pPr>
              <w:jc w:val="center"/>
              <w:ind w:left="3379"/>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46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70"/>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89"/>
              </w:rPr>
              <w:t>Guernsey</w:t>
            </w:r>
          </w:p>
        </w:tc>
        <w:tc>
          <w:tcPr>
            <w:tcW w:w="3460" w:type="dxa"/>
            <w:vAlign w:val="bottom"/>
          </w:tcPr>
          <w:p>
            <w:pPr>
              <w:jc w:val="center"/>
              <w:ind w:right="1861"/>
              <w:spacing w:after="0"/>
              <w:rPr>
                <w:sz w:val="20"/>
                <w:szCs w:val="20"/>
                <w:color w:val="auto"/>
              </w:rPr>
            </w:pPr>
            <w:r>
              <w:rPr>
                <w:rFonts w:ascii="Arial" w:cs="Arial" w:eastAsia="Arial" w:hAnsi="Arial"/>
                <w:sz w:val="18"/>
                <w:szCs w:val="18"/>
                <w:b w:val="1"/>
                <w:bCs w:val="1"/>
                <w:color w:val="auto"/>
                <w:w w:val="92"/>
              </w:rPr>
              <w:t>Not Applicable</w:t>
            </w:r>
          </w:p>
        </w:tc>
      </w:tr>
      <w:tr>
        <w:trPr>
          <w:trHeight w:val="148"/>
        </w:trPr>
        <w:tc>
          <w:tcPr>
            <w:tcW w:w="756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right="18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6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right="1821"/>
              <w:spacing w:after="0"/>
              <w:rPr>
                <w:sz w:val="20"/>
                <w:szCs w:val="20"/>
                <w:color w:val="auto"/>
              </w:rPr>
            </w:pPr>
            <w:r>
              <w:rPr>
                <w:rFonts w:ascii="Arial" w:cs="Arial" w:eastAsia="Arial" w:hAnsi="Arial"/>
                <w:sz w:val="14"/>
                <w:szCs w:val="14"/>
                <w:b w:val="1"/>
                <w:bCs w:val="1"/>
                <w:color w:val="auto"/>
                <w:w w:val="92"/>
              </w:rPr>
              <w:t>identification no.)</w:t>
            </w:r>
          </w:p>
        </w:tc>
      </w:tr>
      <w:tr>
        <w:trPr>
          <w:trHeight w:val="408"/>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1"/>
              </w:rPr>
              <w:t>Hirzel House, Smith Street</w:t>
            </w:r>
          </w:p>
        </w:tc>
        <w:tc>
          <w:tcPr>
            <w:tcW w:w="3460" w:type="dxa"/>
            <w:vAlign w:val="bottom"/>
          </w:tcPr>
          <w:p>
            <w:pPr>
              <w:jc w:val="center"/>
              <w:ind w:right="1821"/>
              <w:spacing w:after="0"/>
              <w:rPr>
                <w:sz w:val="20"/>
                <w:szCs w:val="20"/>
                <w:color w:val="auto"/>
              </w:rPr>
            </w:pPr>
            <w:r>
              <w:rPr>
                <w:rFonts w:ascii="Arial" w:cs="Arial" w:eastAsia="Arial" w:hAnsi="Arial"/>
                <w:sz w:val="18"/>
                <w:szCs w:val="18"/>
                <w:b w:val="1"/>
                <w:bCs w:val="1"/>
                <w:color w:val="auto"/>
                <w:w w:val="97"/>
              </w:rPr>
              <w:t>GY1 2NG</w:t>
            </w:r>
          </w:p>
        </w:tc>
      </w:tr>
      <w:tr>
        <w:trPr>
          <w:trHeight w:val="216"/>
        </w:trPr>
        <w:tc>
          <w:tcPr>
            <w:tcW w:w="756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St. Peter Port, Guernsey</w:t>
            </w:r>
          </w:p>
        </w:tc>
        <w:tc>
          <w:tcPr>
            <w:tcW w:w="3460" w:type="dxa"/>
            <w:vAlign w:val="bottom"/>
          </w:tcPr>
          <w:p>
            <w:pPr>
              <w:jc w:val="center"/>
              <w:ind w:right="1821"/>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spacing w:after="0"/>
              <w:rPr>
                <w:sz w:val="16"/>
                <w:szCs w:val="16"/>
                <w:color w:val="auto"/>
              </w:rPr>
            </w:pP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Debt Securities</w:t>
            </w:r>
          </w:p>
        </w:tc>
        <w:tc>
          <w:tcPr>
            <w:tcW w:w="346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(Title of the indenture securities)</w:t>
            </w:r>
          </w:p>
        </w:tc>
        <w:tc>
          <w:tcPr>
            <w:tcW w:w="3460" w:type="dxa"/>
            <w:vAlign w:val="bottom"/>
          </w:tcPr>
          <w:p>
            <w:pPr>
              <w:spacing w:after="0"/>
              <w:rPr>
                <w:sz w:val="16"/>
                <w:szCs w:val="16"/>
                <w:color w:val="auto"/>
              </w:rPr>
            </w:pPr>
          </w:p>
        </w:tc>
      </w:tr>
      <w:tr>
        <w:trPr>
          <w:trHeight w:val="214"/>
        </w:trPr>
        <w:tc>
          <w:tcPr>
            <w:tcW w:w="4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109" w:name="page110"/>
    <w:bookmarkEnd w:id="109"/>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information. Furnish the following information as to the trustee:</w:t>
      </w:r>
    </w:p>
    <w:p>
      <w:pPr>
        <w:spacing w:after="0" w:line="252" w:lineRule="exact"/>
        <w:rPr>
          <w:sz w:val="20"/>
          <w:szCs w:val="20"/>
          <w:color w:val="auto"/>
        </w:rPr>
      </w:pPr>
    </w:p>
    <w:p>
      <w:pPr>
        <w:ind w:left="964" w:hanging="532"/>
        <w:spacing w:after="0"/>
        <w:tabs>
          <w:tab w:leader="none" w:pos="96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24"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5"/>
                <w:szCs w:val="15"/>
                <w:color w:val="auto"/>
              </w:rPr>
            </w:pPr>
          </w:p>
        </w:tc>
        <w:tc>
          <w:tcPr>
            <w:tcW w:w="508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Address</w:t>
            </w:r>
          </w:p>
        </w:tc>
      </w:tr>
      <w:tr>
        <w:trPr>
          <w:trHeight w:val="224"/>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Superintendent of Banks of the State of New York</w:t>
            </w:r>
          </w:p>
        </w:tc>
        <w:tc>
          <w:tcPr>
            <w:tcW w:w="1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One State Street, New York, NY 10004-1511</w:t>
            </w:r>
          </w:p>
        </w:tc>
      </w:tr>
      <w:tr>
        <w:trPr>
          <w:trHeight w:val="295"/>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Federal Reserve Bank of New York</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33 Liberty Street</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New York, NY 10045</w:t>
            </w:r>
          </w:p>
        </w:tc>
      </w:tr>
      <w:tr>
        <w:trPr>
          <w:trHeight w:val="310"/>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Federal Deposit Insurance Corporation</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550 17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Washington, D.C. 20429</w:t>
            </w:r>
          </w:p>
        </w:tc>
      </w:tr>
      <w:tr>
        <w:trPr>
          <w:trHeight w:val="32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3501 N. Fairfax Drive</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Arlington, VA 22226</w:t>
            </w:r>
          </w:p>
        </w:tc>
      </w:tr>
      <w:tr>
        <w:trPr>
          <w:trHeight w:val="323"/>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The Clearing House Association, L.L.C.</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450 West 33rd Street</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New York, NY 10001</w:t>
            </w:r>
          </w:p>
        </w:tc>
      </w:tr>
      <w:tr>
        <w:trPr>
          <w:trHeight w:val="459"/>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4980" w:type="dxa"/>
            <w:vAlign w:val="bottom"/>
          </w:tcPr>
          <w:p>
            <w:pPr>
              <w:ind w:left="100"/>
              <w:spacing w:after="0"/>
              <w:rPr>
                <w:sz w:val="20"/>
                <w:szCs w:val="20"/>
                <w:color w:val="auto"/>
              </w:rPr>
            </w:pPr>
            <w:r>
              <w:rPr>
                <w:rFonts w:ascii="Arial" w:cs="Arial" w:eastAsia="Arial" w:hAnsi="Arial"/>
                <w:sz w:val="18"/>
                <w:szCs w:val="18"/>
                <w:b w:val="1"/>
                <w:bCs w:val="1"/>
                <w:color w:val="auto"/>
                <w:w w:val="95"/>
              </w:rPr>
              <w:t>Whether it is authorized to exercise corporate trust powers.</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24"/>
        </w:trPr>
        <w:tc>
          <w:tcPr>
            <w:tcW w:w="440" w:type="dxa"/>
            <w:vAlign w:val="bottom"/>
            <w:gridSpan w:val="2"/>
          </w:tcPr>
          <w:p>
            <w:pPr>
              <w:ind w:left="20"/>
              <w:spacing w:after="0"/>
              <w:rPr>
                <w:sz w:val="20"/>
                <w:szCs w:val="20"/>
                <w:color w:val="auto"/>
              </w:rPr>
            </w:pPr>
            <w:r>
              <w:rPr>
                <w:rFonts w:ascii="Arial" w:cs="Arial" w:eastAsia="Arial" w:hAnsi="Arial"/>
                <w:sz w:val="18"/>
                <w:szCs w:val="18"/>
                <w:color w:val="auto"/>
              </w:rPr>
              <w:t>Yes.</w:t>
            </w: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103"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the obligor is an affiliate of the trustee, describe each such affiliation.</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Based upon an examination of the books and records of the trustee and upon information furnished by the obligor, the obligor is not an affiliate of the trustee.</w:t>
      </w:r>
    </w:p>
    <w:p>
      <w:pPr>
        <w:spacing w:after="0" w:line="72" w:lineRule="exact"/>
        <w:rPr>
          <w:sz w:val="20"/>
          <w:szCs w:val="20"/>
          <w:color w:val="auto"/>
        </w:rPr>
      </w:pPr>
    </w:p>
    <w:p>
      <w:pPr>
        <w:jc w:val="both"/>
        <w:ind w:left="424" w:right="160" w:hanging="431"/>
        <w:spacing w:after="0" w:line="289" w:lineRule="auto"/>
        <w:rPr>
          <w:sz w:val="20"/>
          <w:szCs w:val="20"/>
          <w:color w:val="auto"/>
        </w:rPr>
      </w:pPr>
      <w:r>
        <w:rPr>
          <w:rFonts w:ascii="Arial" w:cs="Arial" w:eastAsia="Arial" w:hAnsi="Arial"/>
          <w:sz w:val="17"/>
          <w:szCs w:val="17"/>
          <w:b w:val="1"/>
          <w:bCs w:val="1"/>
          <w:color w:val="auto"/>
        </w:rPr>
        <w:t>3-15. Pursuant to General Instruction B of the Form T-1, no responses are included for Items 3-15 of this Form T-1 because, to the best of The Bank of New York Mellon’s knowledge, the obligor is not in default on any securities issued under indentures under which The Bank of New York Mellon acts as trustee and the trustee is not a foreign trustee as provided under Item 15.</w:t>
      </w:r>
    </w:p>
    <w:p>
      <w:pPr>
        <w:sectPr>
          <w:pgSz w:w="11900" w:h="16838" w:orient="portrait"/>
          <w:cols w:equalWidth="0" w:num="1">
            <w:col w:w="11024"/>
          </w:cols>
          <w:pgMar w:left="436" w:top="270" w:right="439" w:bottom="1440" w:gutter="0" w:footer="0" w:header="0"/>
        </w:sectPr>
      </w:pPr>
    </w:p>
    <w:bookmarkStart w:id="110" w:name="page111"/>
    <w:bookmarkEnd w:id="110"/>
    <w:p>
      <w:pPr>
        <w:ind w:left="424" w:hanging="424"/>
        <w:spacing w:after="0"/>
        <w:tabs>
          <w:tab w:leader="none" w:pos="424"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List of Exhibits.</w:t>
      </w:r>
    </w:p>
    <w:p>
      <w:pPr>
        <w:spacing w:after="0" w:line="117" w:lineRule="exact"/>
        <w:rPr>
          <w:rFonts w:ascii="Arial" w:cs="Arial" w:eastAsia="Arial" w:hAnsi="Arial"/>
          <w:sz w:val="18"/>
          <w:szCs w:val="18"/>
          <w:b w:val="1"/>
          <w:bCs w:val="1"/>
          <w:color w:val="auto"/>
        </w:rPr>
      </w:pPr>
    </w:p>
    <w:p>
      <w:pPr>
        <w:ind w:left="444"/>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pacing w:after="0" w:line="85" w:lineRule="exact"/>
        <w:rPr>
          <w:rFonts w:ascii="Arial" w:cs="Arial" w:eastAsia="Arial" w:hAnsi="Arial"/>
          <w:sz w:val="18"/>
          <w:szCs w:val="18"/>
          <w:b w:val="1"/>
          <w:bCs w:val="1"/>
          <w:color w:val="auto"/>
        </w:rPr>
      </w:pPr>
    </w:p>
    <w:p>
      <w:pPr>
        <w:ind w:left="964" w:right="20" w:hanging="532"/>
        <w:spacing w:after="0" w:line="296" w:lineRule="auto"/>
        <w:tabs>
          <w:tab w:leader="none" w:pos="964"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67" w:lineRule="exact"/>
        <w:rPr>
          <w:sz w:val="20"/>
          <w:szCs w:val="20"/>
          <w:color w:val="auto"/>
        </w:rPr>
      </w:pPr>
    </w:p>
    <w:p>
      <w:pPr>
        <w:ind w:left="964" w:hanging="532"/>
        <w:spacing w:after="0"/>
        <w:tabs>
          <w:tab w:leader="none" w:pos="9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existing By-Laws of the trustee. (Exhibit 4 to Form T-1 filed with Registration Statement No. 333-235558.)</w:t>
      </w:r>
    </w:p>
    <w:p>
      <w:pPr>
        <w:spacing w:after="0" w:line="131" w:lineRule="exact"/>
        <w:rPr>
          <w:sz w:val="20"/>
          <w:szCs w:val="20"/>
          <w:color w:val="auto"/>
        </w:rPr>
      </w:pPr>
    </w:p>
    <w:p>
      <w:pPr>
        <w:ind w:left="964" w:right="1140" w:hanging="532"/>
        <w:spacing w:after="0" w:line="277" w:lineRule="auto"/>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with Registration Statement No. 333-152735.)</w:t>
      </w:r>
    </w:p>
    <w:p>
      <w:pPr>
        <w:spacing w:after="0" w:line="75" w:lineRule="exact"/>
        <w:rPr>
          <w:rFonts w:ascii="Arial" w:cs="Arial" w:eastAsia="Arial" w:hAnsi="Arial"/>
          <w:sz w:val="18"/>
          <w:szCs w:val="18"/>
          <w:color w:val="auto"/>
        </w:rPr>
      </w:pPr>
    </w:p>
    <w:p>
      <w:pPr>
        <w:ind w:left="964" w:right="300" w:hanging="532"/>
        <w:spacing w:after="0" w:line="277" w:lineRule="auto"/>
        <w:tabs>
          <w:tab w:leader="none" w:pos="9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0864"/>
          </w:cols>
          <w:pgMar w:left="436" w:top="270" w:right="599" w:bottom="1440" w:gutter="0" w:footer="0" w:header="0"/>
        </w:sectPr>
      </w:pPr>
    </w:p>
    <w:bookmarkStart w:id="111" w:name="page112"/>
    <w:bookmarkEnd w:id="111"/>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11</w:t>
      </w:r>
      <w:r>
        <w:rPr>
          <w:rFonts w:ascii="Arial" w:cs="Arial" w:eastAsia="Arial" w:hAnsi="Arial"/>
          <w:sz w:val="15"/>
          <w:szCs w:val="15"/>
          <w:color w:val="auto"/>
        </w:rPr>
        <w:t>th</w:t>
      </w:r>
      <w:r>
        <w:rPr>
          <w:rFonts w:ascii="Arial" w:cs="Arial" w:eastAsia="Arial" w:hAnsi="Arial"/>
          <w:sz w:val="18"/>
          <w:szCs w:val="18"/>
          <w:color w:val="auto"/>
        </w:rPr>
        <w:t xml:space="preserve"> day of June 2020.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Latoya Elvin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Latoya Elvin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880"/>
          </w:cols>
          <w:pgMar w:left="440" w:top="274" w:right="5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7</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Consolidated Report of Condition of</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BANK OF NEW YORK MELLON</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of 240 Greenwich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 member of the Federal Reserve System, at the close of business March 31, 2020, published in accordance with a call made by the Federal Reserve Bank of this District pursuant to the provisions of the Federal Reserve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3500" w:type="dxa"/>
            <w:vAlign w:val="bottom"/>
            <w:gridSpan w:val="4"/>
          </w:tcPr>
          <w:p>
            <w:pPr>
              <w:ind w:left="1840"/>
              <w:spacing w:after="0"/>
              <w:rPr>
                <w:sz w:val="20"/>
                <w:szCs w:val="20"/>
                <w:color w:val="auto"/>
              </w:rPr>
            </w:pPr>
            <w:r>
              <w:rPr>
                <w:rFonts w:ascii="Arial" w:cs="Arial" w:eastAsia="Arial" w:hAnsi="Arial"/>
                <w:sz w:val="14"/>
                <w:szCs w:val="14"/>
                <w:color w:val="auto"/>
                <w:w w:val="92"/>
              </w:rPr>
              <w:t>Dollar amounts in thousands</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balances and currency and coin</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4,072,000</w:t>
            </w: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Interest-bearing balances</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165,889,000</w:t>
            </w: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Held-to-maturity securities</w:t>
            </w:r>
          </w:p>
        </w:tc>
        <w:tc>
          <w:tcPr>
            <w:tcW w:w="3500" w:type="dxa"/>
            <w:vAlign w:val="bottom"/>
            <w:gridSpan w:val="4"/>
          </w:tcPr>
          <w:p>
            <w:pPr>
              <w:jc w:val="right"/>
              <w:ind w:right="60"/>
              <w:spacing w:after="0"/>
              <w:rPr>
                <w:sz w:val="20"/>
                <w:szCs w:val="20"/>
                <w:color w:val="auto"/>
              </w:rPr>
            </w:pPr>
            <w:r>
              <w:rPr>
                <w:rFonts w:ascii="Arial" w:cs="Arial" w:eastAsia="Arial" w:hAnsi="Arial"/>
                <w:sz w:val="18"/>
                <w:szCs w:val="18"/>
                <w:color w:val="auto"/>
              </w:rPr>
              <w:t>37,050,000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3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99,180,000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3500" w:type="dxa"/>
            <w:vAlign w:val="bottom"/>
            <w:gridSpan w:val="4"/>
          </w:tcPr>
          <w:p>
            <w:pPr>
              <w:jc w:val="right"/>
              <w:ind w:right="60"/>
              <w:spacing w:after="0"/>
              <w:rPr>
                <w:sz w:val="20"/>
                <w:szCs w:val="20"/>
                <w:color w:val="auto"/>
              </w:rPr>
            </w:pPr>
            <w:r>
              <w:rPr>
                <w:rFonts w:ascii="Arial" w:cs="Arial" w:eastAsia="Arial" w:hAnsi="Arial"/>
                <w:sz w:val="18"/>
                <w:szCs w:val="18"/>
                <w:color w:val="auto"/>
              </w:rPr>
              <w:t>56,000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Federal funds sold in domestic offices</w:t>
            </w:r>
          </w:p>
        </w:tc>
        <w:tc>
          <w:tcPr>
            <w:tcW w:w="350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under agreements to resell</w:t>
            </w:r>
          </w:p>
        </w:tc>
        <w:tc>
          <w:tcPr>
            <w:tcW w:w="3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13,340,000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sale</w:t>
            </w:r>
          </w:p>
        </w:tc>
        <w:tc>
          <w:tcPr>
            <w:tcW w:w="3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Loans and leases held for investment</w:t>
            </w:r>
          </w:p>
        </w:tc>
        <w:tc>
          <w:tcPr>
            <w:tcW w:w="3500" w:type="dxa"/>
            <w:vAlign w:val="bottom"/>
            <w:gridSpan w:val="4"/>
          </w:tcPr>
          <w:p>
            <w:pPr>
              <w:jc w:val="right"/>
              <w:ind w:right="60"/>
              <w:spacing w:after="0"/>
              <w:rPr>
                <w:sz w:val="20"/>
                <w:szCs w:val="20"/>
                <w:color w:val="auto"/>
              </w:rPr>
            </w:pPr>
            <w:r>
              <w:rPr>
                <w:rFonts w:ascii="Arial" w:cs="Arial" w:eastAsia="Arial" w:hAnsi="Arial"/>
                <w:sz w:val="18"/>
                <w:szCs w:val="18"/>
                <w:color w:val="auto"/>
              </w:rPr>
              <w:t>32,279,000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Allowance for loan and lease losses</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124,000</w:t>
            </w: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Loans and leases held for investment, net of allowance</w:t>
            </w:r>
          </w:p>
        </w:tc>
        <w:tc>
          <w:tcPr>
            <w:tcW w:w="3500" w:type="dxa"/>
            <w:vAlign w:val="bottom"/>
            <w:gridSpan w:val="4"/>
          </w:tcPr>
          <w:p>
            <w:pPr>
              <w:jc w:val="right"/>
              <w:ind w:right="60"/>
              <w:spacing w:after="0"/>
              <w:rPr>
                <w:sz w:val="20"/>
                <w:szCs w:val="20"/>
                <w:color w:val="auto"/>
              </w:rPr>
            </w:pPr>
            <w:r>
              <w:rPr>
                <w:rFonts w:ascii="Arial" w:cs="Arial" w:eastAsia="Arial" w:hAnsi="Arial"/>
                <w:sz w:val="18"/>
                <w:szCs w:val="18"/>
                <w:color w:val="auto"/>
              </w:rPr>
              <w:t>32,155,000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6,612,000</w:t>
            </w: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2,967,000</w:t>
            </w: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1,680,000</w:t>
            </w: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3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Intangible assets:</w:t>
            </w:r>
          </w:p>
        </w:tc>
        <w:tc>
          <w:tcPr>
            <w:tcW w:w="3460" w:type="dxa"/>
            <w:vAlign w:val="bottom"/>
            <w:gridSpan w:val="3"/>
          </w:tcPr>
          <w:p>
            <w:pPr>
              <w:jc w:val="right"/>
              <w:ind w:right="20"/>
              <w:spacing w:after="0"/>
              <w:rPr>
                <w:sz w:val="20"/>
                <w:szCs w:val="20"/>
                <w:color w:val="auto"/>
              </w:rPr>
            </w:pPr>
            <w:r>
              <w:rPr>
                <w:rFonts w:ascii="Arial" w:cs="Arial" w:eastAsia="Arial" w:hAnsi="Arial"/>
                <w:sz w:val="18"/>
                <w:szCs w:val="18"/>
                <w:color w:val="auto"/>
              </w:rPr>
              <w:t>6,963,000</w:t>
            </w:r>
          </w:p>
        </w:tc>
        <w:tc>
          <w:tcPr>
            <w:tcW w:w="4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5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17,072,000</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387,037,000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207,668,000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96,706,000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110,962,000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 foreign offices, Edge and Agreement subsidiaries, and IBFs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130,088,000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3,997,000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126,091,000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Federal funds purchased in domestic offices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524,000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3,654,000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5,061,000</w:t>
            </w:r>
          </w:p>
        </w:tc>
      </w:tr>
      <w:tr>
        <w:trPr>
          <w:trHeight w:val="202"/>
        </w:trPr>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borrowed money:</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0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3,415,000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9,664,000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360,074,000</w:t>
            </w:r>
          </w:p>
        </w:tc>
        <w:tc>
          <w:tcPr>
            <w:tcW w:w="60" w:type="dxa"/>
            <w:vAlign w:val="bottom"/>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11,489,000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15,814,000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-1,475,000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26,963,000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equity capital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26,963,000</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387,037,000</w:t>
            </w: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114" w:name="page115"/>
    <w:bookmarkEnd w:id="11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Michael Santomassimo, Chief Financial Officer of the above-named bank do hereby declare that this Report of Condition is true and correct to the best of my knowledge and belief.</w:t>
      </w:r>
    </w:p>
    <w:p>
      <w:pPr>
        <w:spacing w:after="0" w:line="197"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Michael Santomassimo</w:t>
      </w:r>
    </w:p>
    <w:p>
      <w:pPr>
        <w:spacing w:after="0" w:line="23"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ectPr>
          <w:pgSz w:w="11900" w:h="16838" w:orient="portrait"/>
          <w:cols w:equalWidth="0" w:num="1">
            <w:col w:w="10860"/>
          </w:cols>
          <w:pgMar w:left="440" w:top="274" w:right="59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Thomas P. Gibbons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Samuel C. Scott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Joseph J. Echevarria</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-252730</wp:posOffset>
            </wp:positionV>
            <wp:extent cx="196850" cy="428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196850" cy="428625"/>
                    </a:xfrm>
                    <a:prstGeom prst="rect">
                      <a:avLst/>
                    </a:prstGeom>
                    <a:noFill/>
                  </pic:spPr>
                </pic:pic>
              </a:graphicData>
            </a:graphic>
          </wp:anchor>
        </w:drawing>
      </w:r>
    </w:p>
    <w:sectPr>
      <w:pgSz w:w="11900" w:h="16838" w:orient="portrait"/>
      <w:cols w:equalWidth="0" w:num="2">
        <w:col w:w="3340" w:space="720"/>
        <w:col w:w="6800"/>
      </w:cols>
      <w:pgMar w:left="440" w:top="274"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lowerLetter"/>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lowerRoman"/>
      <w:start w:val="2"/>
    </w:lvl>
  </w:abstractNum>
  <w:abstractNum w:abstractNumId="12">
    <w:nsid w:val="374A3FE6"/>
    <w:multiLevelType w:val="hybridMultilevel"/>
    <w:lvl w:ilvl="0">
      <w:lvlJc w:val="left"/>
      <w:lvlText w:val="•"/>
      <w:numFmt w:val="bullet"/>
      <w:start w:val="1"/>
    </w:lvl>
    <w:lvl w:ilvl="1">
      <w:lvlJc w:val="left"/>
      <w:lvlText w:val="(%2)"/>
      <w:numFmt w:val="lowerRoman"/>
      <w:start w:val="2"/>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15B5AF5C"/>
    <w:multiLevelType w:val="hybridMultilevel"/>
    <w:lvl w:ilvl="0">
      <w:lvlJc w:val="left"/>
      <w:lvlText w:val="(%1)"/>
      <w:numFmt w:val="decimal"/>
      <w:start w:val="2"/>
    </w:lvl>
  </w:abstractNum>
  <w:abstractNum w:abstractNumId="24">
    <w:nsid w:val="741226BB"/>
    <w:multiLevelType w:val="hybridMultilevel"/>
    <w:lvl w:ilvl="0">
      <w:lvlJc w:val="left"/>
      <w:lvlText w:val="(%1)"/>
      <w:numFmt w:val="upperLetter"/>
      <w:start w:val="1"/>
    </w:lvl>
  </w:abstractNum>
  <w:abstractNum w:abstractNumId="25">
    <w:nsid w:val="D34B6A8"/>
    <w:multiLevelType w:val="hybridMultilevel"/>
    <w:lvl w:ilvl="0">
      <w:lvlJc w:val="left"/>
      <w:lvlText w:val="%1"/>
      <w:numFmt w:val="decimal"/>
      <w:start w:val="1"/>
    </w:lvl>
    <w:lvl w:ilvl="1">
      <w:lvlJc w:val="left"/>
      <w:lvlText w:val="(%2)"/>
      <w:numFmt w:val="upperLetter"/>
      <w:start w:val="2"/>
    </w:lvl>
  </w:abstractNum>
  <w:abstractNum w:abstractNumId="26">
    <w:nsid w:val="10233C99"/>
    <w:multiLevelType w:val="hybridMultilevel"/>
    <w:lvl w:ilvl="0">
      <w:lvlJc w:val="left"/>
      <w:lvlText w:val="(%1)"/>
      <w:numFmt w:val="decimal"/>
      <w:start w:val="6"/>
    </w:lvl>
    <w:lvl w:ilvl="1">
      <w:lvlJc w:val="left"/>
      <w:lvlText w:val="%2"/>
      <w:numFmt w:val="upperLetter"/>
      <w:start w:val="1"/>
    </w:lvl>
  </w:abstractNum>
  <w:abstractNum w:abstractNumId="27">
    <w:nsid w:val="3F6AB60F"/>
    <w:multiLevelType w:val="hybridMultilevel"/>
    <w:lvl w:ilvl="0">
      <w:lvlJc w:val="left"/>
      <w:lvlText w:val="%1"/>
      <w:numFmt w:val="decimal"/>
      <w:start w:val="1"/>
    </w:lvl>
    <w:lvl w:ilvl="1">
      <w:lvlJc w:val="left"/>
      <w:lvlText w:val="(%2)"/>
      <w:numFmt w:val="lowerRoman"/>
      <w:start w:val="2"/>
    </w:lvl>
  </w:abstractNum>
  <w:abstractNum w:abstractNumId="28">
    <w:nsid w:val="61574095"/>
    <w:multiLevelType w:val="hybridMultilevel"/>
    <w:lvl w:ilvl="0">
      <w:lvlJc w:val="left"/>
      <w:lvlText w:val="(%1)"/>
      <w:numFmt w:val="decimal"/>
      <w:start w:val="7"/>
    </w:lvl>
    <w:lvl w:ilvl="1">
      <w:lvlJc w:val="left"/>
      <w:lvlText w:val="%2"/>
      <w:numFmt w:val="lowerRoman"/>
      <w:start w:val="1"/>
    </w:lvl>
  </w:abstractNum>
  <w:abstractNum w:abstractNumId="29">
    <w:nsid w:val="7E0C57B1"/>
    <w:multiLevelType w:val="hybridMultilevel"/>
    <w:lvl w:ilvl="0">
      <w:lvlJc w:val="left"/>
      <w:lvlText w:val="(%1)"/>
      <w:numFmt w:val="lowerLetter"/>
      <w:start w:val="2"/>
    </w:lvl>
    <w:lvl w:ilvl="1">
      <w:lvlJc w:val="left"/>
      <w:lvlText w:val="(%2)"/>
      <w:numFmt w:val="decimal"/>
      <w:start w:val="1"/>
    </w:lvl>
  </w:abstractNum>
  <w:abstractNum w:abstractNumId="30">
    <w:nsid w:val="77AE35EB"/>
    <w:multiLevelType w:val="hybridMultilevel"/>
    <w:lvl w:ilvl="0">
      <w:lvlJc w:val="left"/>
      <w:lvlText w:val="(%1)"/>
      <w:numFmt w:val="lowerLetter"/>
      <w:start w:val="2"/>
    </w:lvl>
  </w:abstractNum>
  <w:abstractNum w:abstractNumId="31">
    <w:nsid w:val="579BE4F1"/>
    <w:multiLevelType w:val="hybridMultilevel"/>
    <w:lvl w:ilvl="0">
      <w:lvlJc w:val="left"/>
      <w:lvlText w:val="(%1)"/>
      <w:numFmt w:val="lowerLetter"/>
      <w:start w:val="2"/>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lowerLetter"/>
      <w:start w:val="2"/>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3"/>
    </w:lvl>
    <w:lvl w:ilvl="1">
      <w:lvlJc w:val="left"/>
      <w:lvlText w:val="(%2)"/>
      <w:numFmt w:val="lowerRoman"/>
      <w:start w:val="1"/>
    </w:lvl>
  </w:abstractNum>
  <w:abstractNum w:abstractNumId="38">
    <w:nsid w:val="1F48EAA1"/>
    <w:multiLevelType w:val="hybridMultilevel"/>
    <w:lvl w:ilvl="0">
      <w:lvlJc w:val="left"/>
      <w:lvlText w:val="(%1)"/>
      <w:numFmt w:val="lowerLetter"/>
      <w:start w:val="7"/>
    </w:lvl>
  </w:abstractNum>
  <w:abstractNum w:abstractNumId="39">
    <w:nsid w:val="1381823A"/>
    <w:multiLevelType w:val="hybridMultilevel"/>
    <w:lvl w:ilvl="0">
      <w:lvlJc w:val="left"/>
      <w:lvlText w:val="(%1)"/>
      <w:numFmt w:val="lowerRoman"/>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2"/>
    </w:lvl>
    <w:lvl w:ilvl="1">
      <w:lvlJc w:val="left"/>
      <w:lvlText w:val="(%2)"/>
      <w:numFmt w:val="lowerRoman"/>
      <w:start w:val="1"/>
    </w:lvl>
  </w:abstractNum>
  <w:abstractNum w:abstractNumId="46">
    <w:nsid w:val="799D0247"/>
    <w:multiLevelType w:val="hybridMultilevel"/>
    <w:lvl w:ilvl="0">
      <w:lvlJc w:val="left"/>
      <w:lvlText w:val="%1"/>
      <w:numFmt w:val="lowerLetter"/>
      <w:start w:val="1"/>
    </w:lvl>
    <w:lvl w:ilvl="1">
      <w:lvlJc w:val="left"/>
      <w:lvlText w:val="(%2)"/>
      <w:numFmt w:val="lowerRoman"/>
      <w:start w:val="2"/>
    </w:lvl>
  </w:abstractNum>
  <w:abstractNum w:abstractNumId="47">
    <w:nsid w:val="6B94764"/>
    <w:multiLevelType w:val="hybridMultilevel"/>
    <w:lvl w:ilvl="0">
      <w:lvlJc w:val="left"/>
      <w:lvlText w:val="(%1)"/>
      <w:numFmt w:val="lowerLetter"/>
      <w:start w:val="4"/>
    </w:lvl>
    <w:lvl w:ilvl="1">
      <w:lvlJc w:val="left"/>
      <w:lvlText w:val="%2"/>
      <w:numFmt w:val="lowerRoman"/>
      <w:start w:val="1"/>
    </w:lvl>
  </w:abstractNum>
  <w:abstractNum w:abstractNumId="48">
    <w:nsid w:val="42C296BD"/>
    <w:multiLevelType w:val="hybridMultilevel"/>
    <w:lvl w:ilvl="0">
      <w:lvlJc w:val="left"/>
      <w:lvlText w:val="(%1)"/>
      <w:numFmt w:val="lowerLetter"/>
      <w:start w:val="2"/>
    </w:lvl>
  </w:abstractNum>
  <w:abstractNum w:abstractNumId="49">
    <w:nsid w:val="168E121F"/>
    <w:multiLevelType w:val="hybridMultilevel"/>
    <w:lvl w:ilvl="0">
      <w:lvlJc w:val="left"/>
      <w:lvlText w:val="(%1)"/>
      <w:numFmt w:val="lowerLetter"/>
      <w:start w:val="5"/>
    </w:lvl>
  </w:abstractNum>
  <w:abstractNum w:abstractNumId="50">
    <w:nsid w:val="1EBA5D23"/>
    <w:multiLevelType w:val="hybridMultilevel"/>
    <w:lvl w:ilvl="0">
      <w:lvlJc w:val="left"/>
      <w:lvlText w:val="(%1)"/>
      <w:numFmt w:val="lowerLetter"/>
      <w:start w:val="13"/>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lvl w:ilvl="1">
      <w:lvlJc w:val="left"/>
      <w:lvlText w:val="(%2)"/>
      <w:numFmt w:val="lowerLetter"/>
      <w:start w:val="9"/>
    </w:lvl>
  </w:abstractNum>
  <w:abstractNum w:abstractNumId="53">
    <w:nsid w:val="540A471C"/>
    <w:multiLevelType w:val="hybridMultilevel"/>
    <w:lvl w:ilvl="0">
      <w:lvlJc w:val="left"/>
      <w:lvlText w:val="(%1)"/>
      <w:numFmt w:val="lowerRoman"/>
      <w:start w:val="2"/>
    </w:lvl>
    <w:lvl w:ilvl="1">
      <w:lvlJc w:val="left"/>
      <w:lvlText w:val="(%2)"/>
      <w:numFmt w:val="decimal"/>
      <w:start w:val="1"/>
    </w:lvl>
  </w:abstractNum>
  <w:abstractNum w:abstractNumId="54">
    <w:nsid w:val="7BD3EE7B"/>
    <w:multiLevelType w:val="hybridMultilevel"/>
    <w:lvl w:ilvl="0">
      <w:lvlJc w:val="left"/>
      <w:lvlText w:val="(%1)"/>
      <w:numFmt w:val="lowerLetter"/>
      <w:start w:val="2"/>
    </w:lvl>
  </w:abstractNum>
  <w:abstractNum w:abstractNumId="55">
    <w:nsid w:val="51D9C564"/>
    <w:multiLevelType w:val="hybridMultilevel"/>
    <w:lvl w:ilvl="0">
      <w:lvlJc w:val="left"/>
      <w:lvlText w:val="(%1)"/>
      <w:numFmt w:val="lowerLetter"/>
      <w:start w:val="2"/>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1)"/>
      <w:numFmt w:val="lowerLetter"/>
      <w:start w:val="2"/>
    </w:lvl>
  </w:abstractNum>
  <w:abstractNum w:abstractNumId="58">
    <w:nsid w:val="11447B73"/>
    <w:multiLevelType w:val="hybridMultilevel"/>
    <w:lvl w:ilvl="0">
      <w:lvlJc w:val="left"/>
      <w:lvlText w:val="(%1)"/>
      <w:numFmt w:val="lowerLetter"/>
      <w:start w:val="4"/>
    </w:lvl>
  </w:abstractNum>
  <w:abstractNum w:abstractNumId="59">
    <w:nsid w:val="42963E5A"/>
    <w:multiLevelType w:val="hybridMultilevel"/>
    <w:lvl w:ilvl="0">
      <w:lvlJc w:val="left"/>
      <w:lvlText w:val="(%1)"/>
      <w:numFmt w:val="lowerLetter"/>
      <w:start w:val="8"/>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lowerLetter"/>
      <w:start w:val="2"/>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2"/>
    </w:lvl>
  </w:abstractNum>
  <w:abstractNum w:abstractNumId="64">
    <w:nsid w:val="68EB2F63"/>
    <w:multiLevelType w:val="hybridMultilevel"/>
    <w:lvl w:ilvl="0">
      <w:lvlJc w:val="left"/>
      <w:lvlText w:val="(%1)"/>
      <w:numFmt w:val="lowerLetter"/>
      <w:start w:val="10"/>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11"/>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2"/>
    </w:lvl>
  </w:abstractNum>
  <w:abstractNum w:abstractNumId="71">
    <w:nsid w:val="71EA1109"/>
    <w:multiLevelType w:val="hybridMultilevel"/>
    <w:lvl w:ilvl="0">
      <w:lvlJc w:val="left"/>
      <w:lvlText w:val="%1."/>
      <w:numFmt w:val="decimal"/>
      <w:start w:val="3"/>
    </w:lvl>
  </w:abstractNum>
  <w:abstractNum w:abstractNumId="72">
    <w:nsid w:val="100F59DC"/>
    <w:multiLevelType w:val="hybridMultilevel"/>
    <w:lvl w:ilvl="0">
      <w:lvlJc w:val="left"/>
      <w:lvlText w:val="%1."/>
      <w:numFmt w:val="decimal"/>
      <w:start w:val="4"/>
    </w:lvl>
  </w:abstractNum>
  <w:abstractNum w:abstractNumId="73">
    <w:nsid w:val="7FB7E0AA"/>
    <w:multiLevelType w:val="hybridMultilevel"/>
    <w:lvl w:ilvl="0">
      <w:lvlJc w:val="left"/>
      <w:lvlText w:val="%1."/>
      <w:numFmt w:val="decimal"/>
      <w:start w:val="5"/>
    </w:lvl>
  </w:abstractNum>
  <w:abstractNum w:abstractNumId="74">
    <w:nsid w:val="6EB5BD4"/>
    <w:multiLevelType w:val="hybridMultilevel"/>
    <w:lvl w:ilvl="0">
      <w:lvlJc w:val="left"/>
      <w:lvlText w:val="%1."/>
      <w:numFmt w:val="decimal"/>
      <w:start w:val="6"/>
    </w:lvl>
  </w:abstractNum>
  <w:abstractNum w:abstractNumId="75">
    <w:nsid w:val="6F6DD9AC"/>
    <w:multiLevelType w:val="hybridMultilevel"/>
    <w:lvl w:ilvl="0">
      <w:lvlJc w:val="left"/>
      <w:lvlText w:val="%1."/>
      <w:numFmt w:val="decimal"/>
      <w:start w:val="7"/>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2"/>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decimal"/>
      <w:start w:val="5"/>
    </w:lvl>
  </w:abstractNum>
  <w:abstractNum w:abstractNumId="82">
    <w:nsid w:val="3222E7CD"/>
    <w:multiLevelType w:val="hybridMultilevel"/>
    <w:lvl w:ilvl="0">
      <w:lvlJc w:val="left"/>
      <w:lvlText w:val="%1."/>
      <w:numFmt w:val="decimal"/>
      <w:start w:val="10"/>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5"/>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2"/>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2"/>
    </w:lvl>
  </w:abstractNum>
  <w:abstractNum w:abstractNumId="92">
    <w:nsid w:val="60EF0119"/>
    <w:multiLevelType w:val="hybridMultilevel"/>
    <w:lvl w:ilvl="0">
      <w:lvlJc w:val="left"/>
      <w:lvlText w:val="%1."/>
      <w:numFmt w:val="decimal"/>
      <w:start w:val="16"/>
    </w:lvl>
    <w:lvl w:ilvl="1">
      <w:lvlJc w:val="left"/>
      <w:lvlText w:val="%2."/>
      <w:numFmt w:val="decimal"/>
      <w:start w:val="1"/>
    </w:lvl>
  </w:abstractNum>
  <w:abstractNum w:abstractNumId="93">
    <w:nsid w:val="26F324BA"/>
    <w:multiLevelType w:val="hybridMultilevel"/>
    <w:lvl w:ilvl="0">
      <w:lvlJc w:val="left"/>
      <w:lvlText w:val="%1."/>
      <w:numFmt w:val="decimal"/>
      <w:start w:val="4"/>
    </w:lvl>
  </w:abstractNum>
  <w:abstractNum w:abstractNumId="94">
    <w:nsid w:val="7F01579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jpeg"/><Relationship Id="rId120" Type="http://schemas.openxmlformats.org/officeDocument/2006/relationships/image" Target="media/image110.jpeg"/><Relationship Id="rId121" Type="http://schemas.openxmlformats.org/officeDocument/2006/relationships/image" Target="media/image111.jpeg"/><Relationship Id="rId122" Type="http://schemas.openxmlformats.org/officeDocument/2006/relationships/image" Target="media/image112.jpeg"/><Relationship Id="rId123" Type="http://schemas.openxmlformats.org/officeDocument/2006/relationships/image" Target="media/image113.jpeg"/><Relationship Id="rId124" Type="http://schemas.openxmlformats.org/officeDocument/2006/relationships/image" Target="media/image114.png"/><Relationship Id="rId125" Type="http://schemas.openxmlformats.org/officeDocument/2006/relationships/image" Target="media/image115.jpeg"/><Relationship Id="rId126" Type="http://schemas.openxmlformats.org/officeDocument/2006/relationships/image" Target="media/image116.png"/><Relationship Id="rId127" Type="http://schemas.openxmlformats.org/officeDocument/2006/relationships/image" Target="media/image117.jpeg"/><Relationship Id="rId128" Type="http://schemas.openxmlformats.org/officeDocument/2006/relationships/image" Target="media/image118.png"/><Relationship Id="rId129" Type="http://schemas.openxmlformats.org/officeDocument/2006/relationships/image" Target="media/image119.jpeg"/><Relationship Id="rId130" Type="http://schemas.openxmlformats.org/officeDocument/2006/relationships/image" Target="media/image120.png"/><Relationship Id="rId131" Type="http://schemas.openxmlformats.org/officeDocument/2006/relationships/image" Target="media/image121.jpeg"/><Relationship Id="rId132" Type="http://schemas.openxmlformats.org/officeDocument/2006/relationships/image" Target="media/image122.png"/><Relationship Id="rId133" Type="http://schemas.openxmlformats.org/officeDocument/2006/relationships/image" Target="media/image123.jpeg"/><Relationship Id="rId134" Type="http://schemas.openxmlformats.org/officeDocument/2006/relationships/image" Target="media/image124.png"/><Relationship Id="rId135" Type="http://schemas.openxmlformats.org/officeDocument/2006/relationships/image" Target="media/image125.jpeg"/><Relationship Id="rId136" Type="http://schemas.openxmlformats.org/officeDocument/2006/relationships/image" Target="media/image126.png"/><Relationship Id="rId137" Type="http://schemas.openxmlformats.org/officeDocument/2006/relationships/image" Target="media/image127.jpeg"/><Relationship Id="rId138" Type="http://schemas.openxmlformats.org/officeDocument/2006/relationships/image" Target="media/image128.png"/><Relationship Id="rId139" Type="http://schemas.openxmlformats.org/officeDocument/2006/relationships/image" Target="media/image129.jpeg"/><Relationship Id="rId140" Type="http://schemas.openxmlformats.org/officeDocument/2006/relationships/image" Target="media/image130.png"/><Relationship Id="rId141" Type="http://schemas.openxmlformats.org/officeDocument/2006/relationships/image" Target="media/image131.jpeg"/><Relationship Id="rId142" Type="http://schemas.openxmlformats.org/officeDocument/2006/relationships/image" Target="media/image132.png"/><Relationship Id="rId143" Type="http://schemas.openxmlformats.org/officeDocument/2006/relationships/image" Target="media/image133.jpeg"/><Relationship Id="rId144" Type="http://schemas.openxmlformats.org/officeDocument/2006/relationships/image" Target="media/image134.png"/><Relationship Id="rId145" Type="http://schemas.openxmlformats.org/officeDocument/2006/relationships/image" Target="media/image135.jpeg"/><Relationship Id="rId146" Type="http://schemas.openxmlformats.org/officeDocument/2006/relationships/image" Target="media/image136.png"/><Relationship Id="rId147" Type="http://schemas.openxmlformats.org/officeDocument/2006/relationships/image" Target="media/image137.jpeg"/><Relationship Id="rId148" Type="http://schemas.openxmlformats.org/officeDocument/2006/relationships/image" Target="media/image138.jpeg"/><Relationship Id="rId149" Type="http://schemas.openxmlformats.org/officeDocument/2006/relationships/image" Target="media/image139.jpe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30" Type="http://schemas.openxmlformats.org/officeDocument/2006/relationships/hyperlink" Target="http://www.sec.gov/Archives/edgar/data/1062579/000119312519315234/d709976d20f.htm" TargetMode="External"/><Relationship Id="rId31" Type="http://schemas.openxmlformats.org/officeDocument/2006/relationships/hyperlink" Target="http://www.sec.gov/Archives/edgar/data/1062579/000119312520022345/d806152d6k.htm" TargetMode="External"/><Relationship Id="rId32" Type="http://schemas.openxmlformats.org/officeDocument/2006/relationships/hyperlink" Target="http://www.sec.gov/Archives/edgar/data/1062579/000119312520145097/d892095d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2020-06-15T07:34:44Z</dcterms:created>
  <dcterms:modified xsi:type="dcterms:W3CDTF">2020-06-15T07:34:44Z</dcterms:modified>
</cp:coreProperties>
</file>