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OMB APPROVAL</w:t>
      </w:r>
    </w:p>
    <w:p>
      <w:pPr>
        <w:ind w:left="2540"/>
        <w:spacing w:after="0"/>
        <w:rPr>
          <w:sz w:val="20"/>
          <w:szCs w:val="20"/>
          <w:color w:val="auto"/>
        </w:rPr>
      </w:pPr>
      <w:r>
        <w:rPr>
          <w:rFonts w:ascii="Courier New" w:cs="Courier New" w:eastAsia="Courier New" w:hAnsi="Courier New"/>
          <w:sz w:val="18"/>
          <w:szCs w:val="18"/>
          <w:color w:val="auto"/>
        </w:rPr>
        <w:t>-------------------------------</w:t>
      </w:r>
    </w:p>
    <w:tbl>
      <w:tblPr>
        <w:tblLayout w:type="fixed"/>
        <w:tblInd w:w="2540" w:type="dxa"/>
        <w:tblCellMar>
          <w:top w:w="0" w:type="dxa"/>
          <w:left w:w="0" w:type="dxa"/>
          <w:bottom w:w="0" w:type="dxa"/>
          <w:right w:w="0" w:type="dxa"/>
        </w:tblCellMar>
      </w:tblPr>
      <w:tr>
        <w:trPr>
          <w:trHeight w:val="202"/>
        </w:trPr>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30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Expires: February 28,</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Estimated average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burden</w:t>
            </w:r>
          </w:p>
        </w:tc>
      </w:tr>
      <w:tr>
        <w:trPr>
          <w:trHeight w:val="203"/>
        </w:trPr>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hours per response</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bl>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__2__)*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Ltd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G02602103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579"/>
        <w:spacing w:after="0"/>
        <w:tabs>
          <w:tab w:leader="none" w:pos="180" w:val="left"/>
        </w:tabs>
        <w:rPr>
          <w:sz w:val="20"/>
          <w:szCs w:val="20"/>
          <w:color w:val="auto"/>
        </w:rPr>
      </w:pP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6"/>
          <w:szCs w:val="16"/>
          <w:color w:val="auto"/>
        </w:rPr>
        <w:t>2009</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2" w:lineRule="exact"/>
        <w:rPr>
          <w:sz w:val="24"/>
          <w:szCs w:val="24"/>
          <w:color w:val="auto"/>
        </w:rPr>
      </w:pPr>
    </w:p>
    <w:p>
      <w:pPr>
        <w:ind w:left="1280" w:right="1879" w:hanging="315"/>
        <w:spacing w:after="0" w:line="235"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w:t>
      </w:r>
    </w:p>
    <w:p>
      <w:pPr>
        <w:ind w:left="1800"/>
        <w:spacing w:after="0"/>
        <w:rPr>
          <w:sz w:val="20"/>
          <w:szCs w:val="20"/>
          <w:color w:val="auto"/>
        </w:rPr>
      </w:pPr>
      <w:r>
        <w:rPr>
          <w:rFonts w:ascii="Courier New" w:cs="Courier New" w:eastAsia="Courier New" w:hAnsi="Courier New"/>
          <w:sz w:val="18"/>
          <w:szCs w:val="18"/>
          <w:color w:val="auto"/>
        </w:rPr>
        <w:t>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(8-07)</w:t>
      </w:r>
    </w:p>
    <w:p>
      <w:pPr>
        <w:spacing w:after="0" w:line="200" w:lineRule="exact"/>
        <w:rPr>
          <w:sz w:val="24"/>
          <w:szCs w:val="24"/>
          <w:color w:val="auto"/>
        </w:rPr>
      </w:pPr>
    </w:p>
    <w:p>
      <w:pPr>
        <w:spacing w:after="0" w:line="379" w:lineRule="exact"/>
        <w:rPr>
          <w:sz w:val="24"/>
          <w:szCs w:val="24"/>
          <w:color w:val="auto"/>
        </w:rPr>
      </w:pPr>
    </w:p>
    <w:p>
      <w:pPr>
        <w:spacing w:after="0"/>
        <w:tabs>
          <w:tab w:leader="none" w:pos="3560" w:val="left"/>
          <w:tab w:leader="none" w:pos="600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of___ Pages</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[_]</w:t>
      </w:r>
    </w:p>
    <w:p>
      <w:pPr>
        <w:sectPr>
          <w:pgSz w:w="11900" w:h="16838" w:orient="portrait"/>
          <w:cols w:equalWidth="0" w:num="1">
            <w:col w:w="10219"/>
          </w:cols>
          <w:pgMar w:left="240" w:top="244" w:right="1440" w:bottom="0" w:gutter="0" w:footer="0" w:header="0"/>
        </w:sectPr>
      </w:pPr>
    </w:p>
    <w:bookmarkStart w:id="1" w:name="page2"/>
    <w:bookmarkEnd w:id="1"/>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Fe, New Mexico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20,630,306</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20,630,306</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20,630,306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31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10.12%</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680" w:val="left"/>
          <w:tab w:leader="none" w:pos="58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Suite 5, Tower Hill House, Le Bordage, St. Peter Port, Island of Guernsey MO GY1 3QT</w:t>
      </w:r>
    </w:p>
    <w:p>
      <w:pPr>
        <w:spacing w:after="0" w:line="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  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2300 Ridgetop Rd, Santa Fe, New Mexico 87506-8361</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2(c).  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2(d).  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2(e).  CUSIP Number:G02602103</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419"/>
        <w:spacing w:after="0"/>
        <w:tabs>
          <w:tab w:leader="none" w:pos="4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3. If this statement is filed pursuant to Sections 240.13d-1(b) or</w:t>
      </w:r>
    </w:p>
    <w:p>
      <w:pPr>
        <w:jc w:val="center"/>
        <w:ind w:right="2419"/>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83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480" w:right="325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 (ii)(E);</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241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19" w:hanging="840"/>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3680" w:val="left"/>
          <w:tab w:leader="none" w:pos="56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20,630,306</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10.12%</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20,630,306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hanging="629"/>
        <w:spacing w:after="0"/>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20,630,306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ind w:left="860" w:right="187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Certifications.</w:t>
      </w:r>
    </w:p>
    <w:p>
      <w:pPr>
        <w:spacing w:after="0" w:line="207" w:lineRule="exact"/>
        <w:rPr>
          <w:rFonts w:ascii="Courier New" w:cs="Courier New" w:eastAsia="Courier New" w:hAnsi="Courier New"/>
          <w:sz w:val="16"/>
          <w:szCs w:val="16"/>
          <w:color w:val="auto"/>
        </w:rPr>
      </w:pPr>
    </w:p>
    <w:p>
      <w:pPr>
        <w:ind w:left="740" w:right="1999" w:hanging="416"/>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rFonts w:ascii="Courier New" w:cs="Courier New" w:eastAsia="Courier New" w:hAnsi="Courier New"/>
          <w:sz w:val="18"/>
          <w:szCs w:val="18"/>
          <w:color w:val="auto"/>
        </w:rPr>
      </w:pPr>
    </w:p>
    <w:p>
      <w:pPr>
        <w:ind w:left="7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w:t>
      </w:r>
    </w:p>
    <w:p>
      <w:pPr>
        <w:sectPr>
          <w:pgSz w:w="11900" w:h="16838" w:orient="portrait"/>
          <w:cols w:equalWidth="0" w:num="1">
            <w:col w:w="10219"/>
          </w:cols>
          <w:pgMar w:left="240" w:top="919" w:right="1440" w:bottom="0" w:gutter="0" w:footer="0" w:header="0"/>
        </w:sectPr>
      </w:pPr>
    </w:p>
    <w:bookmarkStart w:id="4" w:name="page5"/>
    <w:bookmarkEnd w:id="4"/>
    <w:p>
      <w:pPr>
        <w:ind w:right="1779"/>
        <w:spacing w:after="0" w:line="236" w:lineRule="auto"/>
        <w:rPr>
          <w:sz w:val="20"/>
          <w:szCs w:val="20"/>
          <w:color w:val="auto"/>
        </w:rPr>
      </w:pPr>
      <w:r>
        <w:rPr>
          <w:rFonts w:ascii="Courier New" w:cs="Courier New" w:eastAsia="Courier New" w:hAnsi="Courier New"/>
          <w:sz w:val="18"/>
          <w:szCs w:val="18"/>
          <w:color w:val="auto"/>
        </w:rPr>
        <w:t>of the issuer of the securities and were not acquired and are not held in connection with or as a participant in any transaction having that purpose or effect.</w:t>
      </w:r>
    </w:p>
    <w:p>
      <w:pPr>
        <w:sectPr>
          <w:pgSz w:w="11900" w:h="16838" w:orient="portrait"/>
          <w:cols w:equalWidth="0" w:num="1">
            <w:col w:w="9479"/>
          </w:cols>
          <w:pgMar w:left="980" w:top="142"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February 27, 2009</w:t>
      </w:r>
    </w:p>
    <w:p>
      <w:pPr>
        <w:ind w:left="59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Sophia Franco-Marquez</w:t>
      </w:r>
    </w:p>
    <w:p>
      <w:pPr>
        <w:jc w:val="center"/>
        <w:ind w:left="11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8"/>
          <w:szCs w:val="18"/>
          <w:color w:val="auto"/>
        </w:rPr>
        <w:t>Sophia Franco-Marquez/Compliance Specialist</w:t>
      </w:r>
    </w:p>
    <w:p>
      <w:pPr>
        <w:jc w:val="center"/>
        <w:ind w:right="-118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7">
    <w:nsid w:val="7C83E45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lvl w:ilvl="3">
      <w:lvlJc w:val="left"/>
      <w:lvlText w:val="(%4)"/>
      <w:numFmt w:val="lowerRoman"/>
      <w:start w:val="4"/>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2019-12-10T17:34:55Z</dcterms:created>
  <dcterms:modified xsi:type="dcterms:W3CDTF">2019-12-10T17:34:55Z</dcterms:modified>
</cp:coreProperties>
</file>