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Quarter Ended December 31, 2002</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Amdocs, Inc.</w:t>
      </w:r>
    </w:p>
    <w:p>
      <w:pPr>
        <w:spacing w:after="0" w:line="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742" w:right="1440" w:bottom="1440" w:gutter="0" w:footer="0" w:header="0"/>
        </w:sectPr>
      </w:pPr>
    </w:p>
    <w:p>
      <w:pPr>
        <w:spacing w:after="0" w:line="17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800"/>
        <w:spacing w:after="0"/>
        <w:rPr>
          <w:sz w:val="20"/>
          <w:szCs w:val="20"/>
          <w:color w:val="auto"/>
        </w:rPr>
      </w:pPr>
      <w:r>
        <w:rPr>
          <w:rFonts w:ascii="Courier New" w:cs="Courier New" w:eastAsia="Courier New" w:hAnsi="Courier New"/>
          <w:sz w:val="15"/>
          <w:szCs w:val="15"/>
          <w:color w:val="auto"/>
        </w:rPr>
        <w:t>X</w:t>
      </w:r>
    </w:p>
    <w:p>
      <w:pPr>
        <w:spacing w:after="0" w:line="3" w:lineRule="exact"/>
        <w:rPr>
          <w:sz w:val="24"/>
          <w:szCs w:val="24"/>
          <w:color w:val="auto"/>
        </w:rPr>
      </w:pPr>
    </w:p>
    <w:p>
      <w:pPr>
        <w:jc w:val="center"/>
        <w:ind w:righ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 ____</w:t>
      </w:r>
    </w:p>
    <w:p>
      <w:pPr>
        <w:spacing w:after="0" w:line="353" w:lineRule="exact"/>
        <w:rPr>
          <w:sz w:val="24"/>
          <w:szCs w:val="24"/>
          <w:color w:val="auto"/>
        </w:rPr>
      </w:pPr>
    </w:p>
    <w:p>
      <w:pPr>
        <w:sectPr>
          <w:pgSz w:w="11900" w:h="16838" w:orient="portrait"/>
          <w:cols w:equalWidth="0" w:num="3">
            <w:col w:w="1420" w:space="160"/>
            <w:col w:w="1420" w:space="720"/>
            <w:col w:w="6499"/>
          </w:cols>
          <w:pgMar w:left="240" w:top="742" w:right="1440" w:bottom="1440" w:gutter="0" w:footer="0" w:header="0"/>
          <w:type w:val="continuous"/>
        </w:sectPr>
      </w:pPr>
    </w:p>
    <w:p>
      <w:pPr>
        <w:ind w:right="3119"/>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742" w:right="1440" w:bottom="1440" w:gutter="0" w:footer="0" w:header="0"/>
          <w:type w:val="continuous"/>
        </w:sectPr>
      </w:pPr>
    </w:p>
    <w:p>
      <w:pPr>
        <w:spacing w:after="0" w:line="159"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YES ___</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640" w:space="720"/>
            <w:col w:w="180" w:space="180"/>
            <w:col w:w="6499"/>
          </w:cols>
          <w:pgMar w:left="240" w:top="742"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QUARTER ENDED DECEMBER 31, 2002</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INDEX</w:t>
      </w:r>
    </w:p>
    <w:p>
      <w:pPr>
        <w:spacing w:after="0" w:line="17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PART</w:t>
      </w:r>
      <w:r>
        <w:rPr>
          <w:sz w:val="20"/>
          <w:szCs w:val="20"/>
          <w:color w:val="auto"/>
        </w:rPr>
        <w:tab/>
      </w:r>
      <w:r>
        <w:rPr>
          <w:rFonts w:ascii="Courier New" w:cs="Courier New" w:eastAsia="Courier New" w:hAnsi="Courier New"/>
          <w:sz w:val="14"/>
          <w:szCs w:val="14"/>
          <w:color w:val="auto"/>
        </w:rPr>
        <w:t>I FINANCIAL INFORMATION</w:t>
      </w:r>
    </w:p>
    <w:p>
      <w:pPr>
        <w:spacing w:after="0" w:line="171"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5"/>
          <w:szCs w:val="15"/>
          <w:color w:val="auto"/>
        </w:rPr>
        <w:t>Item</w:t>
        <w:tab/>
        <w:t>1. Financial Statements</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Balance Sheets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Consolidated Statement of Changes in Shareholders' Equity</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520" w:right="4019" w:firstLine="1065"/>
        <w:spacing w:after="0" w:line="478" w:lineRule="auto"/>
        <w:rPr>
          <w:sz w:val="20"/>
          <w:szCs w:val="20"/>
          <w:color w:val="auto"/>
        </w:rPr>
      </w:pPr>
      <w:r>
        <w:rPr>
          <w:rFonts w:ascii="Courier New" w:cs="Courier New" w:eastAsia="Courier New" w:hAnsi="Courier New"/>
          <w:sz w:val="15"/>
          <w:szCs w:val="15"/>
          <w:color w:val="auto"/>
        </w:rPr>
        <w:t>Notes to Unaudited Consolidated Financial Statements Item 2. Operating and Financial Review and Prospects</w:t>
      </w:r>
    </w:p>
    <w:p>
      <w:pPr>
        <w:spacing w:after="0" w:line="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1"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5"/>
          <w:szCs w:val="15"/>
          <w:color w:val="auto"/>
        </w:rPr>
        <w:t>Item</w:t>
        <w:tab/>
        <w:t>1. Exhibits and Reports on Form 6-K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45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I FINANCIAL INFORMATION</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940" w:type="dxa"/>
            <w:vAlign w:val="bottom"/>
          </w:tcPr>
          <w:p>
            <w:pPr>
              <w:ind w:left="120"/>
              <w:spacing w:after="0"/>
              <w:rPr>
                <w:sz w:val="20"/>
                <w:szCs w:val="20"/>
                <w:color w:val="auto"/>
              </w:rPr>
            </w:pPr>
            <w:r>
              <w:rPr>
                <w:rFonts w:ascii="Courier New" w:cs="Courier New" w:eastAsia="Courier New" w:hAnsi="Courier New"/>
                <w:sz w:val="15"/>
                <w:szCs w:val="15"/>
                <w:color w:val="auto"/>
              </w:rPr>
              <w:t>1. Financial Statements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400" w:type="dxa"/>
            <w:vAlign w:val="bottom"/>
          </w:tcPr>
          <w:p>
            <w:pPr>
              <w:spacing w:after="0"/>
              <w:rPr>
                <w:sz w:val="24"/>
                <w:szCs w:val="24"/>
                <w:color w:val="auto"/>
              </w:rPr>
            </w:pPr>
          </w:p>
        </w:tc>
        <w:tc>
          <w:tcPr>
            <w:tcW w:w="5940" w:type="dxa"/>
            <w:vAlign w:val="bottom"/>
          </w:tcPr>
          <w:p>
            <w:pPr>
              <w:ind w:left="2520"/>
              <w:spacing w:after="0"/>
              <w:rPr>
                <w:sz w:val="20"/>
                <w:szCs w:val="20"/>
                <w:color w:val="auto"/>
              </w:rPr>
            </w:pPr>
            <w:r>
              <w:rPr>
                <w:rFonts w:ascii="Courier New" w:cs="Courier New" w:eastAsia="Courier New" w:hAnsi="Courier New"/>
                <w:sz w:val="15"/>
                <w:szCs w:val="15"/>
                <w:color w:val="auto"/>
              </w:rPr>
              <w:t>AMDOCS LIMITED</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400" w:type="dxa"/>
            <w:vAlign w:val="bottom"/>
          </w:tcPr>
          <w:p>
            <w:pPr>
              <w:spacing w:after="0"/>
              <w:rPr>
                <w:sz w:val="24"/>
                <w:szCs w:val="24"/>
                <w:color w:val="auto"/>
              </w:rPr>
            </w:pPr>
          </w:p>
        </w:tc>
        <w:tc>
          <w:tcPr>
            <w:tcW w:w="5940" w:type="dxa"/>
            <w:vAlign w:val="bottom"/>
          </w:tcPr>
          <w:p>
            <w:pPr>
              <w:ind w:left="1980"/>
              <w:spacing w:after="0"/>
              <w:rPr>
                <w:sz w:val="20"/>
                <w:szCs w:val="20"/>
                <w:color w:val="auto"/>
              </w:rPr>
            </w:pPr>
            <w:r>
              <w:rPr>
                <w:rFonts w:ascii="Courier New" w:cs="Courier New" w:eastAsia="Courier New" w:hAnsi="Courier New"/>
                <w:sz w:val="15"/>
                <w:szCs w:val="15"/>
                <w:color w:val="auto"/>
              </w:rPr>
              <w:t>CONSOLIDATED BALANCE SHEETS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ind w:left="1280"/>
              <w:spacing w:after="0"/>
              <w:rPr>
                <w:sz w:val="20"/>
                <w:szCs w:val="20"/>
                <w:color w:val="auto"/>
              </w:rPr>
            </w:pPr>
            <w:r>
              <w:rPr>
                <w:rFonts w:ascii="Courier New" w:cs="Courier New" w:eastAsia="Courier New" w:hAnsi="Courier New"/>
                <w:sz w:val="15"/>
                <w:szCs w:val="15"/>
                <w:color w:val="auto"/>
              </w:rPr>
              <w:t>(in U.S. dollars, unless otherwise stated)</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ind w:left="1540"/>
              <w:spacing w:after="0"/>
              <w:rPr>
                <w:sz w:val="20"/>
                <w:szCs w:val="20"/>
                <w:color w:val="auto"/>
              </w:rPr>
            </w:pPr>
            <w:r>
              <w:rPr>
                <w:rFonts w:ascii="Courier New" w:cs="Courier New" w:eastAsia="Courier New" w:hAnsi="Courier New"/>
                <w:sz w:val="15"/>
                <w:szCs w:val="15"/>
                <w:color w:val="auto"/>
              </w:rPr>
              <w:t>(in thousands, except per share data)</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02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2"/>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572,269</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466,655</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555,340</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581,164</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net (*)</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257,105</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312,732</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50,819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48,154</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93,879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72,196</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1,529,412</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1,480,901</w:t>
            </w:r>
          </w:p>
        </w:tc>
      </w:tr>
      <w:tr>
        <w:trPr>
          <w:trHeight w:val="34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440" w:type="dxa"/>
            <w:vAlign w:val="bottom"/>
          </w:tcPr>
          <w:p>
            <w:pPr>
              <w:spacing w:after="0"/>
              <w:rPr>
                <w:sz w:val="24"/>
                <w:szCs w:val="2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152,645</w:t>
            </w:r>
          </w:p>
        </w:tc>
        <w:tc>
          <w:tcPr>
            <w:tcW w:w="7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160,902</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41,219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37,582</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731,032</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750,530</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 (*)</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111,656</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110,179</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$ 2,565,964</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$ 2,540,094</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174,233</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192,129</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85,739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86,942</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149,844</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149,590</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9,379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10,347</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108,589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103,315</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527,784</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542,323</w:t>
            </w:r>
          </w:p>
        </w:tc>
      </w:tr>
      <w:tr>
        <w:trPr>
          <w:trHeight w:val="34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Convertible notes</w:t>
            </w:r>
          </w:p>
        </w:tc>
        <w:tc>
          <w:tcPr>
            <w:tcW w:w="440" w:type="dxa"/>
            <w:vAlign w:val="bottom"/>
          </w:tcPr>
          <w:p>
            <w:pPr>
              <w:spacing w:after="0"/>
              <w:rPr>
                <w:sz w:val="24"/>
                <w:szCs w:val="2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445,054</w:t>
            </w:r>
          </w:p>
        </w:tc>
        <w:tc>
          <w:tcPr>
            <w:tcW w:w="7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445,054</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15,656</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12,363</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123,001</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124,079</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1,111,495</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1,123,819</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shares issued and outstanding</w:t>
            </w:r>
          </w:p>
        </w:tc>
        <w:tc>
          <w:tcPr>
            <w:tcW w:w="44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223,442 and 223,316 issued and 215,710 and 215,583 outstanding,</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3,574</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3,572</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1,818,976</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1,818,345</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c>
          <w:tcPr>
            <w:tcW w:w="7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(109,281)</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5,254</w:t>
            </w:r>
          </w:p>
        </w:tc>
        <w:tc>
          <w:tcPr>
            <w:tcW w:w="7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44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(264,054)</w:t>
            </w:r>
          </w:p>
        </w:tc>
        <w:tc>
          <w:tcPr>
            <w:tcW w:w="7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(296,253)</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1,454,469</w:t>
            </w:r>
          </w:p>
        </w:tc>
        <w:tc>
          <w:tcPr>
            <w:tcW w:w="7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1,416,275</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5940" w:type="dxa"/>
            <w:vAlign w:val="bottom"/>
          </w:tcPr>
          <w:p>
            <w:pPr>
              <w:ind w:left="3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$ 2,565,964</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$ 2,540,094</w:t>
            </w: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3" w:name="page4"/>
    <w:bookmarkEnd w:id="3"/>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496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License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20,526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42,290</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Service (*)</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318,860</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380,351</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339,386</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422,641</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1,136</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1,441</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 (*)</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203,986</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230,142</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29,619</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28,557</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 (*)</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51,580</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53,779</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 intangible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5,154</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56,782</w:t>
            </w:r>
          </w:p>
        </w:tc>
      </w:tr>
      <w:tr>
        <w:trPr>
          <w:trHeight w:val="171"/>
        </w:trPr>
        <w:tc>
          <w:tcPr>
            <w:tcW w:w="496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 in-process research and</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development</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9,956</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30,711</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301,431</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401,412</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37,955</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21,229</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4,977</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42,932</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24,556</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10,733</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20,222</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32,199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215,626</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222,696</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217,139</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225,090</w:t>
            </w:r>
          </w:p>
        </w:tc>
      </w:tr>
      <w:tr>
        <w:trPr>
          <w:trHeight w:val="171"/>
        </w:trPr>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4" w:name="page5"/>
    <w:bookmarkEnd w:id="4"/>
    <w:p>
      <w:pPr>
        <w:jc w:val="center"/>
        <w:ind w:right="4420"/>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CONSOLIDATED STATEMENTS OF CHANGES IN SHAREHOLDERS' EQUITY (UNAUDITED)</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2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Ordinary Shares</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200" w:type="dxa"/>
            <w:vAlign w:val="bottom"/>
          </w:tcPr>
          <w:p>
            <w:pPr>
              <w:spacing w:after="0"/>
              <w:rPr>
                <w:sz w:val="14"/>
                <w:szCs w:val="14"/>
                <w:color w:val="auto"/>
              </w:rPr>
            </w:pPr>
          </w:p>
        </w:tc>
        <w:tc>
          <w:tcPr>
            <w:tcW w:w="16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00" w:type="dxa"/>
            <w:vAlign w:val="bottom"/>
          </w:tcPr>
          <w:p>
            <w:pPr>
              <w:spacing w:after="0"/>
              <w:rPr>
                <w:sz w:val="14"/>
                <w:szCs w:val="14"/>
                <w:color w:val="auto"/>
              </w:rPr>
            </w:pPr>
          </w:p>
        </w:tc>
        <w:tc>
          <w:tcPr>
            <w:tcW w:w="22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Treasury</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Comprehensive</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Shareholders'</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Stock</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Income (Loss)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Deficit</w:t>
            </w:r>
          </w:p>
        </w:tc>
        <w:tc>
          <w:tcPr>
            <w:tcW w:w="3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683"/>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215,583</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$3,572</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$1,818,345</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$(109,281)</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(108)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$(296,253)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1,416,275</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32,199</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32,199</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on</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hedging contracts, net</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of $2,113 tax</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5,468</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5,468</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Decrease in unrealized</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income on cash</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net of $(319) tax</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37,561</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605</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607</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Tax benefit of stock options</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10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215,710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$3,574</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$1,818,976</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$(109,281)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$ 5,254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$(264,054)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1,454,469</w:t>
            </w:r>
          </w:p>
        </w:tc>
      </w:tr>
      <w:tr>
        <w:trPr>
          <w:trHeight w:val="171"/>
        </w:trPr>
        <w:tc>
          <w:tcPr>
            <w:tcW w:w="26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4420"/>
        <w:spacing w:after="0"/>
        <w:rPr>
          <w:sz w:val="20"/>
          <w:szCs w:val="20"/>
          <w:color w:val="auto"/>
        </w:rPr>
      </w:pPr>
      <w:r>
        <w:rPr>
          <w:rFonts w:ascii="Courier New" w:cs="Courier New" w:eastAsia="Courier New" w:hAnsi="Courier New"/>
          <w:sz w:val="15"/>
          <w:szCs w:val="15"/>
          <w:color w:val="auto"/>
        </w:rPr>
        <w:t>As of December 31, 2002 and September 30, 2002, accumulated other comprehensive income (loss) is comprised of unrealized gain (loss) on derivatives, net of tax, of $248 and $(5,220), respectively, and unrealized gain on cash equivalents and short-term interest-bearing investments, net of tax, of $5,006 and $5,112, respectively.</w:t>
      </w:r>
    </w:p>
    <w:p>
      <w:pPr>
        <w:spacing w:after="0" w:line="34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457" w:right="139"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700" w:type="dxa"/>
            <w:vAlign w:val="bottom"/>
          </w:tcPr>
          <w:p>
            <w:pPr>
              <w:ind w:left="2400"/>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670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6700" w:type="dxa"/>
            <w:vAlign w:val="bottom"/>
          </w:tcPr>
          <w:p>
            <w:pPr>
              <w:spacing w:after="0"/>
              <w:rPr>
                <w:sz w:val="14"/>
                <w:szCs w:val="14"/>
                <w:color w:val="auto"/>
              </w:rPr>
            </w:pPr>
          </w:p>
        </w:tc>
        <w:tc>
          <w:tcPr>
            <w:tcW w:w="29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2002</w:t>
            </w:r>
          </w:p>
        </w:tc>
        <w:tc>
          <w:tcPr>
            <w:tcW w:w="5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32,199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24,018</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77,587</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w:t>
            </w:r>
          </w:p>
        </w:tc>
        <w:tc>
          <w:tcPr>
            <w:tcW w:w="360" w:type="dxa"/>
            <w:vAlign w:val="bottom"/>
          </w:tcPr>
          <w:p>
            <w:pPr>
              <w:spacing w:after="0"/>
              <w:rPr>
                <w:sz w:val="14"/>
                <w:szCs w:val="14"/>
                <w:color w:val="auto"/>
              </w:rPr>
            </w:pPr>
          </w:p>
        </w:tc>
        <w:tc>
          <w:tcPr>
            <w:tcW w:w="120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17,400</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241</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(2,188)</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(5,267)</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Unrealized other comprehensive income</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7,156</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1,536</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 amounts acquired: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55,532</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(14,542)</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(22,510)</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(2,239)</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(2,477)</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(2,925)</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(12,019)</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47,763</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254</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(22,271)</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2,659</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949</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6,044</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83,822</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108,071</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496</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improvements and other</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(13,251)</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(13,740)</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Proceeds from sale (purchase) of short-term interest-</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 net</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25,824</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(289,533)</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360" w:type="dxa"/>
            <w:vAlign w:val="bottom"/>
          </w:tcPr>
          <w:p>
            <w:pPr>
              <w:spacing w:after="0"/>
              <w:rPr>
                <w:sz w:val="14"/>
                <w:szCs w:val="14"/>
                <w:color w:val="auto"/>
              </w:rPr>
            </w:pPr>
          </w:p>
        </w:tc>
        <w:tc>
          <w:tcPr>
            <w:tcW w:w="120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(13,543)</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Reimbursement of cash in (cash paid for) acquisition</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11,111</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(210,900)</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24,180</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(527,348)</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607</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2,038</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(2,995)</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(2,897)</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3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(2,388)</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(859)</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105,614</w:t>
            </w:r>
          </w:p>
        </w:tc>
        <w:tc>
          <w:tcPr>
            <w:tcW w:w="5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(420,136)</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466,655</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872,998</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$ 572,269</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$ 452,862</w:t>
            </w:r>
          </w:p>
        </w:tc>
      </w:tr>
      <w:tr>
        <w:trPr>
          <w:trHeight w:val="171"/>
        </w:trPr>
        <w:tc>
          <w:tcPr>
            <w:tcW w:w="670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10,195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22,998</w:t>
            </w:r>
          </w:p>
        </w:tc>
      </w:tr>
      <w:tr>
        <w:trPr>
          <w:trHeight w:val="171"/>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5,044</w:t>
            </w:r>
          </w:p>
        </w:tc>
        <w:tc>
          <w:tcPr>
            <w:tcW w:w="5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5,429</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4"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Capital lease obligations of $0 and $493 were incurred during the three months ended December 31, 2002 and 2001, respectively, when the Company (as defined below) entered into lease agreements for the purchase of fixed assets.</w:t>
      </w:r>
    </w:p>
    <w:p>
      <w:pPr>
        <w:spacing w:after="0" w:line="3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7" w:right="1440" w:bottom="1440" w:gutter="0" w:footer="0" w:header="0"/>
        </w:sectPr>
      </w:pPr>
    </w:p>
    <w:bookmarkStart w:id="6" w:name="page7"/>
    <w:bookmarkEnd w:id="6"/>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business segment, providing business support systems and related services primarily for the communications industry. The Company designs, develops, markets, supports, operates and provides outsourcing of information system solutions primarily to leading communications companies throughout the world.</w:t>
      </w:r>
    </w:p>
    <w:p>
      <w:pPr>
        <w:spacing w:after="0" w:line="176"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5"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5"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2002 set forth in the Company's Annual Report on Form 20-F filed March 24, 2003 with the Securities and Exchange Commission.</w:t>
      </w:r>
    </w:p>
    <w:p>
      <w:pPr>
        <w:spacing w:after="0" w:line="177" w:lineRule="exact"/>
        <w:rPr>
          <w:sz w:val="20"/>
          <w:szCs w:val="20"/>
          <w:color w:val="auto"/>
        </w:rPr>
      </w:pPr>
    </w:p>
    <w:p>
      <w:pPr>
        <w:ind w:left="529" w:right="6139" w:hanging="529"/>
        <w:spacing w:after="0" w:line="516" w:lineRule="auto"/>
        <w:tabs>
          <w:tab w:leader="none" w:pos="52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NEW ACCOUNTING STANDARDS Goodwill and Purchased Intangible Assets</w:t>
      </w:r>
    </w:p>
    <w:p>
      <w:pPr>
        <w:spacing w:after="0" w:line="1"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In June 2001, the Financial Accounting Standards Board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 to be amortized over their useful lives. Certain intangible assets, such as workforce-in-place, will be reclassified to goodwill, according to SFAS No. 141's new definition of intangible assets.</w:t>
      </w:r>
    </w:p>
    <w:p>
      <w:pPr>
        <w:spacing w:after="0" w:line="165"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Effective October 1, 2002 the Company adopted SFAS No. 142. Subsequent to the adoption of the new rules, the Company performed the transitional tests of goodwill and intangible assets recorded as of October 1, 2002. Thereafter, a periodic impairment test will be performed at least annually. As discussed in Note 1 above, the Company and its subsidiaries operate in one operating segment, and its reporting unit is consistent with that one operating segment. In calculating the fair value of the reporting unit, the Company used a discounted cash flow methodology. There was no impairment of goodwill upon adoption of SFAS</w:t>
      </w:r>
    </w:p>
    <w:p>
      <w:pPr>
        <w:spacing w:after="0" w:line="1" w:lineRule="exact"/>
        <w:rPr>
          <w:sz w:val="20"/>
          <w:szCs w:val="20"/>
          <w:color w:val="auto"/>
        </w:rPr>
      </w:pPr>
    </w:p>
    <w:p>
      <w:pPr>
        <w:ind w:left="9" w:right="3479" w:hanging="9"/>
        <w:spacing w:after="0" w:line="271" w:lineRule="auto"/>
        <w:tabs>
          <w:tab w:leader="none" w:pos="45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perform its annual impairment review during the fourth quarter of each year, commencing in the fourth quarter of fiscal 2003.</w:t>
      </w:r>
    </w:p>
    <w:p>
      <w:pPr>
        <w:spacing w:after="0" w:line="200" w:lineRule="exact"/>
        <w:rPr>
          <w:sz w:val="20"/>
          <w:szCs w:val="20"/>
          <w:color w:val="auto"/>
        </w:rPr>
      </w:pPr>
    </w:p>
    <w:p>
      <w:pPr>
        <w:spacing w:after="0" w:line="29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457" w:right="1440" w:bottom="1440"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Prior to fiscal 2003, goodwill was amortized using the straight-line method over its estimated period of benefit. Net income and earnings per share for the three months ended December 31, 2001 adjusted to exclude amortization of goodwill and workforce-in-place expenses, net of tax, is as follows: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THREE MONTHS</w:t>
            </w:r>
          </w:p>
        </w:tc>
        <w:tc>
          <w:tcPr>
            <w:tcW w:w="6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ENDED</w:t>
            </w:r>
          </w:p>
        </w:tc>
        <w:tc>
          <w:tcPr>
            <w:tcW w:w="6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32,199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Add back: goodwill and</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workforce-in-place amortizations</w:t>
            </w:r>
          </w:p>
        </w:tc>
        <w:tc>
          <w:tcPr>
            <w:tcW w:w="9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51,137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9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(679)</w:t>
            </w:r>
          </w:p>
        </w:tc>
      </w:tr>
      <w:tr>
        <w:trPr>
          <w:trHeight w:val="171"/>
        </w:trPr>
        <w:tc>
          <w:tcPr>
            <w:tcW w:w="39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32,199</w:t>
            </w:r>
          </w:p>
        </w:tc>
        <w:tc>
          <w:tcPr>
            <w:tcW w:w="1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$ 54,792</w:t>
            </w:r>
          </w:p>
        </w:tc>
      </w:tr>
      <w:tr>
        <w:trPr>
          <w:trHeight w:val="171"/>
        </w:trPr>
        <w:tc>
          <w:tcPr>
            <w:tcW w:w="39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0.25</w:t>
            </w:r>
          </w:p>
        </w:tc>
      </w:tr>
      <w:tr>
        <w:trPr>
          <w:trHeight w:val="171"/>
        </w:trPr>
        <w:tc>
          <w:tcPr>
            <w:tcW w:w="39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39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759" w:firstLine="532"/>
        <w:spacing w:after="0" w:line="239" w:lineRule="auto"/>
        <w:rPr>
          <w:sz w:val="20"/>
          <w:szCs w:val="20"/>
          <w:color w:val="auto"/>
        </w:rPr>
      </w:pPr>
      <w:r>
        <w:rPr>
          <w:rFonts w:ascii="Courier New" w:cs="Courier New" w:eastAsia="Courier New" w:hAnsi="Courier New"/>
          <w:sz w:val="15"/>
          <w:szCs w:val="15"/>
          <w:color w:val="auto"/>
        </w:rPr>
        <w:t>The following table represents details of amortization expense of purchased intangible assets as reported in the consolidated statements of income: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400" w:type="dxa"/>
            <w:vAlign w:val="bottom"/>
          </w:tcPr>
          <w:p>
            <w:pPr>
              <w:ind w:left="1280"/>
              <w:spacing w:after="0"/>
              <w:rPr>
                <w:sz w:val="20"/>
                <w:szCs w:val="20"/>
                <w:color w:val="auto"/>
              </w:rPr>
            </w:pPr>
            <w:r>
              <w:rPr>
                <w:rFonts w:ascii="Courier New" w:cs="Courier New" w:eastAsia="Courier New" w:hAnsi="Courier New"/>
                <w:sz w:val="15"/>
                <w:szCs w:val="15"/>
                <w:color w:val="auto"/>
              </w:rPr>
              <w:t>THREE MONTHS</w:t>
            </w:r>
          </w:p>
        </w:tc>
        <w:tc>
          <w:tcPr>
            <w:tcW w:w="58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0" w:type="dxa"/>
            <w:vAlign w:val="bottom"/>
          </w:tcPr>
          <w:p>
            <w:pPr>
              <w:ind w:left="1560"/>
              <w:spacing w:after="0"/>
              <w:rPr>
                <w:sz w:val="20"/>
                <w:szCs w:val="20"/>
                <w:color w:val="auto"/>
              </w:rPr>
            </w:pPr>
            <w:r>
              <w:rPr>
                <w:rFonts w:ascii="Courier New" w:cs="Courier New" w:eastAsia="Courier New" w:hAnsi="Courier New"/>
                <w:sz w:val="15"/>
                <w:szCs w:val="15"/>
                <w:color w:val="auto"/>
              </w:rPr>
              <w:t>ENDED</w:t>
            </w:r>
          </w:p>
        </w:tc>
        <w:tc>
          <w:tcPr>
            <w:tcW w:w="58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0" w:type="dxa"/>
            <w:vAlign w:val="bottom"/>
          </w:tcPr>
          <w:p>
            <w:pPr>
              <w:ind w:left="1280"/>
              <w:spacing w:after="0"/>
              <w:rPr>
                <w:sz w:val="20"/>
                <w:szCs w:val="20"/>
                <w:color w:val="auto"/>
              </w:rPr>
            </w:pPr>
            <w:r>
              <w:rPr>
                <w:rFonts w:ascii="Courier New" w:cs="Courier New" w:eastAsia="Courier New" w:hAnsi="Courier New"/>
                <w:sz w:val="15"/>
                <w:szCs w:val="15"/>
                <w:color w:val="auto"/>
              </w:rPr>
              <w:t>DECEMBER 31,</w:t>
            </w:r>
          </w:p>
        </w:tc>
        <w:tc>
          <w:tcPr>
            <w:tcW w:w="58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r>
      <w:tr>
        <w:trPr>
          <w:trHeight w:val="171"/>
        </w:trPr>
        <w:tc>
          <w:tcPr>
            <w:tcW w:w="4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51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 of license</w:t>
            </w: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  820</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$1,116</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w:t>
            </w:r>
          </w:p>
        </w:tc>
        <w:tc>
          <w:tcPr>
            <w:tcW w:w="2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4120" w:type="dxa"/>
            <w:vAlign w:val="bottom"/>
          </w:tcPr>
          <w:p>
            <w:pPr>
              <w:ind w:left="340"/>
              <w:spacing w:after="0"/>
              <w:rPr>
                <w:sz w:val="20"/>
                <w:szCs w:val="20"/>
                <w:color w:val="auto"/>
              </w:rPr>
            </w:pPr>
            <w:r>
              <w:rPr>
                <w:rFonts w:ascii="Courier New" w:cs="Courier New" w:eastAsia="Courier New" w:hAnsi="Courier New"/>
                <w:sz w:val="15"/>
                <w:szCs w:val="15"/>
                <w:color w:val="auto"/>
              </w:rPr>
              <w:t>assets</w:t>
            </w:r>
          </w:p>
        </w:tc>
        <w:tc>
          <w:tcPr>
            <w:tcW w:w="2400" w:type="dxa"/>
            <w:vAlign w:val="bottom"/>
          </w:tcPr>
          <w:p>
            <w:pPr>
              <w:ind w:left="1020"/>
              <w:spacing w:after="0"/>
              <w:rPr>
                <w:sz w:val="20"/>
                <w:szCs w:val="20"/>
                <w:color w:val="auto"/>
              </w:rPr>
            </w:pPr>
            <w:r>
              <w:rPr>
                <w:rFonts w:ascii="Courier New" w:cs="Courier New" w:eastAsia="Courier New" w:hAnsi="Courier New"/>
                <w:sz w:val="15"/>
                <w:szCs w:val="15"/>
                <w:color w:val="auto"/>
              </w:rPr>
              <w:t>5,154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5,645</w:t>
            </w:r>
          </w:p>
        </w:tc>
      </w:tr>
      <w:tr>
        <w:trPr>
          <w:trHeight w:val="171"/>
        </w:trPr>
        <w:tc>
          <w:tcPr>
            <w:tcW w:w="4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$5,974</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$6,761</w:t>
            </w:r>
          </w:p>
        </w:tc>
      </w:tr>
      <w:tr>
        <w:trPr>
          <w:trHeight w:val="171"/>
        </w:trPr>
        <w:tc>
          <w:tcPr>
            <w:tcW w:w="4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579" w:firstLine="532"/>
        <w:spacing w:after="0" w:line="238" w:lineRule="auto"/>
        <w:rPr>
          <w:sz w:val="20"/>
          <w:szCs w:val="20"/>
          <w:color w:val="auto"/>
        </w:rPr>
      </w:pPr>
      <w:r>
        <w:rPr>
          <w:rFonts w:ascii="Courier New" w:cs="Courier New" w:eastAsia="Courier New" w:hAnsi="Courier New"/>
          <w:sz w:val="15"/>
          <w:szCs w:val="15"/>
          <w:color w:val="auto"/>
        </w:rPr>
        <w:t>The following table presents details of the Company's total purchased intangible assets: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ACCUMULATED</w:t>
            </w:r>
          </w:p>
        </w:tc>
        <w:tc>
          <w:tcPr>
            <w:tcW w:w="9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GROSS</w:t>
            </w:r>
          </w:p>
        </w:tc>
        <w:tc>
          <w:tcPr>
            <w:tcW w:w="1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$ 44,535</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$(38,393)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$ 6,142</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36,658</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(16,892)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19,766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w:t>
            </w: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purchased computer software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47,223</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(34,436)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12,787</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$128,416</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$(89,721)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$38,695</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SEPTEMBER 30, 2002</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$ 44,535</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$(36,718)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$ 7,817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36,658</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(13,413)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23,245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w:t>
            </w: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purchased computer software</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47,223</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(33,616)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13,607</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$128,416</w:t>
            </w:r>
          </w:p>
        </w:tc>
        <w:tc>
          <w:tcPr>
            <w:tcW w:w="15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$(83,747)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$44,669</w:t>
            </w:r>
          </w:p>
        </w:tc>
      </w:tr>
      <w:tr>
        <w:trPr>
          <w:trHeight w:val="171"/>
        </w:trPr>
        <w:tc>
          <w:tcPr>
            <w:tcW w:w="3360" w:type="dxa"/>
            <w:vAlign w:val="bottom"/>
          </w:tcPr>
          <w:p>
            <w:pPr>
              <w:spacing w:after="0"/>
              <w:rPr>
                <w:sz w:val="14"/>
                <w:szCs w:val="14"/>
                <w:color w:val="auto"/>
              </w:rPr>
            </w:pPr>
          </w:p>
        </w:tc>
        <w:tc>
          <w:tcPr>
            <w:tcW w:w="15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0" w:gutter="0" w:footer="0" w:header="0"/>
        </w:sectPr>
      </w:pPr>
    </w:p>
    <w:bookmarkStart w:id="8" w:name="page9"/>
    <w:bookmarkEnd w:id="8"/>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29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5"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The estimated future amortization expense of purchased intangible assets as of December 31, 2002 was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3460" w:type="dxa"/>
            <w:vAlign w:val="bottom"/>
          </w:tcPr>
          <w:p>
            <w:pPr>
              <w:spacing w:after="0"/>
              <w:rPr>
                <w:sz w:val="14"/>
                <w:szCs w:val="14"/>
                <w:color w:val="auto"/>
              </w:rPr>
            </w:pPr>
          </w:p>
        </w:tc>
        <w:tc>
          <w:tcPr>
            <w:tcW w:w="20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46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204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2003 (remaining 9 months)</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  16,132</w:t>
            </w:r>
          </w:p>
        </w:tc>
      </w:tr>
      <w:tr>
        <w:trPr>
          <w:trHeight w:val="171"/>
        </w:trPr>
        <w:tc>
          <w:tcPr>
            <w:tcW w:w="346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2004</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13,384</w:t>
            </w:r>
          </w:p>
        </w:tc>
      </w:tr>
      <w:tr>
        <w:trPr>
          <w:trHeight w:val="171"/>
        </w:trPr>
        <w:tc>
          <w:tcPr>
            <w:tcW w:w="346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2005</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4,157</w:t>
            </w:r>
          </w:p>
        </w:tc>
      </w:tr>
      <w:tr>
        <w:trPr>
          <w:trHeight w:val="171"/>
        </w:trPr>
        <w:tc>
          <w:tcPr>
            <w:tcW w:w="346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2006</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2,620</w:t>
            </w:r>
          </w:p>
        </w:tc>
      </w:tr>
      <w:tr>
        <w:trPr>
          <w:trHeight w:val="171"/>
        </w:trPr>
        <w:tc>
          <w:tcPr>
            <w:tcW w:w="3460" w:type="dxa"/>
            <w:vAlign w:val="bottom"/>
          </w:tcPr>
          <w:p>
            <w:pPr>
              <w:jc w:val="right"/>
              <w:ind w:right="2946"/>
              <w:spacing w:after="0"/>
              <w:rPr>
                <w:sz w:val="20"/>
                <w:szCs w:val="20"/>
                <w:color w:val="auto"/>
              </w:rPr>
            </w:pPr>
            <w:r>
              <w:rPr>
                <w:rFonts w:ascii="Courier New" w:cs="Courier New" w:eastAsia="Courier New" w:hAnsi="Courier New"/>
                <w:sz w:val="15"/>
                <w:szCs w:val="15"/>
                <w:color w:val="auto"/>
              </w:rPr>
              <w:t>2007</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2,402</w:t>
            </w:r>
          </w:p>
        </w:tc>
      </w:tr>
    </w:tbl>
    <w:p>
      <w:pPr>
        <w:spacing w:after="0" w:line="34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In November 2002 the FASB issued FASB Interpretation No. 45 "Guarantor's Accounting and Disclosure Requirements for Guarantees, Including Indirect Guarantees of Indebtness of Others" ("FIN 45"). FIN 45 requires that at the inception of certain types of guarantees, the guarantor must disclose and recognize a liability for the fair value of the obligation it assumes under the guarantee. The initial recognition and measurement of FIN 45 is effective for guarantees issued or modified after December 31, 2002. The additional disclosure requirements of FIN 45 are effective for interim and annual periods ending after December 15, 2002, and are applicable to certain of the Company's guarantees issued before December 31, 2002.</w:t>
      </w:r>
    </w:p>
    <w:p>
      <w:pPr>
        <w:spacing w:after="0" w:line="178"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The Company is a party to an agreement to indemnify one of its customers for any withholding tax that might be required under the customer's local tax laws from payments made to the Company. As of December 31, 2002 and September 30, 2002, the maximum potential amount for future exposure of the Company's guarantee under the scope of FIN 45 issued before December 31, 2002 was $4,717. The Company does not believe that the outcome of this guarantee will have a material effect on the Company's results.</w:t>
      </w:r>
    </w:p>
    <w:p>
      <w:pPr>
        <w:spacing w:after="0" w:line="176"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 accrues for warranty costs based on historical trends in product failure. Based on the Company's experience, no material warranty services have been required and as a result, the company does not accrue for product warranty liability.</w:t>
      </w:r>
    </w:p>
    <w:p>
      <w:pPr>
        <w:spacing w:after="0" w:line="172"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1" w:lineRule="exact"/>
        <w:rPr>
          <w:rFonts w:ascii="Courier New" w:cs="Courier New" w:eastAsia="Courier New" w:hAnsi="Courier New"/>
          <w:sz w:val="15"/>
          <w:szCs w:val="15"/>
          <w:color w:val="auto"/>
        </w:rPr>
      </w:pP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Costs Associated with Exit or Disposal Activities</w:t>
      </w:r>
    </w:p>
    <w:p>
      <w:pPr>
        <w:spacing w:after="0" w:line="174"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In June 2002 the FASB issued SFAS 146, "Accounting for Costs Associated with Exit or Disposal Activities". SFAS 146 requires that a liability for costs associated with an exit or disposal activity, including restructuring activities, be recognized and measured at fair value when the liability is incurred, or for certain one-time employee termination costs over a future service period. Previously, a liability for an exit cost was recognized when a company committed to an exit plan. As a result, SFAS 146 may affect the timing of amounts recognized for future restructuring activities. SFAS 146 is effective for exit or disposal activities that were initiated after December 31, 2002.</w:t>
      </w:r>
    </w:p>
    <w:p>
      <w:pPr>
        <w:spacing w:after="0" w:line="164"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4"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In June 2002 the FASB issued SFAS 148, "Accounting for Stock-Based Compensation - Transition and Disclosure - an Amendment of FASB Statement No. 123". SFAS 148 amends SFAS 123 to provide alternative methods of transition for a voluntary change to the fair value-based method of accounting for</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457" w:right="1440" w:bottom="1440" w:gutter="0" w:footer="0" w:header="0"/>
        </w:sectPr>
      </w:pPr>
    </w:p>
    <w:bookmarkStart w:id="9" w:name="page10"/>
    <w:bookmarkEnd w:id="9"/>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29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stock-based employee compensation. In addition, SFAS 148 amends the disclosure requirements of SFAS 123 to require more prominent disclosures in both annual and interim financial statements regarding the method of accounting for stock-based employee compensation and the effect of the method used on reported results. The alternative methods of transition of SFAS 148 are effective for fiscal years ending after December 15, 2002. The disclosure provision of SFAS 148 is effective for interim periods beginning after December 15, 2002. The Company follows APB 25 in accounting for its employee stock options.</w:t>
      </w:r>
    </w:p>
    <w:p>
      <w:pPr>
        <w:spacing w:after="0" w:line="159"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1" w:lineRule="exact"/>
        <w:rPr>
          <w:rFonts w:ascii="Courier New" w:cs="Courier New" w:eastAsia="Courier New" w:hAnsi="Courier New"/>
          <w:sz w:val="15"/>
          <w:szCs w:val="15"/>
          <w:color w:val="auto"/>
        </w:rPr>
      </w:pP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balances are included in the balance sheets: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0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40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0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2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020" w:type="dxa"/>
            <w:vAlign w:val="bottom"/>
          </w:tcPr>
          <w:p>
            <w:pPr>
              <w:spacing w:after="0"/>
              <w:rPr>
                <w:sz w:val="14"/>
                <w:szCs w:val="14"/>
                <w:color w:val="auto"/>
              </w:rPr>
            </w:pPr>
          </w:p>
        </w:tc>
        <w:tc>
          <w:tcPr>
            <w:tcW w:w="23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Accounts receivable, including unbilled of $0</w:t>
            </w:r>
          </w:p>
        </w:tc>
        <w:tc>
          <w:tcPr>
            <w:tcW w:w="232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and $100,</w:t>
            </w:r>
          </w:p>
        </w:tc>
        <w:tc>
          <w:tcPr>
            <w:tcW w:w="190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$35,976</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$55,458(1)</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Prepaid expenses and other current assets (2)</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2,175</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noncurrent assets (3)</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48,837</w:t>
            </w:r>
          </w:p>
        </w:tc>
        <w:tc>
          <w:tcPr>
            <w:tcW w:w="1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48,453</w:t>
            </w:r>
          </w:p>
        </w:tc>
      </w:tr>
    </w:tbl>
    <w:p>
      <w:pPr>
        <w:spacing w:after="0" w:line="345" w:lineRule="exact"/>
        <w:rPr>
          <w:sz w:val="20"/>
          <w:szCs w:val="20"/>
          <w:color w:val="auto"/>
        </w:rPr>
      </w:pPr>
    </w:p>
    <w:p>
      <w:pPr>
        <w:ind w:left="529" w:right="339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balances with SBC Communications, Inc. ("SBC"). As of December 31, 2002, SBC is no longer a principal shareholder of the Company, according to SFAS 57, "Related Party Disclosures", and thus is not a related party. As of December 31, 2002, SBC is not included in the Company's related party balances.</w:t>
      </w:r>
    </w:p>
    <w:p>
      <w:pPr>
        <w:spacing w:after="0" w:line="174"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accrued interest receivable on convertible debentures issued to the Company by Certen Inc. ("Certen"), a company formed by Bell Canada and the Company in January 2001.</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investment by the Company in equity and convertible debentures of Certen. The investment in Certen is accounted for under the cost method, based on the Company's 10% ownership of Certen. As part of its original commitment, the total additional financial investment the Company will be making in Certen is approximately $5,000, translated from Canadian dollars, which is the currency in which all investments for the Certen transaction are denominated. The majority of the Company's exposure to currency fluctuation with respect to the convertible debenture component of this investment has been hedged.</w:t>
      </w:r>
    </w:p>
    <w:p>
      <w:pPr>
        <w:spacing w:after="0" w:line="177"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Certen. The following related party revenue is included in the statements of operations:</w:t>
      </w:r>
    </w:p>
    <w:p>
      <w:pPr>
        <w:spacing w:after="0" w:line="200" w:lineRule="exact"/>
        <w:rPr>
          <w:sz w:val="20"/>
          <w:szCs w:val="20"/>
          <w:color w:val="auto"/>
        </w:rPr>
      </w:pPr>
    </w:p>
    <w:p>
      <w:pPr>
        <w:spacing w:after="0" w:line="314" w:lineRule="exact"/>
        <w:rPr>
          <w:sz w:val="20"/>
          <w:szCs w:val="20"/>
          <w:color w:val="auto"/>
        </w:rPr>
      </w:pPr>
    </w:p>
    <w:tbl>
      <w:tblPr>
        <w:tblLayout w:type="fixed"/>
        <w:tblInd w:w="7189" w:type="dxa"/>
        <w:tblCellMar>
          <w:top w:w="0" w:type="dxa"/>
          <w:left w:w="0" w:type="dxa"/>
          <w:bottom w:w="0" w:type="dxa"/>
          <w:right w:w="0" w:type="dxa"/>
        </w:tblCellMar>
      </w:tblPr>
      <w:tr>
        <w:trPr>
          <w:trHeight w:val="170"/>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THREE MONTHS ENDED DECEMBER 31,</w:t>
            </w:r>
          </w:p>
        </w:tc>
      </w:tr>
      <w:tr>
        <w:trPr>
          <w:trHeight w:val="171"/>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License</w:t>
            </w:r>
          </w:p>
        </w:tc>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2,052</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2,930</w:t>
            </w:r>
          </w:p>
        </w:tc>
      </w:tr>
      <w:tr>
        <w:trPr>
          <w:trHeight w:val="171"/>
        </w:trPr>
        <w:tc>
          <w:tcPr>
            <w:tcW w:w="3720" w:type="dxa"/>
            <w:vAlign w:val="bottom"/>
          </w:tcPr>
          <w:p>
            <w:pPr>
              <w:ind w:left="340"/>
              <w:spacing w:after="0"/>
              <w:rPr>
                <w:sz w:val="20"/>
                <w:szCs w:val="20"/>
                <w:color w:val="auto"/>
              </w:rPr>
            </w:pPr>
            <w:r>
              <w:rPr>
                <w:rFonts w:ascii="Courier New" w:cs="Courier New" w:eastAsia="Courier New" w:hAnsi="Courier New"/>
                <w:sz w:val="15"/>
                <w:szCs w:val="15"/>
                <w:color w:val="auto"/>
              </w:rPr>
              <w:t>Service</w:t>
            </w:r>
          </w:p>
        </w:tc>
        <w:tc>
          <w:tcPr>
            <w:tcW w:w="306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25,046</w:t>
            </w:r>
          </w:p>
        </w:tc>
        <w:tc>
          <w:tcPr>
            <w:tcW w:w="7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95,664</w:t>
            </w:r>
          </w:p>
        </w:tc>
      </w:tr>
    </w:tbl>
    <w:p>
      <w:pPr>
        <w:spacing w:after="0" w:line="345" w:lineRule="exact"/>
        <w:rPr>
          <w:sz w:val="20"/>
          <w:szCs w:val="20"/>
          <w:color w:val="auto"/>
        </w:rPr>
      </w:pPr>
    </w:p>
    <w:p>
      <w:pPr>
        <w:ind w:left="529" w:right="3119" w:hanging="529"/>
        <w:spacing w:after="0" w:line="239" w:lineRule="auto"/>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license and service revenue to SBC. The transactions above include SBC as a related party for the three months ended December 31, 2001. For the three months ended December 31, 2002, SBC is not included in the Company's related party transactions.</w:t>
      </w:r>
    </w:p>
    <w:p>
      <w:pPr>
        <w:spacing w:after="0" w:line="176" w:lineRule="exact"/>
        <w:rPr>
          <w:sz w:val="20"/>
          <w:szCs w:val="20"/>
          <w:color w:val="auto"/>
        </w:rPr>
      </w:pPr>
    </w:p>
    <w:p>
      <w:pPr>
        <w:ind w:left="9" w:right="3479" w:firstLine="532"/>
        <w:spacing w:after="0" w:line="238" w:lineRule="auto"/>
        <w:rPr>
          <w:sz w:val="20"/>
          <w:szCs w:val="20"/>
          <w:color w:val="auto"/>
        </w:rPr>
      </w:pPr>
      <w:r>
        <w:rPr>
          <w:rFonts w:ascii="Courier New" w:cs="Courier New" w:eastAsia="Courier New" w:hAnsi="Courier New"/>
          <w:sz w:val="15"/>
          <w:szCs w:val="15"/>
          <w:color w:val="auto"/>
        </w:rPr>
        <w:t>The following related party expenses are included in the statements of operations:</w:t>
      </w:r>
    </w:p>
    <w:p>
      <w:pPr>
        <w:spacing w:after="0" w:line="200" w:lineRule="exact"/>
        <w:rPr>
          <w:sz w:val="20"/>
          <w:szCs w:val="20"/>
          <w:color w:val="auto"/>
        </w:rPr>
      </w:pPr>
    </w:p>
    <w:p>
      <w:pPr>
        <w:spacing w:after="0" w:line="314"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THREE MONTHS ENDED DECEMBER 31,</w:t>
      </w:r>
    </w:p>
    <w:p>
      <w:pPr>
        <w:spacing w:after="0" w:line="1"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4600" w:type="dxa"/>
            <w:vAlign w:val="bottom"/>
          </w:tcPr>
          <w:p>
            <w:pPr>
              <w:ind w:left="4080"/>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1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$ 461</w:t>
            </w:r>
          </w:p>
        </w:tc>
      </w:tr>
      <w:tr>
        <w:trPr>
          <w:trHeight w:val="171"/>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98</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Interest income (loss) and other, net(2)</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639</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(123)</w:t>
            </w:r>
          </w:p>
        </w:tc>
      </w:tr>
    </w:tbl>
    <w:p>
      <w:pPr>
        <w:spacing w:after="0" w:line="345" w:lineRule="exact"/>
        <w:rPr>
          <w:sz w:val="20"/>
          <w:szCs w:val="20"/>
          <w:color w:val="auto"/>
        </w:rPr>
      </w:pPr>
    </w:p>
    <w:p>
      <w:pPr>
        <w:ind w:left="529" w:right="3399" w:hanging="529"/>
        <w:spacing w:after="0" w:line="239"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three months ended December 31, 2001, consists of lease fees and miscellaneous support services purchased from SBC's affiliates by the Company.</w:t>
      </w:r>
    </w:p>
    <w:p>
      <w:pPr>
        <w:sectPr>
          <w:pgSz w:w="11900" w:h="16838" w:orient="portrait"/>
          <w:cols w:equalWidth="0" w:num="1">
            <w:col w:w="10228"/>
          </w:cols>
          <w:pgMar w:left="231" w:top="457" w:right="1440" w:bottom="0" w:gutter="0" w:footer="0" w:header="0"/>
        </w:sectPr>
      </w:pPr>
    </w:p>
    <w:bookmarkStart w:id="10" w:name="page11"/>
    <w:bookmarkEnd w:id="10"/>
    <w:p>
      <w:pPr>
        <w:ind w:left="529" w:right="3219" w:hanging="529"/>
        <w:spacing w:after="0" w:line="262" w:lineRule="auto"/>
        <w:tabs>
          <w:tab w:leader="none" w:pos="52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issued in connection with the Certen transaction. Absent hedging, these amounts would be $1,009 and $(123) for the three-month periods ended December 31, 2002 and 2001, respectively.</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141" w:right="1440" w:bottom="1440" w:gutter="0" w:footer="0" w:header="0"/>
        </w:sectPr>
      </w:pPr>
    </w:p>
    <w:bookmarkStart w:id="11" w:name="page12"/>
    <w:bookmarkEnd w:id="11"/>
    <w:p>
      <w:pPr>
        <w:spacing w:after="0" w:line="3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295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1" w:lineRule="exact"/>
        <w:rPr>
          <w:sz w:val="20"/>
          <w:szCs w:val="20"/>
          <w:color w:val="auto"/>
        </w:rPr>
      </w:pPr>
    </w:p>
    <w:p>
      <w:pPr>
        <w:ind w:left="529" w:hanging="529"/>
        <w:spacing w:after="0"/>
        <w:tabs>
          <w:tab w:leader="none" w:pos="52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p>
      <w:pPr>
        <w:spacing w:after="0" w:line="171" w:lineRule="exact"/>
        <w:rPr>
          <w:rFonts w:ascii="Courier New" w:cs="Courier New" w:eastAsia="Courier New" w:hAnsi="Courier New"/>
          <w:sz w:val="15"/>
          <w:szCs w:val="15"/>
          <w:color w:val="auto"/>
        </w:rPr>
      </w:pP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6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580" w:type="dxa"/>
            <w:vAlign w:val="bottom"/>
          </w:tcPr>
          <w:p>
            <w:pPr>
              <w:spacing w:after="0"/>
              <w:rPr>
                <w:sz w:val="14"/>
                <w:szCs w:val="14"/>
                <w:color w:val="auto"/>
              </w:rPr>
            </w:pPr>
          </w:p>
        </w:tc>
        <w:tc>
          <w:tcPr>
            <w:tcW w:w="2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3580" w:type="dxa"/>
            <w:vAlign w:val="bottom"/>
          </w:tcPr>
          <w:p>
            <w:pPr>
              <w:spacing w:after="0"/>
              <w:rPr>
                <w:sz w:val="14"/>
                <w:szCs w:val="14"/>
                <w:color w:val="auto"/>
              </w:rPr>
            </w:pPr>
          </w:p>
        </w:tc>
        <w:tc>
          <w:tcPr>
            <w:tcW w:w="210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210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4"/>
              </w:rPr>
              <w:t>2002</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580" w:type="dxa"/>
            <w:vAlign w:val="bottom"/>
          </w:tcPr>
          <w:p>
            <w:pPr>
              <w:spacing w:after="0"/>
              <w:rPr>
                <w:sz w:val="14"/>
                <w:szCs w:val="14"/>
                <w:color w:val="auto"/>
              </w:rPr>
            </w:pPr>
          </w:p>
        </w:tc>
        <w:tc>
          <w:tcPr>
            <w:tcW w:w="210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4"/>
              </w:rPr>
              <w:t>----</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2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$ 262,767</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$ 314,828</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2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24,422</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24,144</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2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(30,084)</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(26,240)</w:t>
            </w:r>
          </w:p>
        </w:tc>
      </w:tr>
      <w:tr>
        <w:trPr>
          <w:trHeight w:val="171"/>
        </w:trPr>
        <w:tc>
          <w:tcPr>
            <w:tcW w:w="3580" w:type="dxa"/>
            <w:vAlign w:val="bottom"/>
          </w:tcPr>
          <w:p>
            <w:pPr>
              <w:spacing w:after="0"/>
              <w:rPr>
                <w:sz w:val="14"/>
                <w:szCs w:val="14"/>
                <w:color w:val="auto"/>
              </w:rPr>
            </w:pPr>
          </w:p>
        </w:tc>
        <w:tc>
          <w:tcPr>
            <w:tcW w:w="2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2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$ 257,105</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$ 312,732</w:t>
            </w:r>
          </w:p>
        </w:tc>
      </w:tr>
      <w:tr>
        <w:trPr>
          <w:trHeight w:val="171"/>
        </w:trPr>
        <w:tc>
          <w:tcPr>
            <w:tcW w:w="3580" w:type="dxa"/>
            <w:vAlign w:val="bottom"/>
          </w:tcPr>
          <w:p>
            <w:pPr>
              <w:spacing w:after="0"/>
              <w:rPr>
                <w:sz w:val="14"/>
                <w:szCs w:val="14"/>
                <w:color w:val="auto"/>
              </w:rPr>
            </w:pPr>
          </w:p>
        </w:tc>
        <w:tc>
          <w:tcPr>
            <w:tcW w:w="2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52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9" w:right="3659" w:firstLine="532"/>
        <w:spacing w:after="0" w:line="238"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5980" w:type="dxa"/>
            <w:vAlign w:val="bottom"/>
          </w:tcPr>
          <w:p>
            <w:pPr>
              <w:spacing w:after="0"/>
              <w:rPr>
                <w:sz w:val="14"/>
                <w:szCs w:val="14"/>
                <w:color w:val="auto"/>
              </w:rPr>
            </w:pPr>
          </w:p>
        </w:tc>
        <w:tc>
          <w:tcPr>
            <w:tcW w:w="298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2002</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6"/>
              </w:rPr>
              <w:t>32,199</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$ 4,334</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Other comprehensive income:</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Unrealized income on derivative instruments, net of tax</w:t>
            </w:r>
          </w:p>
        </w:tc>
        <w:tc>
          <w:tcPr>
            <w:tcW w:w="40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5,468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1,135</w:t>
            </w:r>
          </w:p>
        </w:tc>
      </w:tr>
      <w:tr>
        <w:trPr>
          <w:trHeight w:val="171"/>
        </w:trPr>
        <w:tc>
          <w:tcPr>
            <w:tcW w:w="5980" w:type="dxa"/>
            <w:vAlign w:val="bottom"/>
          </w:tcPr>
          <w:p>
            <w:pPr>
              <w:ind w:left="520"/>
              <w:spacing w:after="0"/>
              <w:rPr>
                <w:sz w:val="20"/>
                <w:szCs w:val="20"/>
                <w:color w:val="auto"/>
              </w:rPr>
            </w:pPr>
            <w:r>
              <w:rPr>
                <w:rFonts w:ascii="Courier New" w:cs="Courier New" w:eastAsia="Courier New" w:hAnsi="Courier New"/>
                <w:sz w:val="15"/>
                <w:szCs w:val="15"/>
                <w:color w:val="auto"/>
              </w:rPr>
              <w:t>Unrealized loss on short-term interest-bearing investments,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of tax</w:t>
            </w:r>
          </w:p>
        </w:tc>
        <w:tc>
          <w:tcPr>
            <w:tcW w:w="40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980" w:type="dxa"/>
            <w:vAlign w:val="bottom"/>
          </w:tcPr>
          <w:p>
            <w:pPr>
              <w:spacing w:after="0"/>
              <w:rPr>
                <w:sz w:val="14"/>
                <w:szCs w:val="14"/>
                <w:color w:val="auto"/>
              </w:rPr>
            </w:pPr>
          </w:p>
        </w:tc>
        <w:tc>
          <w:tcPr>
            <w:tcW w:w="16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w w:val="96"/>
              </w:rPr>
              <w:t>37,561</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$ 5,258</w:t>
            </w:r>
          </w:p>
        </w:tc>
      </w:tr>
      <w:tr>
        <w:trPr>
          <w:trHeight w:val="171"/>
        </w:trPr>
        <w:tc>
          <w:tcPr>
            <w:tcW w:w="5980" w:type="dxa"/>
            <w:vAlign w:val="bottom"/>
          </w:tcPr>
          <w:p>
            <w:pPr>
              <w:spacing w:after="0"/>
              <w:rPr>
                <w:sz w:val="14"/>
                <w:szCs w:val="14"/>
                <w:color w:val="auto"/>
              </w:rPr>
            </w:pPr>
          </w:p>
        </w:tc>
        <w:tc>
          <w:tcPr>
            <w:tcW w:w="16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15" w:lineRule="exact"/>
        <w:rPr>
          <w:sz w:val="20"/>
          <w:szCs w:val="20"/>
          <w:color w:val="auto"/>
        </w:rPr>
      </w:pPr>
    </w:p>
    <w:p>
      <w:pPr>
        <w:jc w:val="center"/>
        <w:ind w:left="3740"/>
        <w:spacing w:after="0"/>
        <w:rPr>
          <w:sz w:val="20"/>
          <w:szCs w:val="20"/>
          <w:color w:val="auto"/>
        </w:rPr>
      </w:pPr>
      <w:r>
        <w:rPr>
          <w:rFonts w:ascii="Courier New" w:cs="Courier New" w:eastAsia="Courier New" w:hAnsi="Courier New"/>
          <w:sz w:val="14"/>
          <w:szCs w:val="14"/>
          <w:color w:val="auto"/>
        </w:rPr>
        <w:t>THREE MONTHS ENDED DECEMBER 31,</w:t>
      </w:r>
    </w:p>
    <w:p>
      <w:pPr>
        <w:spacing w:after="0" w:line="12" w:lineRule="exact"/>
        <w:rPr>
          <w:sz w:val="20"/>
          <w:szCs w:val="20"/>
          <w:color w:val="auto"/>
        </w:rPr>
      </w:pPr>
    </w:p>
    <w:p>
      <w:pPr>
        <w:jc w:val="center"/>
        <w:ind w:left="37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000"/>
        <w:spacing w:after="0"/>
        <w:tabs>
          <w:tab w:leader="none" w:pos="150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1" w:lineRule="exact"/>
        <w:rPr>
          <w:sz w:val="20"/>
          <w:szCs w:val="20"/>
          <w:color w:val="auto"/>
        </w:rPr>
      </w:pPr>
    </w:p>
    <w:p>
      <w:pPr>
        <w:jc w:val="center"/>
        <w:ind w:left="400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70" w:orient="portrait"/>
          <w:cols w:equalWidth="0" w:num="1">
            <w:col w:w="10228"/>
          </w:cols>
          <w:pgMar w:left="231" w:top="457" w:right="1440" w:bottom="0" w:gutter="0" w:footer="0" w:header="0"/>
        </w:sectPr>
      </w:pP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Current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Deferred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$ 12,921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(2,188)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$ 10,733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$ 25,489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(5,267)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$ 20,222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70" w:orient="portrait"/>
          <w:cols w:equalWidth="0" w:num="3">
            <w:col w:w="5589" w:space="720"/>
            <w:col w:w="1140" w:space="720"/>
            <w:col w:w="2059"/>
          </w:cols>
          <w:pgMar w:left="231" w:top="457" w:right="1440" w:bottom="0" w:gutter="0" w:footer="0" w:header="0"/>
          <w:type w:val="continuous"/>
        </w:sectPr>
      </w:pPr>
    </w:p>
    <w:p>
      <w:pPr>
        <w:spacing w:after="0" w:line="145"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The effective income tax rate from continuing operations varied from the statutory Guernsey tax rate as follows for the following periods: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602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14"/>
                <w:szCs w:val="14"/>
                <w:color w:val="auto"/>
              </w:rPr>
            </w:pPr>
          </w:p>
        </w:tc>
        <w:tc>
          <w:tcPr>
            <w:tcW w:w="17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6020" w:type="dxa"/>
            <w:vAlign w:val="bottom"/>
          </w:tcPr>
          <w:p>
            <w:pPr>
              <w:spacing w:after="0"/>
              <w:rPr>
                <w:sz w:val="14"/>
                <w:szCs w:val="14"/>
                <w:color w:val="auto"/>
              </w:rPr>
            </w:pPr>
          </w:p>
        </w:tc>
        <w:tc>
          <w:tcPr>
            <w:tcW w:w="17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512"/>
        </w:trPr>
        <w:tc>
          <w:tcPr>
            <w:tcW w:w="60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602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 acquisition-related costs and</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171"/>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restructuring charges</w:t>
            </w: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Effect of amortization of goodwill and purchased intangible assets</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6020" w:type="dxa"/>
            <w:vAlign w:val="bottom"/>
          </w:tcPr>
          <w:p>
            <w:pPr>
              <w:spacing w:after="0"/>
              <w:rPr>
                <w:sz w:val="14"/>
                <w:szCs w:val="14"/>
                <w:color w:val="auto"/>
              </w:rPr>
            </w:pP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Income tax rate before in-process research and development and</w:t>
            </w: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020" w:type="dxa"/>
            <w:vAlign w:val="bottom"/>
          </w:tcPr>
          <w:p>
            <w:pPr>
              <w:ind w:left="340"/>
              <w:spacing w:after="0"/>
              <w:rPr>
                <w:sz w:val="20"/>
                <w:szCs w:val="20"/>
                <w:color w:val="auto"/>
              </w:rPr>
            </w:pPr>
            <w:r>
              <w:rPr>
                <w:rFonts w:ascii="Courier New" w:cs="Courier New" w:eastAsia="Courier New" w:hAnsi="Courier New"/>
                <w:sz w:val="15"/>
                <w:szCs w:val="15"/>
                <w:color w:val="auto"/>
              </w:rPr>
              <w:t>restructuring charges</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rPr>
              <w:t>Effect of in-process research and development and restructuring</w:t>
            </w:r>
          </w:p>
        </w:tc>
        <w:tc>
          <w:tcPr>
            <w:tcW w:w="17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w:t>
            </w:r>
          </w:p>
        </w:tc>
      </w:tr>
    </w:tbl>
    <w:p>
      <w:pPr>
        <w:sectPr>
          <w:pgSz w:w="11900" w:h="16870" w:orient="portrait"/>
          <w:cols w:equalWidth="0" w:num="1">
            <w:col w:w="10228"/>
          </w:cols>
          <w:pgMar w:left="231" w:top="457" w:right="1440" w:bottom="0" w:gutter="0" w:footer="0" w:header="0"/>
          <w:type w:val="continuous"/>
        </w:sectPr>
      </w:pPr>
    </w:p>
    <w:bookmarkStart w:id="12" w:name="page13"/>
    <w:bookmarkEnd w:id="12"/>
    <w:p>
      <w:pPr>
        <w:ind w:left="340"/>
        <w:spacing w:after="0"/>
        <w:rPr>
          <w:sz w:val="20"/>
          <w:szCs w:val="20"/>
          <w:color w:val="auto"/>
        </w:rPr>
      </w:pPr>
      <w:r>
        <w:rPr>
          <w:rFonts w:ascii="Courier New" w:cs="Courier New" w:eastAsia="Courier New" w:hAnsi="Courier New"/>
          <w:sz w:val="14"/>
          <w:szCs w:val="14"/>
          <w:color w:val="auto"/>
        </w:rPr>
        <w:t>charges</w:t>
      </w:r>
    </w:p>
    <w:p>
      <w:pPr>
        <w:sectPr>
          <w:pgSz w:w="11900" w:h="16838" w:orient="portrait"/>
          <w:cols w:equalWidth="0" w:num="1">
            <w:col w:w="10219"/>
          </w:cols>
          <w:pgMar w:left="240" w:top="14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income tax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6100" w:space="720"/>
            <w:col w:w="1140" w:space="720"/>
            <w:col w:w="1539"/>
          </w:cols>
          <w:pgMar w:left="240" w:top="141"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19"/>
          </w:cols>
          <w:pgMar w:left="240" w:top="141" w:right="1440" w:bottom="1440" w:gutter="0" w:footer="0" w:header="0"/>
          <w:type w:val="continuous"/>
        </w:sectPr>
      </w:pPr>
    </w:p>
    <w:bookmarkStart w:id="13" w:name="page14"/>
    <w:bookmarkEnd w:id="13"/>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2003 is expected to be approximately 25%. Effective October 1, 2002, following the adoption of FASB 142, the Company no longer amortizes goodwill resulting from acquisitions. See Note 2 above. As a result, the non tax-deductible goodwill amortization no longer affects the Company's effective tax rate.</w:t>
      </w:r>
    </w:p>
    <w:p>
      <w:pPr>
        <w:spacing w:after="0" w:line="176"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In the three months ended December 31, 2001, the Company incurred non-cash charges related to the amortization of goodwill and purchased intangible assets and in-process research and development in connection with acquisitions and a restructuring charge. Since a significant portion of such costs and charges is attributable to amortization of goodwill, much of which is not tax deductible, the effective tax rate in the three months ended December 31, 2001 was adversely affected. Excluding the impact of these items, the Company's overall effective tax rate would have been 28% for the three months ended December 31, 2001.</w:t>
      </w:r>
    </w:p>
    <w:p>
      <w:pPr>
        <w:spacing w:after="0" w:line="175" w:lineRule="exact"/>
        <w:rPr>
          <w:sz w:val="20"/>
          <w:szCs w:val="20"/>
          <w:color w:val="auto"/>
        </w:rPr>
      </w:pPr>
    </w:p>
    <w:p>
      <w:pPr>
        <w:ind w:left="529" w:hanging="529"/>
        <w:spacing w:after="0"/>
        <w:tabs>
          <w:tab w:leader="none" w:pos="5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left="529" w:right="3219" w:firstLine="533"/>
        <w:spacing w:after="0" w:line="238"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5580" w:type="dxa"/>
            <w:vAlign w:val="bottom"/>
          </w:tcPr>
          <w:p>
            <w:pPr>
              <w:spacing w:after="0"/>
              <w:rPr>
                <w:sz w:val="14"/>
                <w:szCs w:val="14"/>
                <w:color w:val="auto"/>
              </w:rPr>
            </w:pPr>
          </w:p>
        </w:tc>
        <w:tc>
          <w:tcPr>
            <w:tcW w:w="2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2002</w:t>
            </w:r>
          </w:p>
        </w:tc>
        <w:tc>
          <w:tcPr>
            <w:tcW w:w="12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5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$ 32,199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580" w:type="dxa"/>
            <w:vAlign w:val="bottom"/>
          </w:tcPr>
          <w:p>
            <w:pPr>
              <w:ind w:left="620"/>
              <w:spacing w:after="0"/>
              <w:rPr>
                <w:sz w:val="20"/>
                <w:szCs w:val="20"/>
                <w:color w:val="auto"/>
              </w:rPr>
            </w:pPr>
            <w:r>
              <w:rPr>
                <w:rFonts w:ascii="Courier New" w:cs="Courier New" w:eastAsia="Courier New" w:hAnsi="Courier New"/>
                <w:sz w:val="15"/>
                <w:szCs w:val="15"/>
                <w:color w:val="auto"/>
              </w:rPr>
              <w:t>weighted average number of shares outstanding (*)</w:t>
            </w:r>
          </w:p>
        </w:tc>
        <w:tc>
          <w:tcPr>
            <w:tcW w:w="54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215,626</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222,696</w:t>
            </w:r>
          </w:p>
        </w:tc>
      </w:tr>
      <w:tr>
        <w:trPr>
          <w:trHeight w:val="171"/>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dilutive stock options granted</w:t>
            </w:r>
          </w:p>
        </w:tc>
        <w:tc>
          <w:tcPr>
            <w:tcW w:w="54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2,394</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dilutive earnings per share  -- adjusted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580" w:type="dxa"/>
            <w:vAlign w:val="bottom"/>
          </w:tcPr>
          <w:p>
            <w:pPr>
              <w:ind w:left="620"/>
              <w:spacing w:after="0"/>
              <w:rPr>
                <w:sz w:val="20"/>
                <w:szCs w:val="20"/>
                <w:color w:val="auto"/>
              </w:rPr>
            </w:pPr>
            <w:r>
              <w:rPr>
                <w:rFonts w:ascii="Courier New" w:cs="Courier New" w:eastAsia="Courier New" w:hAnsi="Courier New"/>
                <w:sz w:val="15"/>
                <w:szCs w:val="15"/>
                <w:color w:val="auto"/>
              </w:rPr>
              <w:t>weighted average shares and assumed conversions (*)</w:t>
            </w:r>
          </w:p>
        </w:tc>
        <w:tc>
          <w:tcPr>
            <w:tcW w:w="54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217,139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225,090</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5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left="1069" w:right="3299" w:hanging="537"/>
        <w:spacing w:after="0"/>
        <w:tabs>
          <w:tab w:leader="none" w:pos="10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held by shareholders of Amdocs Canada, Inc (formerly Solect Technology Group Inc. ("Solect")) pursuant to the Company's acquisition of Solect in April 2000, which are exchangeable for our Ordinary Shares on a one-for-one basis.</w:t>
      </w:r>
    </w:p>
    <w:p>
      <w:pPr>
        <w:spacing w:after="0" w:line="174" w:lineRule="exact"/>
        <w:rPr>
          <w:sz w:val="20"/>
          <w:szCs w:val="20"/>
          <w:color w:val="auto"/>
        </w:rPr>
      </w:pPr>
    </w:p>
    <w:p>
      <w:pPr>
        <w:ind w:left="529" w:right="3299" w:firstLine="533"/>
        <w:spacing w:after="0" w:line="23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per share was anti-dilutive for the three months ended December 31, 2002 and 2001, and therefore was not included in the calculation above.</w:t>
      </w:r>
    </w:p>
    <w:p>
      <w:pPr>
        <w:spacing w:after="0" w:line="174" w:lineRule="exact"/>
        <w:rPr>
          <w:sz w:val="20"/>
          <w:szCs w:val="20"/>
          <w:color w:val="auto"/>
        </w:rPr>
      </w:pPr>
    </w:p>
    <w:p>
      <w:pPr>
        <w:ind w:left="529" w:hanging="529"/>
        <w:spacing w:after="0"/>
        <w:tabs>
          <w:tab w:leader="none" w:pos="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4"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On November 28, 2001, the Company purchased from Nortel Networks Corporation substantially all of the assets of its Clarify business ("Clarify"), a leading provider of Customer Relationship Management ("CRM") software to communications companies and other enterprise sectors. The purchase price was subject to final price adjustments that were settled in October 2002 and resulted in an $11,111 reduction of the purchase price in the three months ended December 31, 2002. The fair market value of Clarify's assets and liabilities has been included in the Company's balance sheet and the results of Clarify's operations are included in the Company's consolidated statements of income, commencing on November 29, 2001.</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457" w:right="1440" w:bottom="1440" w:gutter="0" w:footer="0" w:header="0"/>
        </w:sectPr>
      </w:pPr>
    </w:p>
    <w:bookmarkStart w:id="14" w:name="page15"/>
    <w:bookmarkEnd w:id="14"/>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5" w:lineRule="exact"/>
        <w:rPr>
          <w:sz w:val="20"/>
          <w:szCs w:val="20"/>
          <w:color w:val="auto"/>
        </w:rPr>
      </w:pPr>
    </w:p>
    <w:p>
      <w:pPr>
        <w:ind w:left="529" w:right="3579" w:firstLine="533"/>
        <w:spacing w:after="0" w:line="238" w:lineRule="auto"/>
        <w:rPr>
          <w:sz w:val="20"/>
          <w:szCs w:val="20"/>
          <w:color w:val="auto"/>
        </w:rPr>
      </w:pPr>
      <w:r>
        <w:rPr>
          <w:rFonts w:ascii="Courier New" w:cs="Courier New" w:eastAsia="Courier New" w:hAnsi="Courier New"/>
          <w:sz w:val="15"/>
          <w:szCs w:val="15"/>
          <w:color w:val="auto"/>
        </w:rPr>
        <w:t>The following is the final allocation of the purchase price and deferred tax liability:</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liabilities acquired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(9,575)</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34,800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147,735</w:t>
            </w:r>
          </w:p>
        </w:tc>
      </w:tr>
      <w:tr>
        <w:trPr>
          <w:trHeight w:val="171"/>
        </w:trPr>
        <w:tc>
          <w:tcPr>
            <w:tcW w:w="33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$ 200,889</w:t>
            </w:r>
          </w:p>
        </w:tc>
      </w:tr>
      <w:tr>
        <w:trPr>
          <w:trHeight w:val="171"/>
        </w:trPr>
        <w:tc>
          <w:tcPr>
            <w:tcW w:w="332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529" w:right="3219" w:firstLine="533"/>
        <w:spacing w:after="0" w:line="239"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and earnings per share as if Clarify had been acquired as of October 1, 2001, excluding the write-off of purchased in-process research and development:</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52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25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$442,641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27,030</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11,784</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0.05</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0.05</w:t>
            </w:r>
          </w:p>
        </w:tc>
      </w:tr>
    </w:tbl>
    <w:p>
      <w:pPr>
        <w:spacing w:after="0" w:line="342" w:lineRule="exact"/>
        <w:rPr>
          <w:sz w:val="20"/>
          <w:szCs w:val="20"/>
          <w:color w:val="auto"/>
        </w:rPr>
      </w:pPr>
    </w:p>
    <w:p>
      <w:pPr>
        <w:ind w:left="52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w:t>
      </w:r>
    </w:p>
    <w:p>
      <w:pPr>
        <w:spacing w:after="0" w:line="174"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On November 27, 2002 the Company announced a series of measures designed to reduce costs and improve productivity. In the first quarter of fiscal 2003, the Company recorded a charge of $9,956, consisting primarily of employee separation costs in connection with the termination of the employment of approximately four hundred positions of software and information technology specialists and administrative professionals and for the write-off of leasehold improvements and rent obligations. Except for certain lease termination costs that will be paid over the respective lease terms, the Company will pay substantially all of the remaining accrual balance of the cost reduction program in the second quarter of fiscal 2003. The employee terminations occurred at various locations around the world. In addition, the Company implemented other cost reduction measures, including travel cuts and reductions in other discretionary costs.</w:t>
      </w:r>
    </w:p>
    <w:p>
      <w:pPr>
        <w:spacing w:after="0" w:line="181"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In the fourth quarter of fiscal 2002, the Company recorded a charge of $20,919, consisting primarily of employee separation costs in connection with the termination of the employment of approximately one thousand positions of software and information technology specialists and administrative professionals and for the write-off of leasehold improvements and rent obligations. Except for certain lease termination costs that will be paid over the respective lease terms, the Company paid most of the remaining accrual balance of the cost reduction program in the first quarter of fiscal 2003.</w:t>
      </w:r>
    </w:p>
    <w:p>
      <w:pPr>
        <w:spacing w:after="0" w:line="177" w:lineRule="exact"/>
        <w:rPr>
          <w:sz w:val="20"/>
          <w:szCs w:val="20"/>
          <w:color w:val="auto"/>
        </w:rPr>
      </w:pPr>
    </w:p>
    <w:p>
      <w:pPr>
        <w:ind w:left="529" w:right="3119" w:firstLine="533"/>
        <w:spacing w:after="0"/>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restructuring charge of $13,311 in the first quarter of fiscal 2002, primarily for the write-off of leasehold improvements and rent obligations, with the remainder for employee separation costs.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457" w:right="1440" w:bottom="1440" w:gutter="0" w:footer="0" w:header="0"/>
        </w:sectPr>
      </w:pPr>
    </w:p>
    <w:bookmarkStart w:id="15" w:name="page16"/>
    <w:bookmarkEnd w:id="15"/>
    <w:p>
      <w:pPr>
        <w:jc w:val="center"/>
        <w:ind w:right="151"/>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151"/>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 w:lineRule="exact"/>
        <w:rPr>
          <w:sz w:val="20"/>
          <w:szCs w:val="20"/>
          <w:color w:val="auto"/>
        </w:rPr>
      </w:pPr>
    </w:p>
    <w:p>
      <w:pPr>
        <w:jc w:val="center"/>
        <w:ind w:right="7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5" w:lineRule="exact"/>
        <w:rPr>
          <w:sz w:val="20"/>
          <w:szCs w:val="20"/>
          <w:color w:val="auto"/>
        </w:rPr>
      </w:pPr>
    </w:p>
    <w:p>
      <w:pPr>
        <w:ind w:left="529" w:right="440" w:firstLine="533"/>
        <w:spacing w:after="0" w:line="238" w:lineRule="auto"/>
        <w:rPr>
          <w:sz w:val="20"/>
          <w:szCs w:val="20"/>
          <w:color w:val="auto"/>
        </w:rPr>
      </w:pPr>
      <w:r>
        <w:rPr>
          <w:rFonts w:ascii="Courier New" w:cs="Courier New" w:eastAsia="Courier New" w:hAnsi="Courier New"/>
          <w:sz w:val="15"/>
          <w:szCs w:val="15"/>
          <w:color w:val="auto"/>
        </w:rPr>
        <w:t>All of the aforementioned charges are included in " restructuring charges and in-process research and development".</w:t>
      </w:r>
    </w:p>
    <w:p>
      <w:pPr>
        <w:spacing w:after="0" w:line="175" w:lineRule="exact"/>
        <w:rPr>
          <w:sz w:val="20"/>
          <w:szCs w:val="20"/>
          <w:color w:val="auto"/>
        </w:rPr>
      </w:pPr>
    </w:p>
    <w:p>
      <w:pPr>
        <w:jc w:val="both"/>
        <w:ind w:left="529" w:right="880" w:firstLine="533"/>
        <w:spacing w:after="0" w:line="258" w:lineRule="auto"/>
        <w:rPr>
          <w:sz w:val="20"/>
          <w:szCs w:val="20"/>
          <w:color w:val="auto"/>
        </w:rPr>
      </w:pPr>
      <w:r>
        <w:rPr>
          <w:rFonts w:ascii="Courier New" w:cs="Courier New" w:eastAsia="Courier New" w:hAnsi="Courier New"/>
          <w:sz w:val="14"/>
          <w:szCs w:val="14"/>
          <w:color w:val="auto"/>
        </w:rPr>
        <w:t>As of December 31, 2002, the remaining restructuring expense reserves were $19,131. The remaining employee separation costs are expected to be paid out through the second quarter of fiscal 2003.</w:t>
      </w:r>
    </w:p>
    <w:p>
      <w:pPr>
        <w:spacing w:after="0" w:line="1" w:lineRule="exact"/>
        <w:rPr>
          <w:sz w:val="20"/>
          <w:szCs w:val="20"/>
          <w:color w:val="auto"/>
        </w:rPr>
      </w:pPr>
    </w:p>
    <w:p>
      <w:pPr>
        <w:ind w:left="529" w:right="260"/>
        <w:spacing w:after="0" w:line="239" w:lineRule="auto"/>
        <w:rPr>
          <w:sz w:val="20"/>
          <w:szCs w:val="20"/>
          <w:color w:val="auto"/>
        </w:rPr>
      </w:pPr>
      <w:r>
        <w:rPr>
          <w:rFonts w:ascii="Courier New" w:cs="Courier New" w:eastAsia="Courier New" w:hAnsi="Courier New"/>
          <w:sz w:val="15"/>
          <w:szCs w:val="15"/>
          <w:color w:val="auto"/>
        </w:rPr>
        <w:t>Facility related costs are expected to be paid out through April 2012. Actual future cash requirements may differ materially from the accrual as of December 31, 2002, particularly if actual sublease income is significantly different from current estimates.</w:t>
      </w:r>
    </w:p>
    <w:p>
      <w:pPr>
        <w:spacing w:after="0" w:line="176" w:lineRule="exact"/>
        <w:rPr>
          <w:sz w:val="20"/>
          <w:szCs w:val="20"/>
          <w:color w:val="auto"/>
        </w:rPr>
      </w:pPr>
    </w:p>
    <w:p>
      <w:pPr>
        <w:ind w:left="529" w:right="960" w:firstLine="533"/>
        <w:spacing w:after="0" w:line="238" w:lineRule="auto"/>
        <w:rPr>
          <w:sz w:val="20"/>
          <w:szCs w:val="20"/>
          <w:color w:val="auto"/>
        </w:rPr>
      </w:pPr>
      <w:r>
        <w:rPr>
          <w:rFonts w:ascii="Courier New" w:cs="Courier New" w:eastAsia="Courier New" w:hAnsi="Courier New"/>
          <w:sz w:val="15"/>
          <w:szCs w:val="15"/>
          <w:color w:val="auto"/>
        </w:rPr>
        <w:t>A summary of restructuring activities along with respective remaining reserves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EMPLOYEE</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SEPARATION</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ASSET</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COSTS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FACILITIES</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WRITE-OFFS</w:t>
            </w:r>
          </w:p>
        </w:tc>
        <w:tc>
          <w:tcPr>
            <w:tcW w:w="360" w:type="dxa"/>
            <w:vAlign w:val="bottom"/>
          </w:tcPr>
          <w:p>
            <w:pPr>
              <w:spacing w:after="0"/>
              <w:rPr>
                <w:sz w:val="14"/>
                <w:szCs w:val="14"/>
                <w:color w:val="auto"/>
              </w:rPr>
            </w:pPr>
          </w:p>
        </w:tc>
        <w:tc>
          <w:tcPr>
            <w:tcW w:w="6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24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$ 11,087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Charge in first quarter of</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fiscal 2003:</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3,837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4,022</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1,829</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268</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Cash payments</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(1,061)</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Non-cash</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4,515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$ 14,048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568</w:t>
            </w:r>
          </w:p>
        </w:tc>
      </w:tr>
      <w:tr>
        <w:trPr>
          <w:trHeight w:val="171"/>
        </w:trPr>
        <w:tc>
          <w:tcPr>
            <w:tcW w:w="248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52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left="529" w:right="160" w:firstLine="533"/>
        <w:spacing w:after="0" w:line="259" w:lineRule="auto"/>
        <w:rPr>
          <w:sz w:val="20"/>
          <w:szCs w:val="20"/>
          <w:color w:val="auto"/>
        </w:rPr>
      </w:pPr>
      <w:r>
        <w:rPr>
          <w:rFonts w:ascii="Courier New" w:cs="Courier New" w:eastAsia="Courier New" w:hAnsi="Courier New"/>
          <w:sz w:val="14"/>
          <w:szCs w:val="14"/>
          <w:color w:val="auto"/>
        </w:rPr>
        <w:t>Beginning on June 24, 2002, a number of complaints were filed by holders of the Company's Ordinary Shares against the Company and four of its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the Company's Ordinary Shares between July 18, 2000 (or, in some of the complaints, July 24, 2001) and June 20, 2002. The complaints generally allege that, during that period, the Company and the individual defendants made false or misleading statements, in press releases and Securities and Exchange Commission filings, regarding among other things the Company's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recently appointed a lead plaintiff. The Company disputes the allegations of wrongdoing in these complaints and intends to defend itself vigorously.</w:t>
      </w:r>
    </w:p>
    <w:p>
      <w:pPr>
        <w:spacing w:after="0" w:line="33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$ 14,884</w:t>
      </w:r>
    </w:p>
    <w:p>
      <w:pPr>
        <w:spacing w:after="0" w:line="171" w:lineRule="exact"/>
        <w:rPr>
          <w:sz w:val="20"/>
          <w:szCs w:val="20"/>
          <w:color w:val="auto"/>
        </w:rPr>
      </w:pPr>
    </w:p>
    <w:p>
      <w:pPr>
        <w:jc w:val="center"/>
        <w:ind w:right="1531"/>
        <w:spacing w:after="0"/>
        <w:rPr>
          <w:sz w:val="20"/>
          <w:szCs w:val="20"/>
          <w:color w:val="auto"/>
        </w:rPr>
      </w:pPr>
      <w:r>
        <w:rPr>
          <w:rFonts w:ascii="Courier New" w:cs="Courier New" w:eastAsia="Courier New" w:hAnsi="Courier New"/>
          <w:sz w:val="15"/>
          <w:szCs w:val="15"/>
          <w:color w:val="auto"/>
        </w:rPr>
        <w:t>9,956</w:t>
      </w:r>
    </w:p>
    <w:p>
      <w:pPr>
        <w:spacing w:after="0" w:line="1" w:lineRule="exact"/>
        <w:rPr>
          <w:sz w:val="20"/>
          <w:szCs w:val="20"/>
          <w:color w:val="auto"/>
        </w:rPr>
      </w:pPr>
    </w:p>
    <w:p>
      <w:pPr>
        <w:jc w:val="center"/>
        <w:ind w:right="1531"/>
        <w:spacing w:after="0"/>
        <w:rPr>
          <w:sz w:val="20"/>
          <w:szCs w:val="20"/>
          <w:color w:val="auto"/>
        </w:rPr>
      </w:pPr>
      <w:r>
        <w:rPr>
          <w:rFonts w:ascii="Courier New" w:cs="Courier New" w:eastAsia="Courier New" w:hAnsi="Courier New"/>
          <w:sz w:val="15"/>
          <w:szCs w:val="15"/>
          <w:color w:val="auto"/>
        </w:rPr>
        <w:t>(3,880)</w:t>
      </w:r>
    </w:p>
    <w:p>
      <w:pPr>
        <w:spacing w:after="0" w:line="1" w:lineRule="exact"/>
        <w:rPr>
          <w:sz w:val="20"/>
          <w:szCs w:val="20"/>
          <w:color w:val="auto"/>
        </w:rPr>
      </w:pPr>
    </w:p>
    <w:p>
      <w:pPr>
        <w:jc w:val="center"/>
        <w:ind w:right="1531"/>
        <w:spacing w:after="0"/>
        <w:rPr>
          <w:sz w:val="20"/>
          <w:szCs w:val="20"/>
          <w:color w:val="auto"/>
        </w:rPr>
      </w:pPr>
      <w:r>
        <w:rPr>
          <w:rFonts w:ascii="Courier New" w:cs="Courier New" w:eastAsia="Courier New" w:hAnsi="Courier New"/>
          <w:sz w:val="15"/>
          <w:szCs w:val="15"/>
          <w:color w:val="auto"/>
        </w:rPr>
        <w:t>(1,829)</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68" w:hanging="168"/>
        <w:spacing w:after="0"/>
        <w:tabs>
          <w:tab w:leader="none" w:pos="1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19,131</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269" w:space="452"/>
            <w:col w:w="2507"/>
          </w:cols>
          <w:pgMar w:left="231" w:top="45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3"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and acts of war or terrorism. For a discussion of these important factors, please read the information set forth under the caption "Risk Factors" in the Form 20-F for fiscal 2002 that we have filed with the United States Securities and Exchange Commission ("SEC").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759" w:firstLine="532"/>
        <w:spacing w:after="0" w:line="238"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2" w:lineRule="exact"/>
        <w:rPr>
          <w:sz w:val="20"/>
          <w:szCs w:val="20"/>
          <w:color w:val="auto"/>
        </w:rPr>
      </w:pPr>
    </w:p>
    <w:p>
      <w:pPr>
        <w:ind w:left="1060" w:hanging="537"/>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affect our business,</w:t>
      </w:r>
    </w:p>
    <w:p>
      <w:pPr>
        <w:spacing w:after="0" w:line="174"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months ended December 31, 2002 and 2001,</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changes we have made to our organizational structure,</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1060" w:right="3399" w:hanging="537"/>
        <w:spacing w:after="0" w:line="238" w:lineRule="auto"/>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three months ended December 31, 2002 and 2001, and</w:t>
      </w:r>
    </w:p>
    <w:p>
      <w:pPr>
        <w:spacing w:after="0" w:line="174"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three-month periods ended December 31, 2002 and 2001. You should read this section in conjunction with our consolidated financial statements.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market focus is the communications industry, and we are a leading provider of software products and services to that industry. The products and services that we provide are known as business support systems, which we refer to as "BSS". Our BSS products consist primarily of customer care and billing, customer relationship management and order management systems. We refer to these, collectively, as "CC&amp;B Systems". We refer to our customer relationship management products as "CRM" products. Our products also include a full range of directory sales and publishing systems, which we refer to as "Directory Systems", for publishers of both traditional printed yellow page and white page directories and electronic Internet directories.</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CC&amp;B Systems and our Directory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and maintenance services. In addition, we offer outsourcing services, such as the operation of data centers and the provision of communications facility management services, in all cases on either or a combination of a fixed or unit charge basis to our customers.</w:t>
      </w:r>
    </w:p>
    <w:p>
      <w:pPr>
        <w:spacing w:after="0" w:line="180"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4" w:lineRule="exact"/>
        <w:rPr>
          <w:sz w:val="20"/>
          <w:szCs w:val="20"/>
          <w:color w:val="auto"/>
        </w:rPr>
      </w:pPr>
    </w:p>
    <w:p>
      <w:pPr>
        <w:ind w:left="1060" w:right="3479" w:hanging="537"/>
        <w:spacing w:after="0" w:line="239"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licenses for our products, including initial license fees and incremental license fees resulting from increases in a customer's business volume,</w:t>
      </w:r>
    </w:p>
    <w:p>
      <w:pPr>
        <w:spacing w:after="0" w:line="175" w:lineRule="exact"/>
        <w:rPr>
          <w:rFonts w:ascii="Courier New" w:cs="Courier New" w:eastAsia="Courier New" w:hAnsi="Courier New"/>
          <w:sz w:val="15"/>
          <w:szCs w:val="15"/>
          <w:color w:val="auto"/>
        </w:rPr>
      </w:pPr>
    </w:p>
    <w:p>
      <w:pPr>
        <w:jc w:val="both"/>
        <w:ind w:left="1060" w:right="4279" w:hanging="537"/>
        <w:spacing w:after="0" w:line="271"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services related to our products, including customization, implementation and integration services,</w:t>
      </w:r>
    </w:p>
    <w:p>
      <w:pPr>
        <w:spacing w:after="0" w:line="153" w:lineRule="exact"/>
        <w:rPr>
          <w:rFonts w:ascii="Courier New" w:cs="Courier New" w:eastAsia="Courier New" w:hAnsi="Courier New"/>
          <w:sz w:val="14"/>
          <w:szCs w:val="14"/>
          <w:color w:val="auto"/>
        </w:rPr>
      </w:pPr>
    </w:p>
    <w:p>
      <w:pPr>
        <w:ind w:left="1060" w:right="3299" w:hanging="537"/>
        <w:spacing w:after="0" w:line="238"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outsourcing and other related services for our customers.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we recognize revenue from the operation and maintenance of customers' billing systems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8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 industry, the market value, financial results and prospects, and capital spending levels of communications companies have declined or degraded.</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8" w:name="page19"/>
    <w:bookmarkEnd w:id="18"/>
    <w:p>
      <w:pPr>
        <w:ind w:right="3119" w:firstLine="532"/>
        <w:spacing w:after="0"/>
        <w:rPr>
          <w:sz w:val="20"/>
          <w:szCs w:val="20"/>
          <w:color w:val="auto"/>
        </w:rPr>
      </w:pPr>
      <w:r>
        <w:rPr>
          <w:rFonts w:ascii="Courier New" w:cs="Courier New" w:eastAsia="Courier New" w:hAnsi="Courier New"/>
          <w:sz w:val="15"/>
          <w:szCs w:val="15"/>
          <w:color w:val="auto"/>
        </w:rPr>
        <w:t>The persistence and worsening of the downturn in the communications industry have significantly impacted our business. Over the past year, further slowdowns in customer buying decisions stemming from financial pressure on operating expenses and overall reductions in the capital investment budgets of many communications service providers have led to fewer new contracts, as well as smaller initial spending commitments and reduced discretionary spending under our contracts with some of our customers.</w:t>
      </w:r>
    </w:p>
    <w:p>
      <w:pPr>
        <w:spacing w:after="0" w:line="176"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Due to our heavy dependence on the communications industry, we can be adversely affected by bankruptcies or other business failures in that industry. Failures in the communications industry could harm our business and might have a material adverse effect on our operating results and financial condition.</w:t>
      </w:r>
    </w:p>
    <w:p>
      <w:pPr>
        <w:spacing w:after="0" w:line="161"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Total license and service revenue for the three months ended December 31, 2002 was $339.4 million, compared to $422.6 million in the three months ended December 31, 2001.</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License and service revenue from the sale of CC&amp;B Systems amounted to $298.7 million in the three months ended December 31, 2002 compared to $380.5 million in the three months ended December 31, 2001. In the three months ended December 31, 2002, license and service revenue from the sale of CC&amp;B Systems represented 88.0% of our total revenue, compared to 90.0% in the three months ended December 31, 2001.</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We believe that the demand for our CC&amp;B Systems is driven by, among other key factors:</w:t>
      </w:r>
    </w:p>
    <w:p>
      <w:pPr>
        <w:spacing w:after="0" w:line="172" w:lineRule="exact"/>
        <w:rPr>
          <w:sz w:val="20"/>
          <w:szCs w:val="20"/>
          <w:color w:val="auto"/>
        </w:rPr>
      </w:pPr>
    </w:p>
    <w:p>
      <w:pPr>
        <w:ind w:left="1060" w:hanging="537"/>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4" w:lineRule="exact"/>
        <w:rPr>
          <w:rFonts w:ascii="Courier New" w:cs="Courier New" w:eastAsia="Courier New" w:hAnsi="Courier New"/>
          <w:sz w:val="15"/>
          <w:szCs w:val="15"/>
          <w:color w:val="auto"/>
        </w:rPr>
      </w:pPr>
    </w:p>
    <w:p>
      <w:pPr>
        <w:ind w:left="1060" w:right="4019" w:hanging="537"/>
        <w:spacing w:after="0" w:line="23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4" w:lineRule="exact"/>
        <w:rPr>
          <w:rFonts w:ascii="Courier New" w:cs="Courier New" w:eastAsia="Courier New" w:hAnsi="Courier New"/>
          <w:sz w:val="15"/>
          <w:szCs w:val="15"/>
          <w:color w:val="auto"/>
        </w:rPr>
      </w:pPr>
    </w:p>
    <w:p>
      <w:pPr>
        <w:ind w:left="1060" w:right="3119" w:hanging="537"/>
        <w:spacing w:after="0" w:line="239"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175" w:lineRule="exact"/>
        <w:rPr>
          <w:rFonts w:ascii="Courier New" w:cs="Courier New" w:eastAsia="Courier New" w:hAnsi="Courier New"/>
          <w:sz w:val="15"/>
          <w:szCs w:val="15"/>
          <w:color w:val="auto"/>
        </w:rPr>
      </w:pPr>
    </w:p>
    <w:p>
      <w:pPr>
        <w:ind w:left="1060" w:right="3479" w:hanging="537"/>
        <w:spacing w:after="0" w:line="23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customers, and</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Although we are unable at this time to forecast demand for our CC&amp;B Systems, we could experience additional revenue softness in the future as a result of the downturn in the communications industry. This industry-wide downturn had a direct negative impact on our results for the three months ended December 31, 2002, reducing both the number of new contracts we have been able to obtain, and the initial spending commitments and discretionary spending levels of some of our customers. As of January 31, 2003 we expect that total revenue for the second quarter of fiscal 2003 to be in the range of $333 million to $340 million. As of January 31, 2003 we had no clear indication for the second half of fiscal 2003. Accordingly, at this point, we cannot predict whether revenue levels will continue to deteriorate or if they have stabilized. However, we expect that revenue attributable to our CC&amp;B Systems in fiscal 2003 will be lower than in fiscal 2002.</w:t>
      </w:r>
    </w:p>
    <w:p>
      <w:pPr>
        <w:spacing w:after="0" w:line="180"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License and service revenue from the sale of Directory Systems amounted to $40.7 million in the three months ended December 31, 2002 compared to $42.1 million in the three months ended December 31, 2001.</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9" w:name="page20"/>
    <w:bookmarkEnd w:id="19"/>
    <w:p>
      <w:pPr>
        <w:ind w:right="3119"/>
        <w:spacing w:after="0" w:line="239" w:lineRule="auto"/>
        <w:rPr>
          <w:sz w:val="20"/>
          <w:szCs w:val="20"/>
          <w:color w:val="auto"/>
        </w:rPr>
      </w:pPr>
      <w:r>
        <w:rPr>
          <w:rFonts w:ascii="Courier New" w:cs="Courier New" w:eastAsia="Courier New" w:hAnsi="Courier New"/>
          <w:sz w:val="15"/>
          <w:szCs w:val="15"/>
          <w:color w:val="auto"/>
        </w:rPr>
        <w:t>In the three months ended December 31, 2002 license and service revenue from the sale of Directory Systems represented 12.0% of our total revenue, compared to 10.0% in the three months ended December 31, 2001.</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In fiscal 2003, we expect that our revenue from Directory Systems will be slightly higher than in fiscal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 AND COST REDUCTION PROGRAM</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In November 2002 we announced a series of measures designed to reduce costs and improve productivity. In the first quarter of fiscal 2003, we recorded a charge of $10.0 million, consisting primarily of employee separation costs in connection with the termination of the employment of approximately four hundred positions of software and information technology specialists and administrative professionals and for the write-off of leasehold improvements and rent obligations. Except for certain lease termination costs that will be paid over the respective lease terms, we will pay substantially all of the remaining accrual balance of the cost reduction program in the second quarter of fiscal 2003. The employee terminations occurred at various locations around the world. In addition, we implemented other cost reduction measures, including travel cuts and reductions in other discretionary costs.</w:t>
      </w:r>
    </w:p>
    <w:p>
      <w:pPr>
        <w:spacing w:after="0" w:line="33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believe that the implementation of this cost reduction program will create cost savings of approximately $8 million each quarter on an ongoing basis compared to the expense level in the first quarter of fiscal 2003. This cost savings is in addition to the quarterly cost savings already achieved as a result of cost reduction measures implemented in fiscal 2002. During the first quarter of fiscal 2003 we notified all affected employees of their termination. However, these individuals remained on our payroll as our employees through the end of the first quarter. As a result, the cost savings in the first quarter of fiscal 2003 were partial.</w:t>
      </w:r>
    </w:p>
    <w:p>
      <w:pPr>
        <w:spacing w:after="0" w:line="177"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This cost reduction program is in addition to the measures implemented during the first and fourth quarters of fiscal 2002. In the fourth quarter of 2002, we recorded a charge of $20.9 million, consisting primarily of employee separation costs in connection with the termination of the employment of approximately one thousand positions of software and information technology specialists and administrative professionals and for the write-off of leasehold improvements and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rent obligations, with the remainder for employee separation costs.</w:t>
      </w:r>
    </w:p>
    <w:p>
      <w:pPr>
        <w:spacing w:after="0" w:line="165" w:lineRule="exact"/>
        <w:rPr>
          <w:sz w:val="20"/>
          <w:szCs w:val="20"/>
          <w:color w:val="auto"/>
        </w:rPr>
      </w:pPr>
    </w:p>
    <w:p>
      <w:pPr>
        <w:ind w:right="3299" w:firstLine="532"/>
        <w:spacing w:after="0" w:line="238" w:lineRule="auto"/>
        <w:rPr>
          <w:sz w:val="20"/>
          <w:szCs w:val="20"/>
          <w:color w:val="auto"/>
        </w:rPr>
      </w:pPr>
      <w:r>
        <w:rPr>
          <w:rFonts w:ascii="Courier New" w:cs="Courier New" w:eastAsia="Courier New" w:hAnsi="Courier New"/>
          <w:sz w:val="15"/>
          <w:szCs w:val="15"/>
          <w:color w:val="auto"/>
        </w:rPr>
        <w:t>All of the aforementioned charges are included in "restructuring charges and in-process research and development".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Goodwill and Purchased Intangible Assets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June 2001, the Financial Accounting Standards Board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 to be amortized over their useful lives. Other intangible assets, such as workforce-in-place, were reclassified to goodwill, according to SFAS No. 141's new definition of intangible assets.</w:t>
      </w:r>
    </w:p>
    <w:p>
      <w:pPr>
        <w:spacing w:after="0" w:line="180"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Effective October 1, 2002 we adopted SFAS No. 142. Subsequent to the adoption of the new rules, we performed the transitional impairment tests of goodwill and intangible assets recorded as of October 1, 2002.</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0" w:right="1440" w:bottom="1440" w:gutter="0" w:footer="0" w:header="0"/>
        </w:sectPr>
      </w:pPr>
    </w:p>
    <w:bookmarkStart w:id="20" w:name="page21"/>
    <w:bookmarkEnd w:id="20"/>
    <w:p>
      <w:pPr>
        <w:ind w:right="3119"/>
        <w:spacing w:after="0"/>
        <w:rPr>
          <w:sz w:val="20"/>
          <w:szCs w:val="20"/>
          <w:color w:val="auto"/>
        </w:rPr>
      </w:pPr>
      <w:r>
        <w:rPr>
          <w:rFonts w:ascii="Courier New" w:cs="Courier New" w:eastAsia="Courier New" w:hAnsi="Courier New"/>
          <w:sz w:val="15"/>
          <w:szCs w:val="15"/>
          <w:color w:val="auto"/>
        </w:rPr>
        <w:t>Thereafter, a periodic impairment test will be performed at least annually. As discussed in Note 1 to the consolidated financial statements included in this document, Amdocs and its subsidiaries operate in one operating segment, and our reporting unit is consistent with that one operating segment. In calculating the fair value of the reporting unit, we used a discounted cash flow methodology. There was no impairment of goodwill upon adoption of SFAS 142. We will perform our annual impairment review during the fourth quarter of each year, commencing in the fourth quarter of fiscal 2003.</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November 2002 the FASB issued FASB Interpretation No. 45 "Guarantor's Accounting and Disclosure Requirements for Guarantees, Including Indirect Guarantees of Indebtness of Others" ("FIN 45"). FIN 45 requires that at the inception of certain types of guarantees, the guarantor must disclose and recognize a liability for the fair value of the obligation it assumes under the guarantee. The initial recognition and measurement of FIN 45 is effective for guarantees issued or modified after December 31, 2002. The additional disclosure requirements of FIN 45 are effective for interim and annual periods ending after December 15, 2002, and are applicable to certain of our guarantees issued before December 31, 2002.</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are a party to an agreement to indemnify one of our customers for any withholding tax that might be required under the customer's local tax laws from payments made to us. As of December 31, 2002 and September 30, 2002, the maximum potential amount for our future exposure guarantee under the scope of FIN 45 issued before December 31, 2002 was $4.7 million. We do not believe the outcome of this guarantee will have a material effect on our results.</w:t>
      </w:r>
    </w:p>
    <w:p>
      <w:pPr>
        <w:spacing w:after="0" w:line="175" w:lineRule="exact"/>
        <w:rPr>
          <w:sz w:val="20"/>
          <w:szCs w:val="20"/>
          <w:color w:val="auto"/>
        </w:rPr>
      </w:pPr>
    </w:p>
    <w:p>
      <w:pPr>
        <w:ind w:right="3219" w:firstLine="532"/>
        <w:spacing w:after="0" w:line="262" w:lineRule="auto"/>
        <w:rPr>
          <w:sz w:val="20"/>
          <w:szCs w:val="20"/>
          <w:color w:val="auto"/>
        </w:rPr>
      </w:pPr>
      <w:r>
        <w:rPr>
          <w:rFonts w:ascii="Courier New" w:cs="Courier New" w:eastAsia="Courier New" w:hAnsi="Courier New"/>
          <w:sz w:val="14"/>
          <w:szCs w:val="14"/>
          <w:color w:val="auto"/>
        </w:rPr>
        <w:t>We generally sell our ClarifyCRM products with a limited warranty for a period of 90 days. We accrue for warranty costs based on historical trends in product failure. Based on our experience, no material warranty services have been required and as a result, we do not accrue for product warranty liability.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Costs Associated with Exit or Disposal Activities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June 2002 the FASB issued SFAS 146, "Accounting for Costs Associated with Exit or Disposal Activities". SFAS 146 requires that a liability for costs associated with an exit or disposal activity, including restructuring activities, be recognized and measured initially at fair value only when the liability is incurred, or for certain one-time employee termination costs over a future service period. Previously, a liability for an exit cost was recognized when a company committed to an exit plan. As a result, SFAS 146 may affect both the timing and amounts of the recognition of future restructuring costs. SFAS 146 is effective for exit or disposal activities that were initiated after December 31, 2002.</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June 2002 the FASB issued SFAS 148, "Accounting for Stock-Based Compensation - Transition and Disclosure - an Amendment of FASB Statement No. 123". SFAS 148 amends SFAS 123 to provide alternative methods of transition for a voluntary change to the fair value-based method of accounting for stock-based employee compensation. In addition, SFAS 148 amends the disclosure requirements of SFAS 123 to require more prominent disclosures in both annual and interim financial statements regarding the method of accounting for stock-based employee compensation and the effect of the method used on reported results. The alternative methods of transition of SFAS 148 are effective for fiscal years ending after December 15, 2002. The disclosure provision of SFAS 148 is effective for interim periods beginning after December 15, 2002. We follow APB 25 in accounting for our employee stock options.</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ACQUISITION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 These have included our acquisitions of International Telecommunications Data Systems, Inc. and Solect Technology Group Inc., which occurred prior to the periods of the financial statements included in this report.</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On November 28, 2001, we purchased from Nortel Networks Corporation substantially all of the assets of its Clarify business, a leading provider of CRM software to communications companies and other enterprise sectors. The purchase price was subject to final price adjustments that were settled in October 2002 and resulted in an $11.1 million reduction of the purchase price in the three months ended December 31, 2002. After making the final purchase price adjustments, the total purchase price was $200.9 million. The fair market value of Clarify's assets and liabilities has been included in our balance sheet and the results of Clarify's operations are included in our consolidated statements of income, commencing on November 29,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4"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$29.6 million and $28.6 million in the three months ended December 31, 2002 and 2001, respectively, representing 8.7% and 6.8%, respectively, of our revenue in these periods.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opportunities that should result from the anticipated recovery and renewed growth in the communications industry.</w:t>
      </w:r>
    </w:p>
    <w:p>
      <w:pPr>
        <w:spacing w:after="0" w:line="34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subcontractors,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following table sets forth for the three months ended December 31, 2002 and 2001 certain items in our consolidated statements of income reflected as a percentage of total revenue:</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3680" w:type="dxa"/>
            <w:vAlign w:val="bottom"/>
            <w:gridSpan w:val="4"/>
          </w:tcPr>
          <w:p>
            <w:pPr>
              <w:jc w:val="right"/>
              <w:ind w:right="266"/>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1"/>
        </w:trPr>
        <w:tc>
          <w:tcPr>
            <w:tcW w:w="3760" w:type="dxa"/>
            <w:vAlign w:val="bottom"/>
          </w:tcPr>
          <w:p>
            <w:pPr>
              <w:spacing w:after="0"/>
              <w:rPr>
                <w:sz w:val="14"/>
                <w:szCs w:val="14"/>
                <w:color w:val="auto"/>
              </w:rPr>
            </w:pPr>
          </w:p>
        </w:tc>
        <w:tc>
          <w:tcPr>
            <w:tcW w:w="36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PRO FORMA (*)</w:t>
            </w:r>
          </w:p>
        </w:tc>
        <w:tc>
          <w:tcPr>
            <w:tcW w:w="17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AS REPORTED</w:t>
            </w:r>
          </w:p>
        </w:tc>
      </w:tr>
      <w:tr>
        <w:trPr>
          <w:trHeight w:val="171"/>
        </w:trPr>
        <w:tc>
          <w:tcPr>
            <w:tcW w:w="3760" w:type="dxa"/>
            <w:vAlign w:val="bottom"/>
          </w:tcPr>
          <w:p>
            <w:pPr>
              <w:spacing w:after="0"/>
              <w:rPr>
                <w:sz w:val="14"/>
                <w:szCs w:val="14"/>
                <w:color w:val="auto"/>
              </w:rPr>
            </w:pPr>
          </w:p>
        </w:tc>
        <w:tc>
          <w:tcPr>
            <w:tcW w:w="19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94.0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94.0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54.5</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54.5</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760" w:type="dxa"/>
            <w:vAlign w:val="bottom"/>
          </w:tcPr>
          <w:p>
            <w:pPr>
              <w:ind w:left="340"/>
              <w:spacing w:after="0"/>
              <w:rPr>
                <w:sz w:val="20"/>
                <w:szCs w:val="20"/>
                <w:color w:val="auto"/>
              </w:rPr>
            </w:pPr>
            <w:r>
              <w:rPr>
                <w:rFonts w:ascii="Courier New" w:cs="Courier New" w:eastAsia="Courier New" w:hAnsi="Courier New"/>
                <w:sz w:val="15"/>
                <w:szCs w:val="15"/>
                <w:color w:val="auto"/>
              </w:rPr>
              <w:t>intangible assets</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 in-process</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760" w:type="dxa"/>
            <w:vAlign w:val="bottom"/>
          </w:tcPr>
          <w:p>
            <w:pPr>
              <w:ind w:left="340"/>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84.4</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74.3</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88.8</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95.0</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15.6</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17.1</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26.5</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37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1060" w:right="3219" w:hanging="537"/>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pro forma financial information regarding our operating results is provided as a complement to results reported in accordance with accounting principles generally accepted in the United States. We use this pro forma financial information in our internal analysis because it enables us to consistently analyze the critical components and results of operations and to have a meaningful comparison to prior years. This pro forma financial information excludes (i) amortization of purchased intangible assets, (ii) restructuring charges related to cost reduction programs and the consolidation of data centers (iii) for the three months ended December 31, 2001 only, amortization of goodwill, (iv) for the three months ended December 31, 2001 only, purchased in-process research and development attributable to the acquisition of Clarify and (v) all related tax effects related to the above in all respective periods.</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THREE MONTHS ENDED DECEMBER 31, 2002 AND 2001</w:t>
      </w:r>
    </w:p>
    <w:p>
      <w:pPr>
        <w:spacing w:after="0" w:line="174"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REVENUE. Total revenue for the three months ended December 31, 2002 was $339.4 million, a decrease of $83.3 million, or 19.7%, over the three months ended December 31, 2001. The decrease in revenue was due to the continued slowdown in customer buying decisions, stemming from overall reductions in the capital investment budgets of many communications service providers.</w:t>
      </w:r>
    </w:p>
    <w:p>
      <w:pPr>
        <w:spacing w:after="0" w:line="162"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As of January 31, 2003 we believe that past market conditions will result in softening revenues throughout the first half of fiscal 2003, although the level of decline is expected to diminish in the second quarter. As a result, we expect revenue for the second quarter ending March 31, 2003 to be in the range of $333 million to $340 million.</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License revenue decreased from $42.3 million in the three months ended December 31, 2001 to $20.5 million during the three months ended December 31, 2002, a decrease of 51.5%, and service revenue decreased 16.2% from $380.4 million in the three months ended December 31, 2001 to $318.9 million in the three months ended December 31, 2002. The decrease in license revenue is attributable primarily to a reduction in capital investments by our telecommunications customers, which resulted in our obtaining fewer new contracts than expected and smaller than expected initial spending commitments under contracts with some of our customers. The decrease in service revenue is attributable, in part, to reduced discretionary spending under our contracts with some of our customers in the first quarter of fiscal 2003.</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969" w:gutter="0" w:footer="0" w:header="0"/>
        </w:sectPr>
      </w:pPr>
    </w:p>
    <w:bookmarkStart w:id="23" w:name="page24"/>
    <w:bookmarkEnd w:id="23"/>
    <w:p>
      <w:pPr>
        <w:ind w:right="3119" w:firstLine="532"/>
        <w:spacing w:after="0" w:line="259" w:lineRule="auto"/>
        <w:rPr>
          <w:sz w:val="20"/>
          <w:szCs w:val="20"/>
          <w:color w:val="auto"/>
        </w:rPr>
      </w:pPr>
      <w:r>
        <w:rPr>
          <w:rFonts w:ascii="Courier New" w:cs="Courier New" w:eastAsia="Courier New" w:hAnsi="Courier New"/>
          <w:sz w:val="14"/>
          <w:szCs w:val="14"/>
          <w:color w:val="auto"/>
        </w:rPr>
        <w:t>The decline in our overall revenue in the first quarter of fiscal 2003 was primarily attributable to a decrease in revenue from CC&amp;B Systems. Total CC&amp;B Systems revenue for the three months ended December 31, 2002 was $298.7 million, a decrease of $81.8 million, or 21.5%, over the three months ended December 31, 2001. The demand for our CC&amp;B Systems is primarily driven by the need for communications companies to continue to upgrade their customer care and billing, CRM software and order management systems. Because many communications companies are reducing or delaying expenditures on system upgrades as a result of the current economic slowdown, the demand for our CC&amp;B Systems and our CC&amp;B revenue were significantly lower during the three months ended December 31, 2002. Approximately $16.2 million of our CC&amp;B Systems revenue for the three months ended December 31, 2002 is attributable to customers other than communications service providers. Although our business is not focused on such non-communications service provider customers, we believe that revenue from such customers will remain relatively stable over time.</w:t>
      </w:r>
    </w:p>
    <w:p>
      <w:pPr>
        <w:spacing w:after="0" w:line="334"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Revenue from Directory Systems was $40.7 million for the three months ended December 31, 2002, an increase of $1.4 million, or 3.3%, over the three months ended December 31, 2001. The increase is attributable primarily to extensions of agreements with and additional services rendered to existing customers.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the three months ended December 31, 2002, revenue from customers in North America, Europe and the rest of the world accounted for 62.0%, 30.1% and 7.9%, respectively, compared to 61.3%, 28.3% and 10.4%, respectively, for the three months ended December 31, 2001. The decline in revenue from customers in the rest of the world was attributable primarily to a reduction in the activity from existing customers more than in the North American and European activities, in the first quarter of fiscal 2003.</w:t>
      </w:r>
    </w:p>
    <w:p>
      <w:pPr>
        <w:spacing w:after="0" w:line="176"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COST OF LICENSE. Cost of license for the three months ended December 31, 2002 was $1.1 million, compared to $1.4 million cost of license for the three months ended December 31, 2001. Cost of license mainly includes amortization of purchased computer software and intellectual property rights.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COST OF SERVICE. Cost of service for the three months ended December 31, 2002 was $204.0 million, a decrease of $26.2 million, or 11.4%, over the cost of service of $230.2 million for the three months ended December 31, 2001. As a percentage of revenue, cost of service increased to 60.2% in the three months ended December 31, 2002 from 54.5% in the three months ended December 31, 2001. The decrease in cost of service is attributable to the cost reduction programs that we implemented in fiscal 2002 and in the first quarter of fiscal 2003. However, although our cost of service decreased in the first quarter of fiscal 2003, our cost reductions were proportionally less than the decrease in our service revenue, in part because the effects of some of our cost reduction measures will be realized over time. We took additional steps to decrease our costs and increase our gross margin. See the discussion above under the caption "Operational Efficiency and Cost Reduction Program".</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December 31, 2002, research and development expense was $29.6 million, or 8.7% of revenue, compared with $28.6 million, or 6.8% of revenue, in the three months ended December 31, 2001. The increase in expense reflects ongoing expenditures primarily for CC&amp;B Systems.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decreased by 4.1% to $51.6 million, or 15.2% of revenue, in the three months ended December 31, 2002 from $53.8 million, or 12.7% of revenue, in the three months ended December 31, 2001. The decrease in selling, general and administrative expense is attributable to the cost reduction programs that we implemented in fiscal 2002 and in the three months ended December 31, 2002. However, although our selling, general and administrative expense decreased in the first quarter of fiscal 2003, our revenues decreased by a larger percentage than selling, general and administrative expense, resulting in an increase of our selling, general and administrative expense as a percentage of revenue in the first quarter of fiscal 2003.</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24" w:name="page25"/>
    <w:bookmarkEnd w:id="24"/>
    <w:p>
      <w:pPr>
        <w:ind w:right="3119" w:firstLine="532"/>
        <w:spacing w:after="0"/>
        <w:rPr>
          <w:sz w:val="20"/>
          <w:szCs w:val="20"/>
          <w:color w:val="auto"/>
        </w:rPr>
      </w:pPr>
      <w:r>
        <w:rPr>
          <w:rFonts w:ascii="Courier New" w:cs="Courier New" w:eastAsia="Courier New" w:hAnsi="Courier New"/>
          <w:sz w:val="15"/>
          <w:szCs w:val="15"/>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above under the caption "Adoption of New Accounting Standards". Amortization of goodwill for the three months ended December 31, 2001 was $51.1 million. Amortization of purchased intangible assets for the three months ended December 31, 2002 and 2001 was $5.2 million and $5.6 million, respectively.</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RESTRUCTURING CHARGES AND IN-PROCESS RESEARCH AND DEVELOPMENT. Restructuring charges and in-process research and development in the three months ended December 31, 2002 consisted of the additional cost reduction program we implemented during the first quarter of 2003. See discussion above under the caption "Operational Efficiency and Cost Reduction Program". Restructuring charges and in-process research and development in the three months ended December 31, 2001 consisted of a one-time charge of $17.4 million related to the Clarify transaction for write-off of purchased in-process research and development, and a restructuring charge of $13.3 million related to the consolidation of data centers and the resulting closure of our Stamford, Connecticut facility.</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OPERATING INCOME. Operating income in the three months ended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was $38.0 million, compared to $21.2 million in the three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an increase of 78.8%. The increase is attributable primarily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adoption of SFAS No. 142, which resulted in no amortization of goodwill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three months ended December 31, 2002, and the in-process research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charge related to the Clarify acquisition, which was included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three months ended December 31, 2001. Pro forma operating income for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December 31, 2002, excluding acquisition-related charges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charges, was $53.1 million, or 15.6% of revenue, compared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$108.7 million, or 25.7% of revenue, for the three months ended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 decrease of 51.2%. The decrease in our pro forma operating income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 decrease in our revenue in the three months ended December 31,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caused by a significant slowdown in our market, which was not offset by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corresponding decrease in our operating costs.</w:t>
      </w:r>
    </w:p>
    <w:p>
      <w:pPr>
        <w:spacing w:after="0" w:line="17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INTEREST INCOME AND OTHER, NET. In the three months ended December 31, 2002, interest income and other, net, was $5.0 million, an increase of $1.7 million over the three months ended December 31, 2001. The increase in interest income and other, net, is attributable to an increase in interest income from our investments, a decrease in interest expenses due to the reduction in capital lease agreements, changes in exchange rates of currencies other than the dollar and others. Although we hedge significant exposures in currencies other than the dollar, the currency fluctuations partially affect our results.</w:t>
      </w:r>
    </w:p>
    <w:p>
      <w:pPr>
        <w:spacing w:after="0" w:line="16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INCOME TAXES. Income taxes in the three months ended December 31, 2002 were $10.7 million on income before income taxes of $42.9 million. Our effective tax rate in the three months ended December 31, 2002 was 25%. As a result of the adoption of SFAS No. 142 we no longer amortize goodwill resulting from acquisitions, thus the non tax-deductible goodwill amortization no longer affects our effective tax rate. In the three months ended December 31, 2001, income taxes were $20.2 million on income before taxes of $24.6 million. The pro forma effective tax rate for the three months ended December 31, 2001, excluding acquisition-related charges and restructuring charge, was 28%. See discussion below under the caption "Effective Tax Rate".</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NET INCOME. Net income was $32.2 million in the three months ended December 31, 2002, compared to $4.3 million in the three months ended December 31, 2001. Net income was 9.5% of revenue for the three months ended December 31, 2002, compared to 1.0% for the three months ended December 31, 2001. The increase in net income is attributable primarily to our adoption of SFAS No. 142, which resulted in no amortization of goodwill in the three months ended December 31, 2002, and the in-process research and development charge related to the Clarify acquisition, which was included only in the three months ended December 31, 2001. Pro forma net income in the three months ended December 31, 2002, excluding the acquisition-related charges and the restructuring charges, decreased by 46.0% over the three months ended December 31, 2001, to $43.5 million, representing 12.8% of revenue. The decrease in our pro forma net income was due to a decrease in our revenue in the three months ended December 31, 2002, caused by a significant slowdown in our market, which was not offset by a corresponding decrease in our operating costs.</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sectPr>
      </w:pPr>
    </w:p>
    <w:bookmarkStart w:id="25" w:name="page26"/>
    <w:bookmarkEnd w:id="25"/>
    <w:p>
      <w:pPr>
        <w:ind w:right="3119" w:firstLine="532"/>
        <w:spacing w:after="0"/>
        <w:rPr>
          <w:sz w:val="20"/>
          <w:szCs w:val="20"/>
          <w:color w:val="auto"/>
        </w:rPr>
      </w:pPr>
      <w:r>
        <w:rPr>
          <w:rFonts w:ascii="Courier New" w:cs="Courier New" w:eastAsia="Courier New" w:hAnsi="Courier New"/>
          <w:sz w:val="15"/>
          <w:szCs w:val="15"/>
          <w:color w:val="auto"/>
        </w:rPr>
        <w:t>Prior to fiscal 2003, goodwill was amortized using the straight-line method over its estimated period of benefit. Net income and earnings per share for the three months ended December 31, 2001 adjusted to exclude amortization of goodwill and workforce-in-place expenses, net of tax, is as follows (in millions,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3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3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Add back: goodwill and</w:t>
            </w:r>
          </w:p>
        </w:tc>
        <w:tc>
          <w:tcPr>
            <w:tcW w:w="1820" w:type="dxa"/>
            <w:vAlign w:val="bottom"/>
          </w:tcPr>
          <w:p>
            <w:pPr>
              <w:spacing w:after="0"/>
              <w:rPr>
                <w:sz w:val="14"/>
                <w:szCs w:val="14"/>
                <w:color w:val="auto"/>
              </w:rPr>
            </w:pP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workforce-in-place amortizations</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(0.7)</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$ 54.8</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$ 0.25</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$ 0.24</w:t>
            </w:r>
          </w:p>
        </w:tc>
      </w:tr>
      <w:tr>
        <w:trPr>
          <w:trHeight w:val="171"/>
        </w:trPr>
        <w:tc>
          <w:tcPr>
            <w:tcW w:w="3320" w:type="dxa"/>
            <w:vAlign w:val="bottom"/>
          </w:tcPr>
          <w:p>
            <w:pPr>
              <w:spacing w:after="0"/>
              <w:rPr>
                <w:sz w:val="14"/>
                <w:szCs w:val="14"/>
                <w:color w:val="auto"/>
              </w:rPr>
            </w:pP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DILUTED EARNINGS PER SHARE. Diluted earnings per share were $0.15 for the three months ended December 31, 2002, compared to $0.02 in the three months ended December 31, 2001. Pro forma diluted earnings per share in the three months ended December 31, 2002, excluding the acquisition-related charges and the restructuring charges, decreased by 44.4% from the three months ended December 31, 2001, to $0.20 per diluted share. Excluding acquisition-related charges, we expect that our pro forma earnings per share in the second quarter of fiscal 2003 will be in the range of $0.18 to $0.20.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Cash, cash equivalents and short-term interest-bearing investments totaled $1,127.6 million as of December 31, 2002, compared to $1,047.8 million as of September 30, 2002. The increase is attributable primarily to cash flows from operations and to the final purchase price adjustment related to the acquisition of Clarify, which resulted in a reimbursement of $11.1 million. Net cash provided by operating activities amounted to $83.8 million and $108.1 million for the three months ended December 31, 2002 and 2001, respectively. The decrease in cash flows from operations was due to decreased net income before depreciation, amortization, and a one-time charge for write-off of in-process research and development. We currently intend to retain our future operating cash flows to support the further expansion of our business including new outsourcing deals and acquisitions, although we may also use a portion of our cash for future repurchases of our outstanding convertible notes.</w:t>
      </w:r>
    </w:p>
    <w:p>
      <w:pPr>
        <w:spacing w:after="0" w:line="16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As of December 31, 2002, we had positive working capital of $1,001.6 million, compared to positive working capital of $938.6 million as of September 30, 2002. The increase is attributable primarily to the increase in cash, cash equivalents and short-term interest-bearing investments. We believe that current cash balances, cash generated from operations and our current lines of credit will provide sufficient resources to meet our liquidity needs for at least the next fiscal year.</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As of December 31, 2002, $445.1 million aggregate principal amount of our Convertible Notes ("Notes") was outstanding. In July 2002, our board of directors authorized us to repurchase outstanding Notes, in such amounts, at such prices and at such times considered appropriate by us. During the three months ended December 31, 2002, we did not repurchase any of the Notes. We intend to fund any future repurchases, with available funds. On June 1, 2004, the holders of our Notes may require us to redeem their Notes at 100% of their principal amount plus accrued interest to the redemption date.</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As of December 31, 2002, we had available short-term general revolving lines of credit totaling $40.0 million, none of which were outstanding. In addition, as of December 31, 2002 we had credit facilities totaling $43.8 million limited for the use of letters of credit and bank guaranties from various banks. Outstanding letters of credit and bank guarantees as of December 31, 2002 totaled $24.7 million. These were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0" w:right="1440" w:bottom="1440" w:gutter="0" w:footer="0" w:header="0"/>
        </w:sectPr>
      </w:pPr>
    </w:p>
    <w:bookmarkStart w:id="26" w:name="page27"/>
    <w:bookmarkEnd w:id="26"/>
    <w:p>
      <w:pPr>
        <w:ind w:right="3299"/>
        <w:spacing w:after="0" w:line="238" w:lineRule="auto"/>
        <w:rPr>
          <w:sz w:val="20"/>
          <w:szCs w:val="20"/>
          <w:color w:val="auto"/>
        </w:rPr>
      </w:pPr>
      <w:r>
        <w:rPr>
          <w:rFonts w:ascii="Courier New" w:cs="Courier New" w:eastAsia="Courier New" w:hAnsi="Courier New"/>
          <w:sz w:val="15"/>
          <w:szCs w:val="15"/>
          <w:color w:val="auto"/>
        </w:rPr>
        <w:t>mostly supported by a combination of the credit facilities described above and compensating cash balances that we maintain with the issuing banks.</w:t>
      </w:r>
    </w:p>
    <w:p>
      <w:pPr>
        <w:spacing w:after="0" w:line="175"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As of December 31, 2002, we had outstanding long-term obligations of $22.5 million in connection with leasing arrangements.</w:t>
      </w:r>
    </w:p>
    <w:p>
      <w:pPr>
        <w:spacing w:after="0" w:line="175"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Our capital expenditures were approximately $13 million in the three months ended December 31, 2002. These expenditures consisted primarily of purchases of computer equipment and, to a lesser degree, leasehold improvements. We funded our capital expenditures principally from operating cash flows. We do not anticipate any change to this policy in the foreseeable future.</w:t>
      </w:r>
    </w:p>
    <w:p>
      <w:pPr>
        <w:spacing w:after="0" w:line="162"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Our accounts receivable allowance for the three months ended December 31, 2002 was adjusted upward by approximately $6 million, from the allowance as of September 30, 2002. The increase in our accounts receivable allowance is a result of allowances for instances where collectibility was not reasonably assured at the time the transactions were consummated, and no revenue was recognized.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As of December 31, 2002, deferred tax assets of $10.5 million, derived primarily from carry-forward net operating losses relating to our Canadian subsidiary, were offset by valuation allowances due to the uncertainty of realizing any tax benefit for such losses. When realization of the tax benefits associated with such net operating losses is deemed probable, the valuation allowance will be released.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effective tax rate for fiscal year 2003 is expected to be approximately 25% due to the corporate income tax rates in the various countries in which we operate and the relative magnitude of our business in those countries, compared to our pro forma effective tax rate for fiscal year 2002 of approximately 28%. Effective October 1, 2002, following the adoption of FASB 142, we no longer amortize goodwill resulting from acquisitions. See discussion above under the caption "Adoption of New Accounting Standards". As a result, the non tax-deductible goodwill amortization no longer affects our effective tax rate.</w:t>
      </w:r>
    </w:p>
    <w:p>
      <w:pPr>
        <w:spacing w:after="0" w:line="177"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In the three months ended December 31, 2001, we incurred non-cash charges related to the amortization of goodwill and purchased intangible assets and in-process research and development in connection with acquisitions and a restructuring charge. Since a significant portion of such costs and charges was attributable to amortization of goodwill, much of which is not tax deductible, the effective tax rate in the three months ended December 31, 2001 was adversely affected. Our blended effective tax rate for the three months ended December 31, 2001 was 82%. Excluding the impact of these items, our overall effective tax rate would have been 28% for the three months ended December 31,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(excluding amortization of intangible assets and restructuring charges) are paid in dollars or linked to dollars. Other significant currencies in which we receive revenue or pay expenses are Australian dollars, British pounds, Canadian dollars, the euro (ECU) and Israeli shekels. Historically, the effect of fluctuations in currency exchange rates has had a minimal impact on our operations. As we expand our operations outside of the United States, our exposure to fluctuations in currency exchange rates increases. In managing our foreign exchange risk, we enter from time to time into various foreign exchange contracts. As of December 31, 2002, we had hedged significant exposures in currencies other than the dollar.</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 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recently appointed a lead plaintiff. We dispute the allegations of wrongdoing in these complaints and intend to defend ourself vigorously.</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7" w:right="1440" w:bottom="1440" w:gutter="0" w:footer="0" w:header="0"/>
        </w:sectPr>
      </w:pPr>
    </w:p>
    <w:bookmarkStart w:id="28" w:name="page29"/>
    <w:bookmarkEnd w:id="28"/>
    <w:p>
      <w:pPr>
        <w:ind w:left="9"/>
        <w:spacing w:after="0"/>
        <w:rPr>
          <w:sz w:val="20"/>
          <w:szCs w:val="20"/>
          <w:color w:val="auto"/>
        </w:rPr>
      </w:pPr>
      <w:r>
        <w:rPr>
          <w:rFonts w:ascii="Courier New" w:cs="Courier New" w:eastAsia="Courier New" w:hAnsi="Courier New"/>
          <w:sz w:val="15"/>
          <w:szCs w:val="15"/>
          <w:color w:val="auto"/>
        </w:rPr>
        <w:t>PART II - OTHER INFORMATION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ITEM 1. EXHIBITS AND REPORTS ON FORM 6-K</w:t>
      </w:r>
    </w:p>
    <w:p>
      <w:pPr>
        <w:spacing w:after="0" w:line="180" w:lineRule="exact"/>
        <w:rPr>
          <w:sz w:val="20"/>
          <w:szCs w:val="20"/>
          <w:color w:val="auto"/>
        </w:rPr>
      </w:pPr>
    </w:p>
    <w:p>
      <w:pPr>
        <w:ind w:left="529" w:hanging="529"/>
        <w:spacing w:after="0"/>
        <w:tabs>
          <w:tab w:leader="none" w:pos="52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8"/>
          </w:cols>
          <w:pgMar w:left="231" w:top="45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 Press Release dated January 22, 2003.</w:t>
      </w:r>
    </w:p>
    <w:p>
      <w:pPr>
        <w:spacing w:after="0" w:line="208" w:lineRule="exact"/>
        <w:rPr>
          <w:sz w:val="20"/>
          <w:szCs w:val="20"/>
          <w:color w:val="auto"/>
        </w:rPr>
      </w:pPr>
    </w:p>
    <w:p>
      <w:pPr>
        <w:sectPr>
          <w:pgSz w:w="11900" w:h="16838" w:orient="portrait"/>
          <w:cols w:equalWidth="0" w:num="2">
            <w:col w:w="1769" w:space="720"/>
            <w:col w:w="7739"/>
          </w:cols>
          <w:pgMar w:left="231" w:top="457" w:right="1440" w:bottom="1440" w:gutter="0" w:footer="0" w:header="0"/>
          <w:type w:val="continuous"/>
        </w:sectPr>
      </w:pPr>
    </w:p>
    <w:p>
      <w:pPr>
        <w:spacing w:after="0" w:line="142" w:lineRule="exact"/>
        <w:rPr>
          <w:sz w:val="20"/>
          <w:szCs w:val="20"/>
          <w:color w:val="auto"/>
        </w:rPr>
      </w:pPr>
    </w:p>
    <w:p>
      <w:pPr>
        <w:ind w:left="529" w:hanging="529"/>
        <w:spacing w:after="0"/>
        <w:tabs>
          <w:tab w:leader="none" w:pos="5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sz w:val="20"/>
          <w:szCs w:val="20"/>
          <w:color w:val="auto"/>
        </w:rPr>
      </w:pPr>
    </w:p>
    <w:p>
      <w:pPr>
        <w:ind w:left="9" w:right="3659" w:firstLine="532"/>
        <w:spacing w:after="0" w:line="238" w:lineRule="auto"/>
        <w:rPr>
          <w:sz w:val="20"/>
          <w:szCs w:val="20"/>
          <w:color w:val="auto"/>
        </w:rPr>
      </w:pPr>
      <w:r>
        <w:rPr>
          <w:rFonts w:ascii="Courier New" w:cs="Courier New" w:eastAsia="Courier New" w:hAnsi="Courier New"/>
          <w:sz w:val="15"/>
          <w:szCs w:val="15"/>
          <w:color w:val="auto"/>
        </w:rPr>
        <w:t>The Company filed the following reports on Form 6-K during the three months ended December 31, 2002:</w:t>
      </w:r>
    </w:p>
    <w:p>
      <w:pPr>
        <w:spacing w:after="0" w:line="172" w:lineRule="exact"/>
        <w:rPr>
          <w:sz w:val="20"/>
          <w:szCs w:val="20"/>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27, 2002.</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27, 2002.</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31, 2002.</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457" w:right="1440" w:bottom="1440" w:gutter="0" w:footer="0" w:header="0"/>
          <w:type w:val="continuous"/>
        </w:sectPr>
      </w:pPr>
    </w:p>
    <w:bookmarkStart w:id="29" w:name="page30"/>
    <w:bookmarkEnd w:id="29"/>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G. O'Brien</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Treasurer and Secretary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Authorized U.S. Representative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24, 2003</w:t>
      </w:r>
    </w:p>
    <w:p>
      <w:pPr>
        <w:sectPr>
          <w:pgSz w:w="11900" w:h="16838" w:orient="portrait"/>
          <w:cols w:equalWidth="0" w:num="1">
            <w:col w:w="10219"/>
          </w:cols>
          <w:pgMar w:left="240" w:top="457" w:right="1440" w:bottom="1440" w:gutter="0" w:footer="0" w:header="0"/>
        </w:sectPr>
      </w:pPr>
    </w:p>
    <w:bookmarkStart w:id="30" w:name="page31"/>
    <w:bookmarkEnd w:id="30"/>
    <w:p>
      <w:pPr>
        <w:ind w:left="30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1760" w:space="720"/>
            <w:col w:w="773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January 22, 2003.</w:t>
      </w:r>
    </w:p>
    <w:p>
      <w:pPr>
        <w:sectPr>
          <w:pgSz w:w="11900" w:h="16838" w:orient="portrait"/>
          <w:cols w:equalWidth="0" w:num="2">
            <w:col w:w="1760" w:space="720"/>
            <w:col w:w="7739"/>
          </w:cols>
          <w:pgMar w:left="240" w:top="460" w:right="1440" w:bottom="1440" w:gutter="0" w:footer="0" w:header="0"/>
          <w:type w:val="continuous"/>
        </w:sectPr>
      </w:pPr>
    </w:p>
    <w:bookmarkStart w:id="31" w:name="page32"/>
    <w:bookmarkEnd w:id="31"/>
    <w:p>
      <w:pPr>
        <w:ind w:left="6020"/>
        <w:spacing w:after="0"/>
        <w:rPr>
          <w:sz w:val="20"/>
          <w:szCs w:val="20"/>
          <w:color w:val="auto"/>
        </w:rPr>
      </w:pPr>
      <w:r>
        <w:rPr>
          <w:rFonts w:ascii="Courier New" w:cs="Courier New" w:eastAsia="Courier New" w:hAnsi="Courier New"/>
          <w:sz w:val="14"/>
          <w:szCs w:val="14"/>
          <w:color w:val="auto"/>
        </w:rPr>
        <w:t>EXHIBIT 99.1</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LIMITED REPORTS FIRST QUARTER REVENUE AND PROFORMA EPS IN LINE WITH</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GUIDANCE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71" w:lineRule="exact"/>
        <w:rPr>
          <w:sz w:val="20"/>
          <w:szCs w:val="20"/>
          <w:color w:val="auto"/>
        </w:rPr>
      </w:pPr>
    </w:p>
    <w:p>
      <w:pPr>
        <w:ind w:left="1060" w:hanging="537"/>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of $339.4 million, a decrease of 19.7% from prior year</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EPS of $0.20</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of $68 million in quarter</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balance increased to $1.128 billion at end of quarter</w:t>
      </w:r>
    </w:p>
    <w:p>
      <w:pPr>
        <w:spacing w:after="0" w:line="174" w:lineRule="exact"/>
        <w:rPr>
          <w:rFonts w:ascii="Courier New" w:cs="Courier New" w:eastAsia="Courier New" w:hAnsi="Courier New"/>
          <w:sz w:val="15"/>
          <w:szCs w:val="15"/>
          <w:color w:val="auto"/>
        </w:rPr>
      </w:pPr>
    </w:p>
    <w:p>
      <w:pPr>
        <w:ind w:left="1060" w:right="3399" w:hanging="537"/>
        <w:spacing w:after="0" w:line="238"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quarter fiscal 2003 guidance: revenue of $333-$340 million and proforma EPS of $0.18-$0.20</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 Louis, MO - January 22, 2003 -- Amdocs Limited (NYSE: DOX) today reported that for the first quarter ended December 31, 2002, revenue was $339.4 million, slightly ahead of expectations although a decrease of 19.7% from last year's first quarter. Excluding acquisition-related costs, restructuring charges and related tax effects, net income decreased 46.0% to $43.5 million, or $0.20 per diluted share, compared to net income of $80.7 million, or $0.36 per diluted share, in the first quarter of fiscal 2002. The Company's as-reported net income, which includes acquisition-related charges for amortization of purchased intangible assets, restructuring charges related to cost reduction measures and related tax effects and, for the first quarter of fiscal 2002 only, the acquisition-related charges for in-process research and development and amortization of goodwill, was $32.2 million, or $0.15 per diluted share, compared to net income of $4.3 million, or $0.02 per diluted share, in the first quarter of fiscal 2002.</w:t>
      </w:r>
    </w:p>
    <w:p>
      <w:pPr>
        <w:spacing w:after="0" w:line="35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Effective October 1, 2002, Amdocs adopted Statement of Financial Accounting Standards No. 142 and therefore no longer amortizes goodwill resulting from acquisitions. Adjusting prior year's as-reported results to eliminate the effects of $50.5 million of goodwill amortization and related tax recorded in the first quarter of fiscal 2002 would have resulted in operating income, net income and earnings per diluted share of $72.4 million, $54.8 million and $0.24, respectively.</w:t>
      </w:r>
    </w:p>
    <w:p>
      <w:pPr>
        <w:spacing w:after="0" w:line="34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Dov Baharav, Chief Executive Officer of Amdocs Management Limited, said, "We are very focused on maintaining sales momentum while reducing costs to ensure continued profitability. This focus on sales resulted in our recently announced outsourcing agreement for SBC's directory operations. This project reaffirms our position as a major provider of outsourcing services and validates our business model, which is based on long-term customer relationships with the industry's leading operators."</w:t>
      </w:r>
    </w:p>
    <w:p>
      <w:pPr>
        <w:spacing w:after="0" w:line="34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Baharav continued, "Communications service providers remain hesitant about finalizing system investment decisions. As expected, this translated into lower sequential revenues in the first quarter. However, we expect to see our revenue decline easing in the second quarter. We are also developing new products that are meeting with market acceptance, particularly Amdocs ClarifyCRM and Amdocs Mobile. Despite the challenging environment, we have the financial and business stability that enables us to focus on our near-term results, while continuing our strong investment in R&amp;D. This ongoing investment ensures we are well positioned for the future, in anticipation of recovery and renewed growth in the communications industry."</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SALES HIGHLIGHTS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quarter, Amdocs won five new projects:</w:t>
      </w:r>
    </w:p>
    <w:p>
      <w:pPr>
        <w:spacing w:after="0" w:line="174" w:lineRule="exact"/>
        <w:rPr>
          <w:sz w:val="20"/>
          <w:szCs w:val="20"/>
          <w:color w:val="auto"/>
        </w:rPr>
      </w:pPr>
    </w:p>
    <w:p>
      <w:pPr>
        <w:ind w:left="1060" w:right="3119" w:hanging="537"/>
        <w:spacing w:after="0" w:line="264"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outsourcing agreement with SBC's directory publishing subsidiary, including modernization and consolidation of systems across the company, as well as comprehensive support for IT operations.</w:t>
      </w:r>
    </w:p>
    <w:p>
      <w:pPr>
        <w:spacing w:after="0" w:line="159" w:lineRule="exact"/>
        <w:rPr>
          <w:rFonts w:ascii="Courier New" w:cs="Courier New" w:eastAsia="Courier New" w:hAnsi="Courier New"/>
          <w:sz w:val="14"/>
          <w:szCs w:val="14"/>
          <w:color w:val="auto"/>
        </w:rPr>
      </w:pPr>
    </w:p>
    <w:p>
      <w:pPr>
        <w:ind w:left="1060" w:right="3219" w:hanging="537"/>
        <w:spacing w:after="0" w:line="264"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one of our Latin American customers, we are implementing Amdocs Mobile, our new end-to-end billing system to provide convergent support for voice, data, content and commerce services.</w:t>
      </w:r>
    </w:p>
    <w:p>
      <w:pPr>
        <w:spacing w:after="0" w:line="159" w:lineRule="exact"/>
        <w:rPr>
          <w:rFonts w:ascii="Courier New" w:cs="Courier New" w:eastAsia="Courier New" w:hAnsi="Courier New"/>
          <w:sz w:val="14"/>
          <w:szCs w:val="14"/>
          <w:color w:val="auto"/>
        </w:rPr>
      </w:pPr>
    </w:p>
    <w:p>
      <w:pPr>
        <w:ind w:left="1060" w:right="3759" w:hanging="537"/>
        <w:spacing w:after="0" w:line="238"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project based on Amdocs ClarifyCRM to support workforce management for a leading carrier in Europe.</w:t>
      </w:r>
    </w:p>
    <w:p>
      <w:pPr>
        <w:spacing w:after="0" w:line="174" w:lineRule="exact"/>
        <w:rPr>
          <w:rFonts w:ascii="Courier New" w:cs="Courier New" w:eastAsia="Courier New" w:hAnsi="Courier New"/>
          <w:sz w:val="15"/>
          <w:szCs w:val="15"/>
          <w:color w:val="auto"/>
        </w:rPr>
      </w:pPr>
    </w:p>
    <w:p>
      <w:pPr>
        <w:jc w:val="both"/>
        <w:ind w:left="1060" w:right="3219" w:hanging="537"/>
        <w:spacing w:after="0" w:line="239"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major carrier, we are expanding our relationship by providing a system to consolidate billing for multiple operations, supporting specific customer segments and services.</w:t>
      </w:r>
    </w:p>
    <w:p>
      <w:pPr>
        <w:spacing w:after="0" w:line="175" w:lineRule="exact"/>
        <w:rPr>
          <w:rFonts w:ascii="Courier New" w:cs="Courier New" w:eastAsia="Courier New" w:hAnsi="Courier New"/>
          <w:sz w:val="15"/>
          <w:szCs w:val="15"/>
          <w:color w:val="auto"/>
        </w:rPr>
      </w:pPr>
    </w:p>
    <w:p>
      <w:pPr>
        <w:ind w:left="1060" w:right="3119" w:hanging="537"/>
        <w:spacing w:after="0" w:line="239"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one of our mobile customers in North America, we have been selected to implement our commerce payments management module, enhanced by our online charging module, to support commerce, content and data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quarter:</w:t>
      </w:r>
    </w:p>
    <w:p>
      <w:pPr>
        <w:spacing w:after="0" w:line="174" w:lineRule="exact"/>
        <w:rPr>
          <w:sz w:val="20"/>
          <w:szCs w:val="20"/>
          <w:color w:val="auto"/>
        </w:rPr>
      </w:pPr>
    </w:p>
    <w:p>
      <w:pPr>
        <w:ind w:left="1060" w:right="3299" w:hanging="537"/>
        <w:spacing w:after="0" w:line="238"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Tess, a mobile carrier in Brazil, went live with Amdocs end-to-end billing system.</w:t>
      </w:r>
    </w:p>
    <w:p>
      <w:pPr>
        <w:spacing w:after="0" w:line="174" w:lineRule="exact"/>
        <w:rPr>
          <w:rFonts w:ascii="Courier New" w:cs="Courier New" w:eastAsia="Courier New" w:hAnsi="Courier New"/>
          <w:sz w:val="15"/>
          <w:szCs w:val="15"/>
          <w:color w:val="auto"/>
        </w:rPr>
      </w:pPr>
    </w:p>
    <w:p>
      <w:pPr>
        <w:ind w:left="1060" w:right="3119" w:hanging="537"/>
        <w:spacing w:after="0" w:line="239"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announced that Belgacom, the leading telecom operator in Belgium, and Eircom, Ireland's premier communications provider, went live with Amdocs Order Management.</w:t>
      </w:r>
    </w:p>
    <w:p>
      <w:pPr>
        <w:spacing w:after="0" w:line="175" w:lineRule="exact"/>
        <w:rPr>
          <w:rFonts w:ascii="Courier New" w:cs="Courier New" w:eastAsia="Courier New" w:hAnsi="Courier New"/>
          <w:sz w:val="15"/>
          <w:szCs w:val="15"/>
          <w:color w:val="auto"/>
        </w:rPr>
      </w:pPr>
    </w:p>
    <w:p>
      <w:pPr>
        <w:jc w:val="both"/>
        <w:ind w:left="1060" w:right="3399" w:hanging="537"/>
        <w:spacing w:after="0" w:line="239"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Samart, a leading technology provider in Thailand, went live with Amdocs ClarifyCRM for its outsourced call center services to Thai Mobile.</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implemented Amdocs ClarifyCRM at Telekom Austria.</w:t>
      </w:r>
    </w:p>
    <w:p>
      <w:pPr>
        <w:spacing w:after="0" w:line="174"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announced additional cost reduction measures including the reduction of approximately 400 positions.</w:t>
      </w:r>
    </w:p>
    <w:p>
      <w:pPr>
        <w:spacing w:after="0" w:line="174" w:lineRule="exact"/>
        <w:rPr>
          <w:rFonts w:ascii="Courier New" w:cs="Courier New" w:eastAsia="Courier New" w:hAnsi="Courier New"/>
          <w:sz w:val="15"/>
          <w:szCs w:val="15"/>
          <w:color w:val="auto"/>
        </w:rPr>
      </w:pPr>
    </w:p>
    <w:p>
      <w:pPr>
        <w:ind w:left="1060" w:right="3219" w:hanging="537"/>
        <w:spacing w:after="0" w:line="239"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capital expenditures and payments on capital leases, was $68 million in the quarter.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believes that past market conditions will be reflected in softening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throughout the first half of fiscal 2003, although the level of decline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expected to diminish in the second quarter. As a result, Amdocs expects that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for the second quarter ending March 31, 2003, will be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$333-$340 million. Proforma earnings per share for the quarter are expected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approximately $0.18-$0.20, excluding acquisition-related costs.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Amdocs will host a conference call on January 22, 2003 at 5 p.m. Eastern Standard Time to discuss the Company's first quarter results. The call will be carried live on the Internet via www.vcall.com and the Amdocs website, www.amdocs.com.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Amdocs is the world's leading provider of billing and CRM. With a 20-year track record of delivery excellence, our products empower major communications operators around the globe. We enable rapid time-to-market for next generation voice, content, commerce and application services, while</w:t>
      </w:r>
    </w:p>
    <w:p>
      <w:pPr>
        <w:sectPr>
          <w:pgSz w:w="11900" w:h="16838" w:orient="portrait"/>
          <w:cols w:equalWidth="0" w:num="1">
            <w:col w:w="10219"/>
          </w:cols>
          <w:pgMar w:left="240" w:top="457" w:right="1440" w:bottom="1440" w:gutter="0" w:footer="0" w:header="0"/>
        </w:sectPr>
      </w:pPr>
    </w:p>
    <w:bookmarkStart w:id="33" w:name="page34"/>
    <w:bookmarkEnd w:id="33"/>
    <w:p>
      <w:pPr>
        <w:jc w:val="both"/>
        <w:ind w:right="3119"/>
        <w:spacing w:after="0" w:line="239" w:lineRule="auto"/>
        <w:rPr>
          <w:sz w:val="20"/>
          <w:szCs w:val="20"/>
          <w:color w:val="auto"/>
        </w:rPr>
      </w:pPr>
      <w:r>
        <w:rPr>
          <w:rFonts w:ascii="Courier New" w:cs="Courier New" w:eastAsia="Courier New" w:hAnsi="Courier New"/>
          <w:sz w:val="15"/>
          <w:szCs w:val="15"/>
          <w:color w:val="auto"/>
        </w:rPr>
        <w:t>enhancing subscriber loyalty and lowering total cost of ownership. We offer our customers flexible modes of delivery -- products, solutions and outsourcing. For more information, visit our web site at www.amdocs.com</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December 27, 2001 and our Form 6-K filed on December 27, 2002.</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60" w:right="1440" w:bottom="1440" w:gutter="0" w:footer="0" w:header="0"/>
        </w:sectPr>
      </w:pPr>
    </w:p>
    <w:bookmarkStart w:id="34" w:name="page35"/>
    <w:bookmarkEnd w:id="34"/>
    <w:p>
      <w:pPr>
        <w:jc w:val="center"/>
        <w:ind w:right="311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PRO FORMA CONSOLIDATED STATEMENTS OF INCOME (UNAUDITED)</w:t>
      </w:r>
    </w:p>
    <w:p>
      <w:pPr>
        <w:spacing w:after="0" w:line="174" w:lineRule="exact"/>
        <w:rPr>
          <w:sz w:val="20"/>
          <w:szCs w:val="20"/>
          <w:color w:val="auto"/>
        </w:rPr>
      </w:pPr>
    </w:p>
    <w:p>
      <w:pPr>
        <w:jc w:val="center"/>
        <w:ind w:right="3110"/>
        <w:spacing w:after="0" w:line="239" w:lineRule="auto"/>
        <w:rPr>
          <w:sz w:val="20"/>
          <w:szCs w:val="20"/>
          <w:color w:val="auto"/>
        </w:rPr>
      </w:pPr>
      <w:r>
        <w:rPr>
          <w:rFonts w:ascii="Courier New" w:cs="Courier New" w:eastAsia="Courier New" w:hAnsi="Courier New"/>
          <w:sz w:val="15"/>
          <w:szCs w:val="15"/>
          <w:color w:val="auto"/>
        </w:rPr>
        <w:t>EXCLUDING RESTRUCTURING CHARGES, PURCHASED IN-PROCESS RESEARCH AND DEVELOPMENT, AMORTIZATION OF GOODWILL AND PURCHASED INTANGIBLE ASSETS AND RELATED TAX EFFECTS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7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5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2002</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$ 20,526</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$ 42,290</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318,860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380,351</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339,386</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422,641</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68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971</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204,151</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230,603</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29,619</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28,557</w:t>
            </w:r>
          </w:p>
        </w:tc>
      </w:tr>
      <w:tr>
        <w:trPr>
          <w:trHeight w:val="171"/>
        </w:trPr>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51,580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53,779</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286,321</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313,919</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53,065</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108,722</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4,977</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58,042</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112,049</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14,510</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31,374</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$ 43,532</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$ 80,675</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88"/>
              </w:rPr>
              <w:t>0.20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0.36</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217,139</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225,090</w:t>
            </w:r>
          </w:p>
        </w:tc>
      </w:tr>
      <w:tr>
        <w:trPr>
          <w:trHeight w:val="171"/>
        </w:trPr>
        <w:tc>
          <w:tcPr>
            <w:tcW w:w="5000" w:type="dxa"/>
            <w:vAlign w:val="bottom"/>
          </w:tcPr>
          <w:p>
            <w:pPr>
              <w:spacing w:after="0"/>
              <w:rPr>
                <w:sz w:val="14"/>
                <w:szCs w:val="14"/>
                <w:color w:val="auto"/>
              </w:rPr>
            </w:pPr>
          </w:p>
        </w:tc>
        <w:tc>
          <w:tcPr>
            <w:tcW w:w="170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9" w:right="311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$0 and $51,137 for amortization of goodwill, $5,154 and $5,645 for amortization of purchased intangible assets, $0 and $17,400 for write-off of purchased in-process research and development related to the Clarify acquisition, $9,956 and $13,311 of nonrecurring charges related to the cost reduction measures and the consolidation of data centers and the resulting closure of our Stamford, Connecticut facility, respectively, and tax effects related to the above of $(3,777) and $(11,152) for the three months ended December 31, 2002 and 2001, respectively. Including the above items, income before income taxes was $42,932 and $24,556, and diluted earnings per share were $0.15 and $0.02 for the three months ended December 31, 2002 and 2001, respectively.</w:t>
      </w:r>
    </w:p>
    <w:p>
      <w:pPr>
        <w:sectPr>
          <w:pgSz w:w="11900" w:h="16838" w:orient="portrait"/>
          <w:cols w:equalWidth="0" w:num="1">
            <w:col w:w="10228"/>
          </w:cols>
          <w:pgMar w:left="231" w:top="457" w:right="1440" w:bottom="1440" w:gutter="0" w:footer="0" w:header="0"/>
        </w:sectPr>
      </w:pPr>
    </w:p>
    <w:bookmarkStart w:id="35" w:name="page36"/>
    <w:bookmarkEnd w:id="35"/>
    <w:p>
      <w:pPr>
        <w:ind w:left="292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800" w:type="dxa"/>
            <w:vAlign w:val="bottom"/>
          </w:tcPr>
          <w:p>
            <w:pPr>
              <w:ind w:left="1860"/>
              <w:spacing w:after="0"/>
              <w:rPr>
                <w:sz w:val="20"/>
                <w:szCs w:val="20"/>
                <w:color w:val="auto"/>
              </w:rPr>
            </w:pPr>
            <w:r>
              <w:rPr>
                <w:rFonts w:ascii="Courier New" w:cs="Courier New" w:eastAsia="Courier New" w:hAnsi="Courier New"/>
                <w:sz w:val="15"/>
                <w:szCs w:val="15"/>
                <w:color w:val="auto"/>
              </w:rPr>
              <w:t>(IN THOUSANDS, EXCEPT PER SHARE DATA)</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53"/>
        </w:trPr>
        <w:tc>
          <w:tcPr>
            <w:tcW w:w="5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24"/>
                <w:szCs w:val="24"/>
                <w:color w:val="auto"/>
              </w:rPr>
            </w:pPr>
          </w:p>
        </w:tc>
      </w:tr>
      <w:tr>
        <w:trPr>
          <w:trHeight w:val="17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244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$ 20,526</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$ 42,290</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318,860</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380,351</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339,386</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422,641</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971</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980</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204,151</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230,603</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29,619</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28,557</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51,580</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53,779</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5,154</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56,782</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Restructuring charges and in-process research and development</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9,956</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30,711</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301,431</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401,412</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37,955</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21,229</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2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4,977</w:t>
            </w:r>
          </w:p>
        </w:tc>
        <w:tc>
          <w:tcPr>
            <w:tcW w:w="440" w:type="dxa"/>
            <w:vAlign w:val="bottom"/>
          </w:tcPr>
          <w:p>
            <w:pPr>
              <w:spacing w:after="0"/>
              <w:rPr>
                <w:sz w:val="24"/>
                <w:szCs w:val="2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42,932</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24,556</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10,733</w:t>
            </w:r>
          </w:p>
        </w:tc>
        <w:tc>
          <w:tcPr>
            <w:tcW w:w="440" w:type="dxa"/>
            <w:vAlign w:val="bottom"/>
          </w:tcPr>
          <w:p>
            <w:pPr>
              <w:spacing w:after="0"/>
              <w:rPr>
                <w:sz w:val="24"/>
                <w:szCs w:val="2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20,222</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$ 32,199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4,334</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0.02</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215,626</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222,696</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217,139</w:t>
            </w:r>
          </w:p>
        </w:tc>
        <w:tc>
          <w:tcPr>
            <w:tcW w:w="44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225,090</w:t>
            </w:r>
          </w:p>
        </w:tc>
      </w:tr>
      <w:tr>
        <w:trPr>
          <w:trHeight w:val="171"/>
        </w:trPr>
        <w:tc>
          <w:tcPr>
            <w:tcW w:w="5800" w:type="dxa"/>
            <w:vAlign w:val="bottom"/>
          </w:tcPr>
          <w:p>
            <w:pPr>
              <w:spacing w:after="0"/>
              <w:rPr>
                <w:sz w:val="14"/>
                <w:szCs w:val="14"/>
                <w:color w:val="auto"/>
              </w:rPr>
            </w:pP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449" w:right="3399" w:hanging="449"/>
        <w:spacing w:after="0"/>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$51,137 of goodwill amortization and $(679) related tax effects for the three months ended December 31, 2001. Net income and diluted earnings per share excluding these items (as if Statement of Financial Accounting Standards No. 142 had been implemented) for the three months ended December 31, 2001 would have been $54,792 and $0.24</w:t>
      </w:r>
    </w:p>
    <w:p>
      <w:pPr>
        <w:sectPr>
          <w:pgSz w:w="11900" w:h="16838" w:orient="portrait"/>
          <w:cols w:equalWidth="0" w:num="1">
            <w:col w:w="10228"/>
          </w:cols>
          <w:pgMar w:left="231" w:top="457" w:right="1440" w:bottom="1440" w:gutter="0" w:footer="0" w:header="0"/>
        </w:sectPr>
      </w:pPr>
    </w:p>
    <w:bookmarkStart w:id="36" w:name="page37"/>
    <w:bookmarkEnd w:id="36"/>
    <w:p>
      <w:pPr>
        <w:jc w:val="center"/>
        <w:ind w:right="313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53"/>
        </w:trPr>
        <w:tc>
          <w:tcPr>
            <w:tcW w:w="57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160" w:type="dxa"/>
            <w:vAlign w:val="bottom"/>
          </w:tcPr>
          <w:p>
            <w:pPr>
              <w:spacing w:after="0"/>
              <w:rPr>
                <w:sz w:val="24"/>
                <w:szCs w:val="24"/>
                <w:color w:val="auto"/>
              </w:rPr>
            </w:pPr>
          </w:p>
        </w:tc>
      </w:tr>
      <w:tr>
        <w:trPr>
          <w:trHeight w:val="171"/>
        </w:trPr>
        <w:tc>
          <w:tcPr>
            <w:tcW w:w="5720" w:type="dxa"/>
            <w:vAlign w:val="bottom"/>
          </w:tcPr>
          <w:p>
            <w:pPr>
              <w:spacing w:after="0"/>
              <w:rPr>
                <w:sz w:val="14"/>
                <w:szCs w:val="14"/>
                <w:color w:val="auto"/>
              </w:rPr>
            </w:pPr>
          </w:p>
        </w:tc>
        <w:tc>
          <w:tcPr>
            <w:tcW w:w="27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SEPTEMBER 30,</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tcPr>
          <w:p>
            <w:pPr>
              <w:spacing w:after="0"/>
              <w:rPr>
                <w:sz w:val="14"/>
                <w:szCs w:val="14"/>
                <w:color w:val="auto"/>
              </w:rPr>
            </w:pP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$1,127,609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$1,047,819</w:t>
            </w:r>
          </w:p>
        </w:tc>
      </w:tr>
      <w:tr>
        <w:trPr>
          <w:trHeight w:val="171"/>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including unbilled of $24,422 and</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$24,144, respectively</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257,105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312,732</w:t>
            </w: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50,819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48,154</w:t>
            </w: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93,879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72,196</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1,529,412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1,480,901</w:t>
            </w: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152,645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160,902</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731,032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750,530</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152,875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147,761</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$2,565,964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$2,540,094</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259,972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  279,071</w:t>
            </w: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9,379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10,347</w:t>
            </w: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149,844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149,590</w:t>
            </w:r>
          </w:p>
        </w:tc>
      </w:tr>
      <w:tr>
        <w:trPr>
          <w:trHeight w:val="171"/>
        </w:trPr>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108,589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103,315</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527,784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542,323</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583,711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581,496</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1,454,469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1,416,275</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$2,565,964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$2,540,094</w:t>
            </w:r>
          </w:p>
        </w:tc>
      </w:tr>
      <w:tr>
        <w:trPr>
          <w:trHeight w:val="171"/>
        </w:trPr>
        <w:tc>
          <w:tcPr>
            <w:tcW w:w="5720" w:type="dxa"/>
            <w:vAlign w:val="bottom"/>
          </w:tcPr>
          <w:p>
            <w:pPr>
              <w:spacing w:after="0"/>
              <w:rPr>
                <w:sz w:val="14"/>
                <w:szCs w:val="14"/>
                <w:color w:val="auto"/>
              </w:rPr>
            </w:pP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19"/>
      </w:cols>
      <w:pgMar w:left="24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142"/>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9"/>
    </w:lvl>
  </w:abstractNum>
  <w:abstractNum w:abstractNumId="15">
    <w:nsid w:val="2D1D5AE9"/>
    <w:multiLevelType w:val="hybridMultilevel"/>
    <w:lvl w:ilvl="0">
      <w:lvlJc w:val="left"/>
      <w:lvlText w:val="%1."/>
      <w:numFmt w:val="decimal"/>
      <w:start w:val="10"/>
    </w:lvl>
  </w:abstractNum>
  <w:abstractNum w:abstractNumId="16">
    <w:nsid w:val="6763845E"/>
    <w:multiLevelType w:val="hybridMultilevel"/>
    <w:lvl w:ilvl="0">
      <w:lvlJc w:val="left"/>
      <w:lvlText w:val="%1."/>
      <w:numFmt w:val="decimal"/>
      <w:start w:val="1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2019-12-14T21:19:44Z</dcterms:created>
  <dcterms:modified xsi:type="dcterms:W3CDTF">2019-12-14T21:19:44Z</dcterms:modified>
</cp:coreProperties>
</file>