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4"/>
          <w:szCs w:val="24"/>
          <w:color w:val="auto"/>
        </w:rPr>
      </w:pPr>
    </w:p>
    <w:p>
      <w:pPr>
        <w:ind w:left="4120"/>
        <w:spacing w:after="0"/>
        <w:rPr>
          <w:sz w:val="20"/>
          <w:szCs w:val="20"/>
          <w:color w:val="auto"/>
        </w:rPr>
      </w:pPr>
      <w:r>
        <w:rPr>
          <w:rFonts w:ascii="Courier New" w:cs="Courier New" w:eastAsia="Courier New" w:hAnsi="Courier New"/>
          <w:sz w:val="15"/>
          <w:szCs w:val="15"/>
          <w:color w:val="auto"/>
        </w:rPr>
        <w:t>As Filed Pursuant to Rule 424(b)(1)</w:t>
      </w:r>
    </w:p>
    <w:p>
      <w:pPr>
        <w:spacing w:after="0" w:line="6" w:lineRule="exact"/>
        <w:rPr>
          <w:sz w:val="24"/>
          <w:szCs w:val="24"/>
          <w:color w:val="auto"/>
        </w:rPr>
      </w:pPr>
    </w:p>
    <w:p>
      <w:pPr>
        <w:ind w:left="4120"/>
        <w:spacing w:after="0"/>
        <w:rPr>
          <w:sz w:val="20"/>
          <w:szCs w:val="20"/>
          <w:color w:val="auto"/>
        </w:rPr>
      </w:pPr>
      <w:r>
        <w:rPr>
          <w:rFonts w:ascii="Courier New" w:cs="Courier New" w:eastAsia="Courier New" w:hAnsi="Courier New"/>
          <w:sz w:val="15"/>
          <w:szCs w:val="15"/>
          <w:color w:val="auto"/>
        </w:rPr>
        <w:t>Registration No. 333-57036</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7,257,570 Shares</w:t>
      </w:r>
    </w:p>
    <w:p>
      <w:pPr>
        <w:spacing w:after="0" w:line="182"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Ordinary Shares</w:t>
      </w:r>
    </w:p>
    <w:p>
      <w:pPr>
        <w:spacing w:after="0" w:line="182"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This prospectus relates to the offer and sale of up to 7,257,570 ordinary shares, L0.01 par value, of Amdocs Limited by some of our current and future shareholders. These ordinary shares have been issued or may be issued in the future upon exchange of the Exchangeable Shares of Solect Technology Group Inc. by the holders of the Exchangeable Shares, all of whom were formerly common shareholders of Solect. Solect issued the Exchangeable Shares to its shareholders when we acquired the outstanding common shares of Solect on April 5, 2000. We will not receive any proceeds from the sale of these ordinary shares.</w:t>
      </w:r>
    </w:p>
    <w:p>
      <w:pPr>
        <w:spacing w:after="0" w:line="175" w:lineRule="exact"/>
        <w:rPr>
          <w:sz w:val="24"/>
          <w:szCs w:val="24"/>
          <w:color w:val="auto"/>
        </w:rPr>
      </w:pPr>
    </w:p>
    <w:p>
      <w:pPr>
        <w:jc w:val="both"/>
        <w:ind w:right="3259" w:firstLine="458"/>
        <w:spacing w:after="0" w:line="249" w:lineRule="auto"/>
        <w:rPr>
          <w:sz w:val="20"/>
          <w:szCs w:val="20"/>
          <w:color w:val="auto"/>
        </w:rPr>
      </w:pPr>
      <w:r>
        <w:rPr>
          <w:rFonts w:ascii="Courier New" w:cs="Courier New" w:eastAsia="Courier New" w:hAnsi="Courier New"/>
          <w:sz w:val="15"/>
          <w:szCs w:val="15"/>
          <w:color w:val="auto"/>
        </w:rPr>
        <w:t>Our ordinary shares are listed on the New York Stock Exchange under the symbol "DOX." The last reported sale price of the ordinary shares on the New York Stock Exchange on April 4, 2001 was $41.95 per share.</w:t>
      </w:r>
    </w:p>
    <w:p>
      <w:pPr>
        <w:spacing w:after="0" w:line="176" w:lineRule="exact"/>
        <w:rPr>
          <w:sz w:val="24"/>
          <w:szCs w:val="24"/>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See "Risk Factors" on page 8 to read about factors you should consider before buying the ordinary shares.</w:t>
      </w:r>
    </w:p>
    <w:p>
      <w:pPr>
        <w:spacing w:after="0" w:line="175"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6"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PROSPECTUS DATED APRIL 5, 2001.</w:t>
      </w:r>
    </w:p>
    <w:p>
      <w:pPr>
        <w:sectPr>
          <w:pgSz w:w="11900" w:h="16838" w:orient="portrait"/>
          <w:cols w:equalWidth="0" w:num="1">
            <w:col w:w="10219"/>
          </w:cols>
          <w:pgMar w:left="240" w:top="23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named in this prospectus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351" w:lineRule="exact"/>
        <w:rPr>
          <w:sz w:val="20"/>
          <w:szCs w:val="20"/>
          <w:color w:val="auto"/>
        </w:rPr>
      </w:pPr>
    </w:p>
    <w:p>
      <w:pPr>
        <w:ind w:left="640" w:right="2899" w:hanging="188"/>
        <w:spacing w:after="0" w:line="250" w:lineRule="auto"/>
        <w:tabs>
          <w:tab w:leader="none" w:pos="6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4"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5" w:lineRule="exact"/>
        <w:rPr>
          <w:rFonts w:ascii="Courier New" w:cs="Courier New" w:eastAsia="Courier New" w:hAnsi="Courier New"/>
          <w:sz w:val="15"/>
          <w:szCs w:val="15"/>
          <w:color w:val="auto"/>
        </w:rPr>
      </w:pPr>
    </w:p>
    <w:p>
      <w:pPr>
        <w:jc w:val="both"/>
        <w:ind w:left="640" w:right="3079" w:hanging="188"/>
        <w:spacing w:after="0" w:line="249" w:lineRule="auto"/>
        <w:tabs>
          <w:tab w:leader="none" w:pos="6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 Reports and other information concerning Amdocs can also be inspected at the offices of the New York Stock Exchange, 20 Broad Street, New York, New York 10005.</w:t>
      </w:r>
    </w:p>
    <w:p>
      <w:pPr>
        <w:spacing w:after="0" w:line="175" w:lineRule="exact"/>
        <w:rPr>
          <w:sz w:val="20"/>
          <w:szCs w:val="20"/>
          <w:color w:val="auto"/>
        </w:rPr>
      </w:pPr>
    </w:p>
    <w:p>
      <w:pPr>
        <w:ind w:right="3619" w:firstLine="458"/>
        <w:spacing w:after="0" w:line="250" w:lineRule="auto"/>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Amdocs, Inc.</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1390 Timberlake Manor Parkway</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Chesterfield, Missouri 63017</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Telephone: (314) 212-8328</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7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352" w:lineRule="exact"/>
        <w:rPr>
          <w:sz w:val="20"/>
          <w:szCs w:val="20"/>
          <w:color w:val="auto"/>
        </w:rPr>
      </w:pPr>
    </w:p>
    <w:p>
      <w:pPr>
        <w:jc w:val="both"/>
        <w:ind w:left="640" w:right="3259" w:hanging="188"/>
        <w:spacing w:after="0" w:line="249" w:lineRule="auto"/>
        <w:tabs>
          <w:tab w:leader="none" w:pos="6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2000, filed on January 4, 2001 (as amended by Form 20-F/A filed on April 3, 2001).</w:t>
      </w:r>
    </w:p>
    <w:p>
      <w:pPr>
        <w:spacing w:after="0" w:line="175"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6-K for the quarterly period ended December 31, 2000, filed on February 1, 2001.</w:t>
      </w:r>
    </w:p>
    <w:p>
      <w:pPr>
        <w:spacing w:after="0" w:line="174" w:lineRule="exact"/>
        <w:rPr>
          <w:rFonts w:ascii="Courier New" w:cs="Courier New" w:eastAsia="Courier New" w:hAnsi="Courier New"/>
          <w:sz w:val="15"/>
          <w:szCs w:val="15"/>
          <w:color w:val="auto"/>
        </w:rPr>
      </w:pPr>
    </w:p>
    <w:p>
      <w:pPr>
        <w:ind w:left="640" w:right="3359" w:hanging="188"/>
        <w:spacing w:after="0" w:line="249" w:lineRule="auto"/>
        <w:tabs>
          <w:tab w:leader="none" w:pos="6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ordinary shares contained in our Registration Statement on Form 8-A filed on June 17, 1998 under Section 12 of the Securities Exchange Act of 1934, including any amendment or report updating this description.</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reports of foreign private issuer on Form 6-K filed on December 13, 1999, April 11, 2000 (as amended by Form 6-K/A filed on June 8, 2000) and December 29, 2000.</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Exchange Act, subsequent to the date of this prospectus and prior to the termination of the offering. These include:</w:t>
      </w:r>
    </w:p>
    <w:p>
      <w:pPr>
        <w:spacing w:after="0" w:line="176" w:lineRule="exact"/>
        <w:rPr>
          <w:sz w:val="20"/>
          <w:szCs w:val="20"/>
          <w:color w:val="auto"/>
        </w:rPr>
      </w:pPr>
    </w:p>
    <w:p>
      <w:pPr>
        <w:ind w:left="640" w:right="2899" w:hanging="188"/>
        <w:spacing w:after="0" w:line="249" w:lineRule="auto"/>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reports on Forms 10-Q and 8-K filed by us pursuant to the Exchange Act.</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This prospectus is part of a Registration Statement we filed with the SEC (File No. 333-57036). We will provide without charge to each person to whom a prospectus is delivered, on written or oral request, a copy of any of the documents above other than exhibits to those documents. Requests should be addressed to: Mr. Thomas G. O'Brien, Amdocs Inc., 1390 Timberlake Manor Parkway, Chesterfield, Missouri 63017 (telephone: (314) 212-8328).</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FORWARD-LOOKING STATEMENTS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this document, references to "Amdocs," "we," "our," "us" and the "Company" refer to Amdocs Limited and its consolidated subsidiaries and their respective predecessors. References to "dollars" or $ are to United States dollars. Unless otherwise stated, all references in this prospectus to ordinary shares are to both voting and nonvoting ordinary shares, all references to percentage ownership of our ordinary shares assume the exchange of all outstanding Exchangeable Shares for our ordinary shares and all references to ordinary voting and nonvoting share ownership, as expressed in percentages, are as of February 28, 2001.</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w:t>
      </w:r>
    </w:p>
    <w:p>
      <w:pPr>
        <w:spacing w:after="0" w:line="182"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We are a leading provider of software products and services to major communications companies in North America, Europe and the rest of the world.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Business Support Systems, or BSS, products consist of families of customized software products and services designed to meet the critical business needs of specific communications market sectors. We provide primarily Customer Care, Billing and Order Management Systems, or CC&amp;B Systems, for communications and Internet Protocol, or IP, service providers. Our systems support a wide range of communications services including wireline, wireless, broadband, electronic and mobile commerce and Internet services. We also support companies that offer multiple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8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Verizon, BellSouth, SBC, Bell Canada, Tele Danmark and Deutsche Telekom), wireless companies (such as Sprint PCS, Pacific Wireless, Vodafone Group, Mannesmann Mobilfunk and Telstra) and Internet companies (such as BT, E-Plus and Freeserve).</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communications companies, such as customer care, order management, call rating, invoice calculation and preparation, bill formatting, collections, fraud management and directory publishing services. We tailor our BSS products to address the unique needs of each communications provider.</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of December 31, 2000, we employed on a full-time basis approximately 7,700 software and information technology specialists, engaged in research, development, maintenance and support activities, and approximately 1,100 managers and administrative professionals. We employ approximately 4,200 and 1,900 software and information technology specialists in Israel and North America, respectively, with the remaining principally located in Europe and the Asia-Pacific region. We often maintain teams of employees at a customer's premises to work on specific projects. In the United States, our main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April 5, 2000, we acquired Solect Technology Group Inc., or Solect, in a stock-for-stock transaction. Solect is a leading provider of billing and customer care software to Internet service providers. In connection with the consummation of the transaction, Solect issued 13.8 million Exchangeable Shares, each exchangeable for one of our ordinary shares, and we granted options to acquire 1.7 million of our ordinary shares. The total purchase price of approximately $1.1 billion, based on a per share price of $69.875 for our ordinary shares at the time of the transaction, included both the issuance of and grant of options for ordinary shares, as well as transaction costs.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on page 5 for more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82" w:lineRule="exact"/>
        <w:rPr>
          <w:sz w:val="20"/>
          <w:szCs w:val="20"/>
          <w:color w:val="auto"/>
        </w:rPr>
      </w:pPr>
    </w:p>
    <w:p>
      <w:pPr>
        <w:ind w:right="3079" w:firstLine="183"/>
        <w:spacing w:after="0" w:line="250" w:lineRule="auto"/>
        <w:rPr>
          <w:sz w:val="20"/>
          <w:szCs w:val="20"/>
          <w:color w:val="auto"/>
        </w:rPr>
      </w:pPr>
      <w:r>
        <w:rPr>
          <w:rFonts w:ascii="Courier New" w:cs="Courier New" w:eastAsia="Courier New" w:hAnsi="Courier New"/>
          <w:sz w:val="15"/>
          <w:szCs w:val="15"/>
          <w:color w:val="auto"/>
        </w:rPr>
        <w:t>FUNDAMENTAL CHANGES IN THE COMMUNICATIONS MARKET COULD REDUCE DEMAND FOR OUR SYSTEMS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Future developments in the 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communications industry.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 portion of our revenue is derived from products and services provided to directory publishers. We believe that the demand for those products and services will be reduced as a result of the increased competition between directory publishers and other media channels, as well as a broader introduction of electronic directories. Our new products for these markets may not be successful and we believe our current levels of revenue from the sales of products and services to directory publishers are not likely to grow but will remain relatively stable.</w:t>
      </w:r>
    </w:p>
    <w:p>
      <w:pPr>
        <w:spacing w:after="0" w:line="175" w:lineRule="exact"/>
        <w:rPr>
          <w:sz w:val="20"/>
          <w:szCs w:val="20"/>
          <w:color w:val="auto"/>
        </w:rPr>
      </w:pPr>
    </w:p>
    <w:p>
      <w:pPr>
        <w:ind w:left="180" w:right="3619"/>
        <w:spacing w:after="0" w:line="250" w:lineRule="auto"/>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175"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We also believe that our ability to compete depends in part on a number of factors, including:</w:t>
      </w:r>
    </w:p>
    <w:p>
      <w:pPr>
        <w:spacing w:after="0" w:line="175" w:lineRule="exact"/>
        <w:rPr>
          <w:sz w:val="20"/>
          <w:szCs w:val="20"/>
          <w:color w:val="auto"/>
        </w:rPr>
      </w:pPr>
    </w:p>
    <w:p>
      <w:pPr>
        <w:ind w:left="720" w:right="3439" w:hanging="268"/>
        <w:spacing w:after="0" w:line="250" w:lineRule="auto"/>
        <w:tabs>
          <w:tab w:leader="none" w:pos="7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82" w:lineRule="exact"/>
        <w:rPr>
          <w:rFonts w:ascii="Courier New" w:cs="Courier New" w:eastAsia="Courier New" w:hAnsi="Courier New"/>
          <w:sz w:val="15"/>
          <w:szCs w:val="15"/>
          <w:color w:val="auto"/>
        </w:rPr>
      </w:pPr>
    </w:p>
    <w:p>
      <w:pPr>
        <w:ind w:left="720" w:right="3719" w:hanging="268"/>
        <w:spacing w:after="0" w:line="250" w:lineRule="auto"/>
        <w:tabs>
          <w:tab w:leader="none" w:pos="7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BSS products that operate in state-of-the-art computing environments. Our present or future products may not satisfy the evolving needs of the communications market. If we are unable to anticipate or respond adequately to those demands, due to resource, technological or other constraints, our business and results of operations could be materially adversely affected.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November 30, 1999, in a stock-for-stock transaction, we completed our acquisition of International Telecommunication Data Systems, Inc., or ITDS, a leading provider of billing and customer care service bureau solutions to wireless communications service providers. On April 5, 2000, in a stock-for-stock transaction, we completed our acquisition of Solect Technology Group Inc., a leading provider of IP billing and customer care software to Internet service providers, including wireless companies and Application Service Providers, or ASPs. We also may acquire other companies where we believe we can acquire new products or services or otherwise enhance our market position or strategic strengths. We cannot assure you that suitable acquisition candidates can be found, that acquisitions can be consummated on favorable terms, that the ITDS or Solect acquisitions will enhance our products or strengthen our competitive position or that we will be able to successfully and efficiently integrate these businesses into our own.</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Aggregate revenue derived from the multiple business arrangements we have with each of our five largest customer groups and their affiliates, excluding SBC and its operating subsidiaries (see below), accounted for approximately 39.9% of revenue in the three months ended December 31, 2000 and 39.7%, 33.4% and 39.0% of revenue in fiscal 2000, 1999 and 1998, respectively. After giving effect to the acquisition of Mannesmann Mobilfunk by Vodafone Group in 2000, the combined company would have been one of our largest customers and would have accounted for more than 10% of our revenue in each of fiscal 2000 and 1999.</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installed systems. Therefore, our customers may not continue to purchase new systems, system enhancements and services in amounts similar to previous years.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One of our largest groups of customers is SBC Communications Inc., or SBC, and its operating subsidiaries. SBC International Inc., or SBCI, a wholly-owned subsidiary of SBC, is also one of our largest shareholders. As of February 28, 2001, SBCI and its subsidiary SBC Option Delivery LLC together held approximately 9.9% of our outstanding voting ordinary shares and all of our outstanding non-voting ordinary shares. SBCI also has the power to vote an additional 10,000,000 voting ordinary shares pursuant to an irrevocable proxy that it received on December 19, 2000. A significant decrease in the sale of products and services to SBC or its subsidiaries may materially adversely affect our results of operations and financial condition.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13.5% of revenue in the three months ended December 31, 2000 and 12.6%, 15.9% and 20.8% of our total revenue in fiscal 2000, 1999 and 1998, respectively. The amount of revenue attributable to SBC and such subsidiaries amounted to $46.3 million in the three months ended December 31, 2000 and $141.0 million, $99.5 million and $84.4 million in fiscal 2000, 1999 and 1998, respectively.</w:t>
      </w:r>
    </w:p>
    <w:p>
      <w:pPr>
        <w:spacing w:after="0" w:line="175" w:lineRule="exact"/>
        <w:rPr>
          <w:sz w:val="20"/>
          <w:szCs w:val="20"/>
          <w:color w:val="auto"/>
        </w:rPr>
      </w:pPr>
    </w:p>
    <w:p>
      <w:pPr>
        <w:ind w:right="3079" w:firstLine="183"/>
        <w:spacing w:after="0" w:line="250" w:lineRule="auto"/>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with the financial and other resources required to invest in significant ongoing BSS products.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As of December 31, 2000, we employed on a full-time basis approximately 7,700 software and information technology specialists, of which over 4,200 are located in Israel and over 1,900 are located in North America.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36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6" w:lineRule="exact"/>
        <w:rPr>
          <w:sz w:val="20"/>
          <w:szCs w:val="20"/>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sales cycle associated with the purchase of our information systems is lengthy, with the time between the making of an initial proposal to a prospective customer and the signing of a sales contract typically being between three and twelve months. Information systems for 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5" w:lineRule="exact"/>
        <w:rPr>
          <w:sz w:val="20"/>
          <w:szCs w:val="20"/>
          <w:color w:val="auto"/>
        </w:rPr>
      </w:pPr>
    </w:p>
    <w:p>
      <w:pPr>
        <w:ind w:left="720" w:hanging="268"/>
        <w:spacing w:after="0"/>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that limit the repatriation of earnings,</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82" w:lineRule="exact"/>
        <w:rPr>
          <w:rFonts w:ascii="Courier New" w:cs="Courier New" w:eastAsia="Courier New" w:hAnsi="Courier New"/>
          <w:sz w:val="15"/>
          <w:szCs w:val="15"/>
          <w:color w:val="auto"/>
        </w:rPr>
      </w:pPr>
    </w:p>
    <w:p>
      <w:pPr>
        <w:ind w:left="720" w:right="3539" w:hanging="268"/>
        <w:spacing w:after="0" w:line="250" w:lineRule="auto"/>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5"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We maintain development facilities in Israel, the United States, Cyprus, Ireland and Canada, operate a support center in Brazil and have operations in North America, Europe, Latin America and the Asia-Pacific region. Although a majority of our revenue in fiscal 2000 was derived from customers in North America and Europe, we obtain significant revenue from customers in the Asia-Pacific region and Latin America. Our strategy is to continue to broaden our customer base in all of these regional customer markets.</w:t>
      </w:r>
    </w:p>
    <w:p>
      <w:pPr>
        <w:spacing w:after="0" w:line="175" w:lineRule="exact"/>
        <w:rPr>
          <w:sz w:val="20"/>
          <w:szCs w:val="20"/>
          <w:color w:val="auto"/>
        </w:rPr>
      </w:pPr>
    </w:p>
    <w:p>
      <w:pPr>
        <w:ind w:right="3259" w:firstLine="183"/>
        <w:spacing w:after="0" w:line="250" w:lineRule="auto"/>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with a time delay)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75"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left="180" w:right="2979"/>
        <w:spacing w:after="0" w:line="250"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5" w:lineRule="exact"/>
        <w:rPr>
          <w:sz w:val="20"/>
          <w:szCs w:val="20"/>
          <w:color w:val="auto"/>
        </w:rPr>
      </w:pPr>
    </w:p>
    <w:p>
      <w:pPr>
        <w:ind w:left="180" w:right="3079"/>
        <w:spacing w:after="0" w:line="250"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5" w:lineRule="exact"/>
        <w:rPr>
          <w:sz w:val="20"/>
          <w:szCs w:val="20"/>
          <w:color w:val="auto"/>
        </w:rPr>
      </w:pPr>
    </w:p>
    <w:p>
      <w:pPr>
        <w:jc w:val="both"/>
        <w:ind w:right="3079" w:firstLine="458"/>
        <w:spacing w:after="0" w:line="248"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Additionally, some of these programs and the related tax benefits are available to us for a limited number of years, and these benefits expire from time to time.</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5" w:lineRule="exact"/>
        <w:rPr>
          <w:sz w:val="20"/>
          <w:szCs w:val="20"/>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82"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4"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Since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w:t>
      </w:r>
    </w:p>
    <w:p>
      <w:pPr>
        <w:spacing w:after="0" w:line="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76" w:lineRule="exact"/>
        <w:rPr>
          <w:sz w:val="20"/>
          <w:szCs w:val="20"/>
          <w:color w:val="auto"/>
        </w:rPr>
      </w:pPr>
    </w:p>
    <w:p>
      <w:pPr>
        <w:ind w:left="180" w:right="3079"/>
        <w:spacing w:after="0" w:line="250" w:lineRule="auto"/>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Out of the five development centers we maintain worldwide, our largest development center is located in Israel, which is also where we employ over half of our employees. As a result, we are directly influenced by the political, economic and military conditions affecting Israel and any major hostilities involving Israel could have a material adverse effect on our business. We have developed contingency plans to move some development operations within Israel to various sites both within and outside of Israel in the event political or military conditions disrupt our normal operations.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While Israel has entered into peace agreements with both Egypt and Jordan and several other countries have announced their intentions to establish trade and other relations with Israel, Israel has not entered into any peace arrangement with Syria or Lebanon. Moreover, while Israel is in the process of conducting peace negotiations with the Palestinian community, recently there has been a significant deterioration in Israel's relationship with the Palestinian community. Efforts to resolve the problem have failed to result in an agreeable solution. Continued hostilities between the Palestinian community and Israel and any failure to settle the conflict may have a material adverse effect on us and our business. Further deterioration of hostilities into a full scale conflict might require more widespread military reserve service by some of our employees which may have a material adverse effect on our business.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finally resolve the problem have not yet resulted in an agreeable solution, although the parties did recently agree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82" w:lineRule="exact"/>
        <w:rPr>
          <w:sz w:val="20"/>
          <w:szCs w:val="20"/>
          <w:color w:val="auto"/>
        </w:rPr>
      </w:pPr>
    </w:p>
    <w:p>
      <w:pPr>
        <w:ind w:left="180" w:right="3359"/>
        <w:spacing w:after="0" w:line="250"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April 4, 2001 the closing price of our ordinary shares ranged from a high of $96.00 per share to a low of $8.38 per share. Many factors could cause the market price of our ordinary shares to rise and fall. Some of these factors are:</w:t>
      </w:r>
    </w:p>
    <w:p>
      <w:pPr>
        <w:spacing w:after="0" w:line="176" w:lineRule="exact"/>
        <w:rPr>
          <w:sz w:val="20"/>
          <w:szCs w:val="20"/>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82"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industry;</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82"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sectPr>
      </w:pPr>
    </w:p>
    <w:bookmarkStart w:id="13" w:name="page14"/>
    <w:bookmarkEnd w:id="13"/>
    <w:p>
      <w:pPr>
        <w:ind w:left="266"/>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5" w:lineRule="exact"/>
        <w:rPr>
          <w:sz w:val="20"/>
          <w:szCs w:val="20"/>
          <w:color w:val="auto"/>
        </w:rPr>
      </w:pPr>
    </w:p>
    <w:p>
      <w:pPr>
        <w:ind w:left="186" w:right="3179"/>
        <w:spacing w:after="0" w:line="250" w:lineRule="auto"/>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5" w:lineRule="exact"/>
        <w:rPr>
          <w:sz w:val="20"/>
          <w:szCs w:val="20"/>
          <w:color w:val="auto"/>
        </w:rPr>
      </w:pPr>
    </w:p>
    <w:p>
      <w:pPr>
        <w:ind w:left="6" w:right="3179" w:firstLine="458"/>
        <w:spacing w:after="0" w:line="248"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As of February 28, 2001, we had 222,068,645 ordinary shares issued and outstanding, a substantial portion of which are either freely tradeable on the NYSE or currently eligible for sale pursuant to Rule 144, under the Securities Act of 1933, or the Securities Act (subject to compliance with the volume and manner of sale limitation of Rule</w:t>
      </w:r>
    </w:p>
    <w:p>
      <w:pPr>
        <w:spacing w:after="0" w:line="4" w:lineRule="exact"/>
        <w:rPr>
          <w:sz w:val="20"/>
          <w:szCs w:val="20"/>
          <w:color w:val="auto"/>
        </w:rPr>
      </w:pPr>
    </w:p>
    <w:p>
      <w:pPr>
        <w:ind w:left="6" w:right="2899"/>
        <w:spacing w:after="0" w:line="250" w:lineRule="auto"/>
        <w:rPr>
          <w:sz w:val="20"/>
          <w:szCs w:val="20"/>
          <w:color w:val="auto"/>
        </w:rPr>
      </w:pPr>
      <w:r>
        <w:rPr>
          <w:rFonts w:ascii="Courier New" w:cs="Courier New" w:eastAsia="Courier New" w:hAnsi="Courier New"/>
          <w:sz w:val="15"/>
          <w:szCs w:val="15"/>
          <w:color w:val="auto"/>
        </w:rPr>
        <w:t>144), or pursuant to another exemption from the registration requirements of the Securities Act.</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Our principal shareholders and the holders of the Exchangeable Shares have the right, in certain circumstances, to require us to register their shares under the Securities Act for resale to the public. In addition, we have registered under the Securities Act a total of 16,062,121 ordinary shares, and we expect to register an additional 19,000,000 ordinary shares, reserved for issuance upon the exercise of options that have been or may be granted under our stock option plans and stock option plans assumed by us in connection with our acquisition of ITDS and Solect. The right to exercise options outstanding under these plans is subject to certain vesting requirements.</w:t>
      </w:r>
    </w:p>
    <w:p>
      <w:pPr>
        <w:spacing w:after="0" w:line="175" w:lineRule="exact"/>
        <w:rPr>
          <w:sz w:val="20"/>
          <w:szCs w:val="20"/>
          <w:color w:val="auto"/>
        </w:rPr>
      </w:pPr>
    </w:p>
    <w:p>
      <w:pPr>
        <w:ind w:left="186" w:right="3899"/>
        <w:spacing w:after="0" w:line="250"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5" w:lineRule="exact"/>
        <w:rPr>
          <w:sz w:val="20"/>
          <w:szCs w:val="20"/>
          <w:color w:val="auto"/>
        </w:rPr>
      </w:pPr>
    </w:p>
    <w:p>
      <w:pPr>
        <w:jc w:val="both"/>
        <w:ind w:left="6" w:right="3619" w:firstLine="458"/>
        <w:spacing w:after="0" w:line="249"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6" w:lineRule="exact"/>
        <w:rPr>
          <w:sz w:val="20"/>
          <w:szCs w:val="20"/>
          <w:color w:val="auto"/>
        </w:rPr>
      </w:pPr>
    </w:p>
    <w:p>
      <w:pPr>
        <w:ind w:left="186" w:right="3179"/>
        <w:spacing w:after="0" w:line="250" w:lineRule="auto"/>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175"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w:t>
      </w:r>
    </w:p>
    <w:p>
      <w:pPr>
        <w:spacing w:after="0" w:line="17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OFFERING STATISTICS AND TIMETABLE</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7,257,570 of our ordinary shares are being offered in this offering by some of our shareholders, including 3,125,839 shares that were registered under previous registration statements. The offer will be open until the earlier of</w:t>
      </w:r>
    </w:p>
    <w:p>
      <w:pPr>
        <w:spacing w:after="0" w:line="2" w:lineRule="exact"/>
        <w:rPr>
          <w:sz w:val="20"/>
          <w:szCs w:val="20"/>
          <w:color w:val="auto"/>
        </w:rPr>
      </w:pPr>
    </w:p>
    <w:p>
      <w:pPr>
        <w:ind w:left="6" w:right="2899" w:hanging="6"/>
        <w:spacing w:after="0" w:line="249" w:lineRule="auto"/>
        <w:tabs>
          <w:tab w:leader="none" w:pos="37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April 5, 2002, (2) the date on which all of the shares being offered have been sold, and (3) the date on which all of the shares being offered can be sold without registration without regard to the volume restrictions of Rule 144 under the Securities Act of 1933.</w:t>
      </w:r>
    </w:p>
    <w:p>
      <w:pPr>
        <w:spacing w:after="0" w:line="17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USE OF PROCEEDS</w:t>
      </w:r>
    </w:p>
    <w:p>
      <w:pPr>
        <w:spacing w:after="0" w:line="182" w:lineRule="exact"/>
        <w:rPr>
          <w:sz w:val="20"/>
          <w:szCs w:val="20"/>
          <w:color w:val="auto"/>
        </w:rPr>
      </w:pPr>
    </w:p>
    <w:p>
      <w:pPr>
        <w:ind w:left="6" w:right="3439" w:firstLine="458"/>
        <w:spacing w:after="0" w:line="248" w:lineRule="auto"/>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w:t>
      </w:r>
    </w:p>
    <w:p>
      <w:pPr>
        <w:spacing w:after="0" w:line="1"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4" w:top="294" w:right="1440" w:bottom="1440" w:gutter="0" w:footer="0" w:header="0"/>
        </w:sectPr>
      </w:pPr>
    </w:p>
    <w:bookmarkStart w:id="14" w:name="page15"/>
    <w:bookmarkEnd w:id="14"/>
    <w:p>
      <w:pPr>
        <w:ind w:left="266"/>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CAPITALIZATION</w:t>
      </w:r>
    </w:p>
    <w:p>
      <w:pPr>
        <w:spacing w:after="0" w:line="182" w:lineRule="exact"/>
        <w:rPr>
          <w:sz w:val="20"/>
          <w:szCs w:val="20"/>
          <w:color w:val="auto"/>
        </w:rPr>
      </w:pPr>
    </w:p>
    <w:p>
      <w:pPr>
        <w:ind w:left="6" w:right="2899" w:firstLine="458"/>
        <w:spacing w:after="0" w:line="250" w:lineRule="auto"/>
        <w:rPr>
          <w:sz w:val="20"/>
          <w:szCs w:val="20"/>
          <w:color w:val="auto"/>
        </w:rPr>
      </w:pPr>
      <w:r>
        <w:rPr>
          <w:rFonts w:ascii="Courier New" w:cs="Courier New" w:eastAsia="Courier New" w:hAnsi="Courier New"/>
          <w:sz w:val="15"/>
          <w:szCs w:val="15"/>
          <w:color w:val="auto"/>
        </w:rPr>
        <w:t>The following table sets forth the unaudited consolidated capitalization of Amdocs as of December 31, 2000.</w:t>
      </w:r>
    </w:p>
    <w:p>
      <w:pPr>
        <w:spacing w:after="0" w:line="200" w:lineRule="exact"/>
        <w:rPr>
          <w:sz w:val="20"/>
          <w:szCs w:val="20"/>
          <w:color w:val="auto"/>
        </w:rPr>
      </w:pPr>
    </w:p>
    <w:p>
      <w:pPr>
        <w:spacing w:after="0" w:line="327" w:lineRule="exact"/>
        <w:rPr>
          <w:sz w:val="20"/>
          <w:szCs w:val="20"/>
          <w:color w:val="auto"/>
        </w:rPr>
      </w:pPr>
    </w:p>
    <w:p>
      <w:pPr>
        <w:ind w:left="5686"/>
        <w:spacing w:after="0"/>
        <w:rPr>
          <w:sz w:val="20"/>
          <w:szCs w:val="20"/>
          <w:color w:val="auto"/>
        </w:rPr>
      </w:pPr>
      <w:r>
        <w:rPr>
          <w:rFonts w:ascii="Courier New" w:cs="Courier New" w:eastAsia="Courier New" w:hAnsi="Courier New"/>
          <w:sz w:val="15"/>
          <w:szCs w:val="15"/>
          <w:color w:val="auto"/>
        </w:rPr>
        <w:t>DECEMBER 31, 2000</w:t>
      </w:r>
    </w:p>
    <w:p>
      <w:pPr>
        <w:spacing w:after="0" w:line="6" w:lineRule="exact"/>
        <w:rPr>
          <w:sz w:val="20"/>
          <w:szCs w:val="20"/>
          <w:color w:val="auto"/>
        </w:rPr>
      </w:pPr>
    </w:p>
    <w:p>
      <w:pPr>
        <w:ind w:left="56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766"/>
        <w:spacing w:after="0"/>
        <w:rPr>
          <w:sz w:val="20"/>
          <w:szCs w:val="20"/>
          <w:color w:val="auto"/>
        </w:rPr>
      </w:pPr>
      <w:r>
        <w:rPr>
          <w:rFonts w:ascii="Courier New" w:cs="Courier New" w:eastAsia="Courier New" w:hAnsi="Courier New"/>
          <w:sz w:val="15"/>
          <w:szCs w:val="15"/>
          <w:color w:val="auto"/>
        </w:rPr>
        <w:t>(IN THOUSANDS,</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EXCEPT SHARE</w:t>
      </w:r>
    </w:p>
    <w:p>
      <w:pPr>
        <w:spacing w:after="0" w:line="6" w:lineRule="exact"/>
        <w:rPr>
          <w:sz w:val="20"/>
          <w:szCs w:val="20"/>
          <w:color w:val="auto"/>
        </w:rPr>
      </w:pPr>
    </w:p>
    <w:p>
      <w:pPr>
        <w:ind w:left="6226"/>
        <w:spacing w:after="0"/>
        <w:rPr>
          <w:sz w:val="20"/>
          <w:szCs w:val="20"/>
          <w:color w:val="auto"/>
        </w:rPr>
      </w:pPr>
      <w:r>
        <w:rPr>
          <w:rFonts w:ascii="Courier New" w:cs="Courier New" w:eastAsia="Courier New" w:hAnsi="Courier New"/>
          <w:sz w:val="15"/>
          <w:szCs w:val="15"/>
          <w:color w:val="auto"/>
        </w:rPr>
        <w:t>DATA)</w:t>
      </w:r>
    </w:p>
    <w:p>
      <w:pPr>
        <w:sectPr>
          <w:pgSz w:w="11900" w:h="16838" w:orient="portrait"/>
          <w:cols w:equalWidth="0" w:num="1">
            <w:col w:w="10225"/>
          </w:cols>
          <w:pgMar w:left="234" w:top="294" w:right="1440" w:bottom="1440" w:gutter="0" w:footer="0" w:header="0"/>
        </w:sectPr>
      </w:pP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Current portion of capital lease obligations................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Capital lease obligations, less current portion.............</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Total capital lease obligations........................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9,355</w:t>
      </w:r>
    </w:p>
    <w:p>
      <w:pPr>
        <w:spacing w:after="0" w:line="6"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25,941</w:t>
      </w:r>
    </w:p>
    <w:p>
      <w:pPr>
        <w:spacing w:after="0" w:line="6"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5"/>
          <w:szCs w:val="15"/>
          <w:color w:val="auto"/>
        </w:rPr>
        <w:t>35,296</w:t>
      </w:r>
    </w:p>
    <w:p>
      <w:pPr>
        <w:spacing w:after="0" w:line="6" w:lineRule="exact"/>
        <w:rPr>
          <w:sz w:val="20"/>
          <w:szCs w:val="20"/>
          <w:color w:val="auto"/>
        </w:rPr>
      </w:pPr>
    </w:p>
    <w:p>
      <w:pPr>
        <w:sectPr>
          <w:pgSz w:w="11900" w:h="16838" w:orient="portrait"/>
          <w:cols w:equalWidth="0" w:num="2">
            <w:col w:w="5506" w:space="440"/>
            <w:col w:w="4279"/>
          </w:cols>
          <w:pgMar w:left="234" w:top="294"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Shareholders' equity:</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Preferred Shares, par value L0.01 per share; 25,000,000</w:t>
      </w:r>
    </w:p>
    <w:p>
      <w:pPr>
        <w:sectPr>
          <w:pgSz w:w="11900" w:h="16838" w:orient="portrait"/>
          <w:cols w:equalWidth="0" w:num="1">
            <w:col w:w="10225"/>
          </w:cols>
          <w:pgMar w:left="234" w:top="294" w:right="1440" w:bottom="1440" w:gutter="0" w:footer="0" w:header="0"/>
          <w:type w:val="continuous"/>
        </w:sectPr>
      </w:pP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shares authorized; no shares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2">
            <w:col w:w="5966" w:space="720"/>
            <w:col w:w="3539"/>
          </w:cols>
          <w:pgMar w:left="234" w:top="294" w:right="1440" w:bottom="1440"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Ordinary Shares, par value L0.01 per share; 550,000,000</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shares authorized; 221,318,000 shares issued and</w:t>
      </w:r>
    </w:p>
    <w:p>
      <w:pPr>
        <w:sectPr>
          <w:pgSz w:w="11900" w:h="16838" w:orient="portrait"/>
          <w:cols w:equalWidth="0" w:num="1">
            <w:col w:w="10225"/>
          </w:cols>
          <w:pgMar w:left="234" w:top="294" w:right="1440" w:bottom="1440" w:gutter="0" w:footer="0" w:header="0"/>
          <w:type w:val="continuous"/>
        </w:sectPr>
      </w:pP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outstanding on an actual basis(1)(2)..................</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Additional paid-in capital.............................</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Accumulated other comprehensive income.................</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Unearned compensation..................................</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Accumulated deficit....................................</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Total shareholders' equity........................</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Total capitalization..............................</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3,542</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1,786,492</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1,360</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(740)</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(345,002)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1,445,652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$1,480,948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506" w:space="440"/>
            <w:col w:w="4279"/>
          </w:cols>
          <w:pgMar w:left="234" w:top="294" w:right="1440" w:bottom="1440" w:gutter="0" w:footer="0" w:header="0"/>
          <w:type w:val="continuous"/>
        </w:sectPr>
      </w:pPr>
    </w:p>
    <w:p>
      <w:pPr>
        <w:spacing w:after="0" w:line="1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3079" w:hanging="366"/>
        <w:spacing w:after="0" w:line="250" w:lineRule="auto"/>
        <w:tabs>
          <w:tab w:leader="none" w:pos="3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11,017,164 Ordinary Shares reserved for issuance upon the exercise of stock options that have been granted to employees.</w:t>
      </w:r>
    </w:p>
    <w:p>
      <w:pPr>
        <w:spacing w:after="0" w:line="174" w:lineRule="exact"/>
        <w:rPr>
          <w:rFonts w:ascii="Courier New" w:cs="Courier New" w:eastAsia="Courier New" w:hAnsi="Courier New"/>
          <w:sz w:val="15"/>
          <w:szCs w:val="15"/>
          <w:color w:val="auto"/>
        </w:rPr>
      </w:pPr>
    </w:p>
    <w:p>
      <w:pPr>
        <w:ind w:left="366" w:right="3179" w:hanging="366"/>
        <w:spacing w:after="0" w:line="250" w:lineRule="auto"/>
        <w:tabs>
          <w:tab w:leader="none" w:pos="3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Non-Voting Ordinary Shares comprise 50,000,000 of the authorized Ordinary Shares and 22,606,189 of the issued and outstanding Ordinary Shares.</w:t>
      </w: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4" w:top="294"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OFFER AND LISTING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ordinary shares have been listed on the NYSE since June 19, 1998, under the symbol "DOX". The annual high and low reported sale prices for the ordinary shares were $96.00 and $19.81, respectively, for fiscal 2000 and were $30.25 and $8.75, respectively, for fiscal 1999. Through April 4, 2001, the high and low reported sale prices for the ordinary shares were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LOW</w:t>
            </w:r>
          </w:p>
        </w:tc>
      </w:tr>
      <w:tr>
        <w:trPr>
          <w:trHeight w:val="176"/>
        </w:trPr>
        <w:tc>
          <w:tcPr>
            <w:tcW w:w="55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Fiscal Year ending September 30, 1999:</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$17.50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$ 8.75</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$26.38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$13.50</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$29.69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$18.38</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$30.25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Fiscal Year ending September 30, 2000:</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$37.94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$19.81</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$96.00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$32.44</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$88.75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$49.00</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$88.75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$59.38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Fiscal Year ending September 30, 2001:</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$73.50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$51.63</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$80.50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$43.50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Most recent six months:</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October, 2000.............................................</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$67.38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$53.88</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November, 2000............................................</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$73.50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$51.63</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December, 2000............................................</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$69.75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$52.63</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January, 2001.............................................</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$80.50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$59.00</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February, 2001............................................</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$79.32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$61.38</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March, 2001...............................................</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$69.35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$43.50</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April, 2001 (through April 4, 2001).......................</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$47.25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$40.60</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THE ISSUE</w:t>
      </w:r>
    </w:p>
    <w:p>
      <w:pPr>
        <w:spacing w:after="0" w:line="182"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We will pay all costs and expenses incurred by us in connection with the registration of the sale of shares pursuant to this prospectus. We will not be responsible for any commissions, underwriting discounts or similar charges on sales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$ 63,009</w:t>
            </w: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Legal fees and expenses.....................................</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$ 25,000</w:t>
            </w: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Accounting fees and expenses................................</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$ 20,000</w:t>
            </w: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8,100</w:t>
            </w: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Miscellaneous...............................................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5,391</w:t>
            </w:r>
          </w:p>
        </w:tc>
      </w:tr>
      <w:tr>
        <w:trPr>
          <w:trHeight w:val="176"/>
        </w:trPr>
        <w:tc>
          <w:tcPr>
            <w:tcW w:w="56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6"/>
        </w:trPr>
        <w:tc>
          <w:tcPr>
            <w:tcW w:w="56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5680" w:type="dxa"/>
            <w:vAlign w:val="bottom"/>
          </w:tcPr>
          <w:p>
            <w:pPr>
              <w:jc w:val="right"/>
              <w:ind w:right="1764"/>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unaudited pro forma condensed combined statements of operations of Amdocs, ITDS and Solect presented below are derived from the historical consolidated financial statements of each of Amdocs, ITDS and Solect. On November 30, 1999 Amdocs acquired ITDS and on April 5, 2000 Amdocs acquired Solect. The unaudited pro forma condensed combined statements of operations were prepared using the purchase method of accounting, as if the transactions had been completed as of October 1, 1999.</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unaudited pro forma condensed combined statements of operations are based upon the historical financial statements of Amdocs, ITDS and Solect adjusted to give effect to the business combination. The pro forma assumptions and adjustments for each transaction are described in the accompanying notes presented on the following pages. The assumptions and related pro forma adjustments have been developed from:</w:t>
      </w:r>
    </w:p>
    <w:p>
      <w:pPr>
        <w:spacing w:after="0" w:line="176" w:lineRule="exact"/>
        <w:rPr>
          <w:sz w:val="20"/>
          <w:szCs w:val="20"/>
          <w:color w:val="auto"/>
        </w:rPr>
      </w:pPr>
    </w:p>
    <w:p>
      <w:pPr>
        <w:ind w:left="640" w:right="2899" w:hanging="188"/>
        <w:spacing w:after="0" w:line="250" w:lineRule="auto"/>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Amdocs as of and for the fiscal year ended September 30, 2000;</w:t>
      </w:r>
    </w:p>
    <w:p>
      <w:pPr>
        <w:spacing w:after="0" w:line="174"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of ITDS as of and for the two month period ended November 30, 1999; and</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of Solect as of and for the six month period ended January 31, 2000.</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connection with the acquisition of ITDS, we have converted approximately 17.3 million common shares of ITDS and approximately 3.0 million options to purchase common shares of ITDS into the right to receive approximately 6.5 million ordinary shares and approximately 1.1 million options to purchase ordinary shares of Amdocs. The estimated total purchase price for ITDS, based on an Amdocs share price of $28.25, including estimated transaction costs, equals approximately $189 million. We accounted for the acquisition of ITDS under the purchase method of accounting. The estimated total purchase price was allocated to ITDS' tangible assets and liabilities based on their respective estimated fair values on the date the transaction was consummated, November 30, 1999.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connection with the acquisition of Solect, we have converted approximately 24.2 million common shares of Solect and approximately 2.9 million options to purchase common shares of Solect into the right to receive approximately 13.8 million ordinary shares and approximately 1.7 million options to purchase ordinary shares of Amdocs. The estimated total purchase price for Solect, based on an Amdocs share price of $69.875 including estimated transaction costs, equals approximately $1.1 billion. We accounted for the acquisition under the purchase method of accounting. The estimated total purchase price was allocated to Solect's tangible assets and liabilities based on their respective estimated fair values on the date the transaction was consummated, April 5, 2000.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unaudited pro forma condensed combined statements of operations are provided for illustrative purposes only and do not purport to represent what the actual consolidated results of operations or the consolidated financial position Amdocs would have been had the acquisitions occurred on the dates assumed, nor is it necessarily indicative of future consolidated results of operations or financial position.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4"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unaudited pro forma condensed combined statements of operations do not include the realization of cost savings from operating efficiencies, synergies or other restructurings resulting from the acquisitions.</w:t>
      </w:r>
    </w:p>
    <w:p>
      <w:pPr>
        <w:spacing w:after="0" w:line="17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The following unaudited pro forma condensed combined statements of operations and notes thereto contain forward-looking statements that involve risks and uncertainties.</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gridSpan w:val="5"/>
          </w:tcPr>
          <w:p>
            <w:pPr>
              <w:ind w:left="1560"/>
              <w:spacing w:after="0"/>
              <w:rPr>
                <w:sz w:val="20"/>
                <w:szCs w:val="20"/>
                <w:color w:val="auto"/>
              </w:rPr>
            </w:pPr>
            <w:r>
              <w:rPr>
                <w:rFonts w:ascii="Courier New" w:cs="Courier New" w:eastAsia="Courier New" w:hAnsi="Courier New"/>
                <w:sz w:val="15"/>
                <w:szCs w:val="15"/>
                <w:color w:val="auto"/>
              </w:rPr>
              <w:t>FOR THE TWELVE MONTHS ENDED SEPTEMBER 30, 2000</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705"/>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ITDS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684"/>
              <w:spacing w:after="0"/>
              <w:rPr>
                <w:sz w:val="20"/>
                <w:szCs w:val="20"/>
                <w:color w:val="auto"/>
              </w:rPr>
            </w:pPr>
            <w:r>
              <w:rPr>
                <w:rFonts w:ascii="Courier New" w:cs="Courier New" w:eastAsia="Courier New" w:hAnsi="Courier New"/>
                <w:sz w:val="15"/>
                <w:szCs w:val="15"/>
                <w:color w:val="auto"/>
                <w:w w:val="99"/>
              </w:rPr>
              <w:t>SOLECT</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AMDOCS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ITDS</w:t>
            </w: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SOLECT</w:t>
            </w:r>
          </w:p>
        </w:tc>
        <w:tc>
          <w:tcPr>
            <w:tcW w:w="1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32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330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HISTORICAL</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ADJUSTMENTS</w:t>
            </w:r>
          </w:p>
        </w:tc>
        <w:tc>
          <w:tcPr>
            <w:tcW w:w="24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9"/>
              </w:rPr>
              <w:t>COMBINED</w:t>
            </w: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20" w:type="dxa"/>
            <w:vAlign w:val="bottom"/>
            <w:gridSpan w:val="5"/>
          </w:tcPr>
          <w:p>
            <w:pPr>
              <w:jc w:val="right"/>
              <w:ind w:right="1144"/>
              <w:spacing w:after="0"/>
              <w:rPr>
                <w:sz w:val="20"/>
                <w:szCs w:val="20"/>
                <w:color w:val="auto"/>
              </w:rPr>
            </w:pPr>
            <w:r>
              <w:rPr>
                <w:rFonts w:ascii="Courier New" w:cs="Courier New" w:eastAsia="Courier New" w:hAnsi="Courier New"/>
                <w:sz w:val="15"/>
                <w:szCs w:val="15"/>
                <w:color w:val="auto"/>
              </w:rPr>
              <w:t>(IN THOUSANDS, EXCEPT PER SHARE DATA)</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720" w:type="dxa"/>
            <w:vAlign w:val="bottom"/>
            <w:gridSpan w:val="6"/>
          </w:tcPr>
          <w:p>
            <w:pPr>
              <w:jc w:val="right"/>
              <w:ind w:right="884"/>
              <w:spacing w:after="0"/>
              <w:rPr>
                <w:sz w:val="20"/>
                <w:szCs w:val="20"/>
                <w:color w:val="auto"/>
              </w:rPr>
            </w:pPr>
            <w:r>
              <w:rPr>
                <w:rFonts w:ascii="Courier New" w:cs="Courier New" w:eastAsia="Courier New" w:hAnsi="Courier New"/>
                <w:sz w:val="15"/>
                <w:szCs w:val="15"/>
                <w:color w:val="auto"/>
              </w:rPr>
              <w:t>(IN U.S. DOLLARS, UNLESS OTHERWISE STATED)</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29"/>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$1,118,320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$23,289</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$11,174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$1,152,783</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18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645,524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11,841</w:t>
            </w:r>
          </w:p>
        </w:tc>
        <w:tc>
          <w:tcPr>
            <w:tcW w:w="500" w:type="dxa"/>
            <w:vAlign w:val="bottom"/>
          </w:tcPr>
          <w:p>
            <w:pPr>
              <w:spacing w:after="0"/>
              <w:rPr>
                <w:sz w:val="24"/>
                <w:szCs w:val="24"/>
                <w:color w:val="auto"/>
              </w:rPr>
            </w:pP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(1,120)(A2)</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6,607</w:t>
            </w:r>
          </w:p>
        </w:tc>
        <w:tc>
          <w:tcPr>
            <w:tcW w:w="320" w:type="dxa"/>
            <w:vAlign w:val="bottom"/>
          </w:tcPr>
          <w:p>
            <w:pPr>
              <w:spacing w:after="0"/>
              <w:rPr>
                <w:sz w:val="24"/>
                <w:szCs w:val="24"/>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662,852</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74,852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5,384</w:t>
            </w:r>
          </w:p>
        </w:tc>
        <w:tc>
          <w:tcPr>
            <w:tcW w:w="500" w:type="dxa"/>
            <w:vAlign w:val="bottom"/>
          </w:tcPr>
          <w:p>
            <w:pPr>
              <w:spacing w:after="0"/>
              <w:rPr>
                <w:sz w:val="15"/>
                <w:szCs w:val="15"/>
                <w:color w:val="auto"/>
              </w:rPr>
            </w:pP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3,416</w:t>
            </w:r>
          </w:p>
        </w:tc>
        <w:tc>
          <w:tcPr>
            <w:tcW w:w="32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83,652</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137,004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11,311</w:t>
            </w:r>
          </w:p>
        </w:tc>
        <w:tc>
          <w:tcPr>
            <w:tcW w:w="500" w:type="dxa"/>
            <w:vAlign w:val="bottom"/>
          </w:tcPr>
          <w:p>
            <w:pPr>
              <w:spacing w:after="0"/>
              <w:rPr>
                <w:sz w:val="15"/>
                <w:szCs w:val="15"/>
                <w:color w:val="auto"/>
              </w:rPr>
            </w:pP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(575)(A1)</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6,308</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(5,825)(A5)</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148,223</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Amortization of goodwill and</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purchased intangible assets......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111,199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787(A1)</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4,565(B2)</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411(A2)</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543(B3)</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180(A3)</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98,631(B1)</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22(A3)</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202(B3)</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216,540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 process research and development</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and other indirect acquisition</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related costs....................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75,617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(19,876)(A6)</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(55,741)(B5)</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1,044,196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28,536</w:t>
            </w:r>
          </w:p>
        </w:tc>
        <w:tc>
          <w:tcPr>
            <w:tcW w:w="50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(25,996)</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16,331</w:t>
            </w:r>
          </w:p>
        </w:tc>
        <w:tc>
          <w:tcPr>
            <w:tcW w:w="32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48,200</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1,111,267</w:t>
            </w: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74,124</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(5,247)</w:t>
            </w:r>
          </w:p>
        </w:tc>
        <w:tc>
          <w:tcPr>
            <w:tcW w:w="500" w:type="dxa"/>
            <w:vAlign w:val="bottom"/>
          </w:tcPr>
          <w:p>
            <w:pPr>
              <w:spacing w:after="0"/>
              <w:rPr>
                <w:sz w:val="15"/>
                <w:szCs w:val="15"/>
                <w:color w:val="auto"/>
              </w:rPr>
            </w:pP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25,996</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(5,157)</w:t>
            </w:r>
          </w:p>
        </w:tc>
        <w:tc>
          <w:tcPr>
            <w:tcW w:w="32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(48,200)</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41,516</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income (expenses), net.......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10,734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386</w:t>
            </w:r>
          </w:p>
        </w:tc>
        <w:tc>
          <w:tcPr>
            <w:tcW w:w="500" w:type="dxa"/>
            <w:vAlign w:val="bottom"/>
          </w:tcPr>
          <w:p>
            <w:pPr>
              <w:spacing w:after="0"/>
              <w:rPr>
                <w:sz w:val="15"/>
                <w:szCs w:val="15"/>
                <w:color w:val="auto"/>
              </w:rPr>
            </w:pP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(797)</w:t>
            </w:r>
          </w:p>
        </w:tc>
        <w:tc>
          <w:tcPr>
            <w:tcW w:w="32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704(B6)</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11,027</w:t>
            </w: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84,858</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(4,861)</w:t>
            </w:r>
          </w:p>
        </w:tc>
        <w:tc>
          <w:tcPr>
            <w:tcW w:w="500" w:type="dxa"/>
            <w:vAlign w:val="bottom"/>
          </w:tcPr>
          <w:p>
            <w:pPr>
              <w:spacing w:after="0"/>
              <w:rPr>
                <w:sz w:val="15"/>
                <w:szCs w:val="15"/>
                <w:color w:val="auto"/>
              </w:rPr>
            </w:pP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25,996</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(5,954)</w:t>
            </w:r>
          </w:p>
        </w:tc>
        <w:tc>
          <w:tcPr>
            <w:tcW w:w="32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(47,496)</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52,543</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78,880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1,156</w:t>
            </w:r>
          </w:p>
        </w:tc>
        <w:tc>
          <w:tcPr>
            <w:tcW w:w="50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110(A4)</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5"/>
                <w:szCs w:val="15"/>
                <w:color w:val="auto"/>
              </w:rPr>
            </w:pP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(2,124)(B4)</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78,059</w:t>
            </w: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5,978</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$(6,017)</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25,886</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$(5,991)</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 (45,372)</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(25,516)</w:t>
            </w: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(0.12)</w:t>
            </w: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Diluted earnings (loss) per</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(0.12)</w:t>
            </w: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212,005</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220,003</w:t>
            </w: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216,935</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220,003(C)</w:t>
            </w: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See notes to Unaudited Pro Forma Condensed Combined Statements of Operations</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 discussion of adjustments.</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520"/>
          </w:cols>
          <w:pgMar w:left="240" w:top="294" w:right="139"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COMBINED STATEMENTS OF OPERATIONS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THOUSANDS)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ITDS TRANSACTION:</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Amdocs acquired ITDS on November 30, 1999. Accordingly, ITDS' operations are included in the historical results of Amdocs from that date. The amounts presented under the column headed ITDS Historical represent the historical results of ITDS for the two months ended November 30, 1999.</w:t>
      </w:r>
    </w:p>
    <w:p>
      <w:pPr>
        <w:spacing w:after="0" w:line="176" w:lineRule="exact"/>
        <w:rPr>
          <w:sz w:val="20"/>
          <w:szCs w:val="20"/>
          <w:color w:val="auto"/>
        </w:rPr>
      </w:pPr>
    </w:p>
    <w:p>
      <w:pPr>
        <w:jc w:val="both"/>
        <w:ind w:right="2979" w:firstLine="452"/>
        <w:spacing w:after="0" w:line="249" w:lineRule="auto"/>
        <w:tabs>
          <w:tab w:leader="none" w:pos="82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goodwill resulting from the acquisition of ITDS for the two months ended November 30, 1999:</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Amortization expense relating to goodwill of $70,797 over 15</w:t>
            </w:r>
          </w:p>
        </w:tc>
        <w:tc>
          <w:tcPr>
            <w:tcW w:w="640" w:type="dxa"/>
            <w:vAlign w:val="bottom"/>
          </w:tcPr>
          <w:p>
            <w:pPr>
              <w:spacing w:after="0"/>
              <w:rPr>
                <w:sz w:val="14"/>
                <w:szCs w:val="14"/>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years.....................................................</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$ 787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Less historical amortization expense........................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r>
      <w:tr>
        <w:trPr>
          <w:trHeight w:val="176"/>
        </w:trPr>
        <w:tc>
          <w:tcPr>
            <w:tcW w:w="55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Additional goodwill amortization, net.......................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$ 212</w:t>
            </w:r>
          </w:p>
        </w:tc>
      </w:tr>
      <w:tr>
        <w:trPr>
          <w:trHeight w:val="176"/>
        </w:trPr>
        <w:tc>
          <w:tcPr>
            <w:tcW w:w="55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079" w:firstLine="452"/>
        <w:spacing w:after="0" w:line="249" w:lineRule="auto"/>
        <w:tabs>
          <w:tab w:leader="none" w:pos="82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amortization of intellectual property and core technology and the amortization of the core technology resulting from the valuation at the time of the acquisition for the two months ended November 30, 1999:</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 technology of $12,342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over 5 years..............................................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411</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Less historical amortization expense........................</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(1,120)</w:t>
            </w:r>
          </w:p>
        </w:tc>
      </w:tr>
      <w:tr>
        <w:trPr>
          <w:trHeight w:val="176"/>
        </w:trPr>
        <w:tc>
          <w:tcPr>
            <w:tcW w:w="5580" w:type="dxa"/>
            <w:vAlign w:val="bottom"/>
          </w:tcPr>
          <w:p>
            <w:pPr>
              <w:spacing w:after="0"/>
              <w:rPr>
                <w:sz w:val="15"/>
                <w:szCs w:val="15"/>
                <w:color w:val="auto"/>
              </w:rPr>
            </w:pP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Reduction of amortization expense related to core</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technology,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r>
        <w:trPr>
          <w:trHeight w:val="176"/>
        </w:trPr>
        <w:tc>
          <w:tcPr>
            <w:tcW w:w="5580" w:type="dxa"/>
            <w:vAlign w:val="bottom"/>
          </w:tcPr>
          <w:p>
            <w:pPr>
              <w:spacing w:after="0"/>
              <w:rPr>
                <w:sz w:val="15"/>
                <w:szCs w:val="15"/>
                <w:color w:val="auto"/>
              </w:rPr>
            </w:pP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079" w:firstLine="452"/>
        <w:spacing w:after="0" w:line="250" w:lineRule="auto"/>
        <w:tabs>
          <w:tab w:leader="none" w:pos="82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 list for the two months ended November 30, 1999, as follows: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expense relating to workforce-in-place of</w:t>
      </w:r>
    </w:p>
    <w:p>
      <w:pPr>
        <w:spacing w:after="0" w:line="6" w:lineRule="exact"/>
        <w:rPr>
          <w:sz w:val="20"/>
          <w:szCs w:val="20"/>
          <w:color w:val="auto"/>
        </w:rPr>
      </w:pPr>
    </w:p>
    <w:p>
      <w:pPr>
        <w:ind w:left="180"/>
        <w:spacing w:after="0"/>
        <w:tabs>
          <w:tab w:leader="dot" w:pos="5660" w:val="left"/>
        </w:tabs>
        <w:rPr>
          <w:sz w:val="20"/>
          <w:szCs w:val="20"/>
          <w:color w:val="auto"/>
        </w:rPr>
      </w:pPr>
      <w:r>
        <w:rPr>
          <w:rFonts w:ascii="Courier New" w:cs="Courier New" w:eastAsia="Courier New" w:hAnsi="Courier New"/>
          <w:sz w:val="15"/>
          <w:szCs w:val="15"/>
          <w:color w:val="auto"/>
        </w:rPr>
        <w:t>$5,407 over 5 years</w:t>
      </w:r>
      <w:r>
        <w:rPr>
          <w:sz w:val="20"/>
          <w:szCs w:val="20"/>
          <w:color w:val="auto"/>
        </w:rPr>
        <w:tab/>
      </w:r>
      <w:r>
        <w:rPr>
          <w:rFonts w:ascii="Courier New" w:cs="Courier New" w:eastAsia="Courier New" w:hAnsi="Courier New"/>
          <w:sz w:val="15"/>
          <w:szCs w:val="15"/>
          <w:color w:val="auto"/>
        </w:rPr>
        <w:t>$180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expense relating to customer base of $647 over</w:t>
      </w:r>
    </w:p>
    <w:p>
      <w:pPr>
        <w:spacing w:after="0" w:line="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5 years</w:t>
      </w:r>
      <w:r>
        <w:rPr>
          <w:sz w:val="20"/>
          <w:szCs w:val="20"/>
          <w:color w:val="auto"/>
        </w:rPr>
        <w:tab/>
      </w:r>
      <w:r>
        <w:rPr>
          <w:rFonts w:ascii="Courier New" w:cs="Courier New" w:eastAsia="Courier New" w:hAnsi="Courier New"/>
          <w:sz w:val="15"/>
          <w:szCs w:val="15"/>
          <w:color w:val="auto"/>
        </w:rPr>
        <w:t>22</w:t>
      </w:r>
    </w:p>
    <w:p>
      <w:pPr>
        <w:spacing w:after="0" w:line="359" w:lineRule="exact"/>
        <w:rPr>
          <w:sz w:val="20"/>
          <w:szCs w:val="20"/>
          <w:color w:val="auto"/>
        </w:rPr>
      </w:pPr>
    </w:p>
    <w:p>
      <w:pPr>
        <w:ind w:right="2979" w:firstLine="452"/>
        <w:spacing w:after="0" w:line="249" w:lineRule="auto"/>
        <w:tabs>
          <w:tab w:leader="none" w:pos="82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list and the respective tax basis of such assets.</w:t>
      </w:r>
    </w:p>
    <w:p>
      <w:pPr>
        <w:spacing w:after="0" w:line="175"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ITDS transaction costs.</w:t>
      </w:r>
    </w:p>
    <w:p>
      <w:pPr>
        <w:spacing w:after="0" w:line="182" w:lineRule="exact"/>
        <w:rPr>
          <w:rFonts w:ascii="Courier New" w:cs="Courier New" w:eastAsia="Courier New" w:hAnsi="Courier New"/>
          <w:sz w:val="15"/>
          <w:szCs w:val="15"/>
          <w:color w:val="auto"/>
        </w:rPr>
      </w:pPr>
    </w:p>
    <w:p>
      <w:pPr>
        <w:ind w:right="3179" w:firstLine="452"/>
        <w:spacing w:after="0" w:line="249" w:lineRule="auto"/>
        <w:tabs>
          <w:tab w:leader="none" w:pos="82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expenses included in Amdocs' historical financial statements as a result of the ITDS acquisition.</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4" w:right="1440" w:bottom="1440" w:gutter="0" w:footer="0" w:header="0"/>
        </w:sectPr>
      </w:pPr>
    </w:p>
    <w:bookmarkStart w:id="20" w:name="page21"/>
    <w:bookmarkEnd w:id="20"/>
    <w:p>
      <w:pPr>
        <w:ind w:left="266"/>
        <w:spacing w:after="0"/>
        <w:rPr>
          <w:sz w:val="20"/>
          <w:szCs w:val="20"/>
          <w:color w:val="auto"/>
        </w:rPr>
      </w:pPr>
      <w:r>
        <w:rPr>
          <w:rFonts w:ascii="Courier New" w:cs="Courier New" w:eastAsia="Courier New" w:hAnsi="Courier New"/>
          <w:sz w:val="15"/>
          <w:szCs w:val="15"/>
          <w:color w:val="auto"/>
        </w:rPr>
        <w:t>21</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COMBINED STATEMENTS OF OPERATIONS -- (CONTINUED)</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 THOUSANDS)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 SOLECT TRANSACTION:</w:t>
      </w:r>
    </w:p>
    <w:p>
      <w:pPr>
        <w:spacing w:after="0" w:line="182"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Amdocs acquired Solect on April 5, 2000. Accordingly, Solect's operations are included in the historical results of Amdocs from that date. The amounts presented under the column headed Solect Historical represent the historical results of Solect for the six months ended January 31, 2000. There were no substantial changes in Solect's financial position or results of operations during the two month period ended March 31, 2000.</w:t>
      </w:r>
    </w:p>
    <w:p>
      <w:pPr>
        <w:spacing w:after="0" w:line="176" w:lineRule="exact"/>
        <w:rPr>
          <w:sz w:val="20"/>
          <w:szCs w:val="20"/>
          <w:color w:val="auto"/>
        </w:rPr>
      </w:pPr>
    </w:p>
    <w:p>
      <w:pPr>
        <w:ind w:left="6" w:right="3179" w:firstLine="452"/>
        <w:spacing w:after="0" w:line="250" w:lineRule="auto"/>
        <w:tabs>
          <w:tab w:leader="none" w:pos="8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goodwill resulting from the acquisition for the six months ended January 31, 2000:</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Amortization expense relating to goodwill of $986,312 over 5</w:t>
            </w:r>
          </w:p>
        </w:tc>
        <w:tc>
          <w:tcPr>
            <w:tcW w:w="740" w:type="dxa"/>
            <w:vAlign w:val="bottom"/>
          </w:tcPr>
          <w:p>
            <w:pPr>
              <w:spacing w:after="0"/>
              <w:rPr>
                <w:sz w:val="14"/>
                <w:szCs w:val="14"/>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years.....................................................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$98,631</w:t>
            </w:r>
          </w:p>
        </w:tc>
      </w:tr>
    </w:tbl>
    <w:p>
      <w:pPr>
        <w:spacing w:after="0" w:line="357" w:lineRule="exact"/>
        <w:rPr>
          <w:sz w:val="20"/>
          <w:szCs w:val="20"/>
          <w:color w:val="auto"/>
        </w:rPr>
      </w:pPr>
    </w:p>
    <w:p>
      <w:pPr>
        <w:ind w:left="6" w:right="3179" w:firstLine="452"/>
        <w:spacing w:after="0" w:line="249" w:lineRule="auto"/>
        <w:tabs>
          <w:tab w:leader="none" w:pos="8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amortization of the core technology resulting from the valuation at the time of the acquisition for the six months ended January 31, 2000:</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 technology of $18,259</w:t>
            </w:r>
          </w:p>
        </w:tc>
        <w:tc>
          <w:tcPr>
            <w:tcW w:w="640" w:type="dxa"/>
            <w:vAlign w:val="bottom"/>
          </w:tcPr>
          <w:p>
            <w:pPr>
              <w:spacing w:after="0"/>
              <w:rPr>
                <w:sz w:val="14"/>
                <w:szCs w:val="14"/>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over 2 years..............................................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$4,565</w:t>
            </w:r>
          </w:p>
        </w:tc>
      </w:tr>
    </w:tbl>
    <w:p>
      <w:pPr>
        <w:spacing w:after="0" w:line="357" w:lineRule="exact"/>
        <w:rPr>
          <w:sz w:val="20"/>
          <w:szCs w:val="20"/>
          <w:color w:val="auto"/>
        </w:rPr>
      </w:pPr>
    </w:p>
    <w:p>
      <w:pPr>
        <w:ind w:left="6" w:right="2979" w:firstLine="452"/>
        <w:spacing w:after="0" w:line="250" w:lineRule="auto"/>
        <w:tabs>
          <w:tab w:leader="none" w:pos="8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customers base for the six months ended January 31, 2000, as follows:</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expense relating to workforce-in-place of</w:t>
            </w:r>
          </w:p>
        </w:tc>
        <w:tc>
          <w:tcPr>
            <w:tcW w:w="460" w:type="dxa"/>
            <w:vAlign w:val="bottom"/>
          </w:tcPr>
          <w:p>
            <w:pPr>
              <w:spacing w:after="0"/>
              <w:rPr>
                <w:sz w:val="14"/>
                <w:szCs w:val="14"/>
                <w:color w:val="auto"/>
              </w:rPr>
            </w:pPr>
          </w:p>
        </w:tc>
      </w:tr>
      <w:tr>
        <w:trPr>
          <w:trHeight w:val="176"/>
        </w:trPr>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$3,259</w:t>
            </w:r>
          </w:p>
        </w:tc>
        <w:tc>
          <w:tcPr>
            <w:tcW w:w="4800" w:type="dxa"/>
            <w:vAlign w:val="bottom"/>
          </w:tcPr>
          <w:p>
            <w:pPr>
              <w:ind w:left="40"/>
              <w:spacing w:after="0"/>
              <w:rPr>
                <w:sz w:val="20"/>
                <w:szCs w:val="20"/>
                <w:color w:val="auto"/>
              </w:rPr>
            </w:pPr>
            <w:r>
              <w:rPr>
                <w:rFonts w:ascii="Courier New" w:cs="Courier New" w:eastAsia="Courier New" w:hAnsi="Courier New"/>
                <w:sz w:val="15"/>
                <w:szCs w:val="15"/>
                <w:color w:val="auto"/>
              </w:rPr>
              <w:t>over 3 years.......................................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$543</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expense relating to customer base of $1,211</w:t>
            </w:r>
          </w:p>
        </w:tc>
        <w:tc>
          <w:tcPr>
            <w:tcW w:w="460" w:type="dxa"/>
            <w:vAlign w:val="bottom"/>
          </w:tcPr>
          <w:p>
            <w:pPr>
              <w:spacing w:after="0"/>
              <w:rPr>
                <w:sz w:val="15"/>
                <w:szCs w:val="15"/>
                <w:color w:val="auto"/>
              </w:rPr>
            </w:pPr>
          </w:p>
        </w:tc>
      </w:tr>
      <w:tr>
        <w:trPr>
          <w:trHeight w:val="176"/>
        </w:trPr>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over 3</w:t>
            </w:r>
          </w:p>
        </w:tc>
        <w:tc>
          <w:tcPr>
            <w:tcW w:w="48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bl>
    <w:p>
      <w:pPr>
        <w:spacing w:after="0" w:line="357" w:lineRule="exact"/>
        <w:rPr>
          <w:sz w:val="20"/>
          <w:szCs w:val="20"/>
          <w:color w:val="auto"/>
        </w:rPr>
      </w:pPr>
    </w:p>
    <w:p>
      <w:pPr>
        <w:ind w:left="6" w:right="3079" w:firstLine="452"/>
        <w:spacing w:after="0" w:line="249" w:lineRule="auto"/>
        <w:tabs>
          <w:tab w:leader="none" w:pos="83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base and their respective tax basis.</w:t>
      </w:r>
    </w:p>
    <w:p>
      <w:pPr>
        <w:spacing w:after="0" w:line="175" w:lineRule="exact"/>
        <w:rPr>
          <w:rFonts w:ascii="Courier New" w:cs="Courier New" w:eastAsia="Courier New" w:hAnsi="Courier New"/>
          <w:sz w:val="15"/>
          <w:szCs w:val="15"/>
          <w:color w:val="auto"/>
        </w:rPr>
      </w:pPr>
    </w:p>
    <w:p>
      <w:pPr>
        <w:ind w:left="6" w:right="3079" w:firstLine="452"/>
        <w:spacing w:after="0" w:line="249" w:lineRule="auto"/>
        <w:tabs>
          <w:tab w:leader="none" w:pos="83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and other indirect acquisition related costs included in Amdocs' historical financial statements as a result of the Solect acquisition.</w:t>
      </w:r>
    </w:p>
    <w:p>
      <w:pPr>
        <w:spacing w:after="0" w:line="175" w:lineRule="exact"/>
        <w:rPr>
          <w:rFonts w:ascii="Courier New" w:cs="Courier New" w:eastAsia="Courier New" w:hAnsi="Courier New"/>
          <w:sz w:val="15"/>
          <w:szCs w:val="15"/>
          <w:color w:val="auto"/>
        </w:rPr>
      </w:pPr>
    </w:p>
    <w:p>
      <w:pPr>
        <w:ind w:left="6" w:right="3079" w:firstLine="452"/>
        <w:spacing w:after="0" w:line="250" w:lineRule="auto"/>
        <w:tabs>
          <w:tab w:leader="none" w:pos="83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decrease in interest expenses related to Solect's debentures that converted to common stock prior to the closing.</w:t>
      </w:r>
    </w:p>
    <w:p>
      <w:pPr>
        <w:spacing w:after="0" w:line="174" w:lineRule="exact"/>
        <w:rPr>
          <w:rFonts w:ascii="Courier New" w:cs="Courier New" w:eastAsia="Courier New" w:hAnsi="Courier New"/>
          <w:sz w:val="15"/>
          <w:szCs w:val="15"/>
          <w:color w:val="auto"/>
        </w:rPr>
      </w:pPr>
    </w:p>
    <w:p>
      <w:pPr>
        <w:ind w:left="366" w:right="2899" w:hanging="366"/>
        <w:spacing w:after="0" w:line="250" w:lineRule="auto"/>
        <w:tabs>
          <w:tab w:leader="none" w:pos="36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shares used in the diluted loss per share calculation does not include any stock options due to their anti-dilutive effect.</w:t>
      </w: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5"/>
          </w:cols>
          <w:pgMar w:left="234" w:top="294" w:right="1440" w:bottom="1440" w:gutter="0" w:footer="0" w:header="0"/>
        </w:sectPr>
      </w:pPr>
    </w:p>
    <w:bookmarkStart w:id="21" w:name="page22"/>
    <w:bookmarkEnd w:id="21"/>
    <w:p>
      <w:pPr>
        <w:ind w:left="266"/>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SELLING SHAREHOLDERS</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On April 5, 2000, we acquired Solect in a stock-for-stock transaction. In connection with the business combination between us and Solect under a Combination Agreement dated February 28, 2000, the former common shareholders of Solect received 13,846,295 exchangeable shares of Solect, which are exchangeable or have been exchanged for 13,846,295 of our ordinary shares (these shares being referred to in this prospectus as the "Exchangeable Shares"). Before any sale of shares by this prospectus, those former common shareholders of Solect who are selling shareholders will exchange Exchangeable Shares into the ordinary shares that will be sold pursuant to this prospectus. Under the terms of a registration rights agreement dated April 5, 2000 entered into in connection with the business combination between us, Solect and some of Solect's former common shareholders, we agreed to file three registration statements under the Securities Act of 1933, each to register the sale of a third of the original registrable securities held by or issuable to the former Solect common shareholders who are parties to the registration rights agreement or subsequently agreed to be bound by it. The first and second of such registration statements were declared effective on July 5, 2000 and October 5, 2000, respectively, and this prospectus is part of the third of such registration statements. The registration rights agreement requires us to use our commercially reasonable efforts to keep such registration statements effective until the earlier of (1) April 5, 2002, (2) the date on which all of the shares covered by such registration statements have been sold, and (3) the date on which all of the shares covered by such registration statements can be sold without registration without regard to Rule 144's volume restrictions.</w:t>
      </w:r>
    </w:p>
    <w:p>
      <w:pPr>
        <w:spacing w:after="0" w:line="36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Some of the selling shareholders may distribute their shares, from time to time, to their limited and/or general partners who may sell their shares pursuant to this prospectus. The selling shareholders may also transfer shares that they own by gift, and upon such transfer, the donee would have the same right of sale as the selling shareholder.</w:t>
      </w:r>
    </w:p>
    <w:p>
      <w:pPr>
        <w:spacing w:after="0" w:line="176" w:lineRule="exact"/>
        <w:rPr>
          <w:sz w:val="20"/>
          <w:szCs w:val="20"/>
          <w:color w:val="auto"/>
        </w:rPr>
      </w:pPr>
    </w:p>
    <w:p>
      <w:pPr>
        <w:ind w:left="6" w:right="3079" w:firstLine="458"/>
        <w:spacing w:after="0" w:line="250" w:lineRule="auto"/>
        <w:rPr>
          <w:sz w:val="20"/>
          <w:szCs w:val="20"/>
          <w:color w:val="auto"/>
        </w:rPr>
      </w:pPr>
      <w:r>
        <w:rPr>
          <w:rFonts w:ascii="Courier New" w:cs="Courier New" w:eastAsia="Courier New" w:hAnsi="Courier New"/>
          <w:sz w:val="15"/>
          <w:szCs w:val="15"/>
          <w:color w:val="auto"/>
        </w:rPr>
        <w:t>The following table sets forth certain information concerning the selling shareholders:</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200" w:type="dxa"/>
            <w:vAlign w:val="bottom"/>
            <w:gridSpan w:val="2"/>
          </w:tcPr>
          <w:p>
            <w:pPr>
              <w:jc w:val="center"/>
              <w:ind w:right="24"/>
              <w:spacing w:after="0"/>
              <w:rPr>
                <w:sz w:val="20"/>
                <w:szCs w:val="20"/>
                <w:color w:val="auto"/>
              </w:rPr>
            </w:pPr>
            <w:r>
              <w:rPr>
                <w:rFonts w:ascii="Courier New" w:cs="Courier New" w:eastAsia="Courier New" w:hAnsi="Courier New"/>
                <w:sz w:val="15"/>
                <w:szCs w:val="15"/>
                <w:color w:val="auto"/>
              </w:rPr>
              <w:t>SHARES BENEFICIALLY</w:t>
            </w:r>
          </w:p>
        </w:tc>
        <w:tc>
          <w:tcPr>
            <w:tcW w:w="1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MAXIMUM</w:t>
            </w:r>
          </w:p>
        </w:tc>
        <w:tc>
          <w:tcPr>
            <w:tcW w:w="1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BENEFICIALLY</w:t>
            </w:r>
          </w:p>
        </w:tc>
      </w:tr>
      <w:tr>
        <w:trPr>
          <w:trHeight w:val="176"/>
        </w:trPr>
        <w:tc>
          <w:tcPr>
            <w:tcW w:w="3200" w:type="dxa"/>
            <w:vAlign w:val="bottom"/>
          </w:tcPr>
          <w:p>
            <w:pPr>
              <w:spacing w:after="0"/>
              <w:rPr>
                <w:sz w:val="15"/>
                <w:szCs w:val="15"/>
                <w:color w:val="auto"/>
              </w:rPr>
            </w:pPr>
          </w:p>
        </w:tc>
        <w:tc>
          <w:tcPr>
            <w:tcW w:w="1380" w:type="dxa"/>
            <w:vAlign w:val="bottom"/>
          </w:tcPr>
          <w:p>
            <w:pPr>
              <w:jc w:val="center"/>
              <w:ind w:left="644"/>
              <w:spacing w:after="0"/>
              <w:rPr>
                <w:sz w:val="20"/>
                <w:szCs w:val="20"/>
                <w:color w:val="auto"/>
              </w:rPr>
            </w:pPr>
            <w:r>
              <w:rPr>
                <w:rFonts w:ascii="Courier New" w:cs="Courier New" w:eastAsia="Courier New" w:hAnsi="Courier New"/>
                <w:sz w:val="15"/>
                <w:szCs w:val="15"/>
                <w:color w:val="auto"/>
              </w:rPr>
              <w:t>OWNED</w:t>
            </w:r>
          </w:p>
        </w:tc>
        <w:tc>
          <w:tcPr>
            <w:tcW w:w="820" w:type="dxa"/>
            <w:vAlign w:val="bottom"/>
          </w:tcPr>
          <w:p>
            <w:pPr>
              <w:spacing w:after="0"/>
              <w:rPr>
                <w:sz w:val="15"/>
                <w:szCs w:val="15"/>
                <w:color w:val="auto"/>
              </w:rPr>
            </w:pP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 OF</w:t>
            </w:r>
          </w:p>
        </w:tc>
        <w:tc>
          <w:tcPr>
            <w:tcW w:w="1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OWNED AFTER THE</w:t>
            </w:r>
          </w:p>
        </w:tc>
      </w:tr>
      <w:tr>
        <w:trPr>
          <w:trHeight w:val="176"/>
        </w:trPr>
        <w:tc>
          <w:tcPr>
            <w:tcW w:w="3200" w:type="dxa"/>
            <w:vAlign w:val="bottom"/>
          </w:tcPr>
          <w:p>
            <w:pPr>
              <w:spacing w:after="0"/>
              <w:rPr>
                <w:sz w:val="15"/>
                <w:szCs w:val="15"/>
                <w:color w:val="auto"/>
              </w:rPr>
            </w:pPr>
          </w:p>
        </w:tc>
        <w:tc>
          <w:tcPr>
            <w:tcW w:w="220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PRIOR TO THE OFFERING</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SHARES</w:t>
            </w:r>
          </w:p>
        </w:tc>
        <w:tc>
          <w:tcPr>
            <w:tcW w:w="19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OFFERING(1)</w:t>
            </w:r>
          </w:p>
        </w:tc>
      </w:tr>
      <w:tr>
        <w:trPr>
          <w:trHeight w:val="176"/>
        </w:trPr>
        <w:tc>
          <w:tcPr>
            <w:tcW w:w="3200" w:type="dxa"/>
            <w:vAlign w:val="bottom"/>
          </w:tcPr>
          <w:p>
            <w:pPr>
              <w:spacing w:after="0"/>
              <w:rPr>
                <w:sz w:val="15"/>
                <w:szCs w:val="15"/>
                <w:color w:val="auto"/>
              </w:rPr>
            </w:pPr>
          </w:p>
        </w:tc>
        <w:tc>
          <w:tcPr>
            <w:tcW w:w="2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BEING</w:t>
            </w:r>
          </w:p>
        </w:tc>
        <w:tc>
          <w:tcPr>
            <w:tcW w:w="1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NUMBER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PERCENT</w:t>
            </w:r>
          </w:p>
        </w:tc>
        <w:tc>
          <w:tcPr>
            <w:tcW w:w="1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OFFERED</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PERCENT</w:t>
            </w:r>
          </w:p>
        </w:tc>
      </w:tr>
      <w:tr>
        <w:trPr>
          <w:trHeight w:val="176"/>
        </w:trPr>
        <w:tc>
          <w:tcPr>
            <w:tcW w:w="320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Telcordia Venture Capital</w:t>
            </w: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Corporation.....................</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4,611,164</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2.09%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4,611,164</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Southwest Sun.....................</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1,428,446</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1,428,446</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TCV Solect (A) SRL................</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169,265</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169,265</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TCV Solect (B) SRL................</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173,586</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173,586</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TCV Solect (C) SRL................</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213,112</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213,112</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BCS Investment SRL................</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207,539</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207,539</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WPG Networking-Software SRL.......</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206,959</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206,959</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Cactusback &amp; Co...................</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223,548</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223,548</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Morgan Stanley Dean Witter Equity</w:t>
            </w: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Funding, Inc....................</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16,603</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16,603</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G&amp;H Partners......................</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1,661</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1,661</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Thomas Campbell...................</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1,653</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1,653</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Stephen Carson....................</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2,291</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2,291</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Raj Mehra.........................</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1,743</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1,743</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7,257,570</w:t>
            </w:r>
          </w:p>
        </w:tc>
        <w:tc>
          <w:tcPr>
            <w:tcW w:w="8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7,257,570</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spacing w:after="0"/>
              <w:rPr>
                <w:sz w:val="15"/>
                <w:szCs w:val="15"/>
                <w:color w:val="auto"/>
              </w:rPr>
            </w:pPr>
          </w:p>
        </w:tc>
      </w:tr>
    </w:tbl>
    <w:p>
      <w:pPr>
        <w:spacing w:after="0" w:line="357" w:lineRule="exact"/>
        <w:rPr>
          <w:sz w:val="20"/>
          <w:szCs w:val="20"/>
          <w:color w:val="auto"/>
        </w:rPr>
      </w:pPr>
    </w:p>
    <w:p>
      <w:pPr>
        <w:ind w:left="186" w:hanging="186"/>
        <w:spacing w:after="0"/>
        <w:tabs>
          <w:tab w:leader="none" w:pos="18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82" w:lineRule="exact"/>
        <w:rPr>
          <w:sz w:val="20"/>
          <w:szCs w:val="20"/>
          <w:color w:val="auto"/>
        </w:rPr>
      </w:pPr>
    </w:p>
    <w:p>
      <w:pPr>
        <w:ind w:left="366" w:right="2979" w:hanging="366"/>
        <w:spacing w:after="0" w:line="249" w:lineRule="auto"/>
        <w:tabs>
          <w:tab w:leader="none" w:pos="36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shareholders may sell from time to time all or a portion of the shares being offered. The amounts shown assume the sale of all the shares being offered by each selling shareholder.</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5"/>
          </w:cols>
          <w:pgMar w:left="234" w:top="294"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PLAN OF DISTRIBUTION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ordinary shares being offered by this prospectus are being registered to allow public secondary trading by the holders of such ordinary shares from time to time after the date of this prospectus. We will not receive any of the proceeds from the offering of these ordinary shares by the selling shareholders.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been advised by the selling shareholders that the shares offered by this prospectus may be sold from time to time by or for the account of the selling shareholders pursuant to this prospectus or pursuant to Rule 144 under the Securities Act of 1933. Sales of shares pursuant to this prospectus may be made in the over-the-counter market, on the New York Stock Exchange or otherwise at prices and on terms then prevailing or at prices related to the then current market price (in each case as determined by the selling shareholders). Sales may be made directly or through agents designated from time to time, or through dealers or underwriters to be designated or in negotiated transactions.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shares may be sold in one or more of the following ways:</w:t>
      </w:r>
    </w:p>
    <w:p>
      <w:pPr>
        <w:spacing w:after="0" w:line="182" w:lineRule="exact"/>
        <w:rPr>
          <w:sz w:val="20"/>
          <w:szCs w:val="20"/>
          <w:color w:val="auto"/>
        </w:rPr>
      </w:pPr>
    </w:p>
    <w:p>
      <w:pPr>
        <w:jc w:val="both"/>
        <w:ind w:left="640" w:right="2899" w:hanging="188"/>
        <w:spacing w:after="0" w:line="249" w:lineRule="auto"/>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seller's broker or dealer will attempt to sell the shares as agent but may position and resell a portion of the block as principal to facilitate the transaction;</w:t>
      </w:r>
    </w:p>
    <w:p>
      <w:pPr>
        <w:spacing w:after="0" w:line="175"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as principal and resale by the broker or dealer for their account pursuant to this prospectus;</w:t>
      </w:r>
    </w:p>
    <w:p>
      <w:pPr>
        <w:spacing w:after="0" w:line="174"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distribution in accordance with the rules of the New York Stock Exchange;</w:t>
      </w:r>
    </w:p>
    <w:p>
      <w:pPr>
        <w:spacing w:after="0" w:line="174"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privately negotiated transactions;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put or call option transactions;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short sales; 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underwritten public offering.</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selling shareholders may sell shares directly to other purchasers, through agents or through broker-dealers. Any selling agents or broker-dealers may receive compensation in the form of underwriting discounts, concessions or commissions from the selling shareholders, from purchasers of shares for whom they act as agents, or from both sources. That compensation may be in excess of customary commissions.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selling shareholders and any broker-dealers that participate in the distribution of the shares may be deemed to be "underwriters" within the meaning of the Securities Act of 1933 in connection with the sales. Any commissions, and any profit on the resale of shares, received by the selling shareholders and any such broker-dealers may be deemed to be underwriting discounts and commissions. We have been advised by each of the selling shareholders that they have not, as of the date of this prospectus, entered into any arrangement with any agent, broker or dealer for the sale of the shares.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may suspend the use of this prospectus and any supplements hereto in certain circumstances due to pending corporate developments, public filings with the SEC or similar events.</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4"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Langlois, Guernsey. Certain legal matters in connection with the offering will be passed upon for us by Reboul, MacMurray, Hewitt, Maynard &amp; Kristol, New York, New York.</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Ernst &amp; Young LLP, independent auditors, have audited the Consolidated Financial Statements and Schedule of Amdocs as set forth in their report included in our Annual Report on Form 20-F/A for the year ended September 30, 2000, which is incorporated by reference in this prospectus. The Consolidated Financial Statements and Schedule of Amdocs are incorporated by reference in reliance on Ernst &amp; Young LLP's report, given on their authority as experts in accounting and auditing.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Ernst &amp; Young LLP, independent auditors, have audited the Financial Statements and Schedules of ITDS as set forth in their report included in our Registration Statement on Form F-3/A (No. 333-86609) dated October 4, 1999 and incorporated herein by reference in this prospectus from our Report of Foreign Private Issuer on Form 6-K dated December 13, 1999. The Financial Statements and Schedule of ITDS are incorporated by reference in reliance on Ernst &amp; Young LLP's report, given on their authority as experts in accounting and auditing.</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Ernst &amp; Young LLP, independent auditors, have audited the Consolidated Financial Statements of Solect as set forth in their report included in our Report of Foreign Private Issuer on Form 6-K/A dated June 8, 2000, which is incorporated by reference in this prospectus. The Consolidated Financial Statements of Solect are incorporated by reference in reliance on Ernst &amp; Young LLP's report, given on their authority as experts in accounting and auditing.</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25</w:t>
      </w:r>
    </w:p>
    <w:sectPr>
      <w:pgSz w:w="11900" w:h="16838" w:orient="portrait"/>
      <w:cols w:equalWidth="0" w:num="1">
        <w:col w:w="10219"/>
      </w:cols>
      <w:pgMar w:left="240"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1)"/>
      <w:numFmt w:val="decimal"/>
      <w:start w:val="4"/>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2"/>
    </w:lvl>
  </w:abstractNum>
  <w:abstractNum w:abstractNumId="18">
    <w:nsid w:val="333AB105"/>
    <w:multiLevelType w:val="hybridMultilevel"/>
    <w:lvl w:ilvl="0">
      <w:lvlJc w:val="left"/>
      <w:lvlText w:val="(%1)"/>
      <w:numFmt w:val="decimal"/>
      <w:start w:val="3"/>
    </w:lvl>
  </w:abstractNum>
  <w:abstractNum w:abstractNumId="19">
    <w:nsid w:val="721DA317"/>
    <w:multiLevelType w:val="hybridMultilevel"/>
    <w:lvl w:ilvl="0">
      <w:lvlJc w:val="left"/>
      <w:lvlText w:val="%1"/>
      <w:numFmt w:val="upperLetter"/>
      <w:start w:val="1"/>
    </w:lvl>
    <w:lvl w:ilvl="1">
      <w:lvlJc w:val="left"/>
      <w:lvlText w:val="(%2)"/>
      <w:numFmt w:val="decimal"/>
      <w:start w:val="4"/>
    </w:lvl>
  </w:abstractNum>
  <w:abstractNum w:abstractNumId="20">
    <w:nsid w:val="2443A858"/>
    <w:multiLevelType w:val="hybridMultilevel"/>
    <w:lvl w:ilvl="0">
      <w:lvlJc w:val="left"/>
      <w:lvlText w:val="(%1)"/>
      <w:numFmt w:val="upperLetter"/>
      <w:start w:val="3"/>
    </w:lvl>
    <w:lvl w:ilvl="1">
      <w:lvlJc w:val="left"/>
      <w:lvlText w:val="%2"/>
      <w:numFmt w:val="decimal"/>
      <w:start w:val="1"/>
    </w:lvl>
  </w:abstractNum>
  <w:abstractNum w:abstractNumId="21">
    <w:nsid w:val="2D1D5AE9"/>
    <w:multiLevelType w:val="hybridMultilevel"/>
    <w:lvl w:ilvl="0">
      <w:lvlJc w:val="left"/>
      <w:lvlText w:val="-"/>
      <w:numFmt w:val="bullet"/>
      <w:start w:val="1"/>
    </w:lvl>
    <w:lvl w:ilvl="1">
      <w:lvlJc w:val="left"/>
      <w:lvlText w:val="*"/>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2019-12-14T21:19:54Z</dcterms:created>
  <dcterms:modified xsi:type="dcterms:W3CDTF">2019-12-14T21:19:54Z</dcterms:modified>
</cp:coreProperties>
</file>