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March 31, 2018</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-10160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580"/>
          </w:cols>
          <w:pgMar w:left="240" w:top="230"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6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0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40" w:type="dxa"/>
            <w:vAlign w:val="bottom"/>
            <w:gridSpan w:val="3"/>
          </w:tcPr>
          <w:p>
            <w:pPr>
              <w:jc w:val="center"/>
              <w:ind w:right="2740"/>
              <w:spacing w:after="0"/>
              <w:rPr>
                <w:sz w:val="20"/>
                <w:szCs w:val="20"/>
                <w:color w:val="auto"/>
              </w:rPr>
            </w:pPr>
            <w:r>
              <w:rPr>
                <w:rFonts w:ascii="Arial" w:cs="Arial" w:eastAsia="Arial" w:hAnsi="Arial"/>
                <w:sz w:val="18"/>
                <w:szCs w:val="18"/>
                <w:color w:val="auto"/>
              </w:rPr>
              <w:t>AMDOCS LIMITED</w:t>
            </w:r>
          </w:p>
        </w:tc>
        <w:tc>
          <w:tcPr>
            <w:tcW w:w="200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gridSpan w:val="2"/>
          </w:tcPr>
          <w:p>
            <w:pPr>
              <w:jc w:val="center"/>
              <w:ind w:right="2960"/>
              <w:spacing w:after="0"/>
              <w:rPr>
                <w:sz w:val="20"/>
                <w:szCs w:val="20"/>
                <w:color w:val="auto"/>
              </w:rPr>
            </w:pPr>
            <w:r>
              <w:rPr>
                <w:rFonts w:ascii="Arial" w:cs="Arial" w:eastAsia="Arial" w:hAnsi="Arial"/>
                <w:sz w:val="18"/>
                <w:szCs w:val="18"/>
                <w:color w:val="auto"/>
                <w:w w:val="97"/>
              </w:rPr>
              <w:t>FORM 6-K</w:t>
            </w:r>
          </w:p>
        </w:tc>
        <w:tc>
          <w:tcPr>
            <w:tcW w:w="200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40" w:type="dxa"/>
            <w:vAlign w:val="bottom"/>
            <w:gridSpan w:val="5"/>
          </w:tcPr>
          <w:p>
            <w:pPr>
              <w:jc w:val="center"/>
              <w:ind w:right="1940"/>
              <w:spacing w:after="0"/>
              <w:rPr>
                <w:sz w:val="20"/>
                <w:szCs w:val="20"/>
                <w:color w:val="auto"/>
              </w:rPr>
            </w:pPr>
            <w:r>
              <w:rPr>
                <w:rFonts w:ascii="Arial" w:cs="Arial" w:eastAsia="Arial" w:hAnsi="Arial"/>
                <w:sz w:val="18"/>
                <w:szCs w:val="18"/>
                <w:color w:val="auto"/>
                <w:w w:val="92"/>
              </w:rPr>
              <w:t>REPORT OF FOREIGN PRIVATE ISSUER</w:t>
            </w:r>
          </w:p>
        </w:tc>
        <w:tc>
          <w:tcPr>
            <w:tcW w:w="2000" w:type="dxa"/>
            <w:vAlign w:val="bottom"/>
          </w:tcPr>
          <w:p>
            <w:pPr>
              <w:spacing w:after="0"/>
              <w:rPr>
                <w:sz w:val="24"/>
                <w:szCs w:val="24"/>
                <w:color w:val="auto"/>
              </w:rPr>
            </w:pPr>
          </w:p>
        </w:tc>
      </w:tr>
      <w:tr>
        <w:trPr>
          <w:trHeight w:val="310"/>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00" w:type="dxa"/>
            <w:vAlign w:val="bottom"/>
            <w:gridSpan w:val="7"/>
          </w:tcPr>
          <w:p>
            <w:pPr>
              <w:jc w:val="center"/>
              <w:ind w:right="1600"/>
              <w:spacing w:after="0"/>
              <w:rPr>
                <w:sz w:val="20"/>
                <w:szCs w:val="20"/>
                <w:color w:val="auto"/>
              </w:rPr>
            </w:pPr>
            <w:r>
              <w:rPr>
                <w:rFonts w:ascii="Arial" w:cs="Arial" w:eastAsia="Arial" w:hAnsi="Arial"/>
                <w:sz w:val="18"/>
                <w:szCs w:val="18"/>
                <w:color w:val="auto"/>
                <w:w w:val="94"/>
              </w:rPr>
              <w:t>FOR THE QUARTER ENDED MARCH 31, 2018</w:t>
            </w:r>
          </w:p>
        </w:tc>
        <w:tc>
          <w:tcPr>
            <w:tcW w:w="20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20" w:type="dxa"/>
            <w:vAlign w:val="bottom"/>
            <w:gridSpan w:val="2"/>
          </w:tcPr>
          <w:p>
            <w:pPr>
              <w:jc w:val="center"/>
              <w:ind w:right="2960"/>
              <w:spacing w:after="0"/>
              <w:rPr>
                <w:sz w:val="20"/>
                <w:szCs w:val="20"/>
                <w:color w:val="auto"/>
              </w:rPr>
            </w:pPr>
            <w:r>
              <w:rPr>
                <w:rFonts w:ascii="Arial" w:cs="Arial" w:eastAsia="Arial" w:hAnsi="Arial"/>
                <w:sz w:val="18"/>
                <w:szCs w:val="18"/>
                <w:color w:val="auto"/>
              </w:rPr>
              <w:t>INDEX</w:t>
            </w:r>
          </w:p>
        </w:tc>
        <w:tc>
          <w:tcPr>
            <w:tcW w:w="2000" w:type="dxa"/>
            <w:vAlign w:val="bottom"/>
          </w:tcPr>
          <w:p>
            <w:pPr>
              <w:spacing w:after="0"/>
              <w:rPr>
                <w:sz w:val="20"/>
                <w:szCs w:val="20"/>
                <w:color w:val="auto"/>
              </w:rPr>
            </w:pPr>
          </w:p>
        </w:tc>
      </w:tr>
      <w:tr>
        <w:trPr>
          <w:trHeight w:val="419"/>
        </w:trPr>
        <w:tc>
          <w:tcPr>
            <w:tcW w:w="93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194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520" w:type="dxa"/>
            <w:vAlign w:val="bottom"/>
            <w:gridSpan w:val="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40" w:type="dxa"/>
            <w:vAlign w:val="bottom"/>
            <w:gridSpan w:val="16"/>
          </w:tcPr>
          <w:p>
            <w:pPr>
              <w:spacing w:after="0" w:line="196" w:lineRule="exact"/>
              <w:rPr>
                <w:sz w:val="20"/>
                <w:szCs w:val="20"/>
                <w:color w:val="auto"/>
              </w:rPr>
            </w:pPr>
            <w:r>
              <w:rPr>
                <w:rFonts w:ascii="Arial" w:cs="Arial" w:eastAsia="Arial" w:hAnsi="Arial"/>
                <w:sz w:val="18"/>
                <w:szCs w:val="18"/>
                <w:color w:val="0000EE"/>
              </w:rPr>
              <w:t>Unaudited Consolidated Financial Statements</w:t>
            </w:r>
          </w:p>
        </w:tc>
        <w:tc>
          <w:tcPr>
            <w:tcW w:w="2000" w:type="dxa"/>
            <w:vAlign w:val="bottom"/>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840" w:type="dxa"/>
            <w:vAlign w:val="bottom"/>
            <w:tcBorders>
              <w:top w:val="single" w:sz="8" w:color="0000EE"/>
            </w:tcBorders>
            <w:gridSpan w:val="3"/>
          </w:tcPr>
          <w:p>
            <w:pPr>
              <w:spacing w:after="0"/>
              <w:rPr>
                <w:sz w:val="17"/>
                <w:szCs w:val="17"/>
                <w:color w:val="auto"/>
              </w:rPr>
            </w:pPr>
          </w:p>
        </w:tc>
        <w:tc>
          <w:tcPr>
            <w:tcW w:w="534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w:t>
              </w:r>
            </w:hyperlink>
          </w:p>
        </w:tc>
        <w:tc>
          <w:tcPr>
            <w:tcW w:w="570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6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w:t>
              </w:r>
            </w:hyperlink>
          </w:p>
        </w:tc>
        <w:tc>
          <w:tcPr>
            <w:tcW w:w="860" w:type="dxa"/>
            <w:vAlign w:val="bottom"/>
            <w:tcBorders>
              <w:top w:val="single" w:sz="8" w:color="0000EE"/>
            </w:tcBorders>
            <w:gridSpan w:val="3"/>
          </w:tcPr>
          <w:p>
            <w:pPr>
              <w:spacing w:after="0"/>
              <w:rPr>
                <w:sz w:val="17"/>
                <w:szCs w:val="17"/>
                <w:color w:val="auto"/>
              </w:rPr>
            </w:pPr>
          </w:p>
        </w:tc>
        <w:tc>
          <w:tcPr>
            <w:tcW w:w="454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432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Item 2.</w:t>
              </w:r>
            </w:hyperlink>
          </w:p>
        </w:tc>
        <w:tc>
          <w:tcPr>
            <w:tcW w:w="340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Operating and Financial Review and Prospects</w:t>
              </w:r>
            </w:hyperlink>
          </w:p>
        </w:tc>
        <w:tc>
          <w:tcPr>
            <w:tcW w:w="5060" w:type="dxa"/>
            <w:vAlign w:val="bottom"/>
            <w:gridSpan w:val="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54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PART II OTHER INFORMATION</w:t>
              </w:r>
            </w:hyperlink>
          </w:p>
        </w:tc>
        <w:tc>
          <w:tcPr>
            <w:tcW w:w="682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1.</w:t>
              </w:r>
            </w:hyperlink>
          </w:p>
        </w:tc>
        <w:tc>
          <w:tcPr>
            <w:tcW w:w="8460" w:type="dxa"/>
            <w:vAlign w:val="bottom"/>
            <w:gridSpan w:val="15"/>
          </w:tcPr>
          <w:p>
            <w:pPr>
              <w:ind w:left="2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Changes in Securities, Use of Proceeds and Issuer Purchases of Equity Securities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2.</w:t>
              </w:r>
            </w:hyperlink>
          </w:p>
        </w:tc>
        <w:tc>
          <w:tcPr>
            <w:tcW w:w="5860" w:type="dxa"/>
            <w:vAlign w:val="bottom"/>
            <w:tcBorders>
              <w:top w:val="single" w:sz="8" w:color="0000EE"/>
            </w:tcBorders>
            <w:gridSpan w:val="14"/>
          </w:tcPr>
          <w:p>
            <w:pPr>
              <w:ind w:left="2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Reports on Form 6-K</w:t>
              </w:r>
            </w:hyperlink>
          </w:p>
        </w:tc>
        <w:tc>
          <w:tcPr>
            <w:tcW w:w="260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6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8" w:lineRule="auto"/>
        <w:rPr>
          <w:sz w:val="20"/>
          <w:szCs w:val="20"/>
          <w:color w:val="auto"/>
        </w:rPr>
      </w:pPr>
      <w:r>
        <w:rPr>
          <w:rFonts w:ascii="Arial" w:cs="Arial" w:eastAsia="Arial" w:hAnsi="Arial"/>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46"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9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91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470,931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649,611</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Short-term interest-bearing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195,912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329,997</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972,279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865,068</w:t>
            </w: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203,810</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1,860,947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2,048,486</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471,818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355,685</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2,459,225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2,221,209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321,731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177,326</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476,674</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5,578,991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5,279,380</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218,574</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126,414</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701,636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668,087</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personnel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265,354</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Short-term financing arrangements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113,091</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1,390,355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1,172,946</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219,417</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358,110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312,947</w:t>
            </w: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1,972,774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1,705,310</w:t>
            </w:r>
          </w:p>
        </w:tc>
        <w:tc>
          <w:tcPr>
            <w:tcW w:w="100" w:type="dxa"/>
            <w:vAlign w:val="bottom"/>
            <w:shd w:val="clear" w:color="auto" w:fill="CCEEFF"/>
          </w:tcPr>
          <w:p>
            <w:pPr>
              <w:spacing w:after="0"/>
              <w:rPr>
                <w:sz w:val="18"/>
                <w:szCs w:val="18"/>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1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Ordinary Shares — Authorized 700,000 shares; £0.01 par value; 275,557 and 273,773 issued and 142,535 and</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144,391 outstanding, respectively</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3,548,666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3,458,887</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133,022 and 129,382 ordinary shares, respectively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(4,604,903)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(4,365,124)</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18,790</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4,608,514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4,457,107</w:t>
            </w:r>
          </w:p>
        </w:tc>
      </w:tr>
      <w:tr>
        <w:trPr>
          <w:trHeight w:val="230"/>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Amdocs Limited shareholders’ equity</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3,563,054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3,574,070</w:t>
            </w:r>
          </w:p>
        </w:tc>
        <w:tc>
          <w:tcPr>
            <w:tcW w:w="100" w:type="dxa"/>
            <w:vAlign w:val="bottom"/>
          </w:tcPr>
          <w:p>
            <w:pPr>
              <w:spacing w:after="0"/>
              <w:rPr>
                <w:sz w:val="20"/>
                <w:szCs w:val="20"/>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43,163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120" w:type="dxa"/>
            <w:vAlign w:val="bottom"/>
          </w:tcPr>
          <w:p>
            <w:pPr>
              <w:ind w:left="720"/>
              <w:spacing w:after="0"/>
              <w:rPr>
                <w:sz w:val="20"/>
                <w:szCs w:val="20"/>
                <w:color w:val="auto"/>
              </w:rPr>
            </w:pPr>
            <w:r>
              <w:rPr>
                <w:rFonts w:ascii="Arial" w:cs="Arial" w:eastAsia="Arial" w:hAnsi="Arial"/>
                <w:sz w:val="18"/>
                <w:szCs w:val="18"/>
                <w:b w:val="1"/>
                <w:bCs w:val="1"/>
                <w:color w:val="auto"/>
              </w:rPr>
              <w:t>Total equity</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3,606,217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3,574,070</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5,578,991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5,279,380</w:t>
            </w:r>
          </w:p>
        </w:tc>
      </w:tr>
      <w:tr>
        <w:trPr>
          <w:trHeight w:val="20"/>
        </w:trPr>
        <w:tc>
          <w:tcPr>
            <w:tcW w:w="9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992,340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966,009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1,970,051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1,920,736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646,587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621,737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1,289,784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1,242,571</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64,926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67,303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133,103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127,293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120,199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114,465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238,544</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54,327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56,954</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860,513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832,228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1,716,081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1,665,362</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Operating income</w:t>
            </w:r>
          </w:p>
        </w:tc>
        <w:tc>
          <w:tcPr>
            <w:tcW w:w="1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131,827</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133,781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253,970</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131,588</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133,313</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253,852</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20,753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35,252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41,790</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income</w:t>
            </w:r>
          </w:p>
        </w:tc>
        <w:tc>
          <w:tcPr>
            <w:tcW w:w="1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101,727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112,560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218,600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0.415</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8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8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101,727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$ 112,560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$218,600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$210,353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(17,492)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33,869</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(11,259)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(261)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(1,186)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(17,753)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34,020</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(12,445)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21,415</w:t>
            </w:r>
          </w:p>
        </w:tc>
        <w:tc>
          <w:tcPr>
            <w:tcW w:w="0" w:type="dxa"/>
            <w:vAlign w:val="bottom"/>
          </w:tcPr>
          <w:p>
            <w:pPr>
              <w:spacing w:after="0"/>
              <w:rPr>
                <w:sz w:val="1"/>
                <w:szCs w:val="1"/>
                <w:color w:val="auto"/>
              </w:rPr>
            </w:pPr>
          </w:p>
        </w:tc>
      </w:tr>
      <w:tr>
        <w:trPr>
          <w:trHeight w:val="223"/>
        </w:trPr>
        <w:tc>
          <w:tcPr>
            <w:tcW w:w="76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83,974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146,580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206,155</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231,768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0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income (expense) of $1,927 and $(4,595) for the three months ended March 31, 2018 and 2017, respectively and of $2,285 and $(91) for the six months ended March 31, 2018 and 2017, respectively.</w:t>
      </w:r>
    </w:p>
    <w:p>
      <w:pPr>
        <w:spacing w:after="0" w:line="1"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$(7) and $(1) for the three months ended March 31, 2018 and 2017, respectively, and of $3 and $3 for the six months ended March 31, 2018 and 2017,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Six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income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218,600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210,353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102,900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Loss (Gain) from short-term interest-bearing investments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(77,359)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(10,606)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(7,749)</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278,329</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275,354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(162,126)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207,738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144,920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(76,037)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(145,737)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(352,599)</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(386,470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(69,052)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Repurchase of shares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(239,779)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65,631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Payments of dividends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(63,294)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Investment by noncontrolling interests,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Excess tax benefit from equity-based compensation and other</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(70,539)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(152,234)</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(178,680)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649,611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768,660</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470,931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822,728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paid for:</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net of refunds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subsidiaries operate in one segment and designs, develops, markets, supports, implements and operates AmdocsONE, an open and modular solution set.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w:t>
      </w:r>
    </w:p>
    <w:p>
      <w:pPr>
        <w:spacing w:after="0" w:line="17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2017, set forth in the Company’s Annual Report on Form 20-F filed on December 11, 2017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of Summary of Accounting Policies and Contractual Obligations</w:t>
      </w:r>
    </w:p>
    <w:p>
      <w:pPr>
        <w:spacing w:after="0" w:line="11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In December 2017, the Company entered into agreements with Union Investments and Development Limited (“Union”) to partner through a legal entity that is equally owned by the Company and Union for the purpose of acquiring specific land which the Company expects to use as the site for a new campus in Ra’anana, Israel. On January 2, 2018 the Company completed the acquisition of the land. Pursuant to the agreements between the Company and Union, as the Company has control over the construction and ongoing operations of the new campus, the new entity’s financial information is consolidated into the Company’s consolidated financial statements with the portion not owned classified as non-controlling interests. During the three and six months ended March 31, 2018 the new entity had negligible earnings or losses and, therefore, all of the Company’s net income is attributable to Amdocs Limited.</w:t>
      </w:r>
    </w:p>
    <w:p>
      <w:pPr>
        <w:spacing w:after="0" w:line="165"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The Company is obligated to construct the campus and to distribute in the future the new entity’s earnings under certain conditions. The total net investment the Company expects to make in connection with purchasing of the land and construction of the new campus is estimated to be approximately $350,000 over a period of four to five years, of which approximately $100,000 is expected to be incurred in fiscal year 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time to time, certain immaterial amounts in prior year financial statements may be reclassified to conform to the current year presentation.</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December 2017, SEC issued Staff Accounting Bulletin No. 118 due to the new tax legislation in the United States (The Tax Cuts and Jobs Act or “The Act”) which allows the Company to record provisional amounts during a measurement period. The Act, which was enacted in December 22, 2017, reduces the US federal corporate tax rate from 35% to 21%, requires companies to pay a one-time transition tax on earnings of certain foreign subsidiaries and creates new taxes on certain foreign sourced earnings. As of March 31, 2018, the Company has not completed its accounting for the tax effects of enactment of the Act and made a reasonable estimate of the effects on its existing deferred tax balances and the one-time transition tax. The Company will continue to make and refine its calculations as additional analysis is completed and as it gains a more thorough understanding of the tax law. See also Note 10.</w:t>
      </w:r>
    </w:p>
    <w:p>
      <w:pPr>
        <w:spacing w:after="0" w:line="16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August 2017, the Financial Accounting Standards Board, or FASB issued an Accounting Standard Update, or ASU, that amends existing guidance to simplify the application of hedge accounting in certain situations and allows companies to better align their hedge accounting with their risk management activities. The ASU will be effective for the Company beginning in the first quarter of fiscal year 2020 and earlier adoption by one year is permitted. The Company is currently evaluating the impact of adoption of this ASU on its consolidated financial statements.</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January 2017, the FASB issued an ASU that revises and narrows the definition of a business and provides a framework that gives entities a basis for making reasonable judgments about whether a transaction involves an asset or a business. This ASU will be effective for the Company with respect to transactions occurring on or after October 1, 2018 and early adoption is permitted.</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August 2016, the FASB issued an ASU that intends to reduce diversity in practice in how certain transactions are classified in the statement of cash flows. The ASU will be effective for the Company on October 1, 2018, and early adoption is permitted. The Company currently expects adoption of this ASU will result in reclassification of certain cash payments of contingent considerations included in acquisition agreements from investing activities to financing activities and will not have a material impact on its statement of cash flows.</w:t>
      </w:r>
    </w:p>
    <w:p>
      <w:pPr>
        <w:spacing w:after="0" w:line="187"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In June 2016, the FASB issued an ASU on accounting for credit losses, which introduces an impairment model that is based on expected losses rather than incurred losses and will apply to financial assets subject to credit losses and measured at amortized cost, and certain off-balance sheet credit exposures. The ASU will be effective for the Company beginning in the first quarter of fiscal year 2021 and earlier adoption by one year is permitted. The Company is currently evaluating the impact of adoption of this ASU on its consolidated financial statements.</w:t>
      </w:r>
    </w:p>
    <w:p>
      <w:pPr>
        <w:spacing w:after="0" w:line="17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the Company beginning in the first quarter of fiscal year 2020, must be adopted using a modified retrospective method and its early adoption is permitted. The Company is currently evaluating the impact of adoption of this ASU on its consolidated financial statements.</w:t>
      </w:r>
    </w:p>
    <w:p>
      <w:pPr>
        <w:spacing w:after="0" w:line="173"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the Company on October 1, 2018, and early adoption is permitted. The Company expects adoption of this ASU may result in changes in its financial statements presentation but will not affect the content of its consolidated financial statements.</w:t>
      </w:r>
    </w:p>
    <w:p>
      <w:pPr>
        <w:spacing w:after="0" w:line="171"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In May 2014, the FASB issued ASU on revenue from contracts with customers, or the new revenue standard, which outlines a single comprehensive model for entities to use in accounting for revenue arising from contracts with customers. The new revenue standard supersedes most current revenue recognition guidance and will be effective for the Company beginning in the first quarter of fiscal year 2019. The Company developed a transition plan, including changes to policies, processes and internal controls, as well as system enhancements to generate the information necessary for new disclosure requirements and recently completed an initial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assessment to identify the potential areas of impact that this new revenue recognition standard will have on its consolidated financial statement and internal control environment. As part of the initial assessment, the Company reviewed a representative sample of its contracts across its various customers and geographies to identify potential differences that could result from applying the requirements of the new standard. Entities have the option of adopting the new revenue standard using either a full retrospective or a modified approach with the cumulative effect of applying the standard recognized at the date of initial application. The Company currently anticipates adopting the new revenue standard using the modified retrospective transition approach, which will result in a cumulative effect adjustment to retained earnings as of October 1, 2018. However, a final decision regarding the adoption method is dependent on several factors, including the completion of the Company’s analysis of the effect the adoption of the new revenue standard will have on its results of operations, financial position and related disclosures. The Company is in a process of determining the impact the adoption will have on the Company’s consolidated financial statements accounting systems, internal control environment and business practices.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March 2016, the FASB issued an ASU on employee share-based payments. The ASU simplifies several aspects related to how share-based payments are accounted for and presented in the financial statements, including income taxes, accounting for forfeitures and classification in the statements of cash flows. The Company prospectively adopted this ASU effective October 1, 2017 and as a result did not adjust the prior period amounts that are presented in its consolidated statements of cash flows.</w:t>
      </w:r>
    </w:p>
    <w:p>
      <w:pPr>
        <w:spacing w:after="0" w:line="187" w:lineRule="exact"/>
        <w:rPr>
          <w:sz w:val="20"/>
          <w:szCs w:val="20"/>
          <w:color w:val="auto"/>
        </w:rPr>
      </w:pPr>
    </w:p>
    <w:p>
      <w:pPr>
        <w:ind w:right="420" w:firstLine="456"/>
        <w:spacing w:after="0" w:line="302" w:lineRule="auto"/>
        <w:rPr>
          <w:sz w:val="20"/>
          <w:szCs w:val="20"/>
          <w:color w:val="auto"/>
        </w:rPr>
      </w:pPr>
      <w:r>
        <w:rPr>
          <w:rFonts w:ascii="Arial" w:cs="Arial" w:eastAsia="Arial" w:hAnsi="Arial"/>
          <w:sz w:val="16"/>
          <w:szCs w:val="16"/>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The Company prospectively adopted this ASU effective October 1, 2017. There was no material impact on the Company’s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During the six months ended March 31, 2018, the Company acquired three technology companies: Vubiquity, a leading provider of premium content services and technology solutions, Projekt202, a leader in experience-driven software design and development, and UXP systems (“UXP”) whose User Lifecycle Management solution is a leading platform for empowering digital user relationships and digital identity, for an aggregate consideration of $352,599 in cash, with a potential for additional consideration subject to the achievement of certain performance metrics.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allocating the total preliminary purchase price for Vubiquity, based on estimated fair values, the Company recorded $152,370 of goodwill, $44,685 of customer relationships to be amortized over approximately nine years, $28,653 of core technology to be amortized over approximately three years, $10,267 of trade mark to be amortized over eight years and $6,875 of intellectual property right to be amortized over thirteen years.</w:t>
      </w:r>
    </w:p>
    <w:p>
      <w:pPr>
        <w:spacing w:after="0" w:line="166"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In allocating the total preliminary purchase price of Projekt202, based on estimated fair values, the Company recorded $56,605 of goodwill and $19,835 of customer relationships to be amortized over four years.</w:t>
      </w:r>
    </w:p>
    <w:p>
      <w:pPr>
        <w:spacing w:after="0" w:line="17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In allocating the total preliminary purchase price of UXP, based on estimated fair values, the Company recorded $41,122 of goodwill, $31,552 of core technology to be amortized over five years and $6,552 of customer relationships to be amortized over approximately five years.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Level 3: Unobservable inputs that are supported by little or no market activity that is significant to the fair value of the assets or liabilities.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March 31, 2018 and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As of March 31, 2018</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3</w:t>
            </w: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67,760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46,262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U.S. agency securities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39,616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32,907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27,280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7,190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79,169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150,875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230,044</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(47,406)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(47,406)</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79,169</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162,641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(47,406</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194,404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As of September 30, 2017</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3</w:t>
            </w: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98,385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84,363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U.S. agency securities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60,646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47,074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8,777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136,867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248,330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385,197</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(21,972)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(21,972)</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136,867</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275,682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(21,972</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390,577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180" w:type="dxa"/>
            <w:vAlign w:val="bottom"/>
            <w:vMerge w:val="restart"/>
          </w:tcPr>
          <w:p>
            <w:pPr>
              <w:jc w:val="right"/>
              <w:ind w:right="11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six months ended March 31, 2018. Level 3 amounts relate to certain acquisition-related liabilities, which were valued using a Monte-Carlo simulation model. These liabilities were included in accrued expenses, other current liabilities and other noncurrent liabilities as of March 31, 2018 and in both accrued expenses, other current liabilities and other noncurrent liabilities as of September 30, 2017. $6,746 of the increase in Level 3 liabilities during the six months ended March 31, 2018 was recorded in the consolidated statements of income and the rest of the increase was recorded against goodwill.</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As of March 31, 2018</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Amortized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8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68,581</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46,565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46,262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39,875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32,907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32,907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27,426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9,104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9,029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23"/>
        </w:trPr>
        <w:tc>
          <w:tcPr>
            <w:tcW w:w="6640" w:type="dxa"/>
            <w:vAlign w:val="bottom"/>
            <w:gridSpan w:val="3"/>
          </w:tcPr>
          <w:p>
            <w:pPr>
              <w:ind w:left="460"/>
              <w:spacing w:after="0"/>
              <w:rPr>
                <w:sz w:val="20"/>
                <w:szCs w:val="20"/>
                <w:color w:val="auto"/>
              </w:rPr>
            </w:pPr>
            <w:r>
              <w:rPr>
                <w:rFonts w:ascii="Arial" w:cs="Arial" w:eastAsia="Arial" w:hAnsi="Arial"/>
                <w:sz w:val="18"/>
                <w:szCs w:val="18"/>
                <w:color w:val="auto"/>
              </w:rPr>
              <w:t>Total(1)</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231,634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9"/>
              </w:rPr>
              <w:t>14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230,044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0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March 31, 2018, $195,912 of securities were classified as short-term interest-bearing investments and $34,132 of securities were classified as cash and cash equivalents.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2017</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Amortized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8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98,367</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6"/>
              </w:rPr>
              <w:t>176</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84,558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84,363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60,794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52,504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52,504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47,108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33,448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33,448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8,777</w:t>
            </w:r>
          </w:p>
        </w:tc>
        <w:tc>
          <w:tcPr>
            <w:tcW w:w="0" w:type="dxa"/>
            <w:vAlign w:val="bottom"/>
          </w:tcPr>
          <w:p>
            <w:pPr>
              <w:spacing w:after="0"/>
              <w:rPr>
                <w:sz w:val="1"/>
                <w:szCs w:val="1"/>
                <w:color w:val="auto"/>
              </w:rPr>
            </w:pPr>
          </w:p>
        </w:tc>
      </w:tr>
      <w:tr>
        <w:trPr>
          <w:trHeight w:val="223"/>
        </w:trPr>
        <w:tc>
          <w:tcPr>
            <w:tcW w:w="6640" w:type="dxa"/>
            <w:vAlign w:val="bottom"/>
            <w:gridSpan w:val="3"/>
          </w:tcPr>
          <w:p>
            <w:pPr>
              <w:ind w:left="460"/>
              <w:spacing w:after="0"/>
              <w:rPr>
                <w:sz w:val="20"/>
                <w:szCs w:val="20"/>
                <w:color w:val="auto"/>
              </w:rPr>
            </w:pPr>
            <w:r>
              <w:rPr>
                <w:rFonts w:ascii="Arial" w:cs="Arial" w:eastAsia="Arial" w:hAnsi="Arial"/>
                <w:sz w:val="18"/>
                <w:szCs w:val="18"/>
                <w:color w:val="auto"/>
              </w:rPr>
              <w:t>Total(2)</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385,598</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176</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385,197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2017, $329,997 of securities were classified as short-term interest-bearing investments and $55,200 of securities were classified as cash and cash equivalents.</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As of March 31, 2018,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material credit losses in the six months ended March 31, 2018 and 2017. Realized gains and losses on available-for-sale securities are included in earnings and are derived using the first-in-first-out (FIFO) method for determining the cost of securities.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2018, the Company’s available-for-sale securities had the following maturity dates: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81,270</w:t>
            </w:r>
          </w:p>
        </w:tc>
        <w:tc>
          <w:tcPr>
            <w:tcW w:w="6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54,404</w:t>
            </w:r>
          </w:p>
        </w:tc>
        <w:tc>
          <w:tcPr>
            <w:tcW w:w="6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9,843</w:t>
            </w:r>
          </w:p>
        </w:tc>
        <w:tc>
          <w:tcPr>
            <w:tcW w:w="6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60" w:type="dxa"/>
            <w:vAlign w:val="bottom"/>
            <w:shd w:val="clear" w:color="auto" w:fill="CCEEFF"/>
          </w:tcPr>
          <w:p>
            <w:pPr>
              <w:spacing w:after="0"/>
              <w:rPr>
                <w:sz w:val="18"/>
                <w:szCs w:val="18"/>
                <w:color w:val="auto"/>
              </w:rPr>
            </w:pPr>
          </w:p>
        </w:tc>
      </w:tr>
      <w:tr>
        <w:trPr>
          <w:trHeight w:val="223"/>
        </w:trPr>
        <w:tc>
          <w:tcPr>
            <w:tcW w:w="6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230,044</w:t>
            </w:r>
          </w:p>
        </w:tc>
        <w:tc>
          <w:tcPr>
            <w:tcW w:w="6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$12,051 as of March 31, 2018. The Company has limited its credit risk by entering into derivative transactions exclusively with investment-grade rated financial institutions and monitors the creditworthiness of these financial institutions on an ongoing basis.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March 31, 2018. Notional values are in U.S. dollars and are translated and calculated based on forward rates as of March 31, 2018 for forward contracts, and based on spot rates as of March 31, 2018 for options.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3420" w:type="dxa"/>
            <w:vAlign w:val="bottom"/>
            <w:gridSpan w:val="3"/>
          </w:tcPr>
          <w:p>
            <w:pPr>
              <w:ind w:left="2380"/>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1,168,713</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54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5 to the consolidated financial statements. The fair value of the open foreign exchange contracts recorded as an asset or a liability by the Company on its consolidated balance sheets as of March 31, 2018 and September 30, 2017, is as follows: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March 31,</w:t>
            </w:r>
          </w:p>
        </w:tc>
        <w:tc>
          <w:tcPr>
            <w:tcW w:w="1360" w:type="dxa"/>
            <w:vAlign w:val="bottom"/>
            <w:gridSpan w:val="3"/>
          </w:tcPr>
          <w:p>
            <w:pPr>
              <w:ind w:left="4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980" w:type="dxa"/>
            <w:vAlign w:val="bottom"/>
            <w:gridSpan w:val="2"/>
          </w:tcPr>
          <w:p>
            <w:pPr>
              <w:jc w:val="right"/>
              <w:ind w:right="9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$ 15,191</w:t>
            </w:r>
          </w:p>
        </w:tc>
        <w:tc>
          <w:tcPr>
            <w:tcW w:w="160" w:type="dxa"/>
            <w:vAlign w:val="bottom"/>
          </w:tcPr>
          <w:p>
            <w:pPr>
              <w:spacing w:after="0"/>
              <w:rPr>
                <w:sz w:val="18"/>
                <w:szCs w:val="18"/>
                <w:color w:val="auto"/>
              </w:rPr>
            </w:pP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30,141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140" w:type="dxa"/>
            <w:vAlign w:val="bottom"/>
            <w:gridSpan w:val="3"/>
          </w:tcPr>
          <w:p>
            <w:pPr>
              <w:jc w:val="right"/>
              <w:ind w:right="100"/>
              <w:spacing w:after="0"/>
              <w:rPr>
                <w:sz w:val="20"/>
                <w:szCs w:val="20"/>
                <w:color w:val="auto"/>
              </w:rPr>
            </w:pPr>
            <w:r>
              <w:rPr>
                <w:rFonts w:ascii="Arial" w:cs="Arial" w:eastAsia="Arial" w:hAnsi="Arial"/>
                <w:sz w:val="18"/>
                <w:szCs w:val="18"/>
                <w:color w:val="auto"/>
              </w:rPr>
              <w:t>(956)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(2,317)</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w:t>
            </w: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1,973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(4,543)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(3,368)</w:t>
            </w: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$ 11,766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March 31, 2018 is scheduled to mature within the next 12 months.</w:t>
      </w:r>
    </w:p>
    <w:p>
      <w:pPr>
        <w:spacing w:after="0" w:line="15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6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three and six months ended March 31, 2018 and 2017, respectively, which partially offsets the foreign currency impact from the underlying exposures, is summarized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2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Gains (Losses) Reclassified from</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40" w:type="dxa"/>
            <w:vAlign w:val="bottom"/>
            <w:gridSpan w:val="9"/>
          </w:tcPr>
          <w:p>
            <w:pPr>
              <w:jc w:val="right"/>
              <w:ind w:right="40"/>
              <w:spacing w:after="0" w:line="149" w:lineRule="exact"/>
              <w:rPr>
                <w:sz w:val="20"/>
                <w:szCs w:val="20"/>
                <w:color w:val="auto"/>
              </w:rPr>
            </w:pPr>
            <w:r>
              <w:rPr>
                <w:rFonts w:ascii="Arial" w:cs="Arial" w:eastAsia="Arial" w:hAnsi="Arial"/>
                <w:sz w:val="14"/>
                <w:szCs w:val="14"/>
                <w:b w:val="1"/>
                <w:bCs w:val="1"/>
                <w:color w:val="auto"/>
              </w:rPr>
              <w:t>Other Comprehensive Income (Effective Portion)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Three months ended 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Six months ended March 31,</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(1,129)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16,550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3,355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11,423</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22,046</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00" w:type="dxa"/>
            <w:vAlign w:val="bottom"/>
            <w:vMerge w:val="restart"/>
          </w:tcPr>
          <w:p>
            <w:pPr>
              <w:jc w:val="right"/>
              <w:ind w:right="3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activity related to the changes in net unrealized gains on cash flow hedges recorded in accumulated other comprehensive (loss) income, net of tax, is as follows:</w:t>
      </w:r>
    </w:p>
    <w:p>
      <w:pPr>
        <w:spacing w:after="0" w:line="189"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Six months ended</w:t>
      </w:r>
    </w:p>
    <w:p>
      <w:pPr>
        <w:jc w:val="center"/>
        <w:ind w:left="66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gains on cash flow hedges, net of tax,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$ 24,508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$12,514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8,475</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28,041</w:t>
            </w:r>
          </w:p>
        </w:tc>
        <w:tc>
          <w:tcPr>
            <w:tcW w:w="12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gains into earnings, net of tax</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(19,734)</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(5,458)</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Net unrealized gains on cash flow hedges, net of tax, end of period</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$ 13,249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35,097</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Net gains from cash flow hedges recognized in other comprehensive (loss) income were $8,502 and $29,055, or $8,475 and $28,041 net of taxes, during the six months ended March 31, 2018 and 2017, respectively.</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Of the net gains related to derivatives designated as cash flow hedges and recorded in accumulated other comprehensive (loss) income as of March 31, 2018, a net gain of $13,148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six months ended March 31, 2018 and 2017, was not material.</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six months ended March 31, 2018 and 2017, respectively, which partially offsets the foreign currency impact from the underlying exposure, is summarized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Gains (Losses) Recognized in Income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3"/>
              </w:rPr>
              <w:t>Three months ended March 31,</w:t>
            </w:r>
          </w:p>
        </w:tc>
        <w:tc>
          <w:tcPr>
            <w:tcW w:w="100" w:type="dxa"/>
            <w:vAlign w:val="bottom"/>
          </w:tcPr>
          <w:p>
            <w:pPr>
              <w:spacing w:after="0"/>
              <w:rPr>
                <w:sz w:val="14"/>
                <w:szCs w:val="14"/>
                <w:color w:val="auto"/>
              </w:rPr>
            </w:pPr>
          </w:p>
        </w:tc>
        <w:tc>
          <w:tcPr>
            <w:tcW w:w="19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Six months ended March 31,</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4,908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Interest and other expense, net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(4,567)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(5,156)</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(6,771)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(5,435</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00" w:type="dxa"/>
            <w:vAlign w:val="bottom"/>
            <w:vMerge w:val="restart"/>
          </w:tcPr>
          <w:p>
            <w:pPr>
              <w:jc w:val="right"/>
              <w:ind w:right="3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Receivable,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net consists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gridSpan w:val="8"/>
          </w:tcPr>
          <w:p>
            <w:pPr>
              <w:jc w:val="center"/>
              <w:ind w:right="560"/>
              <w:spacing w:after="0" w:line="119" w:lineRule="exact"/>
              <w:rPr>
                <w:sz w:val="20"/>
                <w:szCs w:val="20"/>
                <w:color w:val="auto"/>
              </w:rPr>
            </w:pPr>
            <w:r>
              <w:rPr>
                <w:rFonts w:ascii="Arial" w:cs="Arial" w:eastAsia="Arial" w:hAnsi="Arial"/>
                <w:sz w:val="13"/>
                <w:szCs w:val="13"/>
                <w:b w:val="1"/>
                <w:bCs w:val="1"/>
                <w:color w:val="auto"/>
              </w:rPr>
              <w:t>March 31,</w:t>
            </w:r>
          </w:p>
        </w:tc>
        <w:tc>
          <w:tcPr>
            <w:tcW w:w="90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60" w:type="dxa"/>
            <w:vAlign w:val="bottom"/>
            <w:gridSpan w:val="6"/>
          </w:tcPr>
          <w:p>
            <w:pPr>
              <w:jc w:val="right"/>
              <w:ind w:right="1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7"/>
              </w:rPr>
              <w:t>$746,051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664,099</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1680" w:type="dxa"/>
            <w:vAlign w:val="bottom"/>
            <w:gridSpan w:val="7"/>
          </w:tcPr>
          <w:p>
            <w:pPr>
              <w:jc w:val="right"/>
              <w:spacing w:after="0"/>
              <w:rPr>
                <w:sz w:val="20"/>
                <w:szCs w:val="20"/>
                <w:color w:val="auto"/>
              </w:rPr>
            </w:pPr>
            <w:r>
              <w:rPr>
                <w:rFonts w:ascii="Arial" w:cs="Arial" w:eastAsia="Arial" w:hAnsi="Arial"/>
                <w:sz w:val="18"/>
                <w:szCs w:val="18"/>
                <w:color w:val="auto"/>
              </w:rPr>
              <w:t>249,377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229,695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178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(23,149)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(28,726)</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340" w:type="dxa"/>
            <w:vAlign w:val="bottom"/>
            <w:gridSpan w:val="2"/>
          </w:tcPr>
          <w:p>
            <w:pPr>
              <w:ind w:left="920"/>
              <w:spacing w:after="0"/>
              <w:rPr>
                <w:sz w:val="20"/>
                <w:szCs w:val="20"/>
                <w:color w:val="auto"/>
              </w:rPr>
            </w:pPr>
            <w:r>
              <w:rPr>
                <w:rFonts w:ascii="Arial" w:cs="Arial" w:eastAsia="Arial" w:hAnsi="Arial"/>
                <w:sz w:val="18"/>
                <w:szCs w:val="18"/>
                <w:color w:val="auto"/>
              </w:rPr>
              <w:t>Accounts receivable, net</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972,279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865,068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0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0" w:type="dxa"/>
            <w:vAlign w:val="bottom"/>
            <w:gridSpan w:val="3"/>
          </w:tcPr>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As of</w:t>
            </w: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7"/>
          </w:tcPr>
          <w:p>
            <w:pPr>
              <w:jc w:val="right"/>
              <w:ind w:right="500"/>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c>
          <w:tcPr>
            <w:tcW w:w="980" w:type="dxa"/>
            <w:vAlign w:val="bottom"/>
            <w:gridSpan w:val="5"/>
          </w:tcPr>
          <w:p>
            <w:pPr>
              <w:ind w:left="40"/>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6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7"/>
              </w:rPr>
              <w:t>$268,339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242,918</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Project-related provision</w:t>
            </w:r>
          </w:p>
        </w:tc>
        <w:tc>
          <w:tcPr>
            <w:tcW w:w="1780" w:type="dxa"/>
            <w:vAlign w:val="bottom"/>
            <w:gridSpan w:val="8"/>
          </w:tcPr>
          <w:p>
            <w:pPr>
              <w:jc w:val="right"/>
              <w:spacing w:after="0"/>
              <w:rPr>
                <w:sz w:val="20"/>
                <w:szCs w:val="20"/>
                <w:color w:val="auto"/>
              </w:rPr>
            </w:pPr>
            <w:r>
              <w:rPr>
                <w:rFonts w:ascii="Arial" w:cs="Arial" w:eastAsia="Arial" w:hAnsi="Arial"/>
                <w:sz w:val="18"/>
                <w:szCs w:val="18"/>
                <w:color w:val="auto"/>
              </w:rPr>
              <w:t>200,764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227,049</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40,512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34,143</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Dividends payable</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35,635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31,736</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5,685</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gridSpan w:val="3"/>
          </w:tcPr>
          <w:p>
            <w:pPr>
              <w:spacing w:after="0"/>
              <w:rPr>
                <w:sz w:val="19"/>
                <w:szCs w:val="19"/>
                <w:color w:val="auto"/>
              </w:rPr>
            </w:pPr>
          </w:p>
        </w:tc>
        <w:tc>
          <w:tcPr>
            <w:tcW w:w="6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150,888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125,556</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780" w:type="dxa"/>
            <w:vAlign w:val="bottom"/>
            <w:gridSpan w:val="8"/>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701,636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668,087</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Income Taxes</w:t>
            </w: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0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0" w:type="dxa"/>
            <w:vAlign w:val="bottom"/>
            <w:gridSpan w:val="3"/>
          </w:tcPr>
          <w:p>
            <w:pPr>
              <w:ind w:left="460"/>
              <w:spacing w:after="0"/>
              <w:rPr>
                <w:sz w:val="20"/>
                <w:szCs w:val="20"/>
                <w:color w:val="auto"/>
              </w:rPr>
            </w:pPr>
            <w:r>
              <w:rPr>
                <w:rFonts w:ascii="Arial" w:cs="Arial" w:eastAsia="Arial" w:hAnsi="Arial"/>
                <w:sz w:val="18"/>
                <w:szCs w:val="18"/>
                <w:color w:val="auto"/>
              </w:rPr>
              <w:t>The provision (benefit) for income taxes for the following periods consisted of:</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92"/>
              </w:rPr>
              <w:t>Three months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Six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7"/>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ended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jc w:val="right"/>
              <w:ind w:right="88"/>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$21,680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$11,219</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$41,079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$24,901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6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8,181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9,534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(5,827)</w:t>
            </w:r>
          </w:p>
        </w:tc>
        <w:tc>
          <w:tcPr>
            <w:tcW w:w="2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16,889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6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29,861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20,753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35,252</w:t>
            </w: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41,790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1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Three months ended</w:t>
            </w: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99"/>
              </w:rPr>
              <w:t>March 31,</w:t>
            </w:r>
          </w:p>
        </w:tc>
        <w:tc>
          <w:tcPr>
            <w:tcW w:w="4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99"/>
              </w:rPr>
              <w:t>March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3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Foreign taxes</w:t>
            </w:r>
          </w:p>
        </w:tc>
        <w:tc>
          <w:tcPr>
            <w:tcW w:w="32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5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5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5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16.6</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4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16.6%</w:t>
            </w:r>
          </w:p>
        </w:tc>
      </w:tr>
      <w:tr>
        <w:trPr>
          <w:trHeight w:val="37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20" w:type="dxa"/>
            <w:vAlign w:val="bottom"/>
          </w:tcPr>
          <w:p>
            <w:pPr>
              <w:jc w:val="right"/>
              <w:ind w:right="1370"/>
              <w:spacing w:after="0"/>
              <w:rPr>
                <w:sz w:val="20"/>
                <w:szCs w:val="20"/>
                <w:color w:val="auto"/>
              </w:rPr>
            </w:pPr>
            <w:r>
              <w:rPr>
                <w:rFonts w:ascii="Arial" w:cs="Arial" w:eastAsia="Arial" w:hAnsi="Arial"/>
                <w:sz w:val="18"/>
                <w:szCs w:val="18"/>
                <w:color w:val="auto"/>
              </w:rPr>
              <w:t>16</w:t>
            </w:r>
          </w:p>
        </w:tc>
        <w:tc>
          <w:tcPr>
            <w:tcW w:w="4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23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During the six months ended March 31, 2018, as a result of funding decisions for the construction of the Company’s new campus in Israel (see Note 1) the Company recorded a tax benefit of $23,099 related to the release of withholding and income tax reserves for pre-2018 unremitted earnings.</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Foreign taxes in the six months ended March 31, 2018 also included a benefit of $6,130 relating to release of gross unrecognized tax benefits due to conclusions of tax audits and expiration of the periods set forth in statutes of limitations in certain jurisdictions.</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addition, foreign taxes in the six months ended March 31, 2018 included a net benefit of $2,950 relating of changes in tax law in United States. The benefit is attributable to re-evaluation of the Company’s deferred tax assets and liabilities due to the expected lower blended effective U.S. federal tax rate when the assets and liabilities are expected to be utilized, partially offset by the deemed repatriation of foreign income.</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as an indirect consequence to the changes in tax law in the United States the Company no longer makes a permanently reinvest assertion relating to one of its subsidiaries, therefore, a tax liability of $4,059 was recorded related to the tax implications of remitting earnings that were previously asserted as permanently reinvested.</w:t>
      </w:r>
    </w:p>
    <w:p>
      <w:pPr>
        <w:spacing w:after="0" w:line="18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Foreign taxes in the six months ended March 31, 2018 also included a tax expense of $8,931 resulting from the increase of valuation allowances on deferred tax assets at one of the Company’s subsidiaries, which may not be realized based on the Company’s projections of future taxable income.</w:t>
      </w:r>
    </w:p>
    <w:p>
      <w:pPr>
        <w:spacing w:after="0" w:line="12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Foreign taxes in the six months ended March 31, 2017 included $5,307 of deferred income tax expense as a result of enacted changes in tax laws or rates during the three months ended December 31, 2016. Foreign taxes in the six months ended March 31, 2017 also included a benefit of $7,986 due to conclusions of tax audits in certain jurisdictions during the three months ended December 31, 2016, which resulted in a reduction to the Company’s provision for gross unrecognized tax benefits. In addition, foreign taxes in the three and six months ended March 31, 2017 included a net benefit of $9,037 due to a reduction of taxes payable, partially offset by a reduction of deferred tax asset on operating loss carryforwards of certain of the Company’s subsidiaries resulting from internal structural changes in incorporation in certain jurisdictions in which the Company operates.</w:t>
      </w:r>
    </w:p>
    <w:p>
      <w:pPr>
        <w:spacing w:after="0" w:line="178"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As of March 31, 2018, deferred tax assets of $116,823, derived primarily from tax credits, net capital and operating loss carry forwards related to some of the Company’s subsidiaries, were offset by valuation allowances due to the uncertainty of realizing tax benefit for such credits and losses.</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$204,688 as of March 31, 2018, all of which would affect the effective tax rate if realized.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2018, the Company had accrued $28,573 in income taxes payable for interest and penalties relating to unrecognized tax benefits.</w:t>
      </w:r>
    </w:p>
    <w:p>
      <w:pPr>
        <w:spacing w:after="0" w:line="24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101,727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112,560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218,600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210,353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Less-net income and dividends attributable to participating restricted shares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23"/>
        </w:trPr>
        <w:tc>
          <w:tcPr>
            <w:tcW w:w="612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100,978</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111,653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216,936</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208,626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100,983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111,659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216,947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208,638</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outstanding—basic</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143,030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146,595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143,487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146,706</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Less- weighted average number of participating restricted shares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shares—basic</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141,977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145,414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142,395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145,501</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shares—diluted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143,337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146,773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143,790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146,963</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three and six months ended March 31, 2018, 1,394 and 936 shares, respectively, on a weighted average basis, were attributable to antidilutive outstanding stock options. For the three and six months ended March 31, 2017, 1,699 and 1,697 shares, respectively, on a weighted average basis, were attributable to antidilutive outstanding stock options. Shares attributable to antidilutive outstanding stock options were not included in the calculation of diluted earnings per share.</w:t>
      </w:r>
    </w:p>
    <w:p>
      <w:pPr>
        <w:sectPr>
          <w:pgSz w:w="11900" w:h="16838" w:orient="portrait"/>
          <w:cols w:equalWidth="0" w:num="1">
            <w:col w:w="11360"/>
          </w:cols>
          <w:pgMar w:left="240" w:top="459" w:right="299" w:bottom="865" w:gutter="0" w:footer="0" w:header="0"/>
        </w:sectPr>
      </w:pP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60"/>
          </w:cols>
          <w:pgMar w:left="240" w:top="459" w:right="299" w:bottom="865"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Repurchase of Shares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From time to time, the Company’s Board of Directors has adopted share repurchase plans authorizing the repurchase of the Company’s outstanding ordinary shares. The Company’s Board of Directors adopted a share repurchase plan, on February 2, 2016, which authorized the repurchase of up to $750,000 of the Company’s outstanding ordinary shares with no expiration date. In the six months ended March 31, 2018, the Company repurchased approximately 3,640 ordinary shares at an average price of $65.86 per share (excluding broker and transaction fees). As of March 31, 2018, the Company had remaining authority to repurchase up to $16,536 of its outstanding ordinary shares under the February, 2016 plan. On November 8, 2017, the Company’s Board of Directors adopted another share repurchase plan for the repurchase of up to an additional $800,000 of the Company’s outstanding ordinary shares with no expiration date. As of March 31, 2018, the November 2017 plan has not yet been utilized by the Company. The plans permit the Company to purchase its ordinary shares in open market or privately negotiated transactions at times and prices that it considers appropriate. As of March 31, 2018, the Company had remaining authority to repurchase up to $816,536 of its outstanding ordinary shares under the plans.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Financing Arrangements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December 2011, the Company entered into a $500,000 five-year revolving credit facility with a syndicate of banks. In December 2014 and in December 2017, the credit facility was amended and restated to, among other things, extend the maturity date of the facility to December 2019 and December 2022, respectively. In March 2018, the Company borrowed an aggregate of $120,000 under its unsecured $500,000 facility and repaid it in full in April 2018. As of March 31, 2018, the Company was in compliance with the financial covenants under the revolving credit facility.</w:t>
      </w:r>
    </w:p>
    <w:p>
      <w:pPr>
        <w:spacing w:after="0" w:line="17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As of March 31, 2018, the Company had additional uncommitted lines of credit available for general corporate and other specific purposes and had outstanding letters of credit and bank guarantees from various banks totaling $55,112. These were supported by a combination of the uncommitted lines of credit that the Company maintains with various banks.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Option and Incentive Plan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by the Company’s Board of Directors to be granted under the Equity Incentive Plan was increased from 62,300 to 67,550. The issuance of such additional shares was registered with the SEC in February 2018. Awards granted under the Equity Incentive Plan generally vest over a period of four years and stock options have a term of ten years.</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During the six months ended March 31, 2018, the Company granted 400 restricted shares and options to purchase 1,692 ordinary shares. The weighted average fair values associated with these grants were $65.21 per restricted share and $8.61 per option.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and six months ended March 31, 2018 and 2017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5"/>
              </w:rPr>
              <w:t>Three months ended March 31,</w:t>
            </w:r>
          </w:p>
        </w:tc>
        <w:tc>
          <w:tcPr>
            <w:tcW w:w="19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6"/>
              </w:rPr>
              <w:t>Six months ended March 31,</w:t>
            </w:r>
          </w:p>
        </w:tc>
      </w:tr>
      <w:tr>
        <w:trPr>
          <w:trHeight w:val="142"/>
        </w:trPr>
        <w:tc>
          <w:tcPr>
            <w:tcW w:w="6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901</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13,045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12,674</w:t>
            </w: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10,184</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24,063</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24,445</w:t>
            </w:r>
          </w:p>
        </w:tc>
        <w:tc>
          <w:tcPr>
            <w:tcW w:w="6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As of March 31, 2018, there was $59,732 of unrecognized compensation expense related to unvested stock options and unvested restricted shares. The Company recognizes compensation costs using the graded vesting attribution method which results in a weighted average period of approximately one year over which the unrecognized compensation expense is expected to be recognized.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six months ended March 31, 2018 and 2017:</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2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Declaration Date</w:t>
            </w:r>
          </w:p>
        </w:tc>
        <w:tc>
          <w:tcPr>
            <w:tcW w:w="20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300" w:type="dxa"/>
            <w:vAlign w:val="bottom"/>
          </w:tcPr>
          <w:p>
            <w:pPr>
              <w:spacing w:after="0"/>
              <w:rPr>
                <w:sz w:val="14"/>
                <w:szCs w:val="14"/>
                <w:color w:val="auto"/>
              </w:rPr>
            </w:pPr>
          </w:p>
        </w:tc>
        <w:tc>
          <w:tcPr>
            <w:tcW w:w="246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Record Date</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320" w:type="dxa"/>
            <w:vAlign w:val="bottom"/>
          </w:tcPr>
          <w:p>
            <w:pPr>
              <w:spacing w:after="0"/>
              <w:rPr>
                <w:sz w:val="14"/>
                <w:szCs w:val="14"/>
                <w:color w:val="auto"/>
              </w:rPr>
            </w:pPr>
          </w:p>
        </w:tc>
        <w:tc>
          <w:tcPr>
            <w:tcW w:w="21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Ordinary Share</w:t>
            </w:r>
          </w:p>
        </w:tc>
        <w:tc>
          <w:tcPr>
            <w:tcW w:w="30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30, 2018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35,637</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 2018</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November 8, 2017</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0.220</w:t>
            </w:r>
          </w:p>
        </w:tc>
        <w:tc>
          <w:tcPr>
            <w:tcW w:w="2760" w:type="dxa"/>
            <w:vAlign w:val="bottom"/>
            <w:gridSpan w:val="3"/>
          </w:tcPr>
          <w:p>
            <w:pPr>
              <w:ind w:left="300"/>
              <w:spacing w:after="0"/>
              <w:rPr>
                <w:sz w:val="20"/>
                <w:szCs w:val="20"/>
                <w:color w:val="auto"/>
              </w:rPr>
            </w:pPr>
            <w:r>
              <w:rPr>
                <w:rFonts w:ascii="Arial" w:cs="Arial" w:eastAsia="Arial" w:hAnsi="Arial"/>
                <w:sz w:val="18"/>
                <w:szCs w:val="18"/>
                <w:color w:val="auto"/>
              </w:rPr>
              <w:t>December 29, 2017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31,558</w:t>
            </w:r>
          </w:p>
        </w:tc>
        <w:tc>
          <w:tcPr>
            <w:tcW w:w="2460" w:type="dxa"/>
            <w:vAlign w:val="bottom"/>
            <w:gridSpan w:val="2"/>
          </w:tcPr>
          <w:p>
            <w:pPr>
              <w:ind w:left="320"/>
              <w:spacing w:after="0"/>
              <w:rPr>
                <w:sz w:val="20"/>
                <w:szCs w:val="20"/>
                <w:color w:val="auto"/>
              </w:rPr>
            </w:pPr>
            <w:r>
              <w:rPr>
                <w:rFonts w:ascii="Arial" w:cs="Arial" w:eastAsia="Arial" w:hAnsi="Arial"/>
                <w:sz w:val="18"/>
                <w:szCs w:val="18"/>
                <w:color w:val="auto"/>
              </w:rPr>
              <w:t>January 19, 2018</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0.220</w:t>
            </w:r>
          </w:p>
        </w:tc>
        <w:tc>
          <w:tcPr>
            <w:tcW w:w="27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March 31, 2017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32,223</w:t>
            </w:r>
          </w:p>
        </w:tc>
        <w:tc>
          <w:tcPr>
            <w:tcW w:w="2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April 14, 2017</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November 8, 2016</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0.195</w:t>
            </w:r>
          </w:p>
        </w:tc>
        <w:tc>
          <w:tcPr>
            <w:tcW w:w="2760" w:type="dxa"/>
            <w:vAlign w:val="bottom"/>
            <w:gridSpan w:val="3"/>
          </w:tcPr>
          <w:p>
            <w:pPr>
              <w:ind w:left="300"/>
              <w:spacing w:after="0"/>
              <w:rPr>
                <w:sz w:val="20"/>
                <w:szCs w:val="20"/>
                <w:color w:val="auto"/>
              </w:rPr>
            </w:pPr>
            <w:r>
              <w:rPr>
                <w:rFonts w:ascii="Arial" w:cs="Arial" w:eastAsia="Arial" w:hAnsi="Arial"/>
                <w:sz w:val="18"/>
                <w:szCs w:val="18"/>
                <w:color w:val="auto"/>
              </w:rPr>
              <w:t>December 30, 2016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28,606</w:t>
            </w:r>
          </w:p>
        </w:tc>
        <w:tc>
          <w:tcPr>
            <w:tcW w:w="2460" w:type="dxa"/>
            <w:vAlign w:val="bottom"/>
            <w:gridSpan w:val="2"/>
          </w:tcPr>
          <w:p>
            <w:pPr>
              <w:ind w:left="320"/>
              <w:spacing w:after="0"/>
              <w:rPr>
                <w:sz w:val="20"/>
                <w:szCs w:val="20"/>
                <w:color w:val="auto"/>
              </w:rPr>
            </w:pPr>
            <w:r>
              <w:rPr>
                <w:rFonts w:ascii="Arial" w:cs="Arial" w:eastAsia="Arial" w:hAnsi="Arial"/>
                <w:sz w:val="18"/>
                <w:szCs w:val="18"/>
                <w:color w:val="auto"/>
              </w:rPr>
              <w:t>January 13, 2017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amounts payable as a result of the January 30, 2018 and February 1, 2017 declarations were included in accrued expenses and other current liabilities as of March 31, 2018 and 2017, respectively.</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On May 10, 2018, the Company’s Board of Directors approved a quarterly dividend payment of $0.25 per share, and set June 29, 2018 as the record date for determining the shareholders entitled to receive the dividend, which is payable on July 20,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Company is currently defending a lawsuit against certain of its subsidiaries in the U.S. District Court in Oregon alleging breach of contract and trade secret misappropriation. According to the suit, the Company improperly utilized information received from the plaintiff in connection with its electronic payment processing solution, which is one of several components of its mobile financial services offerings. During fiscal year 2016, the District Court denied the Company’s motions to dismiss and to compel arbitration with respect to certain of the claims, and the proceedings will continue. The Company intends to continue to vigorously defend against the allegations set forth in the complaint. At this stage, the Company cannot determine that a loss amount is probable and is unable to reasonably estimate the ultimate outcome of the above suit, therefore no amounts have been accrued related to the outcome of such suit.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Certain of the Company’s subsidiaries are currently in a dispute with a state-owned enterprise in Ecuador, which appears to have political aspects. The Company’s counterparty has claimed monetary damages. The dispute is over a contract, under which the Company was providing certain services, and which has been terminated by the counterparty in connection with such dispute and which is under scrutiny by certain local governmental authorities. The Company believes it has solid arguments and is vigorously defending its rights. To date, however, such defense efforts, including motions alleging constitutional defects, have encountered a dismissive approach by the Ecuadorian Courts, with reasoning that the Company believes is inconsistent with applicable law. The Company is unable to reasonably estimate the ultimate outcome of the above dispute.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year 2017, filed on December 11, 2017 with the U.S. Securities and Exchange Commission.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Amdocs is a leading provider of software and services for more than 350 communications, Pay TV, entertainment and media industry service providers in developed countries and emerging markets. We develop, implement and manage software and services associated with business support systems (BSS), operational support systems (OSS), the service-driven network and other network solutions, media offerings and digital solutions to enable service providers to efficiently and cost-effectively introduce new products and services, process orders, monetize data, support new business models and generally enhance their understanding of their customers. Our AmdocsONE solution set, launched in the second quarter of fiscal 2018, leverages industry-specific best practices and methodologies to give service providers of all sizes the business agility to successfully navigate the continuous digital transformation process.</w:t>
      </w:r>
    </w:p>
    <w:p>
      <w:pPr>
        <w:spacing w:after="0" w:line="16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believe the demand for our solutions is driven by our clients continued transformation into digital service providers to provide wireless access services, content and apps on any device through 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interaction and across all channels.</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AmdocsONE is designed to meet the challenges facing our customers as they transform into digital service providers within the framework of a hybrid IT environment, which requires them to rapidly introduce new cloud-native applications while still operating legacy systems. It enables modular expansion as a service provider evolves, ensuring low-cost and reduced-risk implementations, while its microservices-based architecture enables the rapid deployment of complex applications as suites of independently deployable services that can be frequently upgraded. In addition, AmdocsONE— provides continuous enhancements via DevOps and machine-learning-driven business process automation to improve operations.</w:t>
      </w:r>
    </w:p>
    <w:p>
      <w:pPr>
        <w:spacing w:after="0" w:line="173"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We also offer entertainment and media products and services for media publishers, TV networks, video streaming providers, ad agencies and advertising service providers. In the second quarter of fiscal 2018, we acquired Vubiquity, a leading provider of premium content services and technology solutions, to further expand into the media and entertainment business.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also offer a comprehensive line of services designed to address every stage of a service provider’s lifecycle, from planning, delivery and implementation to ongoing support. Our services include managed services (which we refer to as intelligent operations), testing, digital business operations, revenue guard, personalized digital interactive billing services, network service assurance and advisory services.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entertainment and media industry. In the six months ended March 31, 2018, customers in North America accounted for 64.4% of our revenue, while customers in Europe and the rest of the world accounted for 14.3% and 21.3%, respectively. We maintain development facilities in Brazil, Canada, Cyprus, India, Ireland, Israel, Mexico, the Philippines, the UK and the United States.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900" w:right="5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7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5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Revenue generated in connection with managed services arrangements is a significant part of our business, generating substantial, long-term recurring revenue streams and cash flow. Revenue from managed services arrangements accounted for approximately $508.9 million and $511.1 million in the three months ended March 31, 2018 and 2017, respectively, and $1.03 billion and $1.01 billion in the six months ended March 31, 2018 and 2017, respectively. In the initial period of our managed services projects, we often invest in modernization and consolidation of the customer’s systems. Managed services engagements can be less profitable in their early stages; however, margins tend to improve over time.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sets forth for the three and six months ended March 31, 2018 and 2017, certain items in our consolidated statements of income reflected as a percentage of revenue: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Three months</w:t>
            </w:r>
          </w:p>
        </w:tc>
        <w:tc>
          <w:tcPr>
            <w:tcW w:w="14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9"/>
              </w:rPr>
              <w:t>March 31,</w:t>
            </w:r>
          </w:p>
        </w:tc>
        <w:tc>
          <w:tcPr>
            <w:tcW w:w="14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2018</w:t>
            </w:r>
          </w:p>
        </w:tc>
        <w:tc>
          <w:tcPr>
            <w:tcW w:w="4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expenses:</w:t>
            </w: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352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65.2</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64.4</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65.5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520" w:type="dxa"/>
            <w:vAlign w:val="bottom"/>
            <w:gridSpan w:val="3"/>
          </w:tcPr>
          <w:p>
            <w:pPr>
              <w:jc w:val="right"/>
              <w:ind w:right="408"/>
              <w:spacing w:after="0"/>
              <w:rPr>
                <w:sz w:val="20"/>
                <w:szCs w:val="20"/>
                <w:color w:val="auto"/>
              </w:rPr>
            </w:pPr>
            <w:r>
              <w:rPr>
                <w:rFonts w:ascii="Arial" w:cs="Arial" w:eastAsia="Arial" w:hAnsi="Arial"/>
                <w:sz w:val="18"/>
                <w:szCs w:val="18"/>
                <w:color w:val="auto"/>
              </w:rPr>
              <w:t>6.5</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7.0</w:t>
            </w:r>
          </w:p>
        </w:tc>
        <w:tc>
          <w:tcPr>
            <w:tcW w:w="860" w:type="dxa"/>
            <w:vAlign w:val="bottom"/>
            <w:gridSpan w:val="2"/>
          </w:tcPr>
          <w:p>
            <w:pPr>
              <w:jc w:val="right"/>
              <w:ind w:right="408"/>
              <w:spacing w:after="0"/>
              <w:rPr>
                <w:sz w:val="20"/>
                <w:szCs w:val="20"/>
                <w:color w:val="auto"/>
              </w:rPr>
            </w:pPr>
            <w:r>
              <w:rPr>
                <w:rFonts w:ascii="Arial" w:cs="Arial" w:eastAsia="Arial" w:hAnsi="Arial"/>
                <w:sz w:val="18"/>
                <w:szCs w:val="18"/>
                <w:color w:val="auto"/>
              </w:rPr>
              <w:t>6.8</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52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12.1</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12.1</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660" w:type="dxa"/>
            <w:vAlign w:val="bottom"/>
          </w:tcPr>
          <w:p>
            <w:pPr>
              <w:spacing w:after="0"/>
              <w:rPr>
                <w:sz w:val="18"/>
                <w:szCs w:val="18"/>
                <w:color w:val="auto"/>
              </w:rPr>
            </w:pPr>
          </w:p>
        </w:tc>
        <w:tc>
          <w:tcPr>
            <w:tcW w:w="860" w:type="dxa"/>
            <w:vAlign w:val="bottom"/>
            <w:gridSpan w:val="2"/>
          </w:tcPr>
          <w:p>
            <w:pPr>
              <w:jc w:val="right"/>
              <w:ind w:right="408"/>
              <w:spacing w:after="0"/>
              <w:rPr>
                <w:sz w:val="20"/>
                <w:szCs w:val="20"/>
                <w:color w:val="auto"/>
              </w:rPr>
            </w:pPr>
            <w:r>
              <w:rPr>
                <w:rFonts w:ascii="Arial" w:cs="Arial" w:eastAsia="Arial" w:hAnsi="Arial"/>
                <w:sz w:val="18"/>
                <w:szCs w:val="18"/>
                <w:color w:val="auto"/>
              </w:rPr>
              <w:t>2.9</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3.0</w:t>
            </w:r>
          </w:p>
        </w:tc>
        <w:tc>
          <w:tcPr>
            <w:tcW w:w="860" w:type="dxa"/>
            <w:vAlign w:val="bottom"/>
            <w:gridSpan w:val="2"/>
          </w:tcPr>
          <w:p>
            <w:pPr>
              <w:jc w:val="right"/>
              <w:ind w:right="408"/>
              <w:spacing w:after="0"/>
              <w:rPr>
                <w:sz w:val="20"/>
                <w:szCs w:val="20"/>
                <w:color w:val="auto"/>
              </w:rPr>
            </w:pPr>
            <w:r>
              <w:rPr>
                <w:rFonts w:ascii="Arial" w:cs="Arial" w:eastAsia="Arial" w:hAnsi="Arial"/>
                <w:sz w:val="18"/>
                <w:szCs w:val="18"/>
                <w:color w:val="auto"/>
              </w:rPr>
              <w:t>2.8</w:t>
            </w: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86.7</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86.2</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87.2</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6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6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12.8</w:t>
            </w:r>
          </w:p>
        </w:tc>
        <w:tc>
          <w:tcPr>
            <w:tcW w:w="4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expense, net</w:t>
            </w:r>
          </w:p>
        </w:tc>
        <w:tc>
          <w:tcPr>
            <w:tcW w:w="352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6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6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12.8</w:t>
            </w:r>
          </w:p>
        </w:tc>
        <w:tc>
          <w:tcPr>
            <w:tcW w:w="4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3.0</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w:t>
            </w:r>
          </w:p>
        </w:tc>
        <w:tc>
          <w:tcPr>
            <w:tcW w:w="8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360"/>
              <w:spacing w:after="0"/>
              <w:rPr>
                <w:sz w:val="20"/>
                <w:szCs w:val="20"/>
                <w:color w:val="auto"/>
              </w:rPr>
            </w:pPr>
            <w:r>
              <w:rPr>
                <w:rFonts w:ascii="Arial" w:cs="Arial" w:eastAsia="Arial" w:hAnsi="Arial"/>
                <w:sz w:val="18"/>
                <w:szCs w:val="18"/>
                <w:color w:val="auto"/>
              </w:rPr>
              <w:t>Net income</w:t>
            </w:r>
          </w:p>
        </w:tc>
        <w:tc>
          <w:tcPr>
            <w:tcW w:w="26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860" w:type="dxa"/>
            <w:vAlign w:val="bottom"/>
            <w:gridSpan w:val="2"/>
          </w:tcPr>
          <w:p>
            <w:pPr>
              <w:jc w:val="right"/>
              <w:ind w:right="248"/>
              <w:spacing w:after="0"/>
              <w:rPr>
                <w:sz w:val="20"/>
                <w:szCs w:val="20"/>
                <w:color w:val="auto"/>
              </w:rPr>
            </w:pPr>
            <w:r>
              <w:rPr>
                <w:rFonts w:ascii="Arial" w:cs="Arial" w:eastAsia="Arial" w:hAnsi="Arial"/>
                <w:sz w:val="18"/>
                <w:szCs w:val="18"/>
                <w:color w:val="auto"/>
              </w:rPr>
              <w:t>10.3%</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11.7%</w:t>
            </w:r>
          </w:p>
        </w:tc>
        <w:tc>
          <w:tcPr>
            <w:tcW w:w="860" w:type="dxa"/>
            <w:vAlign w:val="bottom"/>
            <w:gridSpan w:val="2"/>
          </w:tcPr>
          <w:p>
            <w:pPr>
              <w:jc w:val="right"/>
              <w:ind w:right="248"/>
              <w:spacing w:after="0"/>
              <w:rPr>
                <w:sz w:val="20"/>
                <w:szCs w:val="20"/>
                <w:color w:val="auto"/>
              </w:rPr>
            </w:pPr>
            <w:r>
              <w:rPr>
                <w:rFonts w:ascii="Arial" w:cs="Arial" w:eastAsia="Arial" w:hAnsi="Arial"/>
                <w:sz w:val="18"/>
                <w:szCs w:val="18"/>
                <w:color w:val="auto"/>
              </w:rPr>
              <w:t>11.0%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60" w:type="dxa"/>
            <w:vAlign w:val="bottom"/>
            <w:vMerge w:val="restart"/>
          </w:tcPr>
          <w:p>
            <w:pPr>
              <w:jc w:val="right"/>
              <w:ind w:right="1930"/>
              <w:spacing w:after="0"/>
              <w:rPr>
                <w:sz w:val="20"/>
                <w:szCs w:val="20"/>
                <w:color w:val="auto"/>
              </w:rPr>
            </w:pPr>
            <w:r>
              <w:rPr>
                <w:rFonts w:ascii="Arial" w:cs="Arial" w:eastAsia="Arial" w:hAnsi="Arial"/>
                <w:sz w:val="18"/>
                <w:szCs w:val="18"/>
                <w:color w:val="auto"/>
              </w:rPr>
              <w:t>23</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2018 and 2017</w:t>
      </w:r>
    </w:p>
    <w:p>
      <w:pPr>
        <w:spacing w:after="0" w:line="121"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six months ended March 31, 2018 compared to the six months ended March 31, 2017. Following the table is a discussion and analysis of our business and results of operations for such periods.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Six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1,970,051</w:t>
            </w: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1,920,736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49,315</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1,289,784</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1,242,571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47,213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133,103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127,293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5,810</w:t>
            </w: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238,867</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238,544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54,327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56,954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(2,627)</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1,716,081</w:t>
            </w: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1,665,362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50,719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253,970</w:t>
            </w:r>
          </w:p>
        </w:tc>
        <w:tc>
          <w:tcPr>
            <w:tcW w:w="1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255,374</w:t>
            </w:r>
          </w:p>
        </w:tc>
        <w:tc>
          <w:tcPr>
            <w:tcW w:w="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(1,404)</w:t>
            </w:r>
          </w:p>
        </w:tc>
        <w:tc>
          <w:tcPr>
            <w:tcW w:w="400" w:type="dxa"/>
            <w:vAlign w:val="bottom"/>
            <w:vMerge w:val="continue"/>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3,113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253,852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252,143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40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6,538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218,600</w:t>
            </w:r>
          </w:p>
        </w:tc>
        <w:tc>
          <w:tcPr>
            <w:tcW w:w="1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210,353</w:t>
            </w:r>
          </w:p>
        </w:tc>
        <w:tc>
          <w:tcPr>
            <w:tcW w:w="1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8,247</w:t>
            </w:r>
          </w:p>
        </w:tc>
        <w:tc>
          <w:tcPr>
            <w:tcW w:w="400" w:type="dxa"/>
            <w:vAlign w:val="bottom"/>
            <w:vMerge w:val="continue"/>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$49.3 million, or 2.6%, to $1,970.1 million in the six months ended March 31, 2018, from $1,920.7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2017. The increase in revenue, which was net of a decrease of approximately 0.5% from the sale of directory systems, was attributable to increased activity in Europe. The 2.6% increase in revenue, was positively affected by approximately one and a half percent from foreign exchange fluctuations.</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Revenue attributable to the sale of customer experience solutions increased by $60.2 million, or 3.2%, to $1,946.7 million in the six months ended March 31, 2018, from $1,886.5 million in the six months ended March 31, 2017. The increase in revenue was attributable to increased activity in Europe. Revenue resulting from the sale of customer experience solutions represented 98.8% and 98.2% of our total revenue in the six months ended March 31, 2018 and 2017.</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Revenue attributable to the sale of directory systems decreased by $10.8 million, or 31.6%, to $23.4 million in the six months ended March 31, 2018, from $34.2 million in the six months ended March 31, 2017. This decrease was primarily attributable to continued slowness in the directory systems market and we anticipate revenue from the sale of directory systems will continue to decline in fiscal year 2018. Revenue from the sale of directory systems represented 1.2% and 1.8% of our total revenue in the six months ended March 31, 2018 and 2017.</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the six months ended March 31, 2018, revenue from customers in North America, Europe and the rest of the world accounted for 64.4%, 14.3% and 21.3%, respectively, of total revenue, compared to 65.8%, 12.2% and 22.0%, respectively, the six months ended March 31, 2017. The decrease in the percentage of revenue from customers in North America was primarily attributable to lower activity with AT&amp;T which was offset by higher revenue from other key customers in North America and by activities related to Vubiquity and Projekt202, which we acquired in fiscal year 2018. The increase in revenue from customers in Europe was primarily attributable to higher revenue from development and modernization activities as well as to positive foreign exchange fluctuations.</w:t>
      </w:r>
    </w:p>
    <w:p>
      <w:pPr>
        <w:spacing w:after="0" w:line="2" w:lineRule="exact"/>
        <w:rPr>
          <w:sz w:val="20"/>
          <w:szCs w:val="20"/>
          <w:color w:val="auto"/>
        </w:rPr>
      </w:pPr>
    </w:p>
    <w:p>
      <w:pPr>
        <w:jc w:val="both"/>
        <w:ind w:right="420"/>
        <w:spacing w:after="0" w:line="302" w:lineRule="auto"/>
        <w:rPr>
          <w:sz w:val="20"/>
          <w:szCs w:val="20"/>
          <w:color w:val="auto"/>
        </w:rPr>
      </w:pPr>
      <w:r>
        <w:rPr>
          <w:rFonts w:ascii="Arial" w:cs="Arial" w:eastAsia="Arial" w:hAnsi="Arial"/>
          <w:sz w:val="16"/>
          <w:szCs w:val="16"/>
          <w:color w:val="auto"/>
        </w:rPr>
        <w:t>Revenue from customers in the rest of the world decreased as a percentage of total revenue during the six months ended March 31, 2018. Revenue from customers in Asia-Pacific increased as a percentage of total revenue during the six months ended March 31, 2018 as a result of our progress for new and existing customers, this was offset by decrease in revenue from customers in other areas in rest of the world as a percentage of total revenue.</w:t>
      </w:r>
    </w:p>
    <w:p>
      <w:pPr>
        <w:spacing w:after="0" w:line="155"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consists primarily of costs associated with providing services to customers, including compensation expense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of third-party products, as well as fee and royalty payments to software suppliers. Cost of revenue increased by $47.2 million, or 3.8%, to</w:t>
      </w:r>
    </w:p>
    <w:p>
      <w:pPr>
        <w:jc w:val="both"/>
        <w:spacing w:after="0" w:line="277" w:lineRule="auto"/>
        <w:rPr>
          <w:sz w:val="20"/>
          <w:szCs w:val="20"/>
          <w:color w:val="auto"/>
        </w:rPr>
      </w:pPr>
      <w:r>
        <w:rPr>
          <w:rFonts w:ascii="Arial" w:cs="Arial" w:eastAsia="Arial" w:hAnsi="Arial"/>
          <w:sz w:val="17"/>
          <w:szCs w:val="17"/>
          <w:color w:val="auto"/>
        </w:rPr>
        <w:t>$1,289.8 million in the six months ended March 31, 2018, from $1,242.6 million in the six months ended March 31, 2017. As a percentage of revenue, cost of revenue increased to 65.5% in the six months ended March 31, 2018 from 64.7% in the six months ended March 31, 2017, as a result of changes in fair value of certain acquisition-related liabilities recognized in the six months ended March 31, 2018 and March 31, 2017.</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$5.8 million, or 4.6%, to $133.1 million in the six months ended March 31, 2018, from $127.3 million in the six months ended March 31, 2017. Research and development expense increased as a percentage of revenue from 6.6% in the six months ended March 31, 2017, to 6.8% in the six months ended March 31, 2018, as we continue to expand our digital offering.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 increased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$0.3 million, or 0.1%, to $238.9 million in the six months ended March 31, 2018, from $238.5 million in the six months ended March 31, 2017. Selling, general and administrative expense may fluctuate from time to time, depending upon such factors as changes in our workforce and sales efforts and the results of any operational efficiency programs that we may undertake.</w:t>
      </w:r>
    </w:p>
    <w:p>
      <w:pPr>
        <w:spacing w:after="0" w:line="187"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six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decreased by $2.6 million, or 4.6% to $54.3 million from $57.0 million in the six months ended March 31, 2017. The decrease in amortization of purchased intangible assets and other was primarily attributable to a decrease in amortization of intangible assets due to timing of amortization charges of previously purchased intangible assets offset by increase of amortization of intangible assets due to the acquisitions of Vubiquity, Projekt202 and other acquisitions completed in fiscal year 2018.</w:t>
      </w:r>
    </w:p>
    <w:p>
      <w:pPr>
        <w:spacing w:after="0" w:line="188"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b w:val="1"/>
          <w:bCs w:val="1"/>
          <w:i w:val="1"/>
          <w:iCs w:val="1"/>
          <w:color w:val="auto"/>
        </w:rPr>
        <w:t>Operating Income</w:t>
      </w:r>
      <w:r>
        <w:rPr>
          <w:rFonts w:ascii="Arial" w:cs="Arial" w:eastAsia="Arial" w:hAnsi="Arial"/>
          <w:sz w:val="16"/>
          <w:szCs w:val="16"/>
          <w:color w:val="auto"/>
        </w:rPr>
        <w:t>. Operating income decreased by $1.4 million, or 0.5%, in the six months ended March 31, 2018, to $254.0 million, or 12.8%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from $255.4 million, or 13.3% of revenue, in the six months ended March 31, 2017. The decrease in operating income as a percentage of revenue was attributable to operating expenses, particularly cost of revenue, increasing at a higher rate than revenue. Negative foreign exchange impacts on our operating expenses were partially offset by the positive foreign exchange impacts on our revenue, resulting in a negative impact on our operating income.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Interest and Other Expense, Net. </w:t>
      </w:r>
      <w:r>
        <w:rPr>
          <w:rFonts w:ascii="Arial" w:cs="Arial" w:eastAsia="Arial" w:hAnsi="Arial"/>
          <w:sz w:val="17"/>
          <w:szCs w:val="17"/>
          <w:color w:val="auto"/>
        </w:rPr>
        <w:t>Interest and other expense, net, changed from a net loss of $3.2 million in the six months ended March 31, 2017 to</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$0.1 million net loss in the six months ended March 31, 2018. The decrease in interest and other expense, net, was primarily attributable to foreign exchange impacts.</w:t>
      </w:r>
    </w:p>
    <w:p>
      <w:pPr>
        <w:spacing w:after="0" w:line="18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six months ended March 31, 2018 were $35.3 million on pre-tax income of $253.9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13.9%, compared to 16.6% in the six months ended March 31, 2017. Our effective tax rate may fluctuate between periods as a result of discrete items that may affect a particular period. Please see Note 10 to our consolidated financial statements.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$8.2 million, or 3.9%, to $218.6 million in the six months ended March 31, 2018, from $210.4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2017. The increase in net income was attributable to the decrease in income taxes coupled with the decrease in interest and other expense, net.</w:t>
      </w:r>
    </w:p>
    <w:p>
      <w:pPr>
        <w:spacing w:after="0" w:line="18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Diluted Earnings Per Share. </w:t>
      </w:r>
      <w:r>
        <w:rPr>
          <w:rFonts w:ascii="Arial" w:cs="Arial" w:eastAsia="Arial" w:hAnsi="Arial"/>
          <w:sz w:val="17"/>
          <w:szCs w:val="17"/>
          <w:color w:val="auto"/>
        </w:rPr>
        <w:t>Diluted earnings per share increased by $0.09, or 6.3%, to $1.51 in the six months ended March 31, 2018, from $1.42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six months ended March 31, 2017. The increase in diluted earnings per share was primarily attributable to the increase in net income, as well as to the decrease in the diluted weighted average number of shares outstanding which resulted from share repurchases.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and 2017</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March 31, 2018 compared to the three months ended March 31, 2017. Following the table is a discussion and analysis of our business and results of operations for such periods.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9"/>
              </w:rPr>
              <w:t>Increase (Decrease)</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$992,340</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$966,009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$ 26,331</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646,587</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621,737</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24,850</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64,926</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67,303</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(2,377)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120,199</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114,465</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5,734</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28,801</w:t>
            </w:r>
          </w:p>
        </w:tc>
        <w:tc>
          <w:tcPr>
            <w:tcW w:w="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28,723</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78</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832,228</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28,285</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4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468</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(48.9)</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4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29,861</w:t>
            </w:r>
          </w:p>
        </w:tc>
        <w:tc>
          <w:tcPr>
            <w:tcW w:w="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20,753</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9,108</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260"/>
              <w:spacing w:after="0"/>
              <w:rPr>
                <w:sz w:val="20"/>
                <w:szCs w:val="20"/>
                <w:color w:val="auto"/>
              </w:rPr>
            </w:pPr>
            <w:r>
              <w:rPr>
                <w:rFonts w:ascii="Arial" w:cs="Arial" w:eastAsia="Arial" w:hAnsi="Arial"/>
                <w:sz w:val="16"/>
                <w:szCs w:val="16"/>
                <w:color w:val="auto"/>
                <w:w w:val="74"/>
              </w:rPr>
              <w:t>)</w:t>
            </w: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101,727</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112,560</w:t>
            </w:r>
          </w:p>
        </w:tc>
        <w:tc>
          <w:tcPr>
            <w:tcW w:w="2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(10,833</w:t>
            </w:r>
          </w:p>
        </w:tc>
        <w:tc>
          <w:tcPr>
            <w:tcW w:w="400" w:type="dxa"/>
            <w:vAlign w:val="bottom"/>
            <w:vMerge w:val="continue"/>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$26.3 million, or 2.7%, to $992.3 million in the three months ended March 31, 2018, from $966.0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2017. The increase in revenue, which was net of a decrease of approximately 0.6% from the sale of directory systems, was attributable to increased activity in Europe, as well as in the rest of the world, partially offset by lower revenue from North America. The 2.7% increase in revenue, was positively affected by activity related to the acquisitions of Vubiquity, Projekt202 and UXP, which were acquired in fiscal year 2018, as well as approximately two percent from foreign exchange fluctuations.</w:t>
      </w:r>
    </w:p>
    <w:p>
      <w:pPr>
        <w:spacing w:after="0" w:line="18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Revenue attributable to the sale of customer experience solutions increased by $32.1 million, or 3.4%, to $980.7 million in the three months ended March 31, 2018, from $948.6 million in the three months ended March 31, 2017. The increase in revenue was attributable to increased activity in Europe, as well as in the rest of the world, partially offset by lower revenue from North America. Revenue resulting from the sale of customer experience solutions represented 98.8% and 98.2% of our total revenue in the three months ended March 31, 2018 and 2017, respectively.</w:t>
      </w:r>
    </w:p>
    <w:p>
      <w:pPr>
        <w:spacing w:after="0" w:line="17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Revenue attributable to the sale of directory systems decreased by $5.8 million, or 33.3%, to $11.6 million in the three months ended March 31, 2018, from $17.4 million in the three months ended March 31, 2017. This decrease was primarily attributable to continued slowness in the directory systems market and we anticipate revenue from the sale of directory systems will continue to decline in fiscal year 2018. Revenue from the sale of directory systems represented 1.2% and 1.8% of our total revenue in the three months ended March 31, 2018 and 2017, respectively.</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three months ended March 31, 2018, revenue from customers in North America, Europe and the rest of the world accounted for 62.9%, 15.0% and 22.1%, respectively, of total revenue, compared to 65.9%, 11.9% and 22.2%, respectively, in the three months ended March 31, 2017. The decrease in the percentage of revenue from customers in North America was primarily attributable to lower activity with AT&amp;T which was offset by higher revenue from other key customers in North America and by activities related to Vubiquity and Projekt202, which we acquired in fiscal year 2018. The increase in revenue from customers in Europe was primarily attributable to higher revenue from development and modernization activities as well as to positive foreign exchange fluctuations. Revenue from customers in the rest of the world decreased as a percentage of total revenue during the three months ended March 31, 2018. Revenue from customers in Asia-Pacific increased as a percentage of total revenue during the three months ended March 31, 2018 as a result of our progress for new and existing customers, this was offset by decrease in revenue from customers in other areas in rest of the world as a percentage of total revenue.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color w:val="auto"/>
        </w:rPr>
        <w:t>. Cost of revenue increased by $24.9 million, or 4.0%, to $646.6 million in the three months ended March 31, 2018, from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$621.7 million in the three months ended March 31, 2017. As a percentage of revenue, cost of revenue increased to 65.2% in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2018, from 64.4% in the three months ended March 31, 2017. The decrease in the gross margin in the three months ended March 31, 2018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attributable to a gain resulting from changes in fair value of certain acquisition-related liabilities recognized in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 Research and development expense decreased by $2.4 million, or 3.5%, to $64.9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2018, from $67.3 million in the three months ended March 31, 2017. Research and development expense as a percentage of revenue to 6.5% in the three months ended March 31, 2018, from 7.0% in the three months ended March 31, 2017.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increased by $5.7 million, or 5.0%, to $120.2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2018, from $114.5 million in the three months ended March 31, 2017. The increase in Selling, general and administrative expense is primarily attributable to activities related to Vubiquity and Projekt202, which we acquired in fiscal year 2018.</w:t>
      </w:r>
    </w:p>
    <w:p>
      <w:pPr>
        <w:spacing w:after="0" w:line="18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b w:val="1"/>
          <w:bCs w:val="1"/>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increased by $0.1 million, or 0.3% to $28.8 million from $28.7 million in the three months ended March 31, 2017. The increase in amortization of purchased intangible assets and other was primarily attributable to an increase in amortization of intangible assets due to the acquisitions of Vubiquity, Projekt202 and other acquisitions completed in fiscal year 2018, partially offset by timing of amortization charges of previously purchased intangible assets.</w:t>
      </w:r>
    </w:p>
    <w:p>
      <w:pPr>
        <w:spacing w:after="0" w:line="15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$2.0 million, or 1.5%, in the three months ended March 31, 2018, to $131.8 million, or 13.3%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$133.8 million, or 13.8% of revenue, in the three months ended March 31, 2017. The decrease in operating income as a percentage of revenue was attributable to operating expenses, particularly cost of revenue, increasing at a higher rate than revenue. Positive foreign exchange impacts on our revenue were partially offset by the negative foreign exchange impacts on our operating expenses, resulting in a minor positive impact on our operating income.</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changed from a net loss of $0.5 million in the three months ended March 31, 2017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net loss of $0.2 million in the three months ended March 31, 2018. This change in interest and other expense, net, was primarily attributable to foreign exchange impacts.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March 31, 2018 were $29.9 million on pre-tax income of $131.6 million, resulting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of 22.7%, compared to 15.6% in the three months ended March 31, 2017. Our effective tax rate may fluctuate between periods as a result of discrete items that may affect a particular period. Please see Note 10 to our consolidated financial statements.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$10.8 million, or 9.6%, to $101.7 million in the three months ended March 31, 2018, from $112.6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2017. The decrease in net income was primarily attributable to the increase in income taxes.</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Diluted Earnings Per Share. </w:t>
      </w:r>
      <w:r>
        <w:rPr>
          <w:rFonts w:ascii="Arial" w:cs="Arial" w:eastAsia="Arial" w:hAnsi="Arial"/>
          <w:sz w:val="17"/>
          <w:szCs w:val="17"/>
          <w:color w:val="auto"/>
        </w:rPr>
        <w:t>Diluted earnings per share decreased by $0.06, or 7.9%, to $0.70 in the three months ended March 31, 2018, from $0.76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three months ended March 31, 2017. The decrease in diluted earnings per share was attributable to the decrease in net income, partially offset by the decrease in the diluted weighted average number of shares outstanding which resulted from share repurchases.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net of short-term debt, totaled $546.8 million as of March 31, 2018, compared to $979.6 million as of September 30, 2017. The decrease was mainly attributable to $352.6 million in net cash paid for acquisition, $239.8 million used to repurchase our ordinary shares, $162.1 million for capital expenditures, net and $63.3 million of cash dividend payment, partially offset by $278.3 million positive cash flow from operations, proceeds from stock option exercises</w:t>
      </w:r>
    </w:p>
    <w:p>
      <w:pPr>
        <w:spacing w:after="0" w:line="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$65.6 million and $47.0 million investment by noncontrolling interests, net. Net cash provided by operating activities amounted to $278.3 million and $275.4 million in the six months ended March 31, 2018 and 2017, respectively.</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twelve months.</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a general long-term guideline, we expect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In fiscal year 2018, we plan to return to shareholders approximately 100% of our free cash flow before the capital expenditures associated with the multiyear development of our new campus in Israel, through our ongoing share repurchase and dividend program.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16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bank deposits, corporate bonds, U.S. government treasuries, U.S. agency securities, money market funds and asset backed obligations. We believe we have conservative investment policy guidelines. Our interest-bearing investments are stated at fair value with the unrealized gains or losses reported as a separate component of accumulated other comprehensive (loss) income,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six months ended March 31, 2018 and 2017, we recognized immaterial credit losses. Please see Notes 5 and 6 to the consolidated financial statements.</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Revolving Credit Facility, Letters of Credit, Guarantees and Contractual Obligations. </w:t>
      </w:r>
      <w:r>
        <w:rPr>
          <w:rFonts w:ascii="Arial" w:cs="Arial" w:eastAsia="Arial" w:hAnsi="Arial"/>
          <w:sz w:val="18"/>
          <w:szCs w:val="18"/>
          <w:color w:val="auto"/>
        </w:rPr>
        <w:t>In December 2011, we entered into an unsecured $500.0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five-year revolving credit facility with a syndicate of banks. In December 2014 and in December 2017, the credit facility was amended and restated to, among other things, extend the maturity date of the facility to December 2019 and December 2022, respectively. In March 2018, we borrowed an aggregate of $120.0 under the unsecured $500.0 facility and repaid it in full in April 2018. As of March 31, 2018, we were in compliance with the financial covenants under the revolving credit facility.</w:t>
      </w:r>
    </w:p>
    <w:p>
      <w:pPr>
        <w:spacing w:after="0" w:line="18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As of March 31, 2018, we had additional uncommitted lines of credit available for general corporate and other specific purposes and had outstanding letters of credit and bank guarantees from various banks totaling $55.1 million. These were supported by a combination of the uncommitted lines of credit that we maintain with various banks.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contractual obligations for our non-cancelable operating leases, long-term debt, purchase obligations, pension funding and unrecognized tax benefits summarized in the disclosure of contractual obligations set forth in our Annual Report on Form 20-F for the fiscal year ended September 30, 2017, filed on December 11, 2017 with the SEC. Since September 30, 2017, there have been no material changes in our aggregate contractual obligations other than as set forth in Note 1 to our consolidated financial statements.</w:t>
      </w:r>
    </w:p>
    <w:p>
      <w:pPr>
        <w:spacing w:after="0" w:line="18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Generally, 80% to 90% of our capital expenditures (excluding the investment in our new campus in Israel) consist of purchases</w:t>
      </w:r>
      <w:r>
        <w:rPr>
          <w:rFonts w:ascii="Arial" w:cs="Arial" w:eastAsia="Arial" w:hAnsi="Arial"/>
          <w:sz w:val="16"/>
          <w:szCs w:val="16"/>
          <w:i w:val="1"/>
          <w:iCs w:val="1"/>
          <w:color w:val="auto"/>
        </w:rPr>
        <w:t xml:space="preserve"> </w:t>
      </w:r>
      <w:r>
        <w:rPr>
          <w:rFonts w:ascii="Arial" w:cs="Arial" w:eastAsia="Arial" w:hAnsi="Arial"/>
          <w:sz w:val="16"/>
          <w:szCs w:val="16"/>
          <w:color w:val="auto"/>
        </w:rPr>
        <w:t>of computer equipment, and the remainder is attributable mainly to leasehold improvements. Our capital expenditures were approximately $162.1 million in the six months ended March 31, 2018 and were mainly attributable to investments in our operating facilities and our development centers around the world. Our policy is to fund our capital expenditures from operating cash flows and we do not anticipate any changes to this policy in the foreseeable future. Regarding our expected investment in our new Campus in Israel. Please see Note 1 to our consolidated financial statements.</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From time to time, our Board of Directors has adopted share repurchase plans authorizing the repurchase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Our Board of Directors adopted a share repurchase plan, on February 2, 2016, which authorized the repurchase of up to $750.0 of our outstanding ordinary shares with no expiration date. In the six months ended March 31, 2018, we repurchased approximately 3,640 ordinary shares at an average price of $65.86 per share (excluding broker and transaction fees). As of March 31, 2018, we had remaining authority to repurchase up to $16.5 of our outstanding ordinary shares under the February, 2016 plan. On November 8, 2017, Our Board of Directors adopted another share repurchase plan for the repurchase of up to an additional $800.0 of our outstanding ordinary shares with no expiration date. As of March 31, 2018, the November 2017 plan has not yet been utilized. The plans permit us to purchase our ordinary shares in open market or privately negotiated transactions at times and prices that we consider appropriate. As of March 31, 2018, we had remaining authority to repurchase up to $816.5 of our outstanding ordinary shares under the plans.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six months ended March 31, 2018 and 2017:</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2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Declaration Date</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4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Record Date</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21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Ordinary Share</w:t>
            </w:r>
          </w:p>
        </w:tc>
        <w:tc>
          <w:tcPr>
            <w:tcW w:w="2480" w:type="dxa"/>
            <w:vAlign w:val="bottom"/>
            <w:gridSpan w:val="2"/>
            <w:vMerge w:val="continue"/>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6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30, 2018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35,637</w:t>
            </w:r>
          </w:p>
        </w:tc>
        <w:tc>
          <w:tcPr>
            <w:tcW w:w="6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 2018</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November 8, 2017</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0.220</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December 29, 2017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31,558</w:t>
            </w:r>
          </w:p>
        </w:tc>
        <w:tc>
          <w:tcPr>
            <w:tcW w:w="2160" w:type="dxa"/>
            <w:vAlign w:val="bottom"/>
          </w:tcPr>
          <w:p>
            <w:pPr>
              <w:spacing w:after="0"/>
              <w:rPr>
                <w:sz w:val="20"/>
                <w:szCs w:val="20"/>
                <w:color w:val="auto"/>
              </w:rPr>
            </w:pPr>
            <w:r>
              <w:rPr>
                <w:rFonts w:ascii="Arial" w:cs="Arial" w:eastAsia="Arial" w:hAnsi="Arial"/>
                <w:sz w:val="18"/>
                <w:szCs w:val="18"/>
                <w:color w:val="auto"/>
              </w:rPr>
              <w:t>January 19, 2018</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0.220</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2017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32,223</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April 14, 2017</w:t>
            </w: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November 8, 2016</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0.195</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December 30, 2016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28,606</w:t>
            </w:r>
          </w:p>
        </w:tc>
        <w:tc>
          <w:tcPr>
            <w:tcW w:w="2160" w:type="dxa"/>
            <w:vAlign w:val="bottom"/>
          </w:tcPr>
          <w:p>
            <w:pPr>
              <w:spacing w:after="0"/>
              <w:rPr>
                <w:sz w:val="20"/>
                <w:szCs w:val="20"/>
                <w:color w:val="auto"/>
              </w:rPr>
            </w:pPr>
            <w:r>
              <w:rPr>
                <w:rFonts w:ascii="Arial" w:cs="Arial" w:eastAsia="Arial" w:hAnsi="Arial"/>
                <w:sz w:val="18"/>
                <w:szCs w:val="18"/>
                <w:color w:val="auto"/>
              </w:rPr>
              <w:t>January 13, 2017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On May 10, 2018, our Board of Directors approved a quarterly dividend payment of $0.25 per share, and set June 29, 2018 as the record date for determining the shareholders entitled to receive the dividend, which is payable on July 20, 2018.</w:t>
      </w:r>
    </w:p>
    <w:p>
      <w:pPr>
        <w:spacing w:after="0" w:line="17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During the six months ended March 31, 2018 and 2017,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March 31, 2018 of equity securities that are registered by us pursuant to Section 12 of the Exchange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(c)</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rPr>
              <w:t>(b)</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320" w:type="dxa"/>
            <w:vAlign w:val="bottom"/>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32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740" w:type="dxa"/>
            <w:vAlign w:val="bottom"/>
            <w:gridSpan w:val="2"/>
            <w:vMerge w:val="restart"/>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1"/>
        </w:trPr>
        <w:tc>
          <w:tcPr>
            <w:tcW w:w="460" w:type="dxa"/>
            <w:vAlign w:val="bottom"/>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3740" w:type="dxa"/>
            <w:vAlign w:val="bottom"/>
            <w:tcBorders>
              <w:bottom w:val="single" w:sz="8" w:color="CCEEFF"/>
            </w:tcBorders>
            <w:gridSpan w:val="2"/>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Paid per Share(1)</w:t>
            </w:r>
          </w:p>
        </w:tc>
        <w:tc>
          <w:tcPr>
            <w:tcW w:w="6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or Programs(2)</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41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01/01/18-01/31/18</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309,425</w:t>
            </w: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67.83</w:t>
            </w:r>
          </w:p>
        </w:tc>
        <w:tc>
          <w:tcPr>
            <w:tcW w:w="6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309,425</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915,400,866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02/01/18-02/28/18</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762,230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66.10</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762,230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865,019,278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03/01/18-03/31/18</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716,084</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67.71</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716,084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816,535,701</w:t>
            </w:r>
          </w:p>
        </w:tc>
        <w:tc>
          <w:tcPr>
            <w:tcW w:w="0" w:type="dxa"/>
            <w:vAlign w:val="bottom"/>
          </w:tcPr>
          <w:p>
            <w:pPr>
              <w:spacing w:after="0"/>
              <w:rPr>
                <w:sz w:val="1"/>
                <w:szCs w:val="1"/>
                <w:color w:val="auto"/>
              </w:rPr>
            </w:pPr>
          </w:p>
        </w:tc>
      </w:tr>
      <w:tr>
        <w:trPr>
          <w:trHeight w:val="223"/>
        </w:trPr>
        <w:tc>
          <w:tcPr>
            <w:tcW w:w="462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1,787,739</w:t>
            </w:r>
          </w:p>
        </w:tc>
        <w:tc>
          <w:tcPr>
            <w:tcW w:w="20" w:type="dxa"/>
            <w:vAlign w:val="bottom"/>
            <w:tcBorders>
              <w:bottom w:val="single" w:sz="8" w:color="auto"/>
            </w:tcBorders>
          </w:tcPr>
          <w:p>
            <w:pPr>
              <w:spacing w:after="0"/>
              <w:rPr>
                <w:sz w:val="19"/>
                <w:szCs w:val="19"/>
                <w:color w:val="auto"/>
              </w:rPr>
            </w:pP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67.04</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1,787,739</w:t>
            </w:r>
          </w:p>
        </w:tc>
        <w:tc>
          <w:tcPr>
            <w:tcW w:w="30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816,535,701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460" w:right="180" w:hanging="452"/>
        <w:spacing w:after="0" w:line="273"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February 2016, our Board of Directors adopted a share repurchase plan authorizing the repurchase of up to $750.0 million of our outstanding ordinary shares. On November 8, 2017, our Board of Directors adopted another share repurchase plan for the repurchase of up to an additional $800.0 million of our outstanding ordinary shares. The authorizations have no expiration date and permit us to purchase our ordinary shares in open market or privately negotiated transactions at times and prices we consider appropriate.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March 31, 2018:</w:t>
      </w:r>
    </w:p>
    <w:p>
      <w:pPr>
        <w:spacing w:after="0" w:line="117" w:lineRule="exact"/>
        <w:rPr>
          <w:sz w:val="20"/>
          <w:szCs w:val="20"/>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6-K dated January 26, 2018</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6-K dated January 31, 2018</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6-K dated February 12, 2018</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6-K dated February 22, 2018</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E. Smith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21, 2018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sectPr>
      <w:pgSz w:w="11900" w:h="16838" w:orient="portrait"/>
      <w:cols w:equalWidth="0" w:num="1">
        <w:col w:w="10740"/>
      </w:cols>
      <w:pgMar w:left="240" w:top="45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2019-12-06T12:35:14Z</dcterms:created>
  <dcterms:modified xsi:type="dcterms:W3CDTF">2019-12-06T12:35:14Z</dcterms:modified>
</cp:coreProperties>
</file>