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11</w:t>
      </w:r>
    </w:p>
    <w:p>
      <w:pPr>
        <w:spacing w:after="0" w:line="238" w:lineRule="auto"/>
        <w:rPr>
          <w:sz w:val="20"/>
          <w:szCs w:val="20"/>
          <w:color w:val="auto"/>
        </w:rPr>
      </w:pPr>
      <w:r>
        <w:rPr>
          <w:rFonts w:ascii="Courier New" w:cs="Courier New" w:eastAsia="Courier New" w:hAnsi="Courier New"/>
          <w:sz w:val="18"/>
          <w:szCs w:val="18"/>
          <w:color w:val="auto"/>
        </w:rPr>
        <w:t>AMDOCS LIMITED</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#G02602103</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#G02602103</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1,743,053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16,303,174</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16,303,174</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13.082%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#G02602103</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16,303,174</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16,303,174</w:t>
      </w:r>
    </w:p>
    <w:p>
      <w:pPr>
        <w:spacing w:after="0" w:line="237" w:lineRule="auto"/>
        <w:rPr>
          <w:sz w:val="20"/>
          <w:szCs w:val="20"/>
          <w:color w:val="auto"/>
        </w:rPr>
      </w:pPr>
      <w:r>
        <w:rPr>
          <w:rFonts w:ascii="Courier New" w:cs="Courier New" w:eastAsia="Courier New" w:hAnsi="Courier New"/>
          <w:sz w:val="18"/>
          <w:szCs w:val="18"/>
          <w:color w:val="auto"/>
        </w:rPr>
        <w:t>Item 11: 13.082%</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HIRZEL HOUSE, SMITH STREET</w:t>
      </w:r>
    </w:p>
    <w:p>
      <w:pPr>
        <w:spacing w:after="0"/>
        <w:tabs>
          <w:tab w:leader="none" w:pos="3680" w:val="left"/>
        </w:tabs>
        <w:rPr>
          <w:sz w:val="20"/>
          <w:szCs w:val="20"/>
          <w:color w:val="auto"/>
        </w:rPr>
      </w:pPr>
      <w:r>
        <w:rPr>
          <w:rFonts w:ascii="Courier New" w:cs="Courier New" w:eastAsia="Courier New" w:hAnsi="Courier New"/>
          <w:sz w:val="18"/>
          <w:szCs w:val="18"/>
          <w:color w:val="auto"/>
        </w:rPr>
        <w:t>ST PETER PORT, ISLAND OF GUERNSEY</w:t>
      </w:r>
      <w:r>
        <w:rPr>
          <w:sz w:val="20"/>
          <w:szCs w:val="20"/>
          <w:color w:val="auto"/>
        </w:rPr>
        <w:tab/>
      </w:r>
      <w:r>
        <w:rPr>
          <w:rFonts w:ascii="Courier New" w:cs="Courier New" w:eastAsia="Courier New" w:hAnsi="Courier New"/>
          <w:sz w:val="16"/>
          <w:szCs w:val="16"/>
          <w:color w:val="auto"/>
        </w:rPr>
        <w:t>X0 GY1 2NG</w:t>
      </w:r>
    </w:p>
    <w:p>
      <w:pPr>
        <w:spacing w:after="0" w:line="238" w:lineRule="auto"/>
        <w:rPr>
          <w:sz w:val="20"/>
          <w:szCs w:val="20"/>
          <w:color w:val="auto"/>
        </w:rPr>
      </w:pPr>
      <w:r>
        <w:rPr>
          <w:rFonts w:ascii="Courier New" w:cs="Courier New" w:eastAsia="Courier New" w:hAnsi="Courier New"/>
          <w:sz w:val="18"/>
          <w:szCs w:val="18"/>
          <w:color w:val="auto"/>
        </w:rPr>
        <w:t>England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G02602103</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16,303,174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13.082%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1,743,053</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16,303,174</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AMDOCS LIMITED. No one other person's interest in the COMMON STOCK of AMDOCS LIMITED is more than five percent of the total outstanding COMMON STOCK.</w:t>
      </w:r>
    </w:p>
    <w:p>
      <w:pPr>
        <w:spacing w:after="0" w:line="208"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39"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39" w:right="1440" w:bottom="0" w:gutter="0" w:footer="0" w:header="0"/>
          <w:type w:val="continuous"/>
        </w:sectPr>
      </w:pP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405" w:lineRule="exact"/>
        <w:rPr>
          <w:sz w:val="20"/>
          <w:szCs w:val="20"/>
          <w:color w:val="auto"/>
        </w:rPr>
      </w:pPr>
    </w:p>
    <w:p>
      <w:pPr>
        <w:sectPr>
          <w:pgSz w:w="11900" w:h="16838" w:orient="portrait"/>
          <w:cols w:equalWidth="0" w:num="2">
            <w:col w:w="5580" w:space="220"/>
            <w:col w:w="4339"/>
          </w:cols>
          <w:pgMar w:left="320" w:top="339" w:right="1440" w:bottom="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339" w:right="1440" w:bottom="0" w:gutter="0" w:footer="0" w:header="0"/>
          <w:type w:val="continuous"/>
        </w:sectPr>
      </w:pPr>
    </w:p>
    <w:bookmarkStart w:id="2" w:name="page3"/>
    <w:bookmarkEnd w:id="2"/>
    <w:p>
      <w:pPr>
        <w:ind w:right="243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11"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210"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The undersigned persons, on February 8, 2022, agree and consent to the joint filing on their behalf of this Schedule 13G in connection with their beneficial ownership of the COMMON STOCK of AMDOCS LIMITED at December 31, 2021.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7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2022-02-09T08:14:02Z</dcterms:created>
  <dcterms:modified xsi:type="dcterms:W3CDTF">2022-02-09T08:14:02Z</dcterms:modified>
</cp:coreProperties>
</file>