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0001971433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AMDOCS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001-14840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P.O BOX 263, HIRZEL HOUSE, SMITH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 PETER PORT</w:t>
      </w:r>
    </w:p>
    <w:p>
      <w:pPr>
        <w:spacing w:after="0" w:line="230" w:lineRule="auto"/>
        <w:rPr>
          <w:sz w:val="20"/>
          <w:szCs w:val="20"/>
          <w:color w:val="auto"/>
        </w:rPr>
      </w:pPr>
      <w:r>
        <w:rPr>
          <w:rFonts w:ascii="Times New Roman" w:cs="Times New Roman" w:eastAsia="Times New Roman" w:hAnsi="Times New Roman"/>
          <w:sz w:val="22"/>
          <w:szCs w:val="22"/>
          <w:color w:val="auto"/>
        </w:rPr>
        <w:t>GUERNSEY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GY1 2NG</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011-44-1481-728444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Raheja Rajat</w:t>
      </w:r>
    </w:p>
    <w:p>
      <w:pPr>
        <w:spacing w:after="0" w:line="44" w:lineRule="exact"/>
        <w:rPr>
          <w:sz w:val="24"/>
          <w:szCs w:val="24"/>
          <w:color w:val="auto"/>
        </w:rPr>
      </w:pPr>
    </w:p>
    <w:p>
      <w:pPr>
        <w:sectPr>
          <w:pgSz w:w="11900" w:h="16871" w:orient="portrait"/>
          <w:cols w:equalWidth="0" w:num="2">
            <w:col w:w="5740" w:space="580"/>
            <w:col w:w="49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President India Operations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left="100"/>
        <w:spacing w:after="0"/>
        <w:rPr>
          <w:sz w:val="20"/>
          <w:szCs w:val="20"/>
          <w:color w:val="auto"/>
        </w:rPr>
      </w:pPr>
      <w:r>
        <w:rPr>
          <w:rFonts w:ascii="Times New Roman" w:cs="Times New Roman" w:eastAsia="Times New Roman" w:hAnsi="Times New Roman"/>
          <w:sz w:val="22"/>
          <w:szCs w:val="22"/>
          <w:color w:val="auto"/>
        </w:rPr>
        <w:t>Citigroup Global Markets,</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8"/>
          <w:szCs w:val="18"/>
          <w:color w:val="auto"/>
        </w:rPr>
        <w:t>Common Stock</w:t>
      </w:r>
      <w:r>
        <w:rPr>
          <w:sz w:val="20"/>
          <w:szCs w:val="20"/>
          <w:color w:val="auto"/>
        </w:rPr>
        <w:tab/>
      </w:r>
      <w:r>
        <w:rPr>
          <w:rFonts w:ascii="Times New Roman" w:cs="Times New Roman" w:eastAsia="Times New Roman" w:hAnsi="Times New Roman"/>
          <w:sz w:val="29"/>
          <w:szCs w:val="29"/>
          <w:color w:val="auto"/>
          <w:vertAlign w:val="superscript"/>
        </w:rPr>
        <w:t>Inc.</w:t>
      </w:r>
      <w:r>
        <w:rPr>
          <w:sz w:val="20"/>
          <w:szCs w:val="20"/>
          <w:color w:val="auto"/>
        </w:rPr>
        <w:tab/>
      </w:r>
      <w:r>
        <w:rPr>
          <w:rFonts w:ascii="Times New Roman" w:cs="Times New Roman" w:eastAsia="Times New Roman" w:hAnsi="Times New Roman"/>
          <w:sz w:val="18"/>
          <w:szCs w:val="18"/>
          <w:color w:val="auto"/>
        </w:rPr>
        <w:t>2285</w:t>
      </w:r>
      <w:r>
        <w:rPr>
          <w:sz w:val="20"/>
          <w:szCs w:val="20"/>
          <w:color w:val="auto"/>
        </w:rPr>
        <w:tab/>
      </w:r>
      <w:r>
        <w:rPr>
          <w:rFonts w:ascii="Times New Roman" w:cs="Times New Roman" w:eastAsia="Times New Roman" w:hAnsi="Times New Roman"/>
          <w:sz w:val="18"/>
          <w:szCs w:val="18"/>
          <w:color w:val="auto"/>
        </w:rPr>
        <w:t>195367.50</w:t>
      </w:r>
    </w:p>
    <w:p>
      <w:pPr>
        <w:ind w:left="2500"/>
        <w:spacing w:after="0" w:line="231" w:lineRule="auto"/>
        <w:rPr>
          <w:sz w:val="20"/>
          <w:szCs w:val="20"/>
          <w:color w:val="auto"/>
        </w:rPr>
      </w:pPr>
      <w:r>
        <w:rPr>
          <w:rFonts w:ascii="Times New Roman" w:cs="Times New Roman" w:eastAsia="Times New Roman" w:hAnsi="Times New Roman"/>
          <w:sz w:val="22"/>
          <w:szCs w:val="22"/>
          <w:color w:val="auto"/>
        </w:rPr>
        <w:t>390 Greenwich St.</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10013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110000000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09/02/2025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80" w:type="dxa"/>
            <w:vAlign w:val="bottom"/>
          </w:tcPr>
          <w:p>
            <w:pPr>
              <w:ind w:left="27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r>
      <w:tr>
        <w:trPr>
          <w:trHeight w:val="286"/>
        </w:trPr>
        <w:tc>
          <w:tcPr>
            <w:tcW w:w="4080" w:type="dxa"/>
            <w:vAlign w:val="bottom"/>
          </w:tcPr>
          <w:p>
            <w:pPr>
              <w:spacing w:after="0"/>
              <w:rPr>
                <w:sz w:val="24"/>
                <w:szCs w:val="24"/>
                <w:color w:val="auto"/>
              </w:rPr>
            </w:pP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r>
      <w:tr>
        <w:trPr>
          <w:trHeight w:val="244"/>
        </w:trPr>
        <w:tc>
          <w:tcPr>
            <w:tcW w:w="4080" w:type="dxa"/>
            <w:vAlign w:val="bottom"/>
          </w:tcPr>
          <w:p>
            <w:pPr>
              <w:ind w:left="2500"/>
              <w:spacing w:after="0" w:line="244" w:lineRule="exact"/>
              <w:rPr>
                <w:sz w:val="20"/>
                <w:szCs w:val="20"/>
                <w:color w:val="auto"/>
              </w:rPr>
            </w:pPr>
            <w:r>
              <w:rPr>
                <w:rFonts w:ascii="Times New Roman" w:cs="Times New Roman" w:eastAsia="Times New Roman" w:hAnsi="Times New Roman"/>
                <w:sz w:val="22"/>
                <w:szCs w:val="22"/>
                <w:color w:val="auto"/>
              </w:rPr>
              <w:t>Stock option</w:t>
            </w:r>
          </w:p>
        </w:tc>
        <w:tc>
          <w:tcPr>
            <w:tcW w:w="1440" w:type="dxa"/>
            <w:vAlign w:val="bottom"/>
          </w:tcPr>
          <w:p>
            <w:pPr>
              <w:ind w:left="120"/>
              <w:spacing w:after="0" w:line="244" w:lineRule="exact"/>
              <w:rPr>
                <w:sz w:val="20"/>
                <w:szCs w:val="20"/>
                <w:color w:val="auto"/>
              </w:rPr>
            </w:pPr>
            <w:r>
              <w:rPr>
                <w:rFonts w:ascii="Times New Roman" w:cs="Times New Roman" w:eastAsia="Times New Roman" w:hAnsi="Times New Roman"/>
                <w:sz w:val="22"/>
                <w:szCs w:val="22"/>
                <w:color w:val="auto"/>
              </w:rPr>
              <w:t>AMDOCS</w:t>
            </w:r>
          </w:p>
        </w:tc>
        <w:tc>
          <w:tcPr>
            <w:tcW w:w="28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571"/>
        </w:trPr>
        <w:tc>
          <w:tcPr>
            <w:tcW w:w="4080" w:type="dxa"/>
            <w:vAlign w:val="bottom"/>
          </w:tcPr>
          <w:p>
            <w:pPr>
              <w:spacing w:after="0"/>
              <w:rPr>
                <w:sz w:val="20"/>
                <w:szCs w:val="20"/>
                <w:color w:val="auto"/>
              </w:rPr>
            </w:pPr>
            <w:r>
              <w:rPr>
                <w:rFonts w:ascii="Times New Roman" w:cs="Times New Roman" w:eastAsia="Times New Roman" w:hAnsi="Times New Roman"/>
                <w:sz w:val="22"/>
                <w:szCs w:val="22"/>
                <w:color w:val="auto"/>
                <w:w w:val="91"/>
              </w:rPr>
              <w:t xml:space="preserve">Common Stock 09/02/2025 </w:t>
            </w:r>
            <w:r>
              <w:rPr>
                <w:rFonts w:ascii="Times New Roman" w:cs="Times New Roman" w:eastAsia="Times New Roman" w:hAnsi="Times New Roman"/>
                <w:sz w:val="43"/>
                <w:szCs w:val="43"/>
                <w:color w:val="auto"/>
                <w:w w:val="91"/>
                <w:vertAlign w:val="subscript"/>
              </w:rPr>
              <w:t>exercise and sale</w:t>
            </w:r>
          </w:p>
        </w:tc>
        <w:tc>
          <w:tcPr>
            <w:tcW w:w="14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LIMITED</w:t>
            </w:r>
          </w:p>
        </w:tc>
        <w:tc>
          <w:tcPr>
            <w:tcW w:w="280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2285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09/02/2025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09/02/2025</w:t>
            </w: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Conformed Signature On File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2025-09-02T09:41:03Z</dcterms:created>
  <dcterms:modified xsi:type="dcterms:W3CDTF">2025-09-02T09:41:03Z</dcterms:modified>
</cp:coreProperties>
</file>