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9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WASHINGTON, D.C. 20549</w:t>
      </w:r>
    </w:p>
    <w:p>
      <w:pPr>
        <w:spacing w:after="0" w:line="359" w:lineRule="exact"/>
        <w:rPr>
          <w:sz w:val="24"/>
          <w:szCs w:val="24"/>
          <w:color w:val="auto"/>
        </w:rPr>
      </w:pPr>
    </w:p>
    <w:p>
      <w:pPr>
        <w:ind w:left="3300"/>
        <w:spacing w:after="0"/>
        <w:rPr>
          <w:sz w:val="20"/>
          <w:szCs w:val="20"/>
          <w:color w:val="auto"/>
        </w:rPr>
      </w:pPr>
      <w:r>
        <w:rPr>
          <w:rFonts w:ascii="Courier New" w:cs="Courier New" w:eastAsia="Courier New" w:hAnsi="Courier New"/>
          <w:sz w:val="15"/>
          <w:szCs w:val="15"/>
          <w:color w:val="auto"/>
        </w:rPr>
        <w:t>FORM 6-K</w:t>
      </w:r>
    </w:p>
    <w:p>
      <w:pPr>
        <w:spacing w:after="0" w:line="359"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REPORT OF FOREIGN PRIVATE ISSUER</w:t>
      </w:r>
    </w:p>
    <w:p>
      <w:pPr>
        <w:spacing w:after="0" w:line="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PURSUANT TO RULE 13A-16 OR 15D-16 OF</w:t>
      </w:r>
    </w:p>
    <w:p>
      <w:pPr>
        <w:spacing w:after="0" w:line="6"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359"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For the Quarter Ended June 30, 2004</w:t>
      </w:r>
    </w:p>
    <w:p>
      <w:pPr>
        <w:spacing w:after="0" w:line="359" w:lineRule="exact"/>
        <w:rPr>
          <w:sz w:val="24"/>
          <w:szCs w:val="24"/>
          <w:color w:val="auto"/>
        </w:rPr>
      </w:pPr>
    </w:p>
    <w:p>
      <w:pPr>
        <w:ind w:left="2280"/>
        <w:spacing w:after="0"/>
        <w:rPr>
          <w:sz w:val="20"/>
          <w:szCs w:val="20"/>
          <w:color w:val="auto"/>
        </w:rPr>
      </w:pPr>
      <w:r>
        <w:rPr>
          <w:rFonts w:ascii="Courier New" w:cs="Courier New" w:eastAsia="Courier New" w:hAnsi="Courier New"/>
          <w:sz w:val="15"/>
          <w:szCs w:val="15"/>
          <w:color w:val="auto"/>
        </w:rPr>
        <w:t>Commission File Number 1-14840</w:t>
      </w:r>
    </w:p>
    <w:p>
      <w:pPr>
        <w:spacing w:after="0" w:line="359" w:lineRule="exact"/>
        <w:rPr>
          <w:sz w:val="24"/>
          <w:szCs w:val="24"/>
          <w:color w:val="auto"/>
        </w:rPr>
      </w:pPr>
    </w:p>
    <w:p>
      <w:pPr>
        <w:ind w:left="3020"/>
        <w:spacing w:after="0"/>
        <w:rPr>
          <w:sz w:val="20"/>
          <w:szCs w:val="20"/>
          <w:color w:val="auto"/>
        </w:rPr>
      </w:pPr>
      <w:r>
        <w:rPr>
          <w:rFonts w:ascii="Courier New" w:cs="Courier New" w:eastAsia="Courier New" w:hAnsi="Courier New"/>
          <w:sz w:val="15"/>
          <w:szCs w:val="15"/>
          <w:color w:val="auto"/>
        </w:rPr>
        <w:t>AMDOCS LIMITED</w:t>
      </w:r>
    </w:p>
    <w:p>
      <w:pPr>
        <w:spacing w:after="0" w:line="359"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Suite 5, Tower Hill House Le Bordage</w:t>
      </w:r>
    </w:p>
    <w:p>
      <w:pPr>
        <w:spacing w:after="0" w:line="6"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5"/>
          <w:szCs w:val="15"/>
          <w:color w:val="auto"/>
        </w:rPr>
        <w:t>St. Peter Port, Island of Guernsey, GY1 3QT Channel Islands</w:t>
      </w:r>
    </w:p>
    <w:p>
      <w:pPr>
        <w:spacing w:after="0" w:line="359"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Amdocs, Inc.</w:t>
      </w:r>
    </w:p>
    <w:p>
      <w:pPr>
        <w:spacing w:after="0" w:line="6"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5"/>
          <w:szCs w:val="15"/>
          <w:color w:val="auto"/>
        </w:rPr>
        <w:t>1390 Timberlake Manor Parkway, Chesterfield, Missouri 63017</w:t>
      </w:r>
    </w:p>
    <w:p>
      <w:pPr>
        <w:spacing w:after="0" w:line="6" w:lineRule="exact"/>
        <w:rPr>
          <w:sz w:val="24"/>
          <w:szCs w:val="24"/>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ind w:left="182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359" w:lineRule="exact"/>
        <w:rPr>
          <w:sz w:val="24"/>
          <w:szCs w:val="24"/>
          <w:color w:val="auto"/>
        </w:rPr>
      </w:pPr>
    </w:p>
    <w:p>
      <w:pPr>
        <w:ind w:right="2979"/>
        <w:spacing w:after="0" w:line="250"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of Form 20-F or Form 40-F:</w:t>
      </w:r>
    </w:p>
    <w:p>
      <w:pPr>
        <w:spacing w:after="0" w:line="175" w:lineRule="exact"/>
        <w:rPr>
          <w:sz w:val="24"/>
          <w:szCs w:val="24"/>
          <w:color w:val="auto"/>
        </w:rPr>
      </w:pPr>
    </w:p>
    <w:p>
      <w:pPr>
        <w:ind w:left="1560"/>
        <w:spacing w:after="0"/>
        <w:tabs>
          <w:tab w:leader="none" w:pos="4560" w:val="left"/>
        </w:tabs>
        <w:rPr>
          <w:sz w:val="20"/>
          <w:szCs w:val="20"/>
          <w:color w:val="auto"/>
        </w:rPr>
      </w:pPr>
      <w:r>
        <w:rPr>
          <w:rFonts w:ascii="Courier New" w:cs="Courier New" w:eastAsia="Courier New" w:hAnsi="Courier New"/>
          <w:sz w:val="15"/>
          <w:szCs w:val="15"/>
          <w:color w:val="auto"/>
        </w:rPr>
        <w:t>FORM 20-F /X/</w:t>
      </w:r>
      <w:r>
        <w:rPr>
          <w:sz w:val="20"/>
          <w:szCs w:val="20"/>
          <w:color w:val="auto"/>
        </w:rPr>
        <w:tab/>
      </w:r>
      <w:r>
        <w:rPr>
          <w:rFonts w:ascii="Courier New" w:cs="Courier New" w:eastAsia="Courier New" w:hAnsi="Courier New"/>
          <w:sz w:val="15"/>
          <w:szCs w:val="15"/>
          <w:color w:val="auto"/>
        </w:rPr>
        <w:t>FORM 40-F /_/</w:t>
      </w:r>
    </w:p>
    <w:p>
      <w:pPr>
        <w:spacing w:after="0" w:line="359" w:lineRule="exact"/>
        <w:rPr>
          <w:sz w:val="24"/>
          <w:szCs w:val="24"/>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6" w:lineRule="exact"/>
        <w:rPr>
          <w:sz w:val="24"/>
          <w:szCs w:val="24"/>
          <w:color w:val="auto"/>
        </w:rPr>
      </w:pPr>
    </w:p>
    <w:p>
      <w:pPr>
        <w:ind w:left="2100"/>
        <w:spacing w:after="0"/>
        <w:tabs>
          <w:tab w:leader="none" w:pos="4640" w:val="left"/>
        </w:tabs>
        <w:rPr>
          <w:sz w:val="20"/>
          <w:szCs w:val="20"/>
          <w:color w:val="auto"/>
        </w:rPr>
      </w:pPr>
      <w:r>
        <w:rPr>
          <w:rFonts w:ascii="Courier New" w:cs="Courier New" w:eastAsia="Courier New" w:hAnsi="Courier New"/>
          <w:sz w:val="15"/>
          <w:szCs w:val="15"/>
          <w:color w:val="auto"/>
        </w:rPr>
        <w:t>YES /_/</w:t>
      </w:r>
      <w:r>
        <w:rPr>
          <w:sz w:val="20"/>
          <w:szCs w:val="20"/>
          <w:color w:val="auto"/>
        </w:rPr>
        <w:tab/>
      </w:r>
      <w:r>
        <w:rPr>
          <w:rFonts w:ascii="Courier New" w:cs="Courier New" w:eastAsia="Courier New" w:hAnsi="Courier New"/>
          <w:sz w:val="15"/>
          <w:szCs w:val="15"/>
          <w:color w:val="auto"/>
        </w:rPr>
        <w:t>NO /X/</w:t>
      </w:r>
    </w:p>
    <w:p>
      <w:pPr>
        <w:sectPr>
          <w:pgSz w:w="11900" w:h="16838" w:orient="portrait"/>
          <w:cols w:equalWidth="0" w:num="1">
            <w:col w:w="10219"/>
          </w:cols>
          <w:pgMar w:left="240" w:top="412" w:right="1440" w:bottom="1440" w:gutter="0" w:footer="0" w:header="0"/>
        </w:sectPr>
      </w:pPr>
    </w:p>
    <w:bookmarkStart w:id="1" w:name="page2"/>
    <w:bookmarkEnd w:id="1"/>
    <w:p>
      <w:pPr>
        <w:jc w:val="center"/>
        <w:ind w:right="2899"/>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FORM 6-K</w:t>
      </w:r>
    </w:p>
    <w:p>
      <w:pPr>
        <w:spacing w:after="0" w:line="18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REPORT OF FOREIGN PRIVATE ISSUER</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FOR THE QUARTER ENDED JUNE 30, 2004</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INDEX</w:t>
      </w:r>
    </w:p>
    <w:p>
      <w:pPr>
        <w:spacing w:after="0" w:line="182"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PART I</w:t>
        <w:tab/>
        <w:t>FINANCIAL INFORMATION</w:t>
      </w:r>
    </w:p>
    <w:p>
      <w:pPr>
        <w:spacing w:after="0" w:line="182" w:lineRule="exact"/>
        <w:rPr>
          <w:sz w:val="20"/>
          <w:szCs w:val="20"/>
          <w:color w:val="auto"/>
        </w:rPr>
      </w:pPr>
    </w:p>
    <w:p>
      <w:pPr>
        <w:ind w:left="1000"/>
        <w:spacing w:after="0"/>
        <w:tabs>
          <w:tab w:leader="none" w:pos="1800" w:val="left"/>
        </w:tabs>
        <w:rPr>
          <w:sz w:val="20"/>
          <w:szCs w:val="20"/>
          <w:color w:val="auto"/>
        </w:rPr>
      </w:pPr>
      <w:r>
        <w:rPr>
          <w:rFonts w:ascii="Courier New" w:cs="Courier New" w:eastAsia="Courier New" w:hAnsi="Courier New"/>
          <w:sz w:val="15"/>
          <w:szCs w:val="15"/>
          <w:color w:val="auto"/>
        </w:rPr>
        <w:t>Item 1.</w:t>
        <w:tab/>
        <w:t>Financial Statements</w:t>
      </w:r>
    </w:p>
    <w:p>
      <w:pPr>
        <w:spacing w:after="0" w:line="182"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Unaudited Consolidated Financial Statements</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Consolidated Balance Sheets</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182" w:lineRule="exact"/>
        <w:rPr>
          <w:sz w:val="20"/>
          <w:szCs w:val="20"/>
          <w:color w:val="auto"/>
        </w:rPr>
      </w:pPr>
    </w:p>
    <w:p>
      <w:pPr>
        <w:ind w:left="2100" w:right="2899"/>
        <w:spacing w:after="0" w:line="497" w:lineRule="auto"/>
        <w:rPr>
          <w:sz w:val="20"/>
          <w:szCs w:val="20"/>
          <w:color w:val="auto"/>
        </w:rPr>
      </w:pPr>
      <w:r>
        <w:rPr>
          <w:rFonts w:ascii="Courier New" w:cs="Courier New" w:eastAsia="Courier New" w:hAnsi="Courier New"/>
          <w:sz w:val="15"/>
          <w:szCs w:val="15"/>
          <w:color w:val="auto"/>
        </w:rPr>
        <w:t>Consolidated Statement of Changes in Shareholders' Equity Consolidated Statements of Cash Flows</w:t>
      </w:r>
    </w:p>
    <w:p>
      <w:pPr>
        <w:spacing w:after="0" w:line="1" w:lineRule="exact"/>
        <w:rPr>
          <w:sz w:val="20"/>
          <w:szCs w:val="20"/>
          <w:color w:val="auto"/>
        </w:rPr>
      </w:pPr>
    </w:p>
    <w:p>
      <w:pPr>
        <w:ind w:left="1000" w:right="3359" w:firstLine="1099"/>
        <w:spacing w:after="0" w:line="499" w:lineRule="auto"/>
        <w:rPr>
          <w:sz w:val="20"/>
          <w:szCs w:val="20"/>
          <w:color w:val="auto"/>
        </w:rPr>
      </w:pPr>
      <w:r>
        <w:rPr>
          <w:rFonts w:ascii="Courier New" w:cs="Courier New" w:eastAsia="Courier New" w:hAnsi="Courier New"/>
          <w:sz w:val="15"/>
          <w:szCs w:val="15"/>
          <w:color w:val="auto"/>
        </w:rPr>
        <w:t>Notes to Unaudited Consolidated Financial Statements Item 2. Operating and Financial Review and Prospects</w:t>
      </w:r>
    </w:p>
    <w:p>
      <w:pPr>
        <w:spacing w:after="0" w:line="17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PART II</w:t>
        <w:tab/>
        <w:t>OTHER INFORMATION</w:t>
      </w:r>
    </w:p>
    <w:p>
      <w:pPr>
        <w:spacing w:after="0" w:line="359" w:lineRule="exact"/>
        <w:rPr>
          <w:sz w:val="20"/>
          <w:szCs w:val="20"/>
          <w:color w:val="auto"/>
        </w:rPr>
      </w:pPr>
    </w:p>
    <w:p>
      <w:pPr>
        <w:ind w:left="1000"/>
        <w:spacing w:after="0"/>
        <w:tabs>
          <w:tab w:leader="none" w:pos="190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5"/>
          <w:szCs w:val="15"/>
          <w:color w:val="auto"/>
        </w:rPr>
        <w:t>Changes in Securities, Use of Proceeds and Issuer</w:t>
      </w:r>
    </w:p>
    <w:p>
      <w:pPr>
        <w:spacing w:after="0" w:line="6"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Purchases of Equity Securities</w:t>
      </w:r>
    </w:p>
    <w:p>
      <w:pPr>
        <w:spacing w:after="0" w:line="182" w:lineRule="exact"/>
        <w:rPr>
          <w:sz w:val="20"/>
          <w:szCs w:val="20"/>
          <w:color w:val="auto"/>
        </w:rPr>
      </w:pPr>
    </w:p>
    <w:p>
      <w:pPr>
        <w:ind w:left="1000"/>
        <w:spacing w:after="0"/>
        <w:tabs>
          <w:tab w:leader="none" w:pos="190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5"/>
          <w:szCs w:val="15"/>
          <w:color w:val="auto"/>
        </w:rPr>
        <w:t>Reports on Form 6-K</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SIGNATURES</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823"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1"/>
        </w:trPr>
        <w:tc>
          <w:tcPr>
            <w:tcW w:w="1180" w:type="dxa"/>
            <w:vAlign w:val="bottom"/>
          </w:tcPr>
          <w:p>
            <w:pPr>
              <w:ind w:left="460"/>
              <w:spacing w:after="0"/>
              <w:rPr>
                <w:sz w:val="20"/>
                <w:szCs w:val="20"/>
                <w:color w:val="auto"/>
              </w:rPr>
            </w:pPr>
            <w:r>
              <w:rPr>
                <w:rFonts w:ascii="Courier New" w:cs="Courier New" w:eastAsia="Courier New" w:hAnsi="Courier New"/>
                <w:sz w:val="15"/>
                <w:szCs w:val="15"/>
                <w:color w:val="auto"/>
              </w:rPr>
              <w:t>PART I</w:t>
            </w:r>
          </w:p>
        </w:tc>
        <w:tc>
          <w:tcPr>
            <w:tcW w:w="7060" w:type="dxa"/>
            <w:vAlign w:val="bottom"/>
          </w:tcPr>
          <w:p>
            <w:pPr>
              <w:ind w:left="100"/>
              <w:spacing w:after="0"/>
              <w:rPr>
                <w:sz w:val="20"/>
                <w:szCs w:val="20"/>
                <w:color w:val="auto"/>
              </w:rPr>
            </w:pPr>
            <w:r>
              <w:rPr>
                <w:rFonts w:ascii="Courier New" w:cs="Courier New" w:eastAsia="Courier New" w:hAnsi="Courier New"/>
                <w:sz w:val="15"/>
                <w:szCs w:val="15"/>
                <w:color w:val="auto"/>
              </w:rPr>
              <w:t>FINANCIAL INFORMATION</w:t>
            </w: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52"/>
        </w:trPr>
        <w:tc>
          <w:tcPr>
            <w:tcW w:w="1180" w:type="dxa"/>
            <w:vAlign w:val="bottom"/>
          </w:tcPr>
          <w:p>
            <w:pPr>
              <w:ind w:left="460"/>
              <w:spacing w:after="0"/>
              <w:rPr>
                <w:sz w:val="20"/>
                <w:szCs w:val="20"/>
                <w:color w:val="auto"/>
              </w:rPr>
            </w:pPr>
            <w:r>
              <w:rPr>
                <w:rFonts w:ascii="Courier New" w:cs="Courier New" w:eastAsia="Courier New" w:hAnsi="Courier New"/>
                <w:sz w:val="15"/>
                <w:szCs w:val="15"/>
                <w:color w:val="auto"/>
              </w:rPr>
              <w:t>Item 1.</w:t>
            </w:r>
          </w:p>
        </w:tc>
        <w:tc>
          <w:tcPr>
            <w:tcW w:w="7060" w:type="dxa"/>
            <w:vAlign w:val="bottom"/>
          </w:tcPr>
          <w:p>
            <w:pPr>
              <w:ind w:left="100"/>
              <w:spacing w:after="0"/>
              <w:rPr>
                <w:sz w:val="20"/>
                <w:szCs w:val="20"/>
                <w:color w:val="auto"/>
              </w:rPr>
            </w:pPr>
            <w:r>
              <w:rPr>
                <w:rFonts w:ascii="Courier New" w:cs="Courier New" w:eastAsia="Courier New" w:hAnsi="Courier New"/>
                <w:sz w:val="15"/>
                <w:szCs w:val="15"/>
                <w:color w:val="auto"/>
              </w:rPr>
              <w:t>Financial Statements</w:t>
            </w: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6"/>
        </w:trPr>
        <w:tc>
          <w:tcPr>
            <w:tcW w:w="1180" w:type="dxa"/>
            <w:vAlign w:val="bottom"/>
          </w:tcPr>
          <w:p>
            <w:pPr>
              <w:spacing w:after="0"/>
              <w:rPr>
                <w:sz w:val="15"/>
                <w:szCs w:val="15"/>
                <w:color w:val="auto"/>
              </w:rPr>
            </w:pPr>
          </w:p>
        </w:tc>
        <w:tc>
          <w:tcPr>
            <w:tcW w:w="7060" w:type="dxa"/>
            <w:vAlign w:val="bottom"/>
          </w:tcPr>
          <w:p>
            <w:pPr>
              <w:jc w:val="center"/>
              <w:ind w:right="2024"/>
              <w:spacing w:after="0"/>
              <w:rPr>
                <w:sz w:val="20"/>
                <w:szCs w:val="20"/>
                <w:color w:val="auto"/>
              </w:rPr>
            </w:pPr>
            <w:r>
              <w:rPr>
                <w:rFonts w:ascii="Courier New" w:cs="Courier New" w:eastAsia="Courier New" w:hAnsi="Courier New"/>
                <w:sz w:val="15"/>
                <w:szCs w:val="15"/>
                <w:color w:val="auto"/>
              </w:rPr>
              <w:t>AMDOCS LIMITED</w:t>
            </w: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1180" w:type="dxa"/>
            <w:vAlign w:val="bottom"/>
          </w:tcPr>
          <w:p>
            <w:pPr>
              <w:spacing w:after="0"/>
              <w:rPr>
                <w:sz w:val="15"/>
                <w:szCs w:val="15"/>
                <w:color w:val="auto"/>
              </w:rPr>
            </w:pPr>
          </w:p>
        </w:tc>
        <w:tc>
          <w:tcPr>
            <w:tcW w:w="7060" w:type="dxa"/>
            <w:vAlign w:val="bottom"/>
          </w:tcPr>
          <w:p>
            <w:pPr>
              <w:jc w:val="center"/>
              <w:ind w:right="1944"/>
              <w:spacing w:after="0"/>
              <w:rPr>
                <w:sz w:val="20"/>
                <w:szCs w:val="20"/>
                <w:color w:val="auto"/>
              </w:rPr>
            </w:pPr>
            <w:r>
              <w:rPr>
                <w:rFonts w:ascii="Courier New" w:cs="Courier New" w:eastAsia="Courier New" w:hAnsi="Courier New"/>
                <w:sz w:val="15"/>
                <w:szCs w:val="15"/>
                <w:color w:val="auto"/>
              </w:rPr>
              <w:t>CONSOLIDATED BALANCE SHEETS</w:t>
            </w: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1180" w:type="dxa"/>
            <w:vAlign w:val="bottom"/>
          </w:tcPr>
          <w:p>
            <w:pPr>
              <w:spacing w:after="0"/>
              <w:rPr>
                <w:sz w:val="15"/>
                <w:szCs w:val="15"/>
                <w:color w:val="auto"/>
              </w:rPr>
            </w:pPr>
          </w:p>
        </w:tc>
        <w:tc>
          <w:tcPr>
            <w:tcW w:w="7060" w:type="dxa"/>
            <w:vAlign w:val="bottom"/>
          </w:tcPr>
          <w:p>
            <w:pPr>
              <w:jc w:val="center"/>
              <w:ind w:right="2024"/>
              <w:spacing w:after="0"/>
              <w:rPr>
                <w:sz w:val="20"/>
                <w:szCs w:val="20"/>
                <w:color w:val="auto"/>
              </w:rPr>
            </w:pPr>
            <w:r>
              <w:rPr>
                <w:rFonts w:ascii="Courier New" w:cs="Courier New" w:eastAsia="Courier New" w:hAnsi="Courier New"/>
                <w:sz w:val="15"/>
                <w:szCs w:val="15"/>
                <w:color w:val="auto"/>
              </w:rPr>
              <w:t>(in U.S. dollars, unless otherwise stated)</w:t>
            </w: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1180" w:type="dxa"/>
            <w:vAlign w:val="bottom"/>
          </w:tcPr>
          <w:p>
            <w:pPr>
              <w:spacing w:after="0"/>
              <w:rPr>
                <w:sz w:val="15"/>
                <w:szCs w:val="15"/>
                <w:color w:val="auto"/>
              </w:rPr>
            </w:pPr>
          </w:p>
        </w:tc>
        <w:tc>
          <w:tcPr>
            <w:tcW w:w="7060" w:type="dxa"/>
            <w:vAlign w:val="bottom"/>
          </w:tcPr>
          <w:p>
            <w:pPr>
              <w:jc w:val="center"/>
              <w:ind w:right="1944"/>
              <w:spacing w:after="0"/>
              <w:rPr>
                <w:sz w:val="20"/>
                <w:szCs w:val="20"/>
                <w:color w:val="auto"/>
              </w:rPr>
            </w:pPr>
            <w:r>
              <w:rPr>
                <w:rFonts w:ascii="Courier New" w:cs="Courier New" w:eastAsia="Courier New" w:hAnsi="Courier New"/>
                <w:sz w:val="15"/>
                <w:szCs w:val="15"/>
                <w:color w:val="auto"/>
              </w:rPr>
              <w:t>(in thousands, except per share data)</w:t>
            </w: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705"/>
        </w:trPr>
        <w:tc>
          <w:tcPr>
            <w:tcW w:w="11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As of</w:t>
            </w:r>
          </w:p>
        </w:tc>
        <w:tc>
          <w:tcPr>
            <w:tcW w:w="940" w:type="dxa"/>
            <w:vAlign w:val="bottom"/>
          </w:tcPr>
          <w:p>
            <w:pPr>
              <w:spacing w:after="0"/>
              <w:rPr>
                <w:sz w:val="24"/>
                <w:szCs w:val="24"/>
                <w:color w:val="auto"/>
              </w:rPr>
            </w:pPr>
          </w:p>
        </w:tc>
      </w:tr>
      <w:tr>
        <w:trPr>
          <w:trHeight w:val="176"/>
        </w:trPr>
        <w:tc>
          <w:tcPr>
            <w:tcW w:w="118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328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118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June 30,</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6"/>
        </w:trPr>
        <w:tc>
          <w:tcPr>
            <w:tcW w:w="118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2004</w:t>
            </w:r>
          </w:p>
        </w:tc>
        <w:tc>
          <w:tcPr>
            <w:tcW w:w="320" w:type="dxa"/>
            <w:vAlign w:val="bottom"/>
          </w:tcPr>
          <w:p>
            <w:pPr>
              <w:spacing w:after="0"/>
              <w:rPr>
                <w:sz w:val="15"/>
                <w:szCs w:val="15"/>
                <w:color w:val="auto"/>
              </w:rPr>
            </w:pPr>
          </w:p>
        </w:tc>
        <w:tc>
          <w:tcPr>
            <w:tcW w:w="94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2003</w:t>
            </w:r>
          </w:p>
        </w:tc>
      </w:tr>
      <w:tr>
        <w:trPr>
          <w:trHeight w:val="176"/>
        </w:trPr>
        <w:tc>
          <w:tcPr>
            <w:tcW w:w="118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2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118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202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(Unaudited)</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52"/>
        </w:trPr>
        <w:tc>
          <w:tcPr>
            <w:tcW w:w="11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7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6"/>
        </w:trPr>
        <w:tc>
          <w:tcPr>
            <w:tcW w:w="8240" w:type="dxa"/>
            <w:vAlign w:val="bottom"/>
            <w:gridSpan w:val="2"/>
          </w:tcPr>
          <w:p>
            <w:pPr>
              <w:spacing w:after="0"/>
              <w:rPr>
                <w:sz w:val="20"/>
                <w:szCs w:val="20"/>
                <w:color w:val="auto"/>
              </w:rPr>
            </w:pPr>
            <w:r>
              <w:rPr>
                <w:rFonts w:ascii="Courier New" w:cs="Courier New" w:eastAsia="Courier New" w:hAnsi="Courier New"/>
                <w:sz w:val="15"/>
                <w:szCs w:val="15"/>
                <w:color w:val="auto"/>
              </w:rPr>
              <w:t>Current assets:</w:t>
            </w: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8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96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492,446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847,600</w:t>
            </w:r>
          </w:p>
        </w:tc>
      </w:tr>
      <w:tr>
        <w:trPr>
          <w:trHeight w:val="176"/>
        </w:trPr>
        <w:tc>
          <w:tcPr>
            <w:tcW w:w="8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Short-term interest-bearing investments</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735,779</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443,292</w:t>
            </w:r>
          </w:p>
        </w:tc>
      </w:tr>
      <w:tr>
        <w:trPr>
          <w:trHeight w:val="176"/>
        </w:trPr>
        <w:tc>
          <w:tcPr>
            <w:tcW w:w="8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Accounts receivable, net</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270,560</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198,274</w:t>
            </w:r>
          </w:p>
        </w:tc>
      </w:tr>
      <w:tr>
        <w:trPr>
          <w:trHeight w:val="176"/>
        </w:trPr>
        <w:tc>
          <w:tcPr>
            <w:tcW w:w="8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Deferred income taxes and taxes receivable</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68,180</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60,868</w:t>
            </w:r>
          </w:p>
        </w:tc>
      </w:tr>
      <w:tr>
        <w:trPr>
          <w:trHeight w:val="176"/>
        </w:trPr>
        <w:tc>
          <w:tcPr>
            <w:tcW w:w="8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66,769</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85,902</w:t>
            </w:r>
          </w:p>
        </w:tc>
      </w:tr>
      <w:tr>
        <w:trPr>
          <w:trHeight w:val="176"/>
        </w:trPr>
        <w:tc>
          <w:tcPr>
            <w:tcW w:w="118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2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824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Total current assets</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1,633,734</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1,635,936</w:t>
            </w:r>
          </w:p>
        </w:tc>
      </w:tr>
      <w:tr>
        <w:trPr>
          <w:trHeight w:val="352"/>
        </w:trPr>
        <w:tc>
          <w:tcPr>
            <w:tcW w:w="8240" w:type="dxa"/>
            <w:vAlign w:val="bottom"/>
            <w:gridSpan w:val="2"/>
          </w:tcPr>
          <w:p>
            <w:pPr>
              <w:spacing w:after="0"/>
              <w:rPr>
                <w:sz w:val="20"/>
                <w:szCs w:val="20"/>
                <w:color w:val="auto"/>
              </w:rPr>
            </w:pPr>
            <w:r>
              <w:rPr>
                <w:rFonts w:ascii="Courier New" w:cs="Courier New" w:eastAsia="Courier New" w:hAnsi="Courier New"/>
                <w:sz w:val="15"/>
                <w:szCs w:val="15"/>
                <w:color w:val="auto"/>
              </w:rPr>
              <w:t>Equipment, vehicles and leasehold improvements, net</w:t>
            </w:r>
          </w:p>
        </w:tc>
        <w:tc>
          <w:tcPr>
            <w:tcW w:w="960" w:type="dxa"/>
            <w:vAlign w:val="bottom"/>
          </w:tcPr>
          <w:p>
            <w:pPr>
              <w:spacing w:after="0"/>
              <w:rPr>
                <w:sz w:val="24"/>
                <w:szCs w:val="24"/>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174,801</w:t>
            </w:r>
          </w:p>
        </w:tc>
        <w:tc>
          <w:tcPr>
            <w:tcW w:w="320" w:type="dxa"/>
            <w:vAlign w:val="bottom"/>
          </w:tcPr>
          <w:p>
            <w:pPr>
              <w:spacing w:after="0"/>
              <w:rPr>
                <w:sz w:val="24"/>
                <w:szCs w:val="24"/>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203,467</w:t>
            </w:r>
          </w:p>
        </w:tc>
      </w:tr>
      <w:tr>
        <w:trPr>
          <w:trHeight w:val="176"/>
        </w:trPr>
        <w:tc>
          <w:tcPr>
            <w:tcW w:w="8240" w:type="dxa"/>
            <w:vAlign w:val="bottom"/>
            <w:gridSpan w:val="2"/>
          </w:tcPr>
          <w:p>
            <w:pPr>
              <w:spacing w:after="0"/>
              <w:rPr>
                <w:sz w:val="20"/>
                <w:szCs w:val="20"/>
                <w:color w:val="auto"/>
              </w:rPr>
            </w:pPr>
            <w:r>
              <w:rPr>
                <w:rFonts w:ascii="Courier New" w:cs="Courier New" w:eastAsia="Courier New" w:hAnsi="Courier New"/>
                <w:sz w:val="15"/>
                <w:szCs w:val="15"/>
                <w:color w:val="auto"/>
              </w:rPr>
              <w:t>Deferred income taxes</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108,033</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105,943</w:t>
            </w:r>
          </w:p>
        </w:tc>
      </w:tr>
      <w:tr>
        <w:trPr>
          <w:trHeight w:val="176"/>
        </w:trPr>
        <w:tc>
          <w:tcPr>
            <w:tcW w:w="118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7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803,606</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797,134</w:t>
            </w:r>
          </w:p>
        </w:tc>
      </w:tr>
      <w:tr>
        <w:trPr>
          <w:trHeight w:val="176"/>
        </w:trPr>
        <w:tc>
          <w:tcPr>
            <w:tcW w:w="8240" w:type="dxa"/>
            <w:vAlign w:val="bottom"/>
            <w:gridSpan w:val="2"/>
          </w:tcPr>
          <w:p>
            <w:pPr>
              <w:spacing w:after="0"/>
              <w:rPr>
                <w:sz w:val="20"/>
                <w:szCs w:val="20"/>
                <w:color w:val="auto"/>
              </w:rPr>
            </w:pPr>
            <w:r>
              <w:rPr>
                <w:rFonts w:ascii="Courier New" w:cs="Courier New" w:eastAsia="Courier New" w:hAnsi="Courier New"/>
                <w:sz w:val="15"/>
                <w:szCs w:val="15"/>
                <w:color w:val="auto"/>
              </w:rPr>
              <w:t>Intangible assets, net</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52,653</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58,841</w:t>
            </w:r>
          </w:p>
        </w:tc>
      </w:tr>
      <w:tr>
        <w:trPr>
          <w:trHeight w:val="176"/>
        </w:trPr>
        <w:tc>
          <w:tcPr>
            <w:tcW w:w="8240" w:type="dxa"/>
            <w:vAlign w:val="bottom"/>
            <w:gridSpan w:val="2"/>
          </w:tcPr>
          <w:p>
            <w:pPr>
              <w:spacing w:after="0"/>
              <w:rPr>
                <w:sz w:val="20"/>
                <w:szCs w:val="20"/>
                <w:color w:val="auto"/>
              </w:rPr>
            </w:pPr>
            <w:r>
              <w:rPr>
                <w:rFonts w:ascii="Courier New" w:cs="Courier New" w:eastAsia="Courier New" w:hAnsi="Courier New"/>
                <w:sz w:val="15"/>
                <w:szCs w:val="15"/>
                <w:color w:val="auto"/>
              </w:rPr>
              <w:t>Other noncurrent assets</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125,145</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76,196</w:t>
            </w:r>
          </w:p>
        </w:tc>
      </w:tr>
      <w:tr>
        <w:trPr>
          <w:trHeight w:val="176"/>
        </w:trPr>
        <w:tc>
          <w:tcPr>
            <w:tcW w:w="118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2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824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Total assets</w:t>
            </w:r>
          </w:p>
        </w:tc>
        <w:tc>
          <w:tcPr>
            <w:tcW w:w="2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$ 2,897,972</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$ 2,877,517</w:t>
            </w:r>
          </w:p>
        </w:tc>
      </w:tr>
      <w:tr>
        <w:trPr>
          <w:trHeight w:val="176"/>
        </w:trPr>
        <w:tc>
          <w:tcPr>
            <w:tcW w:w="118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2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8240" w:type="dxa"/>
            <w:vAlign w:val="bottom"/>
            <w:gridSpan w:val="2"/>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6"/>
        </w:trPr>
        <w:tc>
          <w:tcPr>
            <w:tcW w:w="824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8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Accounts payable</w:t>
            </w:r>
          </w:p>
        </w:tc>
        <w:tc>
          <w:tcPr>
            <w:tcW w:w="96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93,540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101,116</w:t>
            </w:r>
          </w:p>
        </w:tc>
      </w:tr>
      <w:tr>
        <w:trPr>
          <w:trHeight w:val="176"/>
        </w:trPr>
        <w:tc>
          <w:tcPr>
            <w:tcW w:w="8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Accrued expenses and other current liabilities</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141,044</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123,223</w:t>
            </w:r>
          </w:p>
        </w:tc>
      </w:tr>
      <w:tr>
        <w:trPr>
          <w:trHeight w:val="176"/>
        </w:trPr>
        <w:tc>
          <w:tcPr>
            <w:tcW w:w="8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Accrued personnel costs</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126,959</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106,857</w:t>
            </w:r>
          </w:p>
        </w:tc>
      </w:tr>
      <w:tr>
        <w:trPr>
          <w:trHeight w:val="176"/>
        </w:trPr>
        <w:tc>
          <w:tcPr>
            <w:tcW w:w="8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2% convertible notes</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400,454</w:t>
            </w:r>
          </w:p>
        </w:tc>
      </w:tr>
      <w:tr>
        <w:trPr>
          <w:trHeight w:val="176"/>
        </w:trPr>
        <w:tc>
          <w:tcPr>
            <w:tcW w:w="8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Financing arrangements</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2,076</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2,179</w:t>
            </w:r>
          </w:p>
        </w:tc>
      </w:tr>
      <w:tr>
        <w:trPr>
          <w:trHeight w:val="176"/>
        </w:trPr>
        <w:tc>
          <w:tcPr>
            <w:tcW w:w="8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230,952</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174,616</w:t>
            </w:r>
          </w:p>
        </w:tc>
      </w:tr>
      <w:tr>
        <w:trPr>
          <w:trHeight w:val="176"/>
        </w:trPr>
        <w:tc>
          <w:tcPr>
            <w:tcW w:w="8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19,863</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27,140</w:t>
            </w:r>
          </w:p>
        </w:tc>
      </w:tr>
      <w:tr>
        <w:trPr>
          <w:trHeight w:val="176"/>
        </w:trPr>
        <w:tc>
          <w:tcPr>
            <w:tcW w:w="8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Deferred income taxes and taxes payable</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161,376</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133,002</w:t>
            </w:r>
          </w:p>
        </w:tc>
      </w:tr>
      <w:tr>
        <w:trPr>
          <w:trHeight w:val="176"/>
        </w:trPr>
        <w:tc>
          <w:tcPr>
            <w:tcW w:w="118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2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824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Total current liabilities</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775,810</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1,068,587</w:t>
            </w:r>
          </w:p>
        </w:tc>
      </w:tr>
      <w:tr>
        <w:trPr>
          <w:trHeight w:val="352"/>
        </w:trPr>
        <w:tc>
          <w:tcPr>
            <w:tcW w:w="8240" w:type="dxa"/>
            <w:vAlign w:val="bottom"/>
            <w:gridSpan w:val="2"/>
          </w:tcPr>
          <w:p>
            <w:pPr>
              <w:spacing w:after="0"/>
              <w:rPr>
                <w:sz w:val="20"/>
                <w:szCs w:val="20"/>
                <w:color w:val="auto"/>
              </w:rPr>
            </w:pPr>
            <w:r>
              <w:rPr>
                <w:rFonts w:ascii="Courier New" w:cs="Courier New" w:eastAsia="Courier New" w:hAnsi="Courier New"/>
                <w:sz w:val="15"/>
                <w:szCs w:val="15"/>
                <w:color w:val="auto"/>
              </w:rPr>
              <w:t>Deferred income taxes</w:t>
            </w:r>
          </w:p>
        </w:tc>
        <w:tc>
          <w:tcPr>
            <w:tcW w:w="960" w:type="dxa"/>
            <w:vAlign w:val="bottom"/>
          </w:tcPr>
          <w:p>
            <w:pPr>
              <w:spacing w:after="0"/>
              <w:rPr>
                <w:sz w:val="24"/>
                <w:szCs w:val="24"/>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37,424</w:t>
            </w:r>
          </w:p>
        </w:tc>
        <w:tc>
          <w:tcPr>
            <w:tcW w:w="320" w:type="dxa"/>
            <w:vAlign w:val="bottom"/>
          </w:tcPr>
          <w:p>
            <w:pPr>
              <w:spacing w:after="0"/>
              <w:rPr>
                <w:sz w:val="24"/>
                <w:szCs w:val="24"/>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44,835</w:t>
            </w:r>
          </w:p>
        </w:tc>
      </w:tr>
      <w:tr>
        <w:trPr>
          <w:trHeight w:val="176"/>
        </w:trPr>
        <w:tc>
          <w:tcPr>
            <w:tcW w:w="8240" w:type="dxa"/>
            <w:vAlign w:val="bottom"/>
            <w:gridSpan w:val="2"/>
          </w:tcPr>
          <w:p>
            <w:pPr>
              <w:spacing w:after="0"/>
              <w:rPr>
                <w:sz w:val="20"/>
                <w:szCs w:val="20"/>
                <w:color w:val="auto"/>
              </w:rPr>
            </w:pPr>
            <w:r>
              <w:rPr>
                <w:rFonts w:ascii="Courier New" w:cs="Courier New" w:eastAsia="Courier New" w:hAnsi="Courier New"/>
                <w:sz w:val="15"/>
                <w:szCs w:val="15"/>
                <w:color w:val="auto"/>
              </w:rPr>
              <w:t>0.50% convertible notes</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450,000</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8240" w:type="dxa"/>
            <w:vAlign w:val="bottom"/>
            <w:gridSpan w:val="2"/>
          </w:tcPr>
          <w:p>
            <w:pPr>
              <w:spacing w:after="0"/>
              <w:rPr>
                <w:sz w:val="20"/>
                <w:szCs w:val="20"/>
                <w:color w:val="auto"/>
              </w:rPr>
            </w:pPr>
            <w:r>
              <w:rPr>
                <w:rFonts w:ascii="Courier New" w:cs="Courier New" w:eastAsia="Courier New" w:hAnsi="Courier New"/>
                <w:sz w:val="15"/>
                <w:szCs w:val="15"/>
                <w:color w:val="auto"/>
              </w:rPr>
              <w:t>Noncurrent liabilities and other</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151,777</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172,495</w:t>
            </w:r>
          </w:p>
        </w:tc>
      </w:tr>
      <w:tr>
        <w:trPr>
          <w:trHeight w:val="176"/>
        </w:trPr>
        <w:tc>
          <w:tcPr>
            <w:tcW w:w="118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2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824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Total liabilities</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1,415,011</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1,285,917</w:t>
            </w:r>
          </w:p>
        </w:tc>
      </w:tr>
      <w:tr>
        <w:trPr>
          <w:trHeight w:val="176"/>
        </w:trPr>
        <w:tc>
          <w:tcPr>
            <w:tcW w:w="118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2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8240" w:type="dxa"/>
            <w:vAlign w:val="bottom"/>
            <w:gridSpan w:val="2"/>
          </w:tcPr>
          <w:p>
            <w:pPr>
              <w:spacing w:after="0"/>
              <w:rPr>
                <w:sz w:val="20"/>
                <w:szCs w:val="20"/>
                <w:color w:val="auto"/>
              </w:rPr>
            </w:pPr>
            <w:r>
              <w:rPr>
                <w:rFonts w:ascii="Courier New" w:cs="Courier New" w:eastAsia="Courier New" w:hAnsi="Courier New"/>
                <w:sz w:val="15"/>
                <w:szCs w:val="15"/>
                <w:color w:val="auto"/>
              </w:rPr>
              <w:t>Shareholders' equity:</w:t>
            </w: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8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Preferred Shares - Authorized 25,000 shares;(pound)0.01 par value; 0 shares</w:t>
            </w: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824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issued and outstanding</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8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Ordinary Shares - Authorized 550,000 shares;(pound)0.01 par value; 224,854 and</w:t>
            </w: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824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223,790 issued and 206,135 and 216,058 outstanding, respectively</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3,599</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3,580</w:t>
            </w:r>
          </w:p>
        </w:tc>
      </w:tr>
      <w:tr>
        <w:trPr>
          <w:trHeight w:val="176"/>
        </w:trPr>
        <w:tc>
          <w:tcPr>
            <w:tcW w:w="8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Additional paid-in capital</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1,836,743</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1,820,956</w:t>
            </w:r>
          </w:p>
        </w:tc>
      </w:tr>
      <w:tr>
        <w:trPr>
          <w:trHeight w:val="176"/>
        </w:trPr>
        <w:tc>
          <w:tcPr>
            <w:tcW w:w="8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Treasury stock, at cost - 18,719 and 7,732 Ordinary Shares, respectively</w:t>
            </w:r>
          </w:p>
        </w:tc>
        <w:tc>
          <w:tcPr>
            <w:tcW w:w="96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(402,360)</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(109,281)</w:t>
            </w:r>
          </w:p>
        </w:tc>
      </w:tr>
      <w:tr>
        <w:trPr>
          <w:trHeight w:val="176"/>
        </w:trPr>
        <w:tc>
          <w:tcPr>
            <w:tcW w:w="8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Accumulated other comprehensive (loss) income</w:t>
            </w:r>
          </w:p>
        </w:tc>
        <w:tc>
          <w:tcPr>
            <w:tcW w:w="96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(358)</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3,715</w:t>
            </w:r>
          </w:p>
        </w:tc>
      </w:tr>
      <w:tr>
        <w:trPr>
          <w:trHeight w:val="176"/>
        </w:trPr>
        <w:tc>
          <w:tcPr>
            <w:tcW w:w="8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Unearned compensation</w:t>
            </w:r>
          </w:p>
        </w:tc>
        <w:tc>
          <w:tcPr>
            <w:tcW w:w="96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(571)</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8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Retained earnings (accumulated deficit)</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45,908</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(127,370)</w:t>
            </w:r>
          </w:p>
        </w:tc>
      </w:tr>
      <w:tr>
        <w:trPr>
          <w:trHeight w:val="176"/>
        </w:trPr>
        <w:tc>
          <w:tcPr>
            <w:tcW w:w="118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2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824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Total shareholders' equity</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1,482,961</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1,591,600</w:t>
            </w:r>
          </w:p>
        </w:tc>
      </w:tr>
      <w:tr>
        <w:trPr>
          <w:trHeight w:val="176"/>
        </w:trPr>
        <w:tc>
          <w:tcPr>
            <w:tcW w:w="118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2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824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2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$ 2,897,972</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$ 2,877,517</w:t>
            </w:r>
          </w:p>
        </w:tc>
      </w:tr>
      <w:tr>
        <w:trPr>
          <w:trHeight w:val="176"/>
        </w:trPr>
        <w:tc>
          <w:tcPr>
            <w:tcW w:w="118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2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6"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1520"/>
          </w:cols>
          <w:pgMar w:left="240" w:top="823" w:right="139" w:bottom="1440" w:gutter="0" w:footer="0" w:header="0"/>
        </w:sectPr>
      </w:pPr>
    </w:p>
    <w:bookmarkStart w:id="3" w:name="page4"/>
    <w:bookmarkEnd w:id="3"/>
    <w:p>
      <w:pPr>
        <w:jc w:val="center"/>
        <w:ind w:right="2899"/>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CONSOLIDATED STATEMENTS OF INCOME (UNAUDITED)</w:t>
      </w:r>
    </w:p>
    <w:p>
      <w:pPr>
        <w:spacing w:after="0" w:line="182"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3"/>
          </w:tcPr>
          <w:p>
            <w:pPr>
              <w:jc w:val="right"/>
              <w:ind w:right="244"/>
              <w:spacing w:after="0"/>
              <w:rPr>
                <w:sz w:val="20"/>
                <w:szCs w:val="20"/>
                <w:color w:val="auto"/>
              </w:rPr>
            </w:pPr>
            <w:r>
              <w:rPr>
                <w:rFonts w:ascii="Courier New" w:cs="Courier New" w:eastAsia="Courier New" w:hAnsi="Courier New"/>
                <w:sz w:val="15"/>
                <w:szCs w:val="15"/>
                <w:color w:val="auto"/>
              </w:rPr>
              <w:t>Three months ended</w:t>
            </w:r>
          </w:p>
        </w:tc>
        <w:tc>
          <w:tcPr>
            <w:tcW w:w="240" w:type="dxa"/>
            <w:vAlign w:val="bottom"/>
          </w:tcPr>
          <w:p>
            <w:pPr>
              <w:spacing w:after="0"/>
              <w:rPr>
                <w:sz w:val="14"/>
                <w:szCs w:val="14"/>
                <w:color w:val="auto"/>
              </w:rPr>
            </w:pPr>
          </w:p>
        </w:tc>
        <w:tc>
          <w:tcPr>
            <w:tcW w:w="2020" w:type="dxa"/>
            <w:vAlign w:val="bottom"/>
            <w:gridSpan w:val="3"/>
          </w:tcPr>
          <w:p>
            <w:pPr>
              <w:jc w:val="right"/>
              <w:ind w:right="204"/>
              <w:spacing w:after="0"/>
              <w:rPr>
                <w:sz w:val="20"/>
                <w:szCs w:val="20"/>
                <w:color w:val="auto"/>
              </w:rPr>
            </w:pPr>
            <w:r>
              <w:rPr>
                <w:rFonts w:ascii="Courier New" w:cs="Courier New" w:eastAsia="Courier New" w:hAnsi="Courier New"/>
                <w:sz w:val="15"/>
                <w:szCs w:val="15"/>
                <w:color w:val="auto"/>
              </w:rPr>
              <w:t>Nine months ended</w:t>
            </w:r>
          </w:p>
        </w:tc>
      </w:tr>
      <w:tr>
        <w:trPr>
          <w:trHeight w:val="176"/>
        </w:trPr>
        <w:tc>
          <w:tcPr>
            <w:tcW w:w="3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June 30,</w:t>
            </w: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3"/>
          </w:tcPr>
          <w:p>
            <w:pPr>
              <w:jc w:val="right"/>
              <w:ind w:right="664"/>
              <w:spacing w:after="0"/>
              <w:rPr>
                <w:sz w:val="20"/>
                <w:szCs w:val="20"/>
                <w:color w:val="auto"/>
              </w:rPr>
            </w:pPr>
            <w:r>
              <w:rPr>
                <w:rFonts w:ascii="Courier New" w:cs="Courier New" w:eastAsia="Courier New" w:hAnsi="Courier New"/>
                <w:sz w:val="15"/>
                <w:szCs w:val="15"/>
                <w:color w:val="auto"/>
              </w:rPr>
              <w:t>June 30,</w:t>
            </w:r>
          </w:p>
        </w:tc>
      </w:tr>
      <w:tr>
        <w:trPr>
          <w:trHeight w:val="176"/>
        </w:trPr>
        <w:tc>
          <w:tcPr>
            <w:tcW w:w="3880" w:type="dxa"/>
            <w:vAlign w:val="bottom"/>
          </w:tcPr>
          <w:p>
            <w:pPr>
              <w:spacing w:after="0"/>
              <w:rPr>
                <w:sz w:val="15"/>
                <w:szCs w:val="15"/>
                <w:color w:val="auto"/>
              </w:rPr>
            </w:pPr>
          </w:p>
        </w:tc>
        <w:tc>
          <w:tcPr>
            <w:tcW w:w="2380" w:type="dxa"/>
            <w:vAlign w:val="bottom"/>
            <w:gridSpan w:val="4"/>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2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2004</w:t>
            </w:r>
          </w:p>
        </w:tc>
        <w:tc>
          <w:tcPr>
            <w:tcW w:w="420" w:type="dxa"/>
            <w:vAlign w:val="bottom"/>
          </w:tcPr>
          <w:p>
            <w:pPr>
              <w:spacing w:after="0"/>
              <w:rPr>
                <w:sz w:val="15"/>
                <w:szCs w:val="15"/>
                <w:color w:val="auto"/>
              </w:rPr>
            </w:pPr>
          </w:p>
        </w:tc>
        <w:tc>
          <w:tcPr>
            <w:tcW w:w="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2003</w:t>
            </w:r>
          </w:p>
        </w:tc>
        <w:tc>
          <w:tcPr>
            <w:tcW w:w="24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2004</w:t>
            </w:r>
          </w:p>
        </w:tc>
        <w:tc>
          <w:tcPr>
            <w:tcW w:w="22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2003</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8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6"/>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License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17,298</w:t>
            </w:r>
          </w:p>
        </w:tc>
        <w:tc>
          <w:tcPr>
            <w:tcW w:w="4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11,491</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52,026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51,176</w:t>
            </w:r>
          </w:p>
        </w:tc>
      </w:tr>
      <w:tr>
        <w:trPr>
          <w:trHeight w:val="176"/>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Service (*)</w:t>
            </w:r>
          </w:p>
        </w:tc>
        <w:tc>
          <w:tcPr>
            <w:tcW w:w="3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432,926</w:t>
            </w:r>
          </w:p>
        </w:tc>
        <w:tc>
          <w:tcPr>
            <w:tcW w:w="42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8"/>
              </w:rPr>
              <w:t>365,677</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1,269,251</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1,020,392</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450,224</w:t>
            </w:r>
          </w:p>
        </w:tc>
        <w:tc>
          <w:tcPr>
            <w:tcW w:w="42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8"/>
              </w:rPr>
              <w:t>377,168</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1,321,277</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1,071,568</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Cost of license</w:t>
            </w:r>
          </w:p>
        </w:tc>
        <w:tc>
          <w:tcPr>
            <w:tcW w:w="3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1,448</w:t>
            </w:r>
          </w:p>
        </w:tc>
        <w:tc>
          <w:tcPr>
            <w:tcW w:w="42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1,455</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3,807</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4,137</w:t>
            </w:r>
          </w:p>
        </w:tc>
      </w:tr>
      <w:tr>
        <w:trPr>
          <w:trHeight w:val="176"/>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Cost of service</w:t>
            </w:r>
          </w:p>
        </w:tc>
        <w:tc>
          <w:tcPr>
            <w:tcW w:w="3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283,109</w:t>
            </w:r>
          </w:p>
        </w:tc>
        <w:tc>
          <w:tcPr>
            <w:tcW w:w="42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8"/>
              </w:rPr>
              <w:t>230,323</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833,470</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646,389</w:t>
            </w:r>
          </w:p>
        </w:tc>
      </w:tr>
      <w:tr>
        <w:trPr>
          <w:trHeight w:val="176"/>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w:t>
            </w:r>
          </w:p>
        </w:tc>
        <w:tc>
          <w:tcPr>
            <w:tcW w:w="3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31,665</w:t>
            </w:r>
          </w:p>
        </w:tc>
        <w:tc>
          <w:tcPr>
            <w:tcW w:w="42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29,941</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92,247</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88,888</w:t>
            </w:r>
          </w:p>
        </w:tc>
      </w:tr>
      <w:tr>
        <w:trPr>
          <w:trHeight w:val="176"/>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 administrative</w:t>
            </w:r>
          </w:p>
        </w:tc>
        <w:tc>
          <w:tcPr>
            <w:tcW w:w="3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52,745</w:t>
            </w:r>
          </w:p>
        </w:tc>
        <w:tc>
          <w:tcPr>
            <w:tcW w:w="42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50,943</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159,078</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153,644</w:t>
            </w:r>
          </w:p>
        </w:tc>
      </w:tr>
      <w:tr>
        <w:trPr>
          <w:trHeight w:val="176"/>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purchased intangible</w:t>
            </w:r>
          </w:p>
        </w:tc>
        <w:tc>
          <w:tcPr>
            <w:tcW w:w="3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4,558</w:t>
            </w:r>
          </w:p>
        </w:tc>
        <w:tc>
          <w:tcPr>
            <w:tcW w:w="42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4,524</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13,423</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14,303</w:t>
            </w:r>
          </w:p>
        </w:tc>
      </w:tr>
      <w:tr>
        <w:trPr>
          <w:trHeight w:val="176"/>
        </w:trPr>
        <w:tc>
          <w:tcPr>
            <w:tcW w:w="3880" w:type="dxa"/>
            <w:vAlign w:val="bottom"/>
          </w:tcPr>
          <w:p>
            <w:pPr>
              <w:ind w:left="460"/>
              <w:spacing w:after="0"/>
              <w:rPr>
                <w:sz w:val="20"/>
                <w:szCs w:val="20"/>
                <w:color w:val="auto"/>
              </w:rPr>
            </w:pPr>
            <w:r>
              <w:rPr>
                <w:rFonts w:ascii="Courier New" w:cs="Courier New" w:eastAsia="Courier New" w:hAnsi="Courier New"/>
                <w:sz w:val="15"/>
                <w:szCs w:val="15"/>
                <w:color w:val="auto"/>
              </w:rPr>
              <w:t>assets</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Restructuring charges</w:t>
            </w:r>
          </w:p>
        </w:tc>
        <w:tc>
          <w:tcPr>
            <w:tcW w:w="32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9,956</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373,525</w:t>
            </w:r>
          </w:p>
        </w:tc>
        <w:tc>
          <w:tcPr>
            <w:tcW w:w="42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8"/>
              </w:rPr>
              <w:t>317,186</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1,102,025</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917,317</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8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320" w:type="dxa"/>
            <w:vAlign w:val="bottom"/>
          </w:tcPr>
          <w:p>
            <w:pPr>
              <w:spacing w:after="0"/>
              <w:rPr>
                <w:sz w:val="24"/>
                <w:szCs w:val="24"/>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76,699</w:t>
            </w:r>
          </w:p>
        </w:tc>
        <w:tc>
          <w:tcPr>
            <w:tcW w:w="420" w:type="dxa"/>
            <w:vAlign w:val="bottom"/>
          </w:tcPr>
          <w:p>
            <w:pPr>
              <w:spacing w:after="0"/>
              <w:rPr>
                <w:sz w:val="24"/>
                <w:szCs w:val="24"/>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59,982</w:t>
            </w:r>
          </w:p>
        </w:tc>
        <w:tc>
          <w:tcPr>
            <w:tcW w:w="240" w:type="dxa"/>
            <w:vAlign w:val="bottom"/>
          </w:tcPr>
          <w:p>
            <w:pPr>
              <w:spacing w:after="0"/>
              <w:rPr>
                <w:sz w:val="24"/>
                <w:szCs w:val="24"/>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219,252</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154,251</w:t>
            </w:r>
          </w:p>
        </w:tc>
      </w:tr>
      <w:tr>
        <w:trPr>
          <w:trHeight w:val="352"/>
        </w:trPr>
        <w:tc>
          <w:tcPr>
            <w:tcW w:w="388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 (*)</w:t>
            </w:r>
          </w:p>
        </w:tc>
        <w:tc>
          <w:tcPr>
            <w:tcW w:w="320" w:type="dxa"/>
            <w:vAlign w:val="bottom"/>
          </w:tcPr>
          <w:p>
            <w:pPr>
              <w:spacing w:after="0"/>
              <w:rPr>
                <w:sz w:val="24"/>
                <w:szCs w:val="24"/>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121</w:t>
            </w:r>
          </w:p>
        </w:tc>
        <w:tc>
          <w:tcPr>
            <w:tcW w:w="420" w:type="dxa"/>
            <w:vAlign w:val="bottom"/>
          </w:tcPr>
          <w:p>
            <w:pPr>
              <w:spacing w:after="0"/>
              <w:rPr>
                <w:sz w:val="24"/>
                <w:szCs w:val="24"/>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3,269</w:t>
            </w:r>
          </w:p>
        </w:tc>
        <w:tc>
          <w:tcPr>
            <w:tcW w:w="240" w:type="dxa"/>
            <w:vAlign w:val="bottom"/>
          </w:tcPr>
          <w:p>
            <w:pPr>
              <w:spacing w:after="0"/>
              <w:rPr>
                <w:sz w:val="24"/>
                <w:szCs w:val="24"/>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2,899</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12,432</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3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76,820</w:t>
            </w:r>
          </w:p>
        </w:tc>
        <w:tc>
          <w:tcPr>
            <w:tcW w:w="42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63,251</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222,151</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166,683</w:t>
            </w:r>
          </w:p>
        </w:tc>
      </w:tr>
      <w:tr>
        <w:trPr>
          <w:trHeight w:val="176"/>
        </w:trPr>
        <w:tc>
          <w:tcPr>
            <w:tcW w:w="38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3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16,900</w:t>
            </w:r>
          </w:p>
        </w:tc>
        <w:tc>
          <w:tcPr>
            <w:tcW w:w="42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15,813</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48,873</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41,671</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59,920</w:t>
            </w:r>
          </w:p>
        </w:tc>
        <w:tc>
          <w:tcPr>
            <w:tcW w:w="4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47,438</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173,278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125,012</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8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0.29</w:t>
            </w:r>
          </w:p>
        </w:tc>
        <w:tc>
          <w:tcPr>
            <w:tcW w:w="4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0.22</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0.82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0.58</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88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0.28</w:t>
            </w:r>
          </w:p>
        </w:tc>
        <w:tc>
          <w:tcPr>
            <w:tcW w:w="4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0.21</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0.80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0.57</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88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 shares</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6"/>
        </w:trPr>
        <w:tc>
          <w:tcPr>
            <w:tcW w:w="3880" w:type="dxa"/>
            <w:vAlign w:val="bottom"/>
          </w:tcPr>
          <w:p>
            <w:pPr>
              <w:ind w:left="260"/>
              <w:spacing w:after="0"/>
              <w:rPr>
                <w:sz w:val="20"/>
                <w:szCs w:val="20"/>
                <w:color w:val="auto"/>
              </w:rPr>
            </w:pPr>
            <w:r>
              <w:rPr>
                <w:rFonts w:ascii="Courier New" w:cs="Courier New" w:eastAsia="Courier New" w:hAnsi="Courier New"/>
                <w:sz w:val="15"/>
                <w:szCs w:val="15"/>
                <w:color w:val="auto"/>
              </w:rPr>
              <w:t>outstanding</w:t>
            </w:r>
          </w:p>
        </w:tc>
        <w:tc>
          <w:tcPr>
            <w:tcW w:w="3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206,093</w:t>
            </w:r>
          </w:p>
        </w:tc>
        <w:tc>
          <w:tcPr>
            <w:tcW w:w="42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8"/>
              </w:rPr>
              <w:t>215,938</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210,409</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215,786</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88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shares</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6"/>
        </w:trPr>
        <w:tc>
          <w:tcPr>
            <w:tcW w:w="3880" w:type="dxa"/>
            <w:vAlign w:val="bottom"/>
          </w:tcPr>
          <w:p>
            <w:pPr>
              <w:ind w:left="260"/>
              <w:spacing w:after="0"/>
              <w:rPr>
                <w:sz w:val="20"/>
                <w:szCs w:val="20"/>
                <w:color w:val="auto"/>
              </w:rPr>
            </w:pPr>
            <w:r>
              <w:rPr>
                <w:rFonts w:ascii="Courier New" w:cs="Courier New" w:eastAsia="Courier New" w:hAnsi="Courier New"/>
                <w:sz w:val="15"/>
                <w:szCs w:val="15"/>
                <w:color w:val="auto"/>
              </w:rPr>
              <w:t>outstanding</w:t>
            </w:r>
          </w:p>
        </w:tc>
        <w:tc>
          <w:tcPr>
            <w:tcW w:w="3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211,801</w:t>
            </w:r>
          </w:p>
        </w:tc>
        <w:tc>
          <w:tcPr>
            <w:tcW w:w="42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8"/>
              </w:rPr>
              <w:t>220,792</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216,186</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218,953</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 See Note 4.</w:t>
      </w:r>
    </w:p>
    <w:p>
      <w:pPr>
        <w:spacing w:after="0" w:line="35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statements.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47" w:right="1440" w:bottom="1440" w:gutter="0" w:footer="0" w:header="0"/>
        </w:sectPr>
      </w:pPr>
    </w:p>
    <w:bookmarkStart w:id="4" w:name="page5"/>
    <w:bookmarkEnd w:id="4"/>
    <w:p>
      <w:pPr>
        <w:spacing w:after="0" w:line="36" w:lineRule="exact"/>
        <w:rPr>
          <w:sz w:val="20"/>
          <w:szCs w:val="20"/>
          <w:color w:val="auto"/>
        </w:rPr>
      </w:pPr>
    </w:p>
    <w:p>
      <w:pPr>
        <w:jc w:val="center"/>
        <w:ind w:right="2940"/>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2860"/>
        <w:spacing w:after="0"/>
        <w:rPr>
          <w:sz w:val="20"/>
          <w:szCs w:val="20"/>
          <w:color w:val="auto"/>
        </w:rPr>
      </w:pPr>
      <w:r>
        <w:rPr>
          <w:rFonts w:ascii="Courier New" w:cs="Courier New" w:eastAsia="Courier New" w:hAnsi="Courier New"/>
          <w:sz w:val="15"/>
          <w:szCs w:val="15"/>
          <w:color w:val="auto"/>
        </w:rPr>
        <w:t>CONSOLIDATED STATEMENT OF CHANGES IN SHAREHOLDERS' EQUITY (UNAUDITED)</w:t>
      </w:r>
    </w:p>
    <w:p>
      <w:pPr>
        <w:spacing w:after="0" w:line="18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(in thousands)</w:t>
      </w:r>
    </w:p>
    <w:p>
      <w:pPr>
        <w:sectPr>
          <w:pgSz w:w="11900" w:h="16875" w:orient="portrait"/>
          <w:cols w:equalWidth="0" w:num="1">
            <w:col w:w="10260"/>
          </w:cols>
          <w:pgMar w:left="240" w:top="999" w:right="1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Ordinary Shares</w:t>
      </w:r>
    </w:p>
    <w:p>
      <w:pPr>
        <w:spacing w:after="0" w:line="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300"/>
        <w:spacing w:after="0"/>
        <w:tabs>
          <w:tab w:leader="none" w:pos="446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Amount</w:t>
      </w:r>
    </w:p>
    <w:p>
      <w:pPr>
        <w:spacing w:after="0" w:line="6" w:lineRule="exact"/>
        <w:rPr>
          <w:sz w:val="20"/>
          <w:szCs w:val="20"/>
          <w:color w:val="auto"/>
        </w:rPr>
      </w:pPr>
    </w:p>
    <w:p>
      <w:pPr>
        <w:ind w:left="3200"/>
        <w:spacing w:after="0"/>
        <w:tabs>
          <w:tab w:leader="none" w:pos="42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firstLine="92"/>
        <w:spacing w:after="0" w:line="249" w:lineRule="auto"/>
        <w:rPr>
          <w:sz w:val="20"/>
          <w:szCs w:val="20"/>
          <w:color w:val="auto"/>
        </w:rPr>
      </w:pPr>
      <w:r>
        <w:rPr>
          <w:rFonts w:ascii="Courier New" w:cs="Courier New" w:eastAsia="Courier New" w:hAnsi="Courier New"/>
          <w:sz w:val="15"/>
          <w:szCs w:val="15"/>
          <w:color w:val="auto"/>
        </w:rPr>
        <w:t>Additional Paid-in Capital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99"/>
        <w:spacing w:after="0"/>
        <w:rPr>
          <w:sz w:val="20"/>
          <w:szCs w:val="20"/>
          <w:color w:val="auto"/>
        </w:rPr>
      </w:pPr>
      <w:r>
        <w:rPr>
          <w:rFonts w:ascii="Courier New" w:cs="Courier New" w:eastAsia="Courier New" w:hAnsi="Courier New"/>
          <w:sz w:val="15"/>
          <w:szCs w:val="15"/>
          <w:color w:val="auto"/>
        </w:rPr>
        <w:t>Treasury</w:t>
      </w:r>
    </w:p>
    <w:p>
      <w:pPr>
        <w:spacing w:after="0" w:line="6"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Stock</w:t>
      </w:r>
    </w:p>
    <w:p>
      <w:pPr>
        <w:spacing w:after="0" w:line="6"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Accumulated Other</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Comprehensive</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(Loss) Income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6" w:lineRule="exact"/>
        <w:rPr>
          <w:sz w:val="20"/>
          <w:szCs w:val="20"/>
          <w:color w:val="auto"/>
        </w:rPr>
      </w:pPr>
    </w:p>
    <w:p>
      <w:pPr>
        <w:sectPr>
          <w:pgSz w:w="11900" w:h="16875" w:orient="portrait"/>
          <w:cols w:equalWidth="0" w:num="4">
            <w:col w:w="5120" w:space="380"/>
            <w:col w:w="1000" w:space="360"/>
            <w:col w:w="1200" w:space="360"/>
            <w:col w:w="1840"/>
          </w:cols>
          <w:pgMar w:left="240" w:top="999" w:right="1399" w:bottom="0" w:gutter="0" w:footer="0" w:header="0"/>
          <w:type w:val="continuous"/>
        </w:sectPr>
      </w:pP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as of September</w:t>
      </w:r>
    </w:p>
    <w:p>
      <w:pPr>
        <w:sectPr>
          <w:pgSz w:w="11900" w:h="16875" w:orient="portrait"/>
          <w:cols w:equalWidth="0" w:num="1">
            <w:col w:w="10260"/>
          </w:cols>
          <w:pgMar w:left="240" w:top="999" w:right="1399" w:bottom="0" w:gutter="0" w:footer="0" w:header="0"/>
          <w:type w:val="continuous"/>
        </w:sectPr>
      </w:pP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30, 2003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216,058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$ 3,580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$ 1,820,956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(109,281)</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5"/>
          <w:szCs w:val="15"/>
          <w:color w:val="auto"/>
        </w:rPr>
        <w:t>$</w:t>
        <w:tab/>
        <w:t>3,715</w:t>
      </w:r>
    </w:p>
    <w:p>
      <w:pPr>
        <w:spacing w:after="0" w:line="6" w:lineRule="exact"/>
        <w:rPr>
          <w:sz w:val="20"/>
          <w:szCs w:val="20"/>
          <w:color w:val="auto"/>
        </w:rPr>
      </w:pPr>
    </w:p>
    <w:p>
      <w:pPr>
        <w:sectPr>
          <w:pgSz w:w="11900" w:h="16875" w:orient="portrait"/>
          <w:cols w:equalWidth="0" w:num="6">
            <w:col w:w="2480" w:space="720"/>
            <w:col w:w="640" w:space="640"/>
            <w:col w:w="640" w:space="380"/>
            <w:col w:w="1000" w:space="360"/>
            <w:col w:w="1300" w:space="720"/>
            <w:col w:w="1380"/>
          </w:cols>
          <w:pgMar w:left="240" w:top="999" w:right="139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Comprehensive income:</w:t>
      </w:r>
    </w:p>
    <w:p>
      <w:pPr>
        <w:sectPr>
          <w:pgSz w:w="11900" w:h="16875" w:orient="portrait"/>
          <w:cols w:equalWidth="0" w:num="1">
            <w:col w:w="10260"/>
          </w:cols>
          <w:pgMar w:left="240" w:top="999" w:right="1399" w:bottom="0" w:gutter="0" w:footer="0" w:header="0"/>
          <w:type w:val="continuous"/>
        </w:sectPr>
      </w:pP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Net income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ectPr>
          <w:pgSz w:w="11900" w:h="16875" w:orient="portrait"/>
          <w:cols w:equalWidth="0" w:num="6">
            <w:col w:w="2760" w:space="720"/>
            <w:col w:w="560" w:space="720"/>
            <w:col w:w="660" w:space="720"/>
            <w:col w:w="560" w:space="720"/>
            <w:col w:w="1100" w:space="720"/>
            <w:col w:w="1020"/>
          </w:cols>
          <w:pgMar w:left="240" w:top="999" w:right="139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Unrealized loss on</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foreign currency</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hedging contracts,</w:t>
      </w:r>
    </w:p>
    <w:p>
      <w:pPr>
        <w:sectPr>
          <w:pgSz w:w="11900" w:h="16875" w:orient="portrait"/>
          <w:cols w:equalWidth="0" w:num="1">
            <w:col w:w="10260"/>
          </w:cols>
          <w:pgMar w:left="240" w:top="999" w:right="1399" w:bottom="0" w:gutter="0" w:footer="0" w:header="0"/>
          <w:type w:val="continuous"/>
        </w:sectPr>
      </w:pP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net of $(991) tax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(2,846)</w:t>
      </w:r>
    </w:p>
    <w:p>
      <w:pPr>
        <w:spacing w:after="0" w:line="6" w:lineRule="exact"/>
        <w:rPr>
          <w:sz w:val="20"/>
          <w:szCs w:val="20"/>
          <w:color w:val="auto"/>
        </w:rPr>
      </w:pPr>
    </w:p>
    <w:p>
      <w:pPr>
        <w:sectPr>
          <w:pgSz w:w="11900" w:h="16875" w:orient="portrait"/>
          <w:cols w:equalWidth="0" w:num="6">
            <w:col w:w="2760" w:space="720"/>
            <w:col w:w="560" w:space="720"/>
            <w:col w:w="660" w:space="720"/>
            <w:col w:w="560" w:space="720"/>
            <w:col w:w="920" w:space="720"/>
            <w:col w:w="1200"/>
          </w:cols>
          <w:pgMar w:left="240" w:top="999" w:right="139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Unrealized loss on cash</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equivalents and</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short-term</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interest-bearing</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investments, net of</w:t>
      </w:r>
    </w:p>
    <w:p>
      <w:pPr>
        <w:sectPr>
          <w:pgSz w:w="11900" w:h="16875" w:orient="portrait"/>
          <w:cols w:equalWidth="0" w:num="1">
            <w:col w:w="10260"/>
          </w:cols>
          <w:pgMar w:left="240" w:top="999" w:right="1399" w:bottom="0" w:gutter="0" w:footer="0" w:header="0"/>
          <w:type w:val="continuous"/>
        </w:sectPr>
      </w:pP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$(348) tax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(1,227)</w:t>
      </w:r>
    </w:p>
    <w:p>
      <w:pPr>
        <w:spacing w:after="0" w:line="182" w:lineRule="exact"/>
        <w:rPr>
          <w:sz w:val="20"/>
          <w:szCs w:val="20"/>
          <w:color w:val="auto"/>
        </w:rPr>
      </w:pPr>
    </w:p>
    <w:p>
      <w:pPr>
        <w:sectPr>
          <w:pgSz w:w="11900" w:h="16875" w:orient="portrait"/>
          <w:cols w:equalWidth="0" w:num="6">
            <w:col w:w="2760" w:space="720"/>
            <w:col w:w="560" w:space="720"/>
            <w:col w:w="660" w:space="720"/>
            <w:col w:w="560" w:space="720"/>
            <w:col w:w="920" w:space="720"/>
            <w:col w:w="1200"/>
          </w:cols>
          <w:pgMar w:left="240" w:top="999" w:right="139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Comprehensive income</w:t>
      </w:r>
    </w:p>
    <w:p>
      <w:pPr>
        <w:sectPr>
          <w:pgSz w:w="11900" w:h="16875" w:orient="portrait"/>
          <w:cols w:equalWidth="0" w:num="1">
            <w:col w:w="10260"/>
          </w:cols>
          <w:pgMar w:left="240" w:top="999" w:right="1399" w:bottom="0" w:gutter="0" w:footer="0" w:header="0"/>
          <w:type w:val="continuous"/>
        </w:sect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Issuance of ordinary</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561</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5"/>
          <w:szCs w:val="15"/>
          <w:color w:val="auto"/>
        </w:rPr>
        <w:t>747</w:t>
      </w:r>
      <w:r>
        <w:rPr>
          <w:sz w:val="20"/>
          <w:szCs w:val="20"/>
          <w:color w:val="auto"/>
        </w:rPr>
        <w:tab/>
      </w:r>
      <w:r>
        <w:rPr>
          <w:rFonts w:ascii="Courier New" w:cs="Courier New" w:eastAsia="Courier New" w:hAnsi="Courier New"/>
          <w:sz w:val="15"/>
          <w:szCs w:val="15"/>
          <w:color w:val="auto"/>
        </w:rPr>
        <w:t>14,392</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ectPr>
          <w:pgSz w:w="11900" w:h="16875" w:orient="portrait"/>
          <w:cols w:equalWidth="0" w:num="5">
            <w:col w:w="2840" w:space="720"/>
            <w:col w:w="480" w:space="720"/>
            <w:col w:w="740" w:space="720"/>
            <w:col w:w="2300" w:space="720"/>
            <w:col w:w="1020"/>
          </w:cols>
          <w:pgMar w:left="240" w:top="999" w:right="1399" w:bottom="0" w:gutter="0" w:footer="0" w:header="0"/>
          <w:type w:val="continuous"/>
        </w:sectPr>
      </w:pPr>
    </w:p>
    <w:p>
      <w:pPr>
        <w:ind w:left="260"/>
        <w:spacing w:after="0"/>
        <w:rPr>
          <w:sz w:val="20"/>
          <w:szCs w:val="20"/>
          <w:color w:val="auto"/>
        </w:rPr>
      </w:pPr>
      <w:r>
        <w:rPr>
          <w:rFonts w:ascii="Courier New" w:cs="Courier New" w:eastAsia="Courier New" w:hAnsi="Courier New"/>
          <w:sz w:val="15"/>
          <w:szCs w:val="15"/>
          <w:color w:val="auto"/>
        </w:rPr>
        <w:t>shares related to</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acquisition, net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stock options</w:t>
      </w:r>
    </w:p>
    <w:p>
      <w:pPr>
        <w:sectPr>
          <w:pgSz w:w="11900" w:h="16875" w:orient="portrait"/>
          <w:cols w:equalWidth="0" w:num="1">
            <w:col w:w="10260"/>
          </w:cols>
          <w:pgMar w:left="240" w:top="999" w:right="1399" w:bottom="0" w:gutter="0" w:footer="0" w:header="0"/>
          <w:type w:val="continuous"/>
        </w:sectPr>
      </w:pP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exercised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1,064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w:t>
      </w:r>
    </w:p>
    <w:p>
      <w:pPr>
        <w:spacing w:after="0" w:line="20" w:lineRule="exact"/>
        <w:rPr>
          <w:sz w:val="20"/>
          <w:szCs w:val="20"/>
          <w:color w:val="auto"/>
        </w:rPr>
      </w:pPr>
      <w:r>
        <w:rPr>
          <w:sz w:val="20"/>
          <w:szCs w:val="20"/>
          <w:color w:val="auto"/>
        </w:rPr>
        <w:br w:type="column"/>
      </w:r>
    </w:p>
    <w:p>
      <w:pPr>
        <w:jc w:val="center"/>
        <w:ind w:right="200"/>
        <w:spacing w:after="0"/>
        <w:rPr>
          <w:sz w:val="20"/>
          <w:szCs w:val="20"/>
          <w:color w:val="auto"/>
        </w:rPr>
      </w:pPr>
      <w:r>
        <w:rPr>
          <w:rFonts w:ascii="Courier New" w:cs="Courier New" w:eastAsia="Courier New" w:hAnsi="Courier New"/>
          <w:sz w:val="15"/>
          <w:szCs w:val="15"/>
          <w:color w:val="auto"/>
        </w:rPr>
        <w:t>11,345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ectPr>
          <w:pgSz w:w="11900" w:h="16875" w:orient="portrait"/>
          <w:cols w:equalWidth="0" w:num="6">
            <w:col w:w="2660" w:space="720"/>
            <w:col w:w="840" w:space="720"/>
            <w:col w:w="280" w:space="720"/>
            <w:col w:w="760" w:space="720"/>
            <w:col w:w="1100" w:space="720"/>
            <w:col w:w="1020"/>
          </w:cols>
          <w:pgMar w:left="240" w:top="999" w:right="139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Tax benefit of stock</w:t>
      </w:r>
    </w:p>
    <w:p>
      <w:pPr>
        <w:sectPr>
          <w:pgSz w:w="11900" w:h="16875" w:orient="portrait"/>
          <w:cols w:equalWidth="0" w:num="1">
            <w:col w:w="10260"/>
          </w:cols>
          <w:pgMar w:left="240" w:top="999" w:right="1399" w:bottom="0" w:gutter="0" w:footer="0" w:header="0"/>
          <w:type w:val="continuous"/>
        </w:sectPr>
      </w:pP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options exercised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2,738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ectPr>
          <w:pgSz w:w="11900" w:h="16875" w:orient="portrait"/>
          <w:cols w:equalWidth="0" w:num="6">
            <w:col w:w="2760" w:space="720"/>
            <w:col w:w="560" w:space="720"/>
            <w:col w:w="560" w:space="720"/>
            <w:col w:w="660" w:space="720"/>
            <w:col w:w="1100" w:space="720"/>
            <w:col w:w="1020"/>
          </w:cols>
          <w:pgMar w:left="240" w:top="999" w:right="139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Repurchase of ordinary</w:t>
      </w:r>
    </w:p>
    <w:p>
      <w:pPr>
        <w:sectPr>
          <w:pgSz w:w="11900" w:h="16875" w:orient="portrait"/>
          <w:cols w:equalWidth="0" w:num="1">
            <w:col w:w="10260"/>
          </w:cols>
          <w:pgMar w:left="240" w:top="999" w:right="1399" w:bottom="0" w:gutter="0" w:footer="0" w:header="0"/>
          <w:type w:val="continuous"/>
        </w:sectPr>
      </w:pP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(11,548)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(307,471)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ectPr>
          <w:pgSz w:w="11900" w:h="16875" w:orient="portrait"/>
          <w:cols w:equalWidth="0" w:num="6">
            <w:col w:w="2480" w:space="720"/>
            <w:col w:w="840" w:space="720"/>
            <w:col w:w="660" w:space="720"/>
            <w:col w:w="180" w:space="720"/>
            <w:col w:w="1480" w:space="720"/>
            <w:col w:w="1020"/>
          </w:cols>
          <w:pgMar w:left="240" w:top="999" w:right="139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Expense related to vesting</w:t>
      </w:r>
    </w:p>
    <w:p>
      <w:pPr>
        <w:sectPr>
          <w:pgSz w:w="11900" w:h="16875" w:orient="portrait"/>
          <w:cols w:equalWidth="0" w:num="1">
            <w:col w:w="10260"/>
          </w:cols>
          <w:pgMar w:left="240" w:top="999" w:right="1399" w:bottom="0" w:gutter="0" w:footer="0" w:header="0"/>
          <w:type w:val="continuous"/>
        </w:sectPr>
      </w:pPr>
    </w:p>
    <w:p>
      <w:pPr>
        <w:spacing w:after="0" w:line="6" w:lineRule="exact"/>
        <w:rPr>
          <w:sz w:val="20"/>
          <w:szCs w:val="20"/>
          <w:color w:val="auto"/>
        </w:rPr>
      </w:pPr>
    </w:p>
    <w:p>
      <w:pPr>
        <w:ind w:right="840" w:firstLine="275"/>
        <w:spacing w:after="0" w:line="248" w:lineRule="auto"/>
        <w:rPr>
          <w:sz w:val="20"/>
          <w:szCs w:val="20"/>
          <w:color w:val="auto"/>
        </w:rPr>
      </w:pPr>
      <w:r>
        <w:rPr>
          <w:rFonts w:ascii="Courier New" w:cs="Courier New" w:eastAsia="Courier New" w:hAnsi="Courier New"/>
          <w:sz w:val="15"/>
          <w:szCs w:val="15"/>
          <w:color w:val="auto"/>
        </w:rPr>
        <w:t>of stock options Stock options granted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200"/>
        <w:spacing w:after="0"/>
        <w:rPr>
          <w:sz w:val="20"/>
          <w:szCs w:val="20"/>
          <w:color w:val="auto"/>
        </w:rPr>
      </w:pPr>
      <w:r>
        <w:rPr>
          <w:rFonts w:ascii="Courier New" w:cs="Courier New" w:eastAsia="Courier New" w:hAnsi="Courier New"/>
          <w:sz w:val="15"/>
          <w:szCs w:val="15"/>
          <w:color w:val="auto"/>
        </w:rPr>
        <w:t>6</w:t>
      </w:r>
    </w:p>
    <w:p>
      <w:pPr>
        <w:spacing w:after="0" w:line="6" w:lineRule="exact"/>
        <w:rPr>
          <w:sz w:val="20"/>
          <w:szCs w:val="20"/>
          <w:color w:val="auto"/>
        </w:rPr>
      </w:pPr>
    </w:p>
    <w:p>
      <w:pPr>
        <w:jc w:val="right"/>
        <w:ind w:right="200"/>
        <w:spacing w:after="0"/>
        <w:rPr>
          <w:sz w:val="20"/>
          <w:szCs w:val="20"/>
          <w:color w:val="auto"/>
        </w:rPr>
      </w:pPr>
      <w:r>
        <w:rPr>
          <w:rFonts w:ascii="Courier New" w:cs="Courier New" w:eastAsia="Courier New" w:hAnsi="Courier New"/>
          <w:sz w:val="15"/>
          <w:szCs w:val="15"/>
          <w:color w:val="auto"/>
        </w:rPr>
        <w:t>951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ectPr>
          <w:pgSz w:w="11900" w:h="16875" w:orient="portrait"/>
          <w:cols w:equalWidth="0" w:num="6">
            <w:col w:w="2760" w:space="720"/>
            <w:col w:w="560" w:space="720"/>
            <w:col w:w="740" w:space="720"/>
            <w:col w:w="480" w:space="720"/>
            <w:col w:w="1100" w:space="720"/>
            <w:col w:w="1020"/>
          </w:cols>
          <w:pgMar w:left="240" w:top="999" w:right="139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Amortization of unearned</w:t>
      </w:r>
    </w:p>
    <w:p>
      <w:pPr>
        <w:sectPr>
          <w:pgSz w:w="11900" w:h="16875" w:orient="portrait"/>
          <w:cols w:equalWidth="0" w:num="1">
            <w:col w:w="10260"/>
          </w:cols>
          <w:pgMar w:left="240" w:top="999" w:right="1399" w:bottom="0" w:gutter="0" w:footer="0" w:header="0"/>
          <w:type w:val="continuous"/>
        </w:sectPr>
      </w:pP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compensation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as of June 30, 2004</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206,135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$ 3,599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64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$ 1,836,743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5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(402,360)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(358)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75" w:orient="portrait"/>
          <w:cols w:equalWidth="0" w:num="6">
            <w:col w:w="2480" w:space="720"/>
            <w:col w:w="640" w:space="640"/>
            <w:col w:w="640" w:space="380"/>
            <w:col w:w="1000" w:space="360"/>
            <w:col w:w="1200" w:space="720"/>
            <w:col w:w="1480"/>
          </w:cols>
          <w:pgMar w:left="240" w:top="999" w:right="1399" w:bottom="0" w:gutter="0" w:footer="0" w:header="0"/>
          <w:type w:val="continuous"/>
        </w:sectPr>
      </w:pPr>
    </w:p>
    <w:p>
      <w:pPr>
        <w:spacing w:after="0" w:line="335" w:lineRule="exact"/>
        <w:rPr>
          <w:sz w:val="20"/>
          <w:szCs w:val="20"/>
          <w:color w:val="auto"/>
        </w:rPr>
      </w:pPr>
    </w:p>
    <w:p>
      <w:pPr>
        <w:ind w:left="4760"/>
        <w:spacing w:after="0"/>
        <w:rPr>
          <w:sz w:val="20"/>
          <w:szCs w:val="20"/>
          <w:color w:val="auto"/>
        </w:rPr>
      </w:pPr>
      <w:r>
        <w:rPr>
          <w:rFonts w:ascii="Courier New" w:cs="Courier New" w:eastAsia="Courier New" w:hAnsi="Courier New"/>
          <w:sz w:val="15"/>
          <w:szCs w:val="15"/>
          <w:color w:val="auto"/>
        </w:rPr>
        <w:t>Retained</w:t>
      </w:r>
    </w:p>
    <w:p>
      <w:pPr>
        <w:spacing w:after="0" w:line="6" w:lineRule="exact"/>
        <w:rPr>
          <w:sz w:val="20"/>
          <w:szCs w:val="20"/>
          <w:color w:val="auto"/>
        </w:rPr>
      </w:pPr>
    </w:p>
    <w:p>
      <w:pPr>
        <w:ind w:left="4760"/>
        <w:spacing w:after="0"/>
        <w:rPr>
          <w:sz w:val="20"/>
          <w:szCs w:val="20"/>
          <w:color w:val="auto"/>
        </w:rPr>
      </w:pPr>
      <w:r>
        <w:rPr>
          <w:rFonts w:ascii="Courier New" w:cs="Courier New" w:eastAsia="Courier New" w:hAnsi="Courier New"/>
          <w:sz w:val="15"/>
          <w:szCs w:val="15"/>
          <w:color w:val="auto"/>
        </w:rPr>
        <w:t>Earnings</w:t>
      </w:r>
    </w:p>
    <w:p>
      <w:pPr>
        <w:sectPr>
          <w:pgSz w:w="11900" w:h="16875" w:orient="portrait"/>
          <w:cols w:equalWidth="0" w:num="1">
            <w:col w:w="10260"/>
          </w:cols>
          <w:pgMar w:left="240" w:top="999" w:right="1399" w:bottom="0" w:gutter="0" w:footer="0" w:header="0"/>
          <w:type w:val="continuous"/>
        </w:sectPr>
      </w:pP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Unearned</w:t>
            </w:r>
          </w:p>
        </w:tc>
        <w:tc>
          <w:tcPr>
            <w:tcW w:w="1660" w:type="dxa"/>
            <w:vAlign w:val="bottom"/>
          </w:tcPr>
          <w:p>
            <w:pPr>
              <w:ind w:left="240"/>
              <w:spacing w:after="0"/>
              <w:rPr>
                <w:sz w:val="20"/>
                <w:szCs w:val="20"/>
                <w:color w:val="auto"/>
              </w:rPr>
            </w:pPr>
            <w:r>
              <w:rPr>
                <w:rFonts w:ascii="Courier New" w:cs="Courier New" w:eastAsia="Courier New" w:hAnsi="Courier New"/>
                <w:sz w:val="15"/>
                <w:szCs w:val="15"/>
                <w:color w:val="auto"/>
              </w:rPr>
              <w:t>(Accumulated</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Accumulated</w:t>
            </w:r>
          </w:p>
        </w:tc>
      </w:tr>
      <w:tr>
        <w:trPr>
          <w:trHeight w:val="176"/>
        </w:trPr>
        <w:tc>
          <w:tcPr>
            <w:tcW w:w="2600" w:type="dxa"/>
            <w:vAlign w:val="bottom"/>
          </w:tcPr>
          <w:p>
            <w:pPr>
              <w:spacing w:after="0"/>
              <w:rPr>
                <w:sz w:val="15"/>
                <w:szCs w:val="15"/>
                <w:color w:val="auto"/>
              </w:rPr>
            </w:pPr>
          </w:p>
        </w:tc>
        <w:tc>
          <w:tcPr>
            <w:tcW w:w="174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Compensation</w:t>
            </w:r>
          </w:p>
        </w:tc>
        <w:tc>
          <w:tcPr>
            <w:tcW w:w="1660" w:type="dxa"/>
            <w:vAlign w:val="bottom"/>
          </w:tcPr>
          <w:p>
            <w:pPr>
              <w:jc w:val="center"/>
              <w:ind w:left="4"/>
              <w:spacing w:after="0"/>
              <w:rPr>
                <w:sz w:val="20"/>
                <w:szCs w:val="20"/>
                <w:color w:val="auto"/>
              </w:rPr>
            </w:pPr>
            <w:r>
              <w:rPr>
                <w:rFonts w:ascii="Courier New" w:cs="Courier New" w:eastAsia="Courier New" w:hAnsi="Courier New"/>
                <w:sz w:val="15"/>
                <w:szCs w:val="15"/>
                <w:color w:val="auto"/>
              </w:rPr>
              <w:t>Deficit)</w:t>
            </w:r>
          </w:p>
        </w:tc>
        <w:tc>
          <w:tcPr>
            <w:tcW w:w="15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Equity</w:t>
            </w:r>
          </w:p>
        </w:tc>
      </w:tr>
      <w:tr>
        <w:trPr>
          <w:trHeight w:val="176"/>
        </w:trPr>
        <w:tc>
          <w:tcPr>
            <w:tcW w:w="2600" w:type="dxa"/>
            <w:vAlign w:val="bottom"/>
          </w:tcPr>
          <w:p>
            <w:pPr>
              <w:spacing w:after="0"/>
              <w:rPr>
                <w:sz w:val="15"/>
                <w:szCs w:val="15"/>
                <w:color w:val="auto"/>
              </w:rPr>
            </w:pPr>
          </w:p>
        </w:tc>
        <w:tc>
          <w:tcPr>
            <w:tcW w:w="17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2600" w:type="dxa"/>
            <w:vAlign w:val="bottom"/>
          </w:tcPr>
          <w:p>
            <w:pPr>
              <w:spacing w:after="0"/>
              <w:rPr>
                <w:sz w:val="20"/>
                <w:szCs w:val="20"/>
                <w:color w:val="auto"/>
              </w:rPr>
            </w:pPr>
            <w:r>
              <w:rPr>
                <w:rFonts w:ascii="Courier New" w:cs="Courier New" w:eastAsia="Courier New" w:hAnsi="Courier New"/>
                <w:sz w:val="15"/>
                <w:szCs w:val="15"/>
                <w:color w:val="auto"/>
              </w:rPr>
              <w:t>Balance as of September</w:t>
            </w: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6"/>
        </w:trPr>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30, 2003</w:t>
            </w:r>
          </w:p>
        </w:tc>
        <w:tc>
          <w:tcPr>
            <w:tcW w:w="500" w:type="dxa"/>
            <w:vAlign w:val="bottom"/>
          </w:tcPr>
          <w:p>
            <w:pPr>
              <w:ind w:left="42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rPr>
              <w:t>$  (127,370)</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$ 1,591,600</w:t>
            </w:r>
          </w:p>
        </w:tc>
      </w:tr>
      <w:tr>
        <w:trPr>
          <w:trHeight w:val="176"/>
        </w:trPr>
        <w:tc>
          <w:tcPr>
            <w:tcW w:w="260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500" w:type="dxa"/>
            <w:vAlign w:val="bottom"/>
          </w:tcPr>
          <w:p>
            <w:pPr>
              <w:spacing w:after="0"/>
              <w:rPr>
                <w:sz w:val="15"/>
                <w:szCs w:val="15"/>
                <w:color w:val="auto"/>
              </w:rPr>
            </w:pPr>
          </w:p>
        </w:tc>
        <w:tc>
          <w:tcPr>
            <w:tcW w:w="12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173,278</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173,278</w:t>
            </w:r>
          </w:p>
        </w:tc>
      </w:tr>
      <w:tr>
        <w:trPr>
          <w:trHeight w:val="176"/>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Unrealized loss on</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ind w:left="460"/>
              <w:spacing w:after="0"/>
              <w:rPr>
                <w:sz w:val="20"/>
                <w:szCs w:val="20"/>
                <w:color w:val="auto"/>
              </w:rPr>
            </w:pPr>
            <w:r>
              <w:rPr>
                <w:rFonts w:ascii="Courier New" w:cs="Courier New" w:eastAsia="Courier New" w:hAnsi="Courier New"/>
                <w:sz w:val="15"/>
                <w:szCs w:val="15"/>
                <w:color w:val="auto"/>
              </w:rPr>
              <w:t>foreign currency</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ind w:left="460"/>
              <w:spacing w:after="0"/>
              <w:rPr>
                <w:sz w:val="20"/>
                <w:szCs w:val="20"/>
                <w:color w:val="auto"/>
              </w:rPr>
            </w:pPr>
            <w:r>
              <w:rPr>
                <w:rFonts w:ascii="Courier New" w:cs="Courier New" w:eastAsia="Courier New" w:hAnsi="Courier New"/>
                <w:sz w:val="15"/>
                <w:szCs w:val="15"/>
                <w:color w:val="auto"/>
              </w:rPr>
              <w:t>hedging contracts,</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ind w:left="460"/>
              <w:spacing w:after="0"/>
              <w:rPr>
                <w:sz w:val="20"/>
                <w:szCs w:val="20"/>
                <w:color w:val="auto"/>
              </w:rPr>
            </w:pPr>
            <w:r>
              <w:rPr>
                <w:rFonts w:ascii="Courier New" w:cs="Courier New" w:eastAsia="Courier New" w:hAnsi="Courier New"/>
                <w:sz w:val="15"/>
                <w:szCs w:val="15"/>
                <w:color w:val="auto"/>
              </w:rPr>
              <w:t>net of $(991) tax</w:t>
            </w:r>
          </w:p>
        </w:tc>
        <w:tc>
          <w:tcPr>
            <w:tcW w:w="500" w:type="dxa"/>
            <w:vAlign w:val="bottom"/>
          </w:tcPr>
          <w:p>
            <w:pPr>
              <w:spacing w:after="0"/>
              <w:rPr>
                <w:sz w:val="15"/>
                <w:szCs w:val="15"/>
                <w:color w:val="auto"/>
              </w:rPr>
            </w:pPr>
          </w:p>
        </w:tc>
        <w:tc>
          <w:tcPr>
            <w:tcW w:w="12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(2,846)</w:t>
            </w:r>
          </w:p>
        </w:tc>
      </w:tr>
      <w:tr>
        <w:trPr>
          <w:trHeight w:val="176"/>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Unrealized loss on cash</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ind w:left="460"/>
              <w:spacing w:after="0"/>
              <w:rPr>
                <w:sz w:val="20"/>
                <w:szCs w:val="20"/>
                <w:color w:val="auto"/>
              </w:rPr>
            </w:pPr>
            <w:r>
              <w:rPr>
                <w:rFonts w:ascii="Courier New" w:cs="Courier New" w:eastAsia="Courier New" w:hAnsi="Courier New"/>
                <w:sz w:val="15"/>
                <w:szCs w:val="15"/>
                <w:color w:val="auto"/>
              </w:rPr>
              <w:t>equivalents and</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ind w:left="460"/>
              <w:spacing w:after="0"/>
              <w:rPr>
                <w:sz w:val="20"/>
                <w:szCs w:val="20"/>
                <w:color w:val="auto"/>
              </w:rPr>
            </w:pPr>
            <w:r>
              <w:rPr>
                <w:rFonts w:ascii="Courier New" w:cs="Courier New" w:eastAsia="Courier New" w:hAnsi="Courier New"/>
                <w:sz w:val="15"/>
                <w:szCs w:val="15"/>
                <w:color w:val="auto"/>
              </w:rPr>
              <w:t>short-term</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ind w:left="460"/>
              <w:spacing w:after="0"/>
              <w:rPr>
                <w:sz w:val="20"/>
                <w:szCs w:val="20"/>
                <w:color w:val="auto"/>
              </w:rPr>
            </w:pPr>
            <w:r>
              <w:rPr>
                <w:rFonts w:ascii="Courier New" w:cs="Courier New" w:eastAsia="Courier New" w:hAnsi="Courier New"/>
                <w:sz w:val="15"/>
                <w:szCs w:val="15"/>
                <w:color w:val="auto"/>
              </w:rPr>
              <w:t>interest-bearing</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ind w:left="460"/>
              <w:spacing w:after="0"/>
              <w:rPr>
                <w:sz w:val="20"/>
                <w:szCs w:val="20"/>
                <w:color w:val="auto"/>
              </w:rPr>
            </w:pPr>
            <w:r>
              <w:rPr>
                <w:rFonts w:ascii="Courier New" w:cs="Courier New" w:eastAsia="Courier New" w:hAnsi="Courier New"/>
                <w:sz w:val="15"/>
                <w:szCs w:val="15"/>
                <w:color w:val="auto"/>
              </w:rPr>
              <w:t>investments, net of</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ind w:left="460"/>
              <w:spacing w:after="0"/>
              <w:rPr>
                <w:sz w:val="20"/>
                <w:szCs w:val="20"/>
                <w:color w:val="auto"/>
              </w:rPr>
            </w:pPr>
            <w:r>
              <w:rPr>
                <w:rFonts w:ascii="Courier New" w:cs="Courier New" w:eastAsia="Courier New" w:hAnsi="Courier New"/>
                <w:sz w:val="15"/>
                <w:szCs w:val="15"/>
                <w:color w:val="auto"/>
              </w:rPr>
              <w:t>$(348) tax</w:t>
            </w:r>
          </w:p>
        </w:tc>
        <w:tc>
          <w:tcPr>
            <w:tcW w:w="500" w:type="dxa"/>
            <w:vAlign w:val="bottom"/>
          </w:tcPr>
          <w:p>
            <w:pPr>
              <w:spacing w:after="0"/>
              <w:rPr>
                <w:sz w:val="15"/>
                <w:szCs w:val="15"/>
                <w:color w:val="auto"/>
              </w:rPr>
            </w:pPr>
          </w:p>
        </w:tc>
        <w:tc>
          <w:tcPr>
            <w:tcW w:w="12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(1,227)</w:t>
            </w:r>
          </w:p>
        </w:tc>
      </w:tr>
      <w:tr>
        <w:trPr>
          <w:trHeight w:val="176"/>
        </w:trPr>
        <w:tc>
          <w:tcPr>
            <w:tcW w:w="2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Comprehensive income</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169,205</w:t>
            </w:r>
          </w:p>
        </w:tc>
      </w:tr>
      <w:tr>
        <w:trPr>
          <w:trHeight w:val="176"/>
        </w:trPr>
        <w:tc>
          <w:tcPr>
            <w:tcW w:w="2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2600" w:type="dxa"/>
            <w:vAlign w:val="bottom"/>
          </w:tcPr>
          <w:p>
            <w:pPr>
              <w:spacing w:after="0"/>
              <w:rPr>
                <w:sz w:val="20"/>
                <w:szCs w:val="20"/>
                <w:color w:val="auto"/>
              </w:rPr>
            </w:pPr>
            <w:r>
              <w:rPr>
                <w:rFonts w:ascii="Courier New" w:cs="Courier New" w:eastAsia="Courier New" w:hAnsi="Courier New"/>
                <w:sz w:val="15"/>
                <w:szCs w:val="15"/>
                <w:color w:val="auto"/>
              </w:rPr>
              <w:t>Issuance of ordinary</w:t>
            </w:r>
          </w:p>
        </w:tc>
        <w:tc>
          <w:tcPr>
            <w:tcW w:w="500" w:type="dxa"/>
            <w:vAlign w:val="bottom"/>
          </w:tcPr>
          <w:p>
            <w:pPr>
              <w:spacing w:after="0"/>
              <w:rPr>
                <w:sz w:val="15"/>
                <w:szCs w:val="15"/>
                <w:color w:val="auto"/>
              </w:rPr>
            </w:pPr>
          </w:p>
        </w:tc>
        <w:tc>
          <w:tcPr>
            <w:tcW w:w="12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15,139</w:t>
            </w:r>
          </w:p>
        </w:tc>
      </w:tr>
      <w:tr>
        <w:trPr>
          <w:trHeight w:val="176"/>
        </w:trPr>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shares related to</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acquisition, net</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spacing w:after="0"/>
              <w:rPr>
                <w:sz w:val="20"/>
                <w:szCs w:val="20"/>
                <w:color w:val="auto"/>
              </w:rPr>
            </w:pPr>
            <w:r>
              <w:rPr>
                <w:rFonts w:ascii="Courier New" w:cs="Courier New" w:eastAsia="Courier New" w:hAnsi="Courier New"/>
                <w:sz w:val="15"/>
                <w:szCs w:val="15"/>
                <w:color w:val="auto"/>
              </w:rPr>
              <w:t>Employee stock options</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exercised</w:t>
            </w:r>
          </w:p>
        </w:tc>
        <w:tc>
          <w:tcPr>
            <w:tcW w:w="500" w:type="dxa"/>
            <w:vAlign w:val="bottom"/>
          </w:tcPr>
          <w:p>
            <w:pPr>
              <w:spacing w:after="0"/>
              <w:rPr>
                <w:sz w:val="15"/>
                <w:szCs w:val="15"/>
                <w:color w:val="auto"/>
              </w:rPr>
            </w:pPr>
          </w:p>
        </w:tc>
        <w:tc>
          <w:tcPr>
            <w:tcW w:w="12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11,364</w:t>
            </w:r>
          </w:p>
        </w:tc>
      </w:tr>
      <w:tr>
        <w:trPr>
          <w:trHeight w:val="176"/>
        </w:trPr>
        <w:tc>
          <w:tcPr>
            <w:tcW w:w="2600" w:type="dxa"/>
            <w:vAlign w:val="bottom"/>
          </w:tcPr>
          <w:p>
            <w:pPr>
              <w:spacing w:after="0"/>
              <w:rPr>
                <w:sz w:val="20"/>
                <w:szCs w:val="20"/>
                <w:color w:val="auto"/>
              </w:rPr>
            </w:pPr>
            <w:r>
              <w:rPr>
                <w:rFonts w:ascii="Courier New" w:cs="Courier New" w:eastAsia="Courier New" w:hAnsi="Courier New"/>
                <w:sz w:val="15"/>
                <w:szCs w:val="15"/>
                <w:color w:val="auto"/>
              </w:rPr>
              <w:t>Tax benefit of stock</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options exercised</w:t>
            </w:r>
          </w:p>
        </w:tc>
        <w:tc>
          <w:tcPr>
            <w:tcW w:w="500" w:type="dxa"/>
            <w:vAlign w:val="bottom"/>
          </w:tcPr>
          <w:p>
            <w:pPr>
              <w:spacing w:after="0"/>
              <w:rPr>
                <w:sz w:val="15"/>
                <w:szCs w:val="15"/>
                <w:color w:val="auto"/>
              </w:rPr>
            </w:pPr>
          </w:p>
        </w:tc>
        <w:tc>
          <w:tcPr>
            <w:tcW w:w="12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2,738</w:t>
            </w:r>
          </w:p>
        </w:tc>
      </w:tr>
      <w:tr>
        <w:trPr>
          <w:trHeight w:val="176"/>
        </w:trPr>
        <w:tc>
          <w:tcPr>
            <w:tcW w:w="2600" w:type="dxa"/>
            <w:vAlign w:val="bottom"/>
          </w:tcPr>
          <w:p>
            <w:pPr>
              <w:spacing w:after="0"/>
              <w:rPr>
                <w:sz w:val="20"/>
                <w:szCs w:val="20"/>
                <w:color w:val="auto"/>
              </w:rPr>
            </w:pPr>
            <w:r>
              <w:rPr>
                <w:rFonts w:ascii="Courier New" w:cs="Courier New" w:eastAsia="Courier New" w:hAnsi="Courier New"/>
                <w:sz w:val="15"/>
                <w:szCs w:val="15"/>
                <w:color w:val="auto"/>
              </w:rPr>
              <w:t>Repurchase of ordinary</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shares</w:t>
            </w:r>
          </w:p>
        </w:tc>
        <w:tc>
          <w:tcPr>
            <w:tcW w:w="500" w:type="dxa"/>
            <w:vAlign w:val="bottom"/>
          </w:tcPr>
          <w:p>
            <w:pPr>
              <w:spacing w:after="0"/>
              <w:rPr>
                <w:sz w:val="15"/>
                <w:szCs w:val="15"/>
                <w:color w:val="auto"/>
              </w:rPr>
            </w:pPr>
          </w:p>
        </w:tc>
        <w:tc>
          <w:tcPr>
            <w:tcW w:w="12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(307,471)</w:t>
            </w:r>
          </w:p>
        </w:tc>
      </w:tr>
      <w:tr>
        <w:trPr>
          <w:trHeight w:val="176"/>
        </w:trPr>
        <w:tc>
          <w:tcPr>
            <w:tcW w:w="2600" w:type="dxa"/>
            <w:vAlign w:val="bottom"/>
          </w:tcPr>
          <w:p>
            <w:pPr>
              <w:spacing w:after="0"/>
              <w:rPr>
                <w:sz w:val="20"/>
                <w:szCs w:val="20"/>
                <w:color w:val="auto"/>
              </w:rPr>
            </w:pPr>
            <w:r>
              <w:rPr>
                <w:rFonts w:ascii="Courier New" w:cs="Courier New" w:eastAsia="Courier New" w:hAnsi="Courier New"/>
                <w:sz w:val="15"/>
                <w:szCs w:val="15"/>
                <w:color w:val="auto"/>
              </w:rPr>
              <w:t>Expense related to vesting</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of stock options</w:t>
            </w:r>
          </w:p>
        </w:tc>
        <w:tc>
          <w:tcPr>
            <w:tcW w:w="500" w:type="dxa"/>
            <w:vAlign w:val="bottom"/>
          </w:tcPr>
          <w:p>
            <w:pPr>
              <w:spacing w:after="0"/>
              <w:rPr>
                <w:sz w:val="15"/>
                <w:szCs w:val="15"/>
                <w:color w:val="auto"/>
              </w:rPr>
            </w:pPr>
          </w:p>
        </w:tc>
        <w:tc>
          <w:tcPr>
            <w:tcW w:w="12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w:t>
            </w:r>
          </w:p>
        </w:tc>
      </w:tr>
      <w:tr>
        <w:trPr>
          <w:trHeight w:val="176"/>
        </w:trPr>
        <w:tc>
          <w:tcPr>
            <w:tcW w:w="2600" w:type="dxa"/>
            <w:vAlign w:val="bottom"/>
          </w:tcPr>
          <w:p>
            <w:pPr>
              <w:spacing w:after="0"/>
              <w:rPr>
                <w:sz w:val="20"/>
                <w:szCs w:val="20"/>
                <w:color w:val="auto"/>
              </w:rPr>
            </w:pPr>
            <w:r>
              <w:rPr>
                <w:rFonts w:ascii="Courier New" w:cs="Courier New" w:eastAsia="Courier New" w:hAnsi="Courier New"/>
                <w:sz w:val="15"/>
                <w:szCs w:val="15"/>
                <w:color w:val="auto"/>
              </w:rPr>
              <w:t>Stock options granted</w:t>
            </w:r>
          </w:p>
        </w:tc>
        <w:tc>
          <w:tcPr>
            <w:tcW w:w="500" w:type="dxa"/>
            <w:vAlign w:val="bottom"/>
          </w:tcPr>
          <w:p>
            <w:pPr>
              <w:spacing w:after="0"/>
              <w:rPr>
                <w:sz w:val="15"/>
                <w:szCs w:val="15"/>
                <w:color w:val="auto"/>
              </w:rPr>
            </w:pPr>
          </w:p>
        </w:tc>
        <w:tc>
          <w:tcPr>
            <w:tcW w:w="1240" w:type="dxa"/>
            <w:vAlign w:val="bottom"/>
          </w:tcPr>
          <w:p>
            <w:pPr>
              <w:ind w:left="560"/>
              <w:spacing w:after="0"/>
              <w:rPr>
                <w:sz w:val="20"/>
                <w:szCs w:val="20"/>
                <w:color w:val="auto"/>
              </w:rPr>
            </w:pPr>
            <w:r>
              <w:rPr>
                <w:rFonts w:ascii="Courier New" w:cs="Courier New" w:eastAsia="Courier New" w:hAnsi="Courier New"/>
                <w:sz w:val="15"/>
                <w:szCs w:val="15"/>
                <w:color w:val="auto"/>
              </w:rPr>
              <w:t>(951)</w:t>
            </w:r>
          </w:p>
        </w:tc>
        <w:tc>
          <w:tcPr>
            <w:tcW w:w="16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6"/>
        </w:trPr>
        <w:tc>
          <w:tcPr>
            <w:tcW w:w="2600" w:type="dxa"/>
            <w:vAlign w:val="bottom"/>
          </w:tcPr>
          <w:p>
            <w:pPr>
              <w:spacing w:after="0"/>
              <w:rPr>
                <w:sz w:val="20"/>
                <w:szCs w:val="20"/>
                <w:color w:val="auto"/>
              </w:rPr>
            </w:pPr>
            <w:r>
              <w:rPr>
                <w:rFonts w:ascii="Courier New" w:cs="Courier New" w:eastAsia="Courier New" w:hAnsi="Courier New"/>
                <w:sz w:val="15"/>
                <w:szCs w:val="15"/>
                <w:color w:val="auto"/>
              </w:rPr>
              <w:t>Amortization of unearned</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bl>
    <w:p>
      <w:pPr>
        <w:sectPr>
          <w:pgSz w:w="11900" w:h="16875" w:orient="portrait"/>
          <w:cols w:equalWidth="0" w:num="1">
            <w:col w:w="10260"/>
          </w:cols>
          <w:pgMar w:left="240" w:top="999" w:right="1399" w:bottom="0" w:gutter="0" w:footer="0" w:header="0"/>
          <w:type w:val="continuous"/>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40" w:type="dxa"/>
            <w:vAlign w:val="bottom"/>
          </w:tcPr>
          <w:p>
            <w:pPr>
              <w:ind w:left="260"/>
              <w:spacing w:after="0"/>
              <w:rPr>
                <w:sz w:val="20"/>
                <w:szCs w:val="20"/>
                <w:color w:val="auto"/>
              </w:rPr>
            </w:pPr>
            <w:r>
              <w:rPr>
                <w:rFonts w:ascii="Courier New" w:cs="Courier New" w:eastAsia="Courier New" w:hAnsi="Courier New"/>
                <w:sz w:val="15"/>
                <w:szCs w:val="15"/>
                <w:color w:val="auto"/>
              </w:rPr>
              <w:t>compensation</w:t>
            </w:r>
          </w:p>
        </w:tc>
        <w:tc>
          <w:tcPr>
            <w:tcW w:w="640" w:type="dxa"/>
            <w:vAlign w:val="bottom"/>
          </w:tcPr>
          <w:p>
            <w:pPr>
              <w:spacing w:after="0"/>
              <w:rPr>
                <w:sz w:val="14"/>
                <w:szCs w:val="14"/>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380</w:t>
            </w:r>
          </w:p>
        </w:tc>
        <w:tc>
          <w:tcPr>
            <w:tcW w:w="460" w:type="dxa"/>
            <w:vAlign w:val="bottom"/>
          </w:tcPr>
          <w:p>
            <w:pPr>
              <w:spacing w:after="0"/>
              <w:rPr>
                <w:sz w:val="14"/>
                <w:szCs w:val="14"/>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380</w:t>
            </w:r>
          </w:p>
        </w:tc>
      </w:tr>
      <w:tr>
        <w:trPr>
          <w:trHeight w:val="176"/>
        </w:trPr>
        <w:tc>
          <w:tcPr>
            <w:tcW w:w="2740" w:type="dxa"/>
            <w:vAlign w:val="bottom"/>
          </w:tcPr>
          <w:p>
            <w:pPr>
              <w:spacing w:after="0"/>
              <w:rPr>
                <w:sz w:val="15"/>
                <w:szCs w:val="15"/>
                <w:color w:val="auto"/>
              </w:rPr>
            </w:pPr>
          </w:p>
        </w:tc>
        <w:tc>
          <w:tcPr>
            <w:tcW w:w="15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Balance as of June 30, 2004</w:t>
            </w: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(571)</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45,908</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$ 1,482,961</w:t>
            </w:r>
          </w:p>
        </w:tc>
      </w:tr>
      <w:tr>
        <w:trPr>
          <w:trHeight w:val="176"/>
        </w:trPr>
        <w:tc>
          <w:tcPr>
            <w:tcW w:w="2740" w:type="dxa"/>
            <w:vAlign w:val="bottom"/>
          </w:tcPr>
          <w:p>
            <w:pPr>
              <w:spacing w:after="0"/>
              <w:rPr>
                <w:sz w:val="15"/>
                <w:szCs w:val="15"/>
                <w:color w:val="auto"/>
              </w:rPr>
            </w:pPr>
          </w:p>
        </w:tc>
        <w:tc>
          <w:tcPr>
            <w:tcW w:w="15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both"/>
        <w:ind w:right="3179"/>
        <w:spacing w:after="0" w:line="249" w:lineRule="auto"/>
        <w:rPr>
          <w:sz w:val="20"/>
          <w:szCs w:val="20"/>
          <w:color w:val="auto"/>
        </w:rPr>
      </w:pPr>
      <w:r>
        <w:rPr>
          <w:rFonts w:ascii="Courier New" w:cs="Courier New" w:eastAsia="Courier New" w:hAnsi="Courier New"/>
          <w:sz w:val="15"/>
          <w:szCs w:val="15"/>
          <w:color w:val="auto"/>
        </w:rPr>
        <w:t>As of June 30, 2004 and September 30, 2003, accumulated other comprehensive (loss) income is comprised of unrealized gain on derivatives, net of tax, of $837 and $3,683, respectively, and unrealized (loss) gain on cash equivalents and short-term interest-bearing investments, net of tax, of $(1,195) and $32, respectively.</w:t>
      </w:r>
    </w:p>
    <w:p>
      <w:pPr>
        <w:spacing w:after="0" w:line="17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142" w:right="1440" w:bottom="1440" w:gutter="0" w:footer="0" w:header="0"/>
        </w:sectPr>
      </w:pPr>
    </w:p>
    <w:bookmarkStart w:id="6" w:name="page7"/>
    <w:bookmarkEnd w:id="6"/>
    <w:p>
      <w:pPr>
        <w:jc w:val="center"/>
        <w:ind w:right="2899"/>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CONSOLIDATED STATEMENTS OF CASH FLOWS (UNAUDITED)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ind w:left="3020"/>
              <w:spacing w:after="0"/>
              <w:rPr>
                <w:sz w:val="20"/>
                <w:szCs w:val="20"/>
                <w:color w:val="auto"/>
              </w:rPr>
            </w:pPr>
            <w:r>
              <w:rPr>
                <w:rFonts w:ascii="Courier New" w:cs="Courier New" w:eastAsia="Courier New" w:hAnsi="Courier New"/>
                <w:sz w:val="15"/>
                <w:szCs w:val="15"/>
                <w:color w:val="auto"/>
              </w:rPr>
              <w:t>(in thousands)</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705"/>
        </w:trPr>
        <w:tc>
          <w:tcPr>
            <w:tcW w:w="5180" w:type="dxa"/>
            <w:vAlign w:val="bottom"/>
          </w:tcPr>
          <w:p>
            <w:pPr>
              <w:spacing w:after="0"/>
              <w:rPr>
                <w:sz w:val="24"/>
                <w:szCs w:val="24"/>
                <w:color w:val="auto"/>
              </w:rPr>
            </w:pPr>
          </w:p>
        </w:tc>
        <w:tc>
          <w:tcPr>
            <w:tcW w:w="260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Nine months ended June 30,</w:t>
            </w:r>
          </w:p>
        </w:tc>
      </w:tr>
      <w:tr>
        <w:trPr>
          <w:trHeight w:val="176"/>
        </w:trPr>
        <w:tc>
          <w:tcPr>
            <w:tcW w:w="5180" w:type="dxa"/>
            <w:vAlign w:val="bottom"/>
          </w:tcPr>
          <w:p>
            <w:pPr>
              <w:spacing w:after="0"/>
              <w:rPr>
                <w:sz w:val="15"/>
                <w:szCs w:val="15"/>
                <w:color w:val="auto"/>
              </w:rPr>
            </w:pPr>
          </w:p>
        </w:tc>
        <w:tc>
          <w:tcPr>
            <w:tcW w:w="260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2004</w:t>
            </w:r>
          </w:p>
        </w:tc>
        <w:tc>
          <w:tcPr>
            <w:tcW w:w="32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2003</w:t>
            </w:r>
          </w:p>
        </w:tc>
      </w:tr>
      <w:tr>
        <w:trPr>
          <w:trHeight w:val="176"/>
        </w:trPr>
        <w:tc>
          <w:tcPr>
            <w:tcW w:w="5180" w:type="dxa"/>
            <w:vAlign w:val="bottom"/>
          </w:tcPr>
          <w:p>
            <w:pPr>
              <w:spacing w:after="0"/>
              <w:rPr>
                <w:sz w:val="15"/>
                <w:szCs w:val="15"/>
                <w:color w:val="auto"/>
              </w:rPr>
            </w:pP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173,278</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125,012</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 net cash provided by</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operating activities:</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Depreciation and amortization</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76,944</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69,973</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(Gain) loss on sale of equipment</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(444)</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427</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Gain on repurchase of 2% convertible notes</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w:t>
            </w:r>
          </w:p>
        </w:tc>
        <w:tc>
          <w:tcPr>
            <w:tcW w:w="3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(8,093)</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10,556</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Tax benefit of stock options exercised</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2,738</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221</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Realized  loss from short-term interest-bearing</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180" w:type="dxa"/>
            <w:vAlign w:val="bottom"/>
          </w:tcPr>
          <w:p>
            <w:pPr>
              <w:ind w:left="460"/>
              <w:spacing w:after="0"/>
              <w:rPr>
                <w:sz w:val="20"/>
                <w:szCs w:val="20"/>
                <w:color w:val="auto"/>
              </w:rPr>
            </w:pPr>
            <w:r>
              <w:rPr>
                <w:rFonts w:ascii="Courier New" w:cs="Courier New" w:eastAsia="Courier New" w:hAnsi="Courier New"/>
                <w:sz w:val="15"/>
                <w:szCs w:val="15"/>
                <w:color w:val="auto"/>
              </w:rPr>
              <w:t>investments</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1,039</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changes in operating assets and liabilities, net of</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amounts acquired:</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(69,503)</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32,365</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14,879</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(12,597)</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Other noncurrent assets</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(41,941)</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(18,795)</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32,947</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20,436</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54,543</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47,889</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Income taxes payable</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27,735</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5,411</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Noncurrent liabilities and other</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(6,442)</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2,920</w:t>
            </w:r>
          </w:p>
        </w:tc>
      </w:tr>
      <w:tr>
        <w:trPr>
          <w:trHeight w:val="176"/>
        </w:trPr>
        <w:tc>
          <w:tcPr>
            <w:tcW w:w="5180" w:type="dxa"/>
            <w:vAlign w:val="bottom"/>
          </w:tcPr>
          <w:p>
            <w:pPr>
              <w:spacing w:after="0"/>
              <w:rPr>
                <w:sz w:val="15"/>
                <w:szCs w:val="15"/>
                <w:color w:val="auto"/>
              </w:rPr>
            </w:pP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257,667</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284,017</w:t>
            </w:r>
          </w:p>
        </w:tc>
      </w:tr>
      <w:tr>
        <w:trPr>
          <w:trHeight w:val="176"/>
        </w:trPr>
        <w:tc>
          <w:tcPr>
            <w:tcW w:w="5180" w:type="dxa"/>
            <w:vAlign w:val="bottom"/>
          </w:tcPr>
          <w:p>
            <w:pPr>
              <w:spacing w:after="0"/>
              <w:rPr>
                <w:sz w:val="15"/>
                <w:szCs w:val="15"/>
                <w:color w:val="auto"/>
              </w:rPr>
            </w:pP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vehicles and leasehold</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improvements</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1,841</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1,710</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Payments for purchase of equipment, vehicles, leasehold</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improvements and other</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(33,532)</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(47,192)</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Proceeds from sale of short-term interest-bearing</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investments</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863,304</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631,845</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Purchase of short-term interest-bearing investments</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(1,158,407)</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(637,148)</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paid for) reimbursement of cash in acquisition</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(10,567)</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11,111</w:t>
            </w:r>
          </w:p>
        </w:tc>
      </w:tr>
      <w:tr>
        <w:trPr>
          <w:trHeight w:val="176"/>
        </w:trPr>
        <w:tc>
          <w:tcPr>
            <w:tcW w:w="5180" w:type="dxa"/>
            <w:vAlign w:val="bottom"/>
          </w:tcPr>
          <w:p>
            <w:pPr>
              <w:spacing w:after="0"/>
              <w:rPr>
                <w:sz w:val="15"/>
                <w:szCs w:val="15"/>
                <w:color w:val="auto"/>
              </w:rPr>
            </w:pP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(337,361)</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(39,674)</w:t>
            </w:r>
          </w:p>
        </w:tc>
      </w:tr>
      <w:tr>
        <w:trPr>
          <w:trHeight w:val="176"/>
        </w:trPr>
        <w:tc>
          <w:tcPr>
            <w:tcW w:w="5180" w:type="dxa"/>
            <w:vAlign w:val="bottom"/>
          </w:tcPr>
          <w:p>
            <w:pPr>
              <w:spacing w:after="0"/>
              <w:rPr>
                <w:sz w:val="15"/>
                <w:szCs w:val="15"/>
                <w:color w:val="auto"/>
              </w:rPr>
            </w:pP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Proceeds from employee stock options exercised</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11,364</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2,024</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proceeds from issue of long-term 0.50% convertible</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notes</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441,736</w:t>
            </w:r>
          </w:p>
        </w:tc>
        <w:tc>
          <w:tcPr>
            <w:tcW w:w="3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Repurchase of ordinary shares</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(307,471)</w:t>
            </w:r>
          </w:p>
        </w:tc>
        <w:tc>
          <w:tcPr>
            <w:tcW w:w="3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Redemption of 2% convertible notes</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(395,110)</w:t>
            </w:r>
          </w:p>
        </w:tc>
        <w:tc>
          <w:tcPr>
            <w:tcW w:w="3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Repurchase of 2% convertible notes</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(4,987)</w:t>
            </w:r>
          </w:p>
        </w:tc>
        <w:tc>
          <w:tcPr>
            <w:tcW w:w="3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Borrowings under financing arrangements</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910</w:t>
            </w:r>
          </w:p>
        </w:tc>
        <w:tc>
          <w:tcPr>
            <w:tcW w:w="3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Principal payments under financing arrangements</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(1,651)</w:t>
            </w:r>
          </w:p>
        </w:tc>
        <w:tc>
          <w:tcPr>
            <w:tcW w:w="3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Principal payments on capital lease obligations</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(20,251)</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(7,714)</w:t>
            </w:r>
          </w:p>
        </w:tc>
      </w:tr>
      <w:tr>
        <w:trPr>
          <w:trHeight w:val="176"/>
        </w:trPr>
        <w:tc>
          <w:tcPr>
            <w:tcW w:w="5180" w:type="dxa"/>
            <w:vAlign w:val="bottom"/>
          </w:tcPr>
          <w:p>
            <w:pPr>
              <w:spacing w:after="0"/>
              <w:rPr>
                <w:sz w:val="15"/>
                <w:szCs w:val="15"/>
                <w:color w:val="auto"/>
              </w:rPr>
            </w:pP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cash used in financing activities</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(275,460)</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(5,690)</w:t>
            </w:r>
          </w:p>
        </w:tc>
      </w:tr>
      <w:tr>
        <w:trPr>
          <w:trHeight w:val="176"/>
        </w:trPr>
        <w:tc>
          <w:tcPr>
            <w:tcW w:w="5180" w:type="dxa"/>
            <w:vAlign w:val="bottom"/>
          </w:tcPr>
          <w:p>
            <w:pPr>
              <w:spacing w:after="0"/>
              <w:rPr>
                <w:sz w:val="15"/>
                <w:szCs w:val="15"/>
                <w:color w:val="auto"/>
              </w:rPr>
            </w:pP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(decrease) increase in cash and cash equivalents</w:t>
            </w:r>
          </w:p>
        </w:tc>
        <w:tc>
          <w:tcPr>
            <w:tcW w:w="220" w:type="dxa"/>
            <w:vAlign w:val="bottom"/>
          </w:tcPr>
          <w:p>
            <w:pPr>
              <w:spacing w:after="0"/>
              <w:rPr>
                <w:sz w:val="24"/>
                <w:szCs w:val="24"/>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(355,154)</w:t>
            </w:r>
          </w:p>
        </w:tc>
        <w:tc>
          <w:tcPr>
            <w:tcW w:w="320" w:type="dxa"/>
            <w:vAlign w:val="bottom"/>
          </w:tcPr>
          <w:p>
            <w:pPr>
              <w:spacing w:after="0"/>
              <w:rPr>
                <w:sz w:val="24"/>
                <w:szCs w:val="24"/>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238,653</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847,600</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466,655</w:t>
            </w:r>
          </w:p>
        </w:tc>
      </w:tr>
      <w:tr>
        <w:trPr>
          <w:trHeight w:val="176"/>
        </w:trPr>
        <w:tc>
          <w:tcPr>
            <w:tcW w:w="5180" w:type="dxa"/>
            <w:vAlign w:val="bottom"/>
          </w:tcPr>
          <w:p>
            <w:pPr>
              <w:spacing w:after="0"/>
              <w:rPr>
                <w:sz w:val="15"/>
                <w:szCs w:val="15"/>
                <w:color w:val="auto"/>
              </w:rPr>
            </w:pP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492,446</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705,308</w:t>
            </w:r>
          </w:p>
        </w:tc>
      </w:tr>
      <w:tr>
        <w:trPr>
          <w:trHeight w:val="176"/>
        </w:trPr>
        <w:tc>
          <w:tcPr>
            <w:tcW w:w="5180" w:type="dxa"/>
            <w:vAlign w:val="bottom"/>
          </w:tcPr>
          <w:p>
            <w:pPr>
              <w:spacing w:after="0"/>
              <w:rPr>
                <w:sz w:val="15"/>
                <w:szCs w:val="15"/>
                <w:color w:val="auto"/>
              </w:rPr>
            </w:pP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180" w:type="dxa"/>
            <w:vAlign w:val="bottom"/>
          </w:tcPr>
          <w:p>
            <w:pPr>
              <w:spacing w:after="0"/>
              <w:rPr>
                <w:sz w:val="20"/>
                <w:szCs w:val="20"/>
                <w:color w:val="auto"/>
              </w:rPr>
            </w:pPr>
            <w:r>
              <w:rPr>
                <w:rFonts w:ascii="Courier New" w:cs="Courier New" w:eastAsia="Courier New" w:hAnsi="Courier New"/>
                <w:sz w:val="15"/>
                <w:szCs w:val="15"/>
                <w:color w:val="auto"/>
              </w:rPr>
              <w:t>Supplementary Cash Flow Information</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paid for:</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Income taxes, net of refunds</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22,734</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25,611</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Interest</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9,733</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9,323</w:t>
            </w:r>
          </w:p>
        </w:tc>
      </w:tr>
    </w:tbl>
    <w:p>
      <w:pPr>
        <w:spacing w:after="0" w:line="18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Non-Cash Investing and Financing Activities</w:t>
      </w:r>
    </w:p>
    <w:p>
      <w:pPr>
        <w:spacing w:after="0" w:line="359"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In the nine months ended June 30, 2004, the Company issued 561 ordinary shares in connection with the acquisition of XACCT (as defined below). See Note 10.</w:t>
      </w:r>
    </w:p>
    <w:p>
      <w:pPr>
        <w:spacing w:after="0" w:line="175"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823" w:right="1440" w:bottom="305" w:gutter="0" w:footer="0" w:header="0"/>
        </w:sectPr>
      </w:pPr>
    </w:p>
    <w:bookmarkStart w:id="7" w:name="page8"/>
    <w:bookmarkEnd w:id="7"/>
    <w:p>
      <w:pPr>
        <w:jc w:val="center"/>
        <w:ind w:right="2893"/>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82" w:lineRule="exact"/>
        <w:rPr>
          <w:sz w:val="20"/>
          <w:szCs w:val="20"/>
          <w:color w:val="auto"/>
        </w:rPr>
      </w:pPr>
    </w:p>
    <w:p>
      <w:pPr>
        <w:ind w:left="466" w:hanging="466"/>
        <w:spacing w:after="0"/>
        <w:tabs>
          <w:tab w:leader="none" w:pos="46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82" w:lineRule="exact"/>
        <w:rPr>
          <w:sz w:val="20"/>
          <w:szCs w:val="20"/>
          <w:color w:val="auto"/>
        </w:rPr>
      </w:pPr>
    </w:p>
    <w:p>
      <w:pPr>
        <w:ind w:left="366" w:right="2899" w:firstLine="458"/>
        <w:spacing w:after="0" w:line="249" w:lineRule="auto"/>
        <w:rPr>
          <w:sz w:val="20"/>
          <w:szCs w:val="20"/>
          <w:color w:val="auto"/>
        </w:rPr>
      </w:pPr>
      <w:r>
        <w:rPr>
          <w:rFonts w:ascii="Courier New" w:cs="Courier New" w:eastAsia="Courier New" w:hAnsi="Courier New"/>
          <w:sz w:val="15"/>
          <w:szCs w:val="15"/>
          <w:color w:val="auto"/>
        </w:rPr>
        <w:t>Amdocs Limited (the "Company") is a leading provider of software products and services to the communications industry. The Company and its subsidiaries operate in one operating segment, providing integrated customer management systems and related services primarily for the communications industry. The Company designs, develops, markets, implements, supports and operates information systems solutions, including Managed Services, primarily for leading communications companies throughout the world.</w:t>
      </w:r>
    </w:p>
    <w:p>
      <w:pPr>
        <w:spacing w:after="0" w:line="175" w:lineRule="exact"/>
        <w:rPr>
          <w:sz w:val="20"/>
          <w:szCs w:val="20"/>
          <w:color w:val="auto"/>
        </w:rPr>
      </w:pPr>
    </w:p>
    <w:p>
      <w:pPr>
        <w:ind w:left="366" w:right="2899" w:firstLine="458"/>
        <w:spacing w:after="0" w:line="249" w:lineRule="auto"/>
        <w:rPr>
          <w:sz w:val="20"/>
          <w:szCs w:val="20"/>
          <w:color w:val="auto"/>
        </w:rPr>
      </w:pPr>
      <w:r>
        <w:rPr>
          <w:rFonts w:ascii="Courier New" w:cs="Courier New" w:eastAsia="Courier New" w:hAnsi="Courier New"/>
          <w:sz w:val="15"/>
          <w:szCs w:val="15"/>
          <w:color w:val="auto"/>
        </w:rPr>
        <w:t>The unaudited consolidated financial statements of the Company have been prepared in accordance with accounting principles generally accepted in the United States ("GAAP"). In the opinion of the Company's management, all adjustments considered necessary for a fair presentation of the unaudited interim consolidated financial statements have been included herein and are of a normal recurring nature.</w:t>
      </w:r>
    </w:p>
    <w:p>
      <w:pPr>
        <w:spacing w:after="0" w:line="176" w:lineRule="exact"/>
        <w:rPr>
          <w:sz w:val="20"/>
          <w:szCs w:val="20"/>
          <w:color w:val="auto"/>
        </w:rPr>
      </w:pPr>
    </w:p>
    <w:p>
      <w:pPr>
        <w:ind w:left="366" w:right="2899" w:firstLine="458"/>
        <w:spacing w:after="0" w:line="249" w:lineRule="auto"/>
        <w:rPr>
          <w:sz w:val="20"/>
          <w:szCs w:val="20"/>
          <w:color w:val="auto"/>
        </w:rPr>
      </w:pPr>
      <w:r>
        <w:rPr>
          <w:rFonts w:ascii="Courier New" w:cs="Courier New" w:eastAsia="Courier New" w:hAnsi="Courier New"/>
          <w:sz w:val="15"/>
          <w:szCs w:val="15"/>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176" w:lineRule="exact"/>
        <w:rPr>
          <w:sz w:val="20"/>
          <w:szCs w:val="20"/>
          <w:color w:val="auto"/>
        </w:rPr>
      </w:pPr>
    </w:p>
    <w:p>
      <w:pPr>
        <w:ind w:left="366" w:right="2899" w:firstLine="458"/>
        <w:spacing w:after="0" w:line="249" w:lineRule="auto"/>
        <w:rPr>
          <w:sz w:val="20"/>
          <w:szCs w:val="20"/>
          <w:color w:val="auto"/>
        </w:rPr>
      </w:pPr>
      <w:r>
        <w:rPr>
          <w:rFonts w:ascii="Courier New" w:cs="Courier New" w:eastAsia="Courier New" w:hAnsi="Courier New"/>
          <w:sz w:val="15"/>
          <w:szCs w:val="15"/>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2003, set forth in the Company's Annual Report on Form 20-F filed on December 24, 2003 with the Securities and Exchange Commission.</w:t>
      </w:r>
    </w:p>
    <w:p>
      <w:pPr>
        <w:spacing w:after="0" w:line="175"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Reclassification</w:t>
      </w:r>
    </w:p>
    <w:p>
      <w:pPr>
        <w:spacing w:after="0" w:line="182" w:lineRule="exact"/>
        <w:rPr>
          <w:sz w:val="20"/>
          <w:szCs w:val="20"/>
          <w:color w:val="auto"/>
        </w:rPr>
      </w:pPr>
    </w:p>
    <w:p>
      <w:pPr>
        <w:ind w:left="6" w:right="3259" w:firstLine="824"/>
        <w:spacing w:after="0" w:line="250" w:lineRule="auto"/>
        <w:rPr>
          <w:sz w:val="20"/>
          <w:szCs w:val="20"/>
          <w:color w:val="auto"/>
        </w:rPr>
      </w:pPr>
      <w:r>
        <w:rPr>
          <w:rFonts w:ascii="Courier New" w:cs="Courier New" w:eastAsia="Courier New" w:hAnsi="Courier New"/>
          <w:sz w:val="15"/>
          <w:szCs w:val="15"/>
          <w:color w:val="auto"/>
        </w:rPr>
        <w:t>Certain prior year amounts have been reclassified to conform to the current year presentation.</w:t>
      </w:r>
    </w:p>
    <w:p>
      <w:pPr>
        <w:spacing w:after="0" w:line="175" w:lineRule="exact"/>
        <w:rPr>
          <w:sz w:val="20"/>
          <w:szCs w:val="20"/>
          <w:color w:val="auto"/>
        </w:rPr>
      </w:pPr>
    </w:p>
    <w:p>
      <w:pPr>
        <w:ind w:left="826" w:right="5819" w:hanging="826"/>
        <w:spacing w:after="0" w:line="497" w:lineRule="auto"/>
        <w:tabs>
          <w:tab w:leader="none" w:pos="82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Accounting Policy Accounting for Stock-Based Compensation</w:t>
      </w:r>
    </w:p>
    <w:p>
      <w:pPr>
        <w:spacing w:after="0" w:line="1" w:lineRule="exact"/>
        <w:rPr>
          <w:sz w:val="20"/>
          <w:szCs w:val="20"/>
          <w:color w:val="auto"/>
        </w:rPr>
      </w:pPr>
    </w:p>
    <w:p>
      <w:pPr>
        <w:ind w:left="366" w:right="2899" w:firstLine="458"/>
        <w:spacing w:after="0" w:line="249" w:lineRule="auto"/>
        <w:rPr>
          <w:sz w:val="20"/>
          <w:szCs w:val="20"/>
          <w:color w:val="auto"/>
        </w:rPr>
      </w:pPr>
      <w:r>
        <w:rPr>
          <w:rFonts w:ascii="Courier New" w:cs="Courier New" w:eastAsia="Courier New" w:hAnsi="Courier New"/>
          <w:sz w:val="15"/>
          <w:szCs w:val="15"/>
          <w:color w:val="auto"/>
        </w:rPr>
        <w:t>The Company follows Accounting Principles Board ("APB") Opinion No. 25, "Accounting for Stock Issued to Employees" in accounting for its employee stock options. Pursuant to this accounting standard, the Company records deferred compensation for share options granted to employees at the date of grant based on the difference between the exercise price of the options and the market value of the underlying shares at that date. Deferred compensation is amortized to compensation expense over the vesting period of the underlying options. Employee stock-based compensation cost of $354 and $380 is reflected in net income for the three months and nine months ended June 30, 2004, respectively. No employee stock-based compensation cost was reflected in net income for the three months and nine months ended June 30, 2003.</w:t>
      </w:r>
    </w:p>
    <w:p>
      <w:pPr>
        <w:spacing w:after="0" w:line="175" w:lineRule="exact"/>
        <w:rPr>
          <w:sz w:val="20"/>
          <w:szCs w:val="20"/>
          <w:color w:val="auto"/>
        </w:rPr>
      </w:pPr>
    </w:p>
    <w:p>
      <w:pPr>
        <w:ind w:left="466" w:right="2979" w:firstLine="366"/>
        <w:spacing w:after="0" w:line="249" w:lineRule="auto"/>
        <w:rPr>
          <w:sz w:val="20"/>
          <w:szCs w:val="20"/>
          <w:color w:val="auto"/>
        </w:rPr>
      </w:pPr>
      <w:r>
        <w:rPr>
          <w:rFonts w:ascii="Courier New" w:cs="Courier New" w:eastAsia="Courier New" w:hAnsi="Courier New"/>
          <w:sz w:val="15"/>
          <w:szCs w:val="15"/>
          <w:color w:val="auto"/>
        </w:rPr>
        <w:t>As presented below, the Company determined net income and earnings per share information as if the fair value method described in Statements of Financial Accounting Standards ("SFAS") No. 123, "Accounting for Stock-Based Compensation", as amended by SFAS No. 148, "Accounting for Stock-Based Compensation - Transition and Disclosure - an Amendment of Financial Accounting Standards Board Statement No. 123", had been applied to its employee stock-based compensation. The Company utilized the Black-Scholes option-pricing model to estimate fair value, which is one of several methods that can be used under SFAS No. 123. The Black-Scholes option valuation model was developed for use</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5"/>
          </w:cols>
          <w:pgMar w:left="234" w:top="647" w:right="1440" w:bottom="1440" w:gutter="0" w:footer="0" w:header="0"/>
        </w:sectPr>
      </w:pPr>
    </w:p>
    <w:bookmarkStart w:id="8" w:name="page9"/>
    <w:bookmarkEnd w:id="8"/>
    <w:p>
      <w:pPr>
        <w:jc w:val="center"/>
        <w:ind w:right="3760"/>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359" w:lineRule="exact"/>
        <w:rPr>
          <w:sz w:val="20"/>
          <w:szCs w:val="20"/>
          <w:color w:val="auto"/>
        </w:rPr>
      </w:pPr>
    </w:p>
    <w:p>
      <w:pPr>
        <w:ind w:right="3300"/>
        <w:spacing w:after="0" w:line="249" w:lineRule="auto"/>
        <w:rPr>
          <w:sz w:val="20"/>
          <w:szCs w:val="20"/>
          <w:color w:val="auto"/>
        </w:rPr>
      </w:pPr>
      <w:r>
        <w:rPr>
          <w:rFonts w:ascii="Courier New" w:cs="Courier New" w:eastAsia="Courier New" w:hAnsi="Courier New"/>
          <w:sz w:val="15"/>
          <w:szCs w:val="15"/>
          <w:color w:val="auto"/>
        </w:rPr>
        <w:t>in estimating the fair value of traded options that have no vesting restrictions and are fully transferable. Option valuation models require the input of highly subjective assumptions, including the expected share price volatility. The Company's options have characteristics significantly different from those of traded options, and changes in the subjective input assumptions can materially affect the fair value estimates.</w:t>
      </w:r>
    </w:p>
    <w:p>
      <w:pPr>
        <w:spacing w:after="0" w:line="176" w:lineRule="exact"/>
        <w:rPr>
          <w:sz w:val="20"/>
          <w:szCs w:val="20"/>
          <w:color w:val="auto"/>
        </w:rPr>
      </w:pPr>
    </w:p>
    <w:p>
      <w:pPr>
        <w:jc w:val="both"/>
        <w:ind w:right="3580" w:firstLine="366"/>
        <w:spacing w:after="0" w:line="249" w:lineRule="auto"/>
        <w:rPr>
          <w:sz w:val="20"/>
          <w:szCs w:val="20"/>
          <w:color w:val="auto"/>
        </w:rPr>
      </w:pPr>
      <w:r>
        <w:rPr>
          <w:rFonts w:ascii="Courier New" w:cs="Courier New" w:eastAsia="Courier New" w:hAnsi="Courier New"/>
          <w:sz w:val="15"/>
          <w:szCs w:val="15"/>
          <w:color w:val="auto"/>
        </w:rPr>
        <w:t>The fair value of options granted was estimated at the date of grant using the Black-Scholes pricing model with the following assumptions for the presented periods (all in weighted averages):</w:t>
      </w:r>
    </w:p>
    <w:p>
      <w:pPr>
        <w:spacing w:after="0" w:line="200" w:lineRule="exact"/>
        <w:rPr>
          <w:sz w:val="20"/>
          <w:szCs w:val="20"/>
          <w:color w:val="auto"/>
        </w:rPr>
      </w:pPr>
    </w:p>
    <w:p>
      <w:pPr>
        <w:spacing w:after="0" w:line="328"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80" w:type="dxa"/>
            <w:vAlign w:val="bottom"/>
            <w:gridSpan w:val="3"/>
          </w:tcPr>
          <w:p>
            <w:pPr>
              <w:ind w:left="200"/>
              <w:spacing w:after="0"/>
              <w:rPr>
                <w:sz w:val="20"/>
                <w:szCs w:val="20"/>
                <w:color w:val="auto"/>
              </w:rPr>
            </w:pPr>
            <w:r>
              <w:rPr>
                <w:rFonts w:ascii="Courier New" w:cs="Courier New" w:eastAsia="Courier New" w:hAnsi="Courier New"/>
                <w:sz w:val="15"/>
                <w:szCs w:val="15"/>
                <w:color w:val="auto"/>
              </w:rPr>
              <w:t>Three months ended</w:t>
            </w:r>
          </w:p>
        </w:tc>
        <w:tc>
          <w:tcPr>
            <w:tcW w:w="460" w:type="dxa"/>
            <w:vAlign w:val="bottom"/>
          </w:tcPr>
          <w:p>
            <w:pPr>
              <w:spacing w:after="0"/>
              <w:rPr>
                <w:sz w:val="14"/>
                <w:szCs w:val="14"/>
                <w:color w:val="auto"/>
              </w:rPr>
            </w:pPr>
          </w:p>
        </w:tc>
        <w:tc>
          <w:tcPr>
            <w:tcW w:w="27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Nine months ended</w:t>
            </w:r>
          </w:p>
        </w:tc>
      </w:tr>
      <w:tr>
        <w:trPr>
          <w:trHeight w:val="176"/>
        </w:trPr>
        <w:tc>
          <w:tcPr>
            <w:tcW w:w="3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8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June 30,</w:t>
            </w: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June 30,</w:t>
            </w:r>
          </w:p>
        </w:tc>
        <w:tc>
          <w:tcPr>
            <w:tcW w:w="1140" w:type="dxa"/>
            <w:vAlign w:val="bottom"/>
          </w:tcPr>
          <w:p>
            <w:pPr>
              <w:spacing w:after="0"/>
              <w:rPr>
                <w:sz w:val="15"/>
                <w:szCs w:val="15"/>
                <w:color w:val="auto"/>
              </w:rPr>
            </w:pPr>
          </w:p>
        </w:tc>
      </w:tr>
      <w:tr>
        <w:trPr>
          <w:trHeight w:val="176"/>
        </w:trPr>
        <w:tc>
          <w:tcPr>
            <w:tcW w:w="3060" w:type="dxa"/>
            <w:vAlign w:val="bottom"/>
          </w:tcPr>
          <w:p>
            <w:pPr>
              <w:spacing w:after="0"/>
              <w:rPr>
                <w:sz w:val="15"/>
                <w:szCs w:val="15"/>
                <w:color w:val="auto"/>
              </w:rPr>
            </w:pPr>
          </w:p>
        </w:tc>
        <w:tc>
          <w:tcPr>
            <w:tcW w:w="692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6"/>
        </w:trPr>
        <w:tc>
          <w:tcPr>
            <w:tcW w:w="3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560" w:type="dxa"/>
            <w:vAlign w:val="bottom"/>
          </w:tcPr>
          <w:p>
            <w:pPr>
              <w:spacing w:after="0"/>
              <w:rPr>
                <w:sz w:val="15"/>
                <w:szCs w:val="15"/>
                <w:color w:val="auto"/>
              </w:rPr>
            </w:pP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2003</w:t>
            </w:r>
          </w:p>
        </w:tc>
        <w:tc>
          <w:tcPr>
            <w:tcW w:w="460" w:type="dxa"/>
            <w:vAlign w:val="bottom"/>
          </w:tcPr>
          <w:p>
            <w:pPr>
              <w:spacing w:after="0"/>
              <w:rPr>
                <w:sz w:val="15"/>
                <w:szCs w:val="15"/>
                <w:color w:val="auto"/>
              </w:rPr>
            </w:pP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2004</w:t>
            </w:r>
          </w:p>
        </w:tc>
        <w:tc>
          <w:tcPr>
            <w:tcW w:w="420" w:type="dxa"/>
            <w:vAlign w:val="bottom"/>
          </w:tcPr>
          <w:p>
            <w:pPr>
              <w:spacing w:after="0"/>
              <w:rPr>
                <w:sz w:val="15"/>
                <w:szCs w:val="15"/>
                <w:color w:val="auto"/>
              </w:rPr>
            </w:pPr>
          </w:p>
        </w:tc>
        <w:tc>
          <w:tcPr>
            <w:tcW w:w="1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2003</w:t>
            </w:r>
          </w:p>
        </w:tc>
      </w:tr>
      <w:tr>
        <w:trPr>
          <w:trHeight w:val="176"/>
        </w:trPr>
        <w:tc>
          <w:tcPr>
            <w:tcW w:w="3060" w:type="dxa"/>
            <w:vAlign w:val="bottom"/>
          </w:tcPr>
          <w:p>
            <w:pPr>
              <w:spacing w:after="0"/>
              <w:rPr>
                <w:sz w:val="15"/>
                <w:szCs w:val="15"/>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30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 ----------------</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705"/>
        </w:trPr>
        <w:tc>
          <w:tcPr>
            <w:tcW w:w="306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114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3.10%</w:t>
            </w:r>
          </w:p>
        </w:tc>
        <w:tc>
          <w:tcPr>
            <w:tcW w:w="560" w:type="dxa"/>
            <w:vAlign w:val="bottom"/>
          </w:tcPr>
          <w:p>
            <w:pPr>
              <w:spacing w:after="0"/>
              <w:rPr>
                <w:sz w:val="24"/>
                <w:szCs w:val="24"/>
                <w:color w:val="auto"/>
              </w:rPr>
            </w:pPr>
          </w:p>
        </w:tc>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rPr>
              <w:t>2.56%</w:t>
            </w:r>
          </w:p>
        </w:tc>
        <w:tc>
          <w:tcPr>
            <w:tcW w:w="460" w:type="dxa"/>
            <w:vAlign w:val="bottom"/>
          </w:tcPr>
          <w:p>
            <w:pPr>
              <w:spacing w:after="0"/>
              <w:rPr>
                <w:sz w:val="24"/>
                <w:szCs w:val="24"/>
                <w:color w:val="auto"/>
              </w:rPr>
            </w:pP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2.14%</w:t>
            </w:r>
          </w:p>
        </w:tc>
        <w:tc>
          <w:tcPr>
            <w:tcW w:w="420" w:type="dxa"/>
            <w:vAlign w:val="bottom"/>
          </w:tcPr>
          <w:p>
            <w:pPr>
              <w:spacing w:after="0"/>
              <w:rPr>
                <w:sz w:val="24"/>
                <w:szCs w:val="24"/>
                <w:color w:val="auto"/>
              </w:rPr>
            </w:pPr>
          </w:p>
        </w:tc>
        <w:tc>
          <w:tcPr>
            <w:tcW w:w="1140" w:type="dxa"/>
            <w:vAlign w:val="bottom"/>
          </w:tcPr>
          <w:p>
            <w:pPr>
              <w:ind w:left="400"/>
              <w:spacing w:after="0"/>
              <w:rPr>
                <w:sz w:val="20"/>
                <w:szCs w:val="20"/>
                <w:color w:val="auto"/>
              </w:rPr>
            </w:pPr>
            <w:r>
              <w:rPr>
                <w:rFonts w:ascii="Courier New" w:cs="Courier New" w:eastAsia="Courier New" w:hAnsi="Courier New"/>
                <w:sz w:val="15"/>
                <w:szCs w:val="15"/>
                <w:color w:val="auto"/>
              </w:rPr>
              <w:t>2.70%</w:t>
            </w: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Expected life of options</w:t>
            </w:r>
          </w:p>
        </w:tc>
        <w:tc>
          <w:tcPr>
            <w:tcW w:w="1140" w:type="dxa"/>
            <w:vAlign w:val="bottom"/>
          </w:tcPr>
          <w:p>
            <w:pPr>
              <w:spacing w:after="0"/>
              <w:rPr>
                <w:sz w:val="15"/>
                <w:szCs w:val="15"/>
                <w:color w:val="auto"/>
              </w:rPr>
            </w:pP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3.00</w:t>
            </w:r>
          </w:p>
        </w:tc>
        <w:tc>
          <w:tcPr>
            <w:tcW w:w="560" w:type="dxa"/>
            <w:vAlign w:val="bottom"/>
          </w:tcPr>
          <w:p>
            <w:pPr>
              <w:spacing w:after="0"/>
              <w:rPr>
                <w:sz w:val="15"/>
                <w:szCs w:val="15"/>
                <w:color w:val="auto"/>
              </w:rPr>
            </w:pPr>
          </w:p>
        </w:tc>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rPr>
              <w:t>2.98</w:t>
            </w:r>
          </w:p>
        </w:tc>
        <w:tc>
          <w:tcPr>
            <w:tcW w:w="460" w:type="dxa"/>
            <w:vAlign w:val="bottom"/>
          </w:tcPr>
          <w:p>
            <w:pPr>
              <w:spacing w:after="0"/>
              <w:rPr>
                <w:sz w:val="15"/>
                <w:szCs w:val="15"/>
                <w:color w:val="auto"/>
              </w:rPr>
            </w:pP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3.00</w:t>
            </w:r>
          </w:p>
        </w:tc>
        <w:tc>
          <w:tcPr>
            <w:tcW w:w="420" w:type="dxa"/>
            <w:vAlign w:val="bottom"/>
          </w:tcPr>
          <w:p>
            <w:pPr>
              <w:spacing w:after="0"/>
              <w:rPr>
                <w:sz w:val="15"/>
                <w:szCs w:val="15"/>
                <w:color w:val="auto"/>
              </w:rPr>
            </w:pPr>
          </w:p>
        </w:tc>
        <w:tc>
          <w:tcPr>
            <w:tcW w:w="1140" w:type="dxa"/>
            <w:vAlign w:val="bottom"/>
          </w:tcPr>
          <w:p>
            <w:pPr>
              <w:ind w:left="400"/>
              <w:spacing w:after="0"/>
              <w:rPr>
                <w:sz w:val="20"/>
                <w:szCs w:val="20"/>
                <w:color w:val="auto"/>
              </w:rPr>
            </w:pPr>
            <w:r>
              <w:rPr>
                <w:rFonts w:ascii="Courier New" w:cs="Courier New" w:eastAsia="Courier New" w:hAnsi="Courier New"/>
                <w:sz w:val="15"/>
                <w:szCs w:val="15"/>
                <w:color w:val="auto"/>
              </w:rPr>
              <w:t>2.93</w:t>
            </w: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Expected annual volatility</w:t>
            </w:r>
          </w:p>
        </w:tc>
        <w:tc>
          <w:tcPr>
            <w:tcW w:w="1140" w:type="dxa"/>
            <w:vAlign w:val="bottom"/>
          </w:tcPr>
          <w:p>
            <w:pPr>
              <w:spacing w:after="0"/>
              <w:rPr>
                <w:sz w:val="15"/>
                <w:szCs w:val="15"/>
                <w:color w:val="auto"/>
              </w:rPr>
            </w:pP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44.1%</w:t>
            </w:r>
          </w:p>
        </w:tc>
        <w:tc>
          <w:tcPr>
            <w:tcW w:w="560" w:type="dxa"/>
            <w:vAlign w:val="bottom"/>
          </w:tcPr>
          <w:p>
            <w:pPr>
              <w:spacing w:after="0"/>
              <w:rPr>
                <w:sz w:val="15"/>
                <w:szCs w:val="15"/>
                <w:color w:val="auto"/>
              </w:rPr>
            </w:pPr>
          </w:p>
        </w:tc>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rPr>
              <w:t>51.1%</w:t>
            </w:r>
          </w:p>
        </w:tc>
        <w:tc>
          <w:tcPr>
            <w:tcW w:w="460" w:type="dxa"/>
            <w:vAlign w:val="bottom"/>
          </w:tcPr>
          <w:p>
            <w:pPr>
              <w:spacing w:after="0"/>
              <w:rPr>
                <w:sz w:val="15"/>
                <w:szCs w:val="15"/>
                <w:color w:val="auto"/>
              </w:rPr>
            </w:pP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44.3%</w:t>
            </w:r>
          </w:p>
        </w:tc>
        <w:tc>
          <w:tcPr>
            <w:tcW w:w="420" w:type="dxa"/>
            <w:vAlign w:val="bottom"/>
          </w:tcPr>
          <w:p>
            <w:pPr>
              <w:spacing w:after="0"/>
              <w:rPr>
                <w:sz w:val="15"/>
                <w:szCs w:val="15"/>
                <w:color w:val="auto"/>
              </w:rPr>
            </w:pPr>
          </w:p>
        </w:tc>
        <w:tc>
          <w:tcPr>
            <w:tcW w:w="1140" w:type="dxa"/>
            <w:vAlign w:val="bottom"/>
          </w:tcPr>
          <w:p>
            <w:pPr>
              <w:ind w:left="400"/>
              <w:spacing w:after="0"/>
              <w:rPr>
                <w:sz w:val="20"/>
                <w:szCs w:val="20"/>
                <w:color w:val="auto"/>
              </w:rPr>
            </w:pPr>
            <w:r>
              <w:rPr>
                <w:rFonts w:ascii="Courier New" w:cs="Courier New" w:eastAsia="Courier New" w:hAnsi="Courier New"/>
                <w:sz w:val="15"/>
                <w:szCs w:val="15"/>
                <w:color w:val="auto"/>
              </w:rPr>
              <w:t>57.0%</w:t>
            </w: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Expected dividend yield</w:t>
            </w:r>
          </w:p>
        </w:tc>
        <w:tc>
          <w:tcPr>
            <w:tcW w:w="1140" w:type="dxa"/>
            <w:vAlign w:val="bottom"/>
          </w:tcPr>
          <w:p>
            <w:pPr>
              <w:spacing w:after="0"/>
              <w:rPr>
                <w:sz w:val="15"/>
                <w:szCs w:val="15"/>
                <w:color w:val="auto"/>
              </w:rPr>
            </w:pP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None</w:t>
            </w:r>
          </w:p>
        </w:tc>
        <w:tc>
          <w:tcPr>
            <w:tcW w:w="560" w:type="dxa"/>
            <w:vAlign w:val="bottom"/>
          </w:tcPr>
          <w:p>
            <w:pPr>
              <w:spacing w:after="0"/>
              <w:rPr>
                <w:sz w:val="15"/>
                <w:szCs w:val="15"/>
                <w:color w:val="auto"/>
              </w:rPr>
            </w:pPr>
          </w:p>
        </w:tc>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rPr>
              <w:t>None</w:t>
            </w:r>
          </w:p>
        </w:tc>
        <w:tc>
          <w:tcPr>
            <w:tcW w:w="460" w:type="dxa"/>
            <w:vAlign w:val="bottom"/>
          </w:tcPr>
          <w:p>
            <w:pPr>
              <w:spacing w:after="0"/>
              <w:rPr>
                <w:sz w:val="15"/>
                <w:szCs w:val="15"/>
                <w:color w:val="auto"/>
              </w:rPr>
            </w:pP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None</w:t>
            </w:r>
          </w:p>
        </w:tc>
        <w:tc>
          <w:tcPr>
            <w:tcW w:w="420" w:type="dxa"/>
            <w:vAlign w:val="bottom"/>
          </w:tcPr>
          <w:p>
            <w:pPr>
              <w:spacing w:after="0"/>
              <w:rPr>
                <w:sz w:val="15"/>
                <w:szCs w:val="15"/>
                <w:color w:val="auto"/>
              </w:rPr>
            </w:pPr>
          </w:p>
        </w:tc>
        <w:tc>
          <w:tcPr>
            <w:tcW w:w="1140" w:type="dxa"/>
            <w:vAlign w:val="bottom"/>
          </w:tcPr>
          <w:p>
            <w:pPr>
              <w:ind w:left="400"/>
              <w:spacing w:after="0"/>
              <w:rPr>
                <w:sz w:val="20"/>
                <w:szCs w:val="20"/>
                <w:color w:val="auto"/>
              </w:rPr>
            </w:pPr>
            <w:r>
              <w:rPr>
                <w:rFonts w:ascii="Courier New" w:cs="Courier New" w:eastAsia="Courier New" w:hAnsi="Courier New"/>
                <w:sz w:val="15"/>
                <w:szCs w:val="15"/>
                <w:color w:val="auto"/>
              </w:rPr>
              <w:t>None</w:t>
            </w:r>
          </w:p>
        </w:tc>
      </w:tr>
      <w:tr>
        <w:trPr>
          <w:trHeight w:val="352"/>
        </w:trPr>
        <w:tc>
          <w:tcPr>
            <w:tcW w:w="3060" w:type="dxa"/>
            <w:vAlign w:val="bottom"/>
          </w:tcPr>
          <w:p>
            <w:pPr>
              <w:spacing w:after="0"/>
              <w:rPr>
                <w:sz w:val="20"/>
                <w:szCs w:val="20"/>
                <w:color w:val="auto"/>
              </w:rPr>
            </w:pPr>
            <w:r>
              <w:rPr>
                <w:rFonts w:ascii="Courier New" w:cs="Courier New" w:eastAsia="Courier New" w:hAnsi="Courier New"/>
                <w:sz w:val="15"/>
                <w:szCs w:val="15"/>
                <w:color w:val="auto"/>
              </w:rPr>
              <w:t>Fair value per option</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11.2</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rPr>
              <w:t>7.01</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10.4</w:t>
            </w: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5"/>
                <w:szCs w:val="15"/>
                <w:color w:val="auto"/>
              </w:rPr>
              <w:t>5.02</w:t>
            </w:r>
          </w:p>
        </w:tc>
      </w:tr>
    </w:tbl>
    <w:p>
      <w:pPr>
        <w:spacing w:after="0" w:line="357" w:lineRule="exact"/>
        <w:rPr>
          <w:sz w:val="20"/>
          <w:szCs w:val="20"/>
          <w:color w:val="auto"/>
        </w:rPr>
      </w:pPr>
    </w:p>
    <w:p>
      <w:pPr>
        <w:ind w:right="3380" w:firstLine="366"/>
        <w:spacing w:after="0" w:line="249" w:lineRule="auto"/>
        <w:rPr>
          <w:sz w:val="20"/>
          <w:szCs w:val="20"/>
          <w:color w:val="auto"/>
        </w:rPr>
      </w:pPr>
      <w:r>
        <w:rPr>
          <w:rFonts w:ascii="Courier New" w:cs="Courier New" w:eastAsia="Courier New" w:hAnsi="Courier New"/>
          <w:sz w:val="15"/>
          <w:szCs w:val="15"/>
          <w:color w:val="auto"/>
        </w:rPr>
        <w:t>The following table sets forth the pro forma effect of applying SFAS No. 123 on net income and earnings per share for the three months and nine months ended June 30, 2004 and 2003:</w:t>
      </w:r>
    </w:p>
    <w:p>
      <w:pPr>
        <w:spacing w:after="0" w:line="200" w:lineRule="exact"/>
        <w:rPr>
          <w:sz w:val="20"/>
          <w:szCs w:val="20"/>
          <w:color w:val="auto"/>
        </w:rPr>
      </w:pPr>
    </w:p>
    <w:p>
      <w:pPr>
        <w:spacing w:after="0" w:line="328"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760" w:type="dxa"/>
            <w:vAlign w:val="bottom"/>
            <w:gridSpan w:val="3"/>
          </w:tcPr>
          <w:p>
            <w:pPr>
              <w:jc w:val="center"/>
              <w:ind w:right="384"/>
              <w:spacing w:after="0"/>
              <w:rPr>
                <w:sz w:val="20"/>
                <w:szCs w:val="20"/>
                <w:color w:val="auto"/>
              </w:rPr>
            </w:pPr>
            <w:r>
              <w:rPr>
                <w:rFonts w:ascii="Courier New" w:cs="Courier New" w:eastAsia="Courier New" w:hAnsi="Courier New"/>
                <w:sz w:val="15"/>
                <w:szCs w:val="15"/>
                <w:color w:val="auto"/>
              </w:rPr>
              <w:t>Three months ended</w:t>
            </w:r>
          </w:p>
        </w:tc>
        <w:tc>
          <w:tcPr>
            <w:tcW w:w="360" w:type="dxa"/>
            <w:vAlign w:val="bottom"/>
          </w:tcPr>
          <w:p>
            <w:pPr>
              <w:spacing w:after="0"/>
              <w:rPr>
                <w:sz w:val="14"/>
                <w:szCs w:val="14"/>
                <w:color w:val="auto"/>
              </w:rPr>
            </w:pPr>
          </w:p>
        </w:tc>
        <w:tc>
          <w:tcPr>
            <w:tcW w:w="2700" w:type="dxa"/>
            <w:vAlign w:val="bottom"/>
            <w:gridSpan w:val="3"/>
          </w:tcPr>
          <w:p>
            <w:pPr>
              <w:jc w:val="right"/>
              <w:ind w:right="664"/>
              <w:spacing w:after="0"/>
              <w:rPr>
                <w:sz w:val="20"/>
                <w:szCs w:val="20"/>
                <w:color w:val="auto"/>
              </w:rPr>
            </w:pPr>
            <w:r>
              <w:rPr>
                <w:rFonts w:ascii="Courier New" w:cs="Courier New" w:eastAsia="Courier New" w:hAnsi="Courier New"/>
                <w:sz w:val="15"/>
                <w:szCs w:val="15"/>
                <w:color w:val="auto"/>
              </w:rPr>
              <w:t>Nine months ended</w:t>
            </w:r>
          </w:p>
        </w:tc>
      </w:tr>
      <w:tr>
        <w:trPr>
          <w:trHeight w:val="176"/>
        </w:trPr>
        <w:tc>
          <w:tcPr>
            <w:tcW w:w="3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0" w:type="dxa"/>
            <w:vAlign w:val="bottom"/>
            <w:gridSpan w:val="2"/>
          </w:tcPr>
          <w:p>
            <w:pPr>
              <w:jc w:val="center"/>
              <w:ind w:left="624"/>
              <w:spacing w:after="0"/>
              <w:rPr>
                <w:sz w:val="20"/>
                <w:szCs w:val="20"/>
                <w:color w:val="auto"/>
              </w:rPr>
            </w:pPr>
            <w:r>
              <w:rPr>
                <w:rFonts w:ascii="Courier New" w:cs="Courier New" w:eastAsia="Courier New" w:hAnsi="Courier New"/>
                <w:sz w:val="15"/>
                <w:szCs w:val="15"/>
                <w:color w:val="auto"/>
              </w:rPr>
              <w:t>June 30,</w:t>
            </w: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June 30,</w:t>
            </w:r>
          </w:p>
        </w:tc>
        <w:tc>
          <w:tcPr>
            <w:tcW w:w="1060" w:type="dxa"/>
            <w:vAlign w:val="bottom"/>
          </w:tcPr>
          <w:p>
            <w:pPr>
              <w:spacing w:after="0"/>
              <w:rPr>
                <w:sz w:val="15"/>
                <w:szCs w:val="15"/>
                <w:color w:val="auto"/>
              </w:rPr>
            </w:pPr>
          </w:p>
        </w:tc>
      </w:tr>
      <w:tr>
        <w:trPr>
          <w:trHeight w:val="176"/>
        </w:trPr>
        <w:tc>
          <w:tcPr>
            <w:tcW w:w="3560" w:type="dxa"/>
            <w:vAlign w:val="bottom"/>
          </w:tcPr>
          <w:p>
            <w:pPr>
              <w:spacing w:after="0"/>
              <w:rPr>
                <w:sz w:val="15"/>
                <w:szCs w:val="15"/>
                <w:color w:val="auto"/>
              </w:rPr>
            </w:pPr>
          </w:p>
        </w:tc>
        <w:tc>
          <w:tcPr>
            <w:tcW w:w="3360" w:type="dxa"/>
            <w:vAlign w:val="bottom"/>
            <w:gridSpan w:val="4"/>
          </w:tcPr>
          <w:p>
            <w:pPr>
              <w:ind w:left="380"/>
              <w:spacing w:after="0"/>
              <w:rPr>
                <w:sz w:val="20"/>
                <w:szCs w:val="20"/>
                <w:color w:val="auto"/>
              </w:rPr>
            </w:pPr>
            <w:r>
              <w:rPr>
                <w:rFonts w:ascii="Courier New" w:cs="Courier New" w:eastAsia="Courier New" w:hAnsi="Courier New"/>
                <w:sz w:val="15"/>
                <w:szCs w:val="15"/>
                <w:color w:val="auto"/>
              </w:rPr>
              <w:t>-------------------------------</w:t>
            </w:r>
          </w:p>
        </w:tc>
        <w:tc>
          <w:tcPr>
            <w:tcW w:w="306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2004</w:t>
            </w:r>
          </w:p>
        </w:tc>
        <w:tc>
          <w:tcPr>
            <w:tcW w:w="460" w:type="dxa"/>
            <w:vAlign w:val="bottom"/>
          </w:tcPr>
          <w:p>
            <w:pPr>
              <w:spacing w:after="0"/>
              <w:rPr>
                <w:sz w:val="15"/>
                <w:szCs w:val="15"/>
                <w:color w:val="auto"/>
              </w:rPr>
            </w:pPr>
          </w:p>
        </w:tc>
        <w:tc>
          <w:tcPr>
            <w:tcW w:w="11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2003</w:t>
            </w:r>
          </w:p>
        </w:tc>
        <w:tc>
          <w:tcPr>
            <w:tcW w:w="360" w:type="dxa"/>
            <w:vAlign w:val="bottom"/>
          </w:tcPr>
          <w:p>
            <w:pPr>
              <w:spacing w:after="0"/>
              <w:rPr>
                <w:sz w:val="15"/>
                <w:szCs w:val="15"/>
                <w:color w:val="auto"/>
              </w:rPr>
            </w:pPr>
          </w:p>
        </w:tc>
        <w:tc>
          <w:tcPr>
            <w:tcW w:w="124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2004</w:t>
            </w:r>
          </w:p>
        </w:tc>
        <w:tc>
          <w:tcPr>
            <w:tcW w:w="400" w:type="dxa"/>
            <w:vAlign w:val="bottom"/>
          </w:tcPr>
          <w:p>
            <w:pPr>
              <w:spacing w:after="0"/>
              <w:rPr>
                <w:sz w:val="15"/>
                <w:szCs w:val="15"/>
                <w:color w:val="auto"/>
              </w:rPr>
            </w:pPr>
          </w:p>
        </w:tc>
        <w:tc>
          <w:tcPr>
            <w:tcW w:w="10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2003</w:t>
            </w:r>
          </w:p>
        </w:tc>
      </w:tr>
      <w:tr>
        <w:trPr>
          <w:trHeight w:val="176"/>
        </w:trPr>
        <w:tc>
          <w:tcPr>
            <w:tcW w:w="3560" w:type="dxa"/>
            <w:vAlign w:val="bottom"/>
          </w:tcPr>
          <w:p>
            <w:pPr>
              <w:spacing w:after="0"/>
              <w:rPr>
                <w:sz w:val="15"/>
                <w:szCs w:val="15"/>
                <w:color w:val="auto"/>
              </w:rPr>
            </w:pPr>
          </w:p>
        </w:tc>
        <w:tc>
          <w:tcPr>
            <w:tcW w:w="174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w:t>
            </w:r>
          </w:p>
        </w:tc>
      </w:tr>
      <w:tr>
        <w:trPr>
          <w:trHeight w:val="529"/>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income, as reported</w:t>
            </w:r>
          </w:p>
        </w:tc>
        <w:tc>
          <w:tcPr>
            <w:tcW w:w="60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59,920</w:t>
            </w:r>
          </w:p>
        </w:tc>
        <w:tc>
          <w:tcPr>
            <w:tcW w:w="46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47,438</w:t>
            </w:r>
          </w:p>
        </w:tc>
        <w:tc>
          <w:tcPr>
            <w:tcW w:w="3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173,278</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125,012</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Add: Stock-based employee</w:t>
            </w: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560" w:type="dxa"/>
            <w:vAlign w:val="bottom"/>
          </w:tcPr>
          <w:p>
            <w:pPr>
              <w:ind w:left="540"/>
              <w:spacing w:after="0"/>
              <w:rPr>
                <w:sz w:val="20"/>
                <w:szCs w:val="20"/>
                <w:color w:val="auto"/>
              </w:rPr>
            </w:pPr>
            <w:r>
              <w:rPr>
                <w:rFonts w:ascii="Courier New" w:cs="Courier New" w:eastAsia="Courier New" w:hAnsi="Courier New"/>
                <w:sz w:val="15"/>
                <w:szCs w:val="15"/>
                <w:color w:val="auto"/>
              </w:rPr>
              <w:t>compensation expense included</w:t>
            </w: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560" w:type="dxa"/>
            <w:vAlign w:val="bottom"/>
          </w:tcPr>
          <w:p>
            <w:pPr>
              <w:ind w:left="540"/>
              <w:spacing w:after="0"/>
              <w:rPr>
                <w:sz w:val="20"/>
                <w:szCs w:val="20"/>
                <w:color w:val="auto"/>
              </w:rPr>
            </w:pPr>
            <w:r>
              <w:rPr>
                <w:rFonts w:ascii="Courier New" w:cs="Courier New" w:eastAsia="Courier New" w:hAnsi="Courier New"/>
                <w:sz w:val="15"/>
                <w:szCs w:val="15"/>
                <w:color w:val="auto"/>
              </w:rPr>
              <w:t>in net income, net of related</w:t>
            </w: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560" w:type="dxa"/>
            <w:vAlign w:val="bottom"/>
          </w:tcPr>
          <w:p>
            <w:pPr>
              <w:ind w:left="540"/>
              <w:spacing w:after="0"/>
              <w:rPr>
                <w:sz w:val="20"/>
                <w:szCs w:val="20"/>
                <w:color w:val="auto"/>
              </w:rPr>
            </w:pPr>
            <w:r>
              <w:rPr>
                <w:rFonts w:ascii="Courier New" w:cs="Courier New" w:eastAsia="Courier New" w:hAnsi="Courier New"/>
                <w:sz w:val="15"/>
                <w:szCs w:val="15"/>
                <w:color w:val="auto"/>
              </w:rPr>
              <w:t>tax effects</w:t>
            </w:r>
          </w:p>
        </w:tc>
        <w:tc>
          <w:tcPr>
            <w:tcW w:w="600" w:type="dxa"/>
            <w:vAlign w:val="bottom"/>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276</w:t>
            </w:r>
          </w:p>
        </w:tc>
        <w:tc>
          <w:tcPr>
            <w:tcW w:w="460" w:type="dxa"/>
            <w:vAlign w:val="bottom"/>
          </w:tcPr>
          <w:p>
            <w:pPr>
              <w:spacing w:after="0"/>
              <w:rPr>
                <w:sz w:val="15"/>
                <w:szCs w:val="15"/>
                <w:color w:val="auto"/>
              </w:rPr>
            </w:pP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w:t>
            </w:r>
          </w:p>
        </w:tc>
        <w:tc>
          <w:tcPr>
            <w:tcW w:w="360" w:type="dxa"/>
            <w:vAlign w:val="bottom"/>
          </w:tcPr>
          <w:p>
            <w:pPr>
              <w:spacing w:after="0"/>
              <w:rPr>
                <w:sz w:val="15"/>
                <w:szCs w:val="15"/>
                <w:color w:val="auto"/>
              </w:rPr>
            </w:pP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301</w:t>
            </w:r>
          </w:p>
        </w:tc>
        <w:tc>
          <w:tcPr>
            <w:tcW w:w="40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Less: Total stock-based employee</w:t>
            </w: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560" w:type="dxa"/>
            <w:vAlign w:val="bottom"/>
          </w:tcPr>
          <w:p>
            <w:pPr>
              <w:ind w:left="540"/>
              <w:spacing w:after="0"/>
              <w:rPr>
                <w:sz w:val="20"/>
                <w:szCs w:val="20"/>
                <w:color w:val="auto"/>
              </w:rPr>
            </w:pPr>
            <w:r>
              <w:rPr>
                <w:rFonts w:ascii="Courier New" w:cs="Courier New" w:eastAsia="Courier New" w:hAnsi="Courier New"/>
                <w:sz w:val="15"/>
                <w:szCs w:val="15"/>
                <w:color w:val="auto"/>
              </w:rPr>
              <w:t>compensation expense</w:t>
            </w: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560" w:type="dxa"/>
            <w:vAlign w:val="bottom"/>
          </w:tcPr>
          <w:p>
            <w:pPr>
              <w:ind w:left="540"/>
              <w:spacing w:after="0"/>
              <w:rPr>
                <w:sz w:val="20"/>
                <w:szCs w:val="20"/>
                <w:color w:val="auto"/>
              </w:rPr>
            </w:pPr>
            <w:r>
              <w:rPr>
                <w:rFonts w:ascii="Courier New" w:cs="Courier New" w:eastAsia="Courier New" w:hAnsi="Courier New"/>
                <w:sz w:val="15"/>
                <w:szCs w:val="15"/>
                <w:color w:val="auto"/>
              </w:rPr>
              <w:t>determined under fair value</w:t>
            </w: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560" w:type="dxa"/>
            <w:vAlign w:val="bottom"/>
          </w:tcPr>
          <w:p>
            <w:pPr>
              <w:ind w:left="540"/>
              <w:spacing w:after="0"/>
              <w:rPr>
                <w:sz w:val="20"/>
                <w:szCs w:val="20"/>
                <w:color w:val="auto"/>
              </w:rPr>
            </w:pPr>
            <w:r>
              <w:rPr>
                <w:rFonts w:ascii="Courier New" w:cs="Courier New" w:eastAsia="Courier New" w:hAnsi="Courier New"/>
                <w:sz w:val="15"/>
                <w:szCs w:val="15"/>
                <w:color w:val="auto"/>
              </w:rPr>
              <w:t>method for all awards, net of</w:t>
            </w: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560" w:type="dxa"/>
            <w:vAlign w:val="bottom"/>
          </w:tcPr>
          <w:p>
            <w:pPr>
              <w:ind w:left="540"/>
              <w:spacing w:after="0"/>
              <w:rPr>
                <w:sz w:val="20"/>
                <w:szCs w:val="20"/>
                <w:color w:val="auto"/>
              </w:rPr>
            </w:pPr>
            <w:r>
              <w:rPr>
                <w:rFonts w:ascii="Courier New" w:cs="Courier New" w:eastAsia="Courier New" w:hAnsi="Courier New"/>
                <w:sz w:val="15"/>
                <w:szCs w:val="15"/>
                <w:color w:val="auto"/>
              </w:rPr>
              <w:t>related tax effects</w:t>
            </w:r>
          </w:p>
        </w:tc>
        <w:tc>
          <w:tcPr>
            <w:tcW w:w="600" w:type="dxa"/>
            <w:vAlign w:val="bottom"/>
          </w:tcPr>
          <w:p>
            <w:pPr>
              <w:spacing w:after="0"/>
              <w:rPr>
                <w:sz w:val="15"/>
                <w:szCs w:val="15"/>
                <w:color w:val="auto"/>
              </w:rPr>
            </w:pP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(7,131)</w:t>
            </w:r>
          </w:p>
        </w:tc>
        <w:tc>
          <w:tcPr>
            <w:tcW w:w="46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(17,182)</w:t>
            </w:r>
          </w:p>
        </w:tc>
        <w:tc>
          <w:tcPr>
            <w:tcW w:w="36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(26,335)</w:t>
            </w:r>
          </w:p>
        </w:tc>
        <w:tc>
          <w:tcPr>
            <w:tcW w:w="40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(47,189)</w:t>
            </w:r>
          </w:p>
        </w:tc>
      </w:tr>
      <w:tr>
        <w:trPr>
          <w:trHeight w:val="176"/>
        </w:trPr>
        <w:tc>
          <w:tcPr>
            <w:tcW w:w="3560" w:type="dxa"/>
            <w:vAlign w:val="bottom"/>
          </w:tcPr>
          <w:p>
            <w:pPr>
              <w:spacing w:after="0"/>
              <w:rPr>
                <w:sz w:val="15"/>
                <w:szCs w:val="15"/>
                <w:color w:val="auto"/>
              </w:rPr>
            </w:pPr>
          </w:p>
        </w:tc>
        <w:tc>
          <w:tcPr>
            <w:tcW w:w="17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Pro forma net income</w:t>
            </w:r>
          </w:p>
        </w:tc>
        <w:tc>
          <w:tcPr>
            <w:tcW w:w="60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53,065</w:t>
            </w:r>
          </w:p>
        </w:tc>
        <w:tc>
          <w:tcPr>
            <w:tcW w:w="46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30,260</w:t>
            </w:r>
          </w:p>
        </w:tc>
        <w:tc>
          <w:tcPr>
            <w:tcW w:w="3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147,244</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77,846</w:t>
            </w:r>
          </w:p>
        </w:tc>
      </w:tr>
      <w:tr>
        <w:trPr>
          <w:trHeight w:val="176"/>
        </w:trPr>
        <w:tc>
          <w:tcPr>
            <w:tcW w:w="3560" w:type="dxa"/>
            <w:vAlign w:val="bottom"/>
          </w:tcPr>
          <w:p>
            <w:pPr>
              <w:spacing w:after="0"/>
              <w:rPr>
                <w:sz w:val="15"/>
                <w:szCs w:val="15"/>
                <w:color w:val="auto"/>
              </w:rPr>
            </w:pPr>
          </w:p>
        </w:tc>
        <w:tc>
          <w:tcPr>
            <w:tcW w:w="17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560" w:type="dxa"/>
            <w:vAlign w:val="bottom"/>
          </w:tcPr>
          <w:p>
            <w:pPr>
              <w:ind w:left="360"/>
              <w:spacing w:after="0"/>
              <w:rPr>
                <w:sz w:val="20"/>
                <w:szCs w:val="20"/>
                <w:color w:val="auto"/>
              </w:rPr>
            </w:pPr>
            <w:r>
              <w:rPr>
                <w:rFonts w:ascii="Courier New" w:cs="Courier New" w:eastAsia="Courier New" w:hAnsi="Courier New"/>
                <w:sz w:val="15"/>
                <w:szCs w:val="15"/>
                <w:color w:val="auto"/>
              </w:rPr>
              <w:t>As reported</w:t>
            </w:r>
          </w:p>
        </w:tc>
        <w:tc>
          <w:tcPr>
            <w:tcW w:w="60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0.29</w:t>
            </w:r>
          </w:p>
        </w:tc>
        <w:tc>
          <w:tcPr>
            <w:tcW w:w="46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0.22</w:t>
            </w:r>
          </w:p>
        </w:tc>
        <w:tc>
          <w:tcPr>
            <w:tcW w:w="3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0.82</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0.58</w:t>
            </w:r>
          </w:p>
        </w:tc>
      </w:tr>
      <w:tr>
        <w:trPr>
          <w:trHeight w:val="176"/>
        </w:trPr>
        <w:tc>
          <w:tcPr>
            <w:tcW w:w="3560" w:type="dxa"/>
            <w:vAlign w:val="bottom"/>
          </w:tcPr>
          <w:p>
            <w:pPr>
              <w:spacing w:after="0"/>
              <w:rPr>
                <w:sz w:val="15"/>
                <w:szCs w:val="15"/>
                <w:color w:val="auto"/>
              </w:rPr>
            </w:pPr>
          </w:p>
        </w:tc>
        <w:tc>
          <w:tcPr>
            <w:tcW w:w="17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ind w:left="360"/>
              <w:spacing w:after="0"/>
              <w:rPr>
                <w:sz w:val="20"/>
                <w:szCs w:val="20"/>
                <w:color w:val="auto"/>
              </w:rPr>
            </w:pPr>
            <w:r>
              <w:rPr>
                <w:rFonts w:ascii="Courier New" w:cs="Courier New" w:eastAsia="Courier New" w:hAnsi="Courier New"/>
                <w:sz w:val="15"/>
                <w:szCs w:val="15"/>
                <w:color w:val="auto"/>
              </w:rPr>
              <w:t>Pro forma</w:t>
            </w:r>
          </w:p>
        </w:tc>
        <w:tc>
          <w:tcPr>
            <w:tcW w:w="60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0.26</w:t>
            </w:r>
          </w:p>
        </w:tc>
        <w:tc>
          <w:tcPr>
            <w:tcW w:w="46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0.14</w:t>
            </w:r>
          </w:p>
        </w:tc>
        <w:tc>
          <w:tcPr>
            <w:tcW w:w="3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0.70</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0.36</w:t>
            </w:r>
          </w:p>
        </w:tc>
      </w:tr>
      <w:tr>
        <w:trPr>
          <w:trHeight w:val="176"/>
        </w:trPr>
        <w:tc>
          <w:tcPr>
            <w:tcW w:w="3560" w:type="dxa"/>
            <w:vAlign w:val="bottom"/>
          </w:tcPr>
          <w:p>
            <w:pPr>
              <w:spacing w:after="0"/>
              <w:rPr>
                <w:sz w:val="15"/>
                <w:szCs w:val="15"/>
                <w:color w:val="auto"/>
              </w:rPr>
            </w:pPr>
          </w:p>
        </w:tc>
        <w:tc>
          <w:tcPr>
            <w:tcW w:w="17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560" w:type="dxa"/>
            <w:vAlign w:val="bottom"/>
          </w:tcPr>
          <w:p>
            <w:pPr>
              <w:ind w:left="360"/>
              <w:spacing w:after="0"/>
              <w:rPr>
                <w:sz w:val="20"/>
                <w:szCs w:val="20"/>
                <w:color w:val="auto"/>
              </w:rPr>
            </w:pPr>
            <w:r>
              <w:rPr>
                <w:rFonts w:ascii="Courier New" w:cs="Courier New" w:eastAsia="Courier New" w:hAnsi="Courier New"/>
                <w:sz w:val="15"/>
                <w:szCs w:val="15"/>
                <w:color w:val="auto"/>
              </w:rPr>
              <w:t>As reported</w:t>
            </w:r>
          </w:p>
        </w:tc>
        <w:tc>
          <w:tcPr>
            <w:tcW w:w="60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0.28</w:t>
            </w:r>
          </w:p>
        </w:tc>
        <w:tc>
          <w:tcPr>
            <w:tcW w:w="46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0.21</w:t>
            </w:r>
          </w:p>
        </w:tc>
        <w:tc>
          <w:tcPr>
            <w:tcW w:w="3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0.80</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0.57</w:t>
            </w:r>
          </w:p>
        </w:tc>
      </w:tr>
      <w:tr>
        <w:trPr>
          <w:trHeight w:val="176"/>
        </w:trPr>
        <w:tc>
          <w:tcPr>
            <w:tcW w:w="3560" w:type="dxa"/>
            <w:vAlign w:val="bottom"/>
          </w:tcPr>
          <w:p>
            <w:pPr>
              <w:spacing w:after="0"/>
              <w:rPr>
                <w:sz w:val="15"/>
                <w:szCs w:val="15"/>
                <w:color w:val="auto"/>
              </w:rPr>
            </w:pPr>
          </w:p>
        </w:tc>
        <w:tc>
          <w:tcPr>
            <w:tcW w:w="17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ind w:left="360"/>
              <w:spacing w:after="0"/>
              <w:rPr>
                <w:sz w:val="20"/>
                <w:szCs w:val="20"/>
                <w:color w:val="auto"/>
              </w:rPr>
            </w:pPr>
            <w:r>
              <w:rPr>
                <w:rFonts w:ascii="Courier New" w:cs="Courier New" w:eastAsia="Courier New" w:hAnsi="Courier New"/>
                <w:sz w:val="15"/>
                <w:szCs w:val="15"/>
                <w:color w:val="auto"/>
              </w:rPr>
              <w:t>Pro forma</w:t>
            </w:r>
          </w:p>
        </w:tc>
        <w:tc>
          <w:tcPr>
            <w:tcW w:w="60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0.25</w:t>
            </w:r>
          </w:p>
        </w:tc>
        <w:tc>
          <w:tcPr>
            <w:tcW w:w="46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0.14</w:t>
            </w:r>
          </w:p>
        </w:tc>
        <w:tc>
          <w:tcPr>
            <w:tcW w:w="3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0.68</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0.36</w:t>
            </w:r>
          </w:p>
        </w:tc>
      </w:tr>
      <w:tr>
        <w:trPr>
          <w:trHeight w:val="176"/>
        </w:trPr>
        <w:tc>
          <w:tcPr>
            <w:tcW w:w="3560" w:type="dxa"/>
            <w:vAlign w:val="bottom"/>
          </w:tcPr>
          <w:p>
            <w:pPr>
              <w:spacing w:after="0"/>
              <w:rPr>
                <w:sz w:val="15"/>
                <w:szCs w:val="15"/>
                <w:color w:val="auto"/>
              </w:rPr>
            </w:pPr>
          </w:p>
        </w:tc>
        <w:tc>
          <w:tcPr>
            <w:tcW w:w="17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3300" w:firstLine="366"/>
        <w:spacing w:after="0" w:line="249" w:lineRule="auto"/>
        <w:rPr>
          <w:sz w:val="20"/>
          <w:szCs w:val="20"/>
          <w:color w:val="auto"/>
        </w:rPr>
      </w:pPr>
      <w:r>
        <w:rPr>
          <w:rFonts w:ascii="Courier New" w:cs="Courier New" w:eastAsia="Courier New" w:hAnsi="Courier New"/>
          <w:sz w:val="15"/>
          <w:szCs w:val="15"/>
          <w:color w:val="auto"/>
        </w:rPr>
        <w:t>The pro forma results for the three months and nine months ended June 30, 2003 have been revised due to a correction of the stock based employee compensation expense amounts for such periods. These corrections resulted in a decrease in pro forma net income of $15,499 and $32,552 in the three months and nine months ended June 30, 2003, respectively, and a decrease in pro forma diluted earnings per share of $0.07 and $0.15 in the three months and nine months ended June 30, 2003, respectively. The correction for fiscal 2003 resulted in a decrease in pro forma net income of $33,732 and a decrease in pro forma diluted earnings per share of $0.15. The Company has analyzed the impact of the correction only for the aforementioned periods.</w:t>
      </w:r>
    </w:p>
    <w:p>
      <w:pPr>
        <w:spacing w:after="0" w:line="35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60"/>
          </w:cols>
          <w:pgMar w:left="700" w:top="823" w:right="1039" w:bottom="129" w:gutter="0" w:footer="0" w:header="0"/>
        </w:sectPr>
      </w:pPr>
    </w:p>
    <w:bookmarkStart w:id="9" w:name="page10"/>
    <w:bookmarkEnd w:id="9"/>
    <w:p>
      <w:pPr>
        <w:jc w:val="center"/>
        <w:ind w:right="2893"/>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359" w:lineRule="exact"/>
        <w:rPr>
          <w:sz w:val="20"/>
          <w:szCs w:val="20"/>
          <w:color w:val="auto"/>
        </w:rPr>
      </w:pPr>
    </w:p>
    <w:p>
      <w:pPr>
        <w:ind w:left="826" w:right="7019" w:hanging="826"/>
        <w:spacing w:after="0" w:line="497" w:lineRule="auto"/>
        <w:tabs>
          <w:tab w:leader="none" w:pos="82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Standards Variable Interest Entities</w:t>
      </w:r>
    </w:p>
    <w:p>
      <w:pPr>
        <w:spacing w:after="0" w:line="1" w:lineRule="exact"/>
        <w:rPr>
          <w:sz w:val="20"/>
          <w:szCs w:val="20"/>
          <w:color w:val="auto"/>
        </w:rPr>
      </w:pPr>
    </w:p>
    <w:p>
      <w:pPr>
        <w:ind w:left="466" w:right="2979" w:firstLine="366"/>
        <w:spacing w:after="0" w:line="249" w:lineRule="auto"/>
        <w:rPr>
          <w:sz w:val="20"/>
          <w:szCs w:val="20"/>
          <w:color w:val="auto"/>
        </w:rPr>
      </w:pPr>
      <w:r>
        <w:rPr>
          <w:rFonts w:ascii="Courier New" w:cs="Courier New" w:eastAsia="Courier New" w:hAnsi="Courier New"/>
          <w:sz w:val="15"/>
          <w:szCs w:val="15"/>
          <w:color w:val="auto"/>
        </w:rPr>
        <w:t>In January 2003, the Financial Accounting Standards Board ("FASB") issued Interpretation No. 46 ("FIN No. 46"), "Consolidation of Variable Interest Entities", which was further revised in December 2003. FIN No. 46 requires the consolidation of entities in which an enterprise absorbs a majority of the entity's expected losses, receives a majority of the entity's expected residual returns, or both, as a result of ownership, contractual or other financial interests in the entity. FIN No. 46 currently has no effect on the Company's consolidated financial position and results of operations.</w:t>
      </w:r>
    </w:p>
    <w:p>
      <w:pPr>
        <w:spacing w:after="0" w:line="175" w:lineRule="exact"/>
        <w:rPr>
          <w:sz w:val="20"/>
          <w:szCs w:val="20"/>
          <w:color w:val="auto"/>
        </w:rPr>
      </w:pPr>
    </w:p>
    <w:p>
      <w:pPr>
        <w:ind w:left="826" w:hanging="826"/>
        <w:spacing w:after="0"/>
        <w:tabs>
          <w:tab w:leader="none" w:pos="82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82" w:lineRule="exact"/>
        <w:rPr>
          <w:sz w:val="20"/>
          <w:szCs w:val="20"/>
          <w:color w:val="auto"/>
        </w:rPr>
      </w:pPr>
    </w:p>
    <w:p>
      <w:pPr>
        <w:ind w:left="466" w:right="2899" w:firstLine="366"/>
        <w:spacing w:after="0" w:line="249" w:lineRule="auto"/>
        <w:rPr>
          <w:sz w:val="20"/>
          <w:szCs w:val="20"/>
          <w:color w:val="auto"/>
        </w:rPr>
      </w:pPr>
      <w:r>
        <w:rPr>
          <w:rFonts w:ascii="Courier New" w:cs="Courier New" w:eastAsia="Courier New" w:hAnsi="Courier New"/>
          <w:sz w:val="15"/>
          <w:szCs w:val="15"/>
          <w:color w:val="auto"/>
        </w:rPr>
        <w:t>The Company had licensed software and provided computer systems integration and related services to Certen Inc. ("Certen") prior to the acquisition of the remaining 90% of Certen by the Company on July 2, 2003 (see Note 10). As a result of the acquisition of the remaining 90% of Certen by the Company, commencing on the acquisition date, the fair market value of Certen's assets and liabilities has been included in the Company's consolidated balance sheet and the results of Certen's operations are included in the Company's consolidated statements of income. Certen is now a wholly owned subsidiary of the Company, and Certen ceased to be a related party as of July 2, 2003, according to SFAS No. 57, "Related Party Disclosures".</w:t>
      </w:r>
    </w:p>
    <w:p>
      <w:pPr>
        <w:spacing w:after="0" w:line="175" w:lineRule="exact"/>
        <w:rPr>
          <w:sz w:val="20"/>
          <w:szCs w:val="20"/>
          <w:color w:val="auto"/>
        </w:rPr>
      </w:pPr>
    </w:p>
    <w:p>
      <w:pPr>
        <w:ind w:left="466" w:right="3179" w:firstLine="366"/>
        <w:spacing w:after="0" w:line="250" w:lineRule="auto"/>
        <w:rPr>
          <w:sz w:val="20"/>
          <w:szCs w:val="20"/>
          <w:color w:val="auto"/>
        </w:rPr>
      </w:pPr>
      <w:r>
        <w:rPr>
          <w:rFonts w:ascii="Courier New" w:cs="Courier New" w:eastAsia="Courier New" w:hAnsi="Courier New"/>
          <w:sz w:val="15"/>
          <w:szCs w:val="15"/>
          <w:color w:val="auto"/>
        </w:rPr>
        <w:t>The following related party revenue is included in the statements of income for the three months and nine months ended June 30, 2003:</w:t>
      </w:r>
    </w:p>
    <w:p>
      <w:pPr>
        <w:spacing w:after="0" w:line="175" w:lineRule="exact"/>
        <w:rPr>
          <w:sz w:val="20"/>
          <w:szCs w:val="20"/>
          <w:color w:val="auto"/>
        </w:rPr>
      </w:pPr>
    </w:p>
    <w:tbl>
      <w:tblPr>
        <w:tblLayout w:type="fixed"/>
        <w:tblInd w:w="646"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jc w:val="center"/>
              <w:ind w:right="164"/>
              <w:spacing w:after="0"/>
              <w:rPr>
                <w:sz w:val="20"/>
                <w:szCs w:val="20"/>
                <w:color w:val="auto"/>
              </w:rPr>
            </w:pPr>
            <w:r>
              <w:rPr>
                <w:rFonts w:ascii="Courier New" w:cs="Courier New" w:eastAsia="Courier New" w:hAnsi="Courier New"/>
                <w:sz w:val="15"/>
                <w:szCs w:val="15"/>
                <w:color w:val="auto"/>
              </w:rPr>
              <w:t>Three months</w:t>
            </w:r>
          </w:p>
        </w:tc>
        <w:tc>
          <w:tcPr>
            <w:tcW w:w="400" w:type="dxa"/>
            <w:vAlign w:val="bottom"/>
          </w:tcPr>
          <w:p>
            <w:pPr>
              <w:spacing w:after="0"/>
              <w:rPr>
                <w:sz w:val="14"/>
                <w:szCs w:val="14"/>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Nine months</w:t>
            </w:r>
          </w:p>
        </w:tc>
      </w:tr>
      <w:tr>
        <w:trPr>
          <w:trHeight w:val="176"/>
        </w:trPr>
        <w:tc>
          <w:tcPr>
            <w:tcW w:w="2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ended</w:t>
            </w:r>
          </w:p>
        </w:tc>
        <w:tc>
          <w:tcPr>
            <w:tcW w:w="400" w:type="dxa"/>
            <w:vAlign w:val="bottom"/>
          </w:tcPr>
          <w:p>
            <w:pPr>
              <w:spacing w:after="0"/>
              <w:rPr>
                <w:sz w:val="15"/>
                <w:szCs w:val="15"/>
                <w:color w:val="auto"/>
              </w:rPr>
            </w:pPr>
          </w:p>
        </w:tc>
        <w:tc>
          <w:tcPr>
            <w:tcW w:w="13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ended</w:t>
            </w:r>
          </w:p>
        </w:tc>
      </w:tr>
      <w:tr>
        <w:trPr>
          <w:trHeight w:val="176"/>
        </w:trPr>
        <w:tc>
          <w:tcPr>
            <w:tcW w:w="2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June 30,</w:t>
            </w:r>
          </w:p>
        </w:tc>
        <w:tc>
          <w:tcPr>
            <w:tcW w:w="400" w:type="dxa"/>
            <w:vAlign w:val="bottom"/>
          </w:tcPr>
          <w:p>
            <w:pPr>
              <w:spacing w:after="0"/>
              <w:rPr>
                <w:sz w:val="15"/>
                <w:szCs w:val="15"/>
                <w:color w:val="auto"/>
              </w:rPr>
            </w:pP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June 30,</w:t>
            </w:r>
          </w:p>
        </w:tc>
      </w:tr>
      <w:tr>
        <w:trPr>
          <w:trHeight w:val="176"/>
        </w:trPr>
        <w:tc>
          <w:tcPr>
            <w:tcW w:w="2280" w:type="dxa"/>
            <w:vAlign w:val="bottom"/>
          </w:tcPr>
          <w:p>
            <w:pPr>
              <w:spacing w:after="0"/>
              <w:rPr>
                <w:sz w:val="15"/>
                <w:szCs w:val="15"/>
                <w:color w:val="auto"/>
              </w:rPr>
            </w:pPr>
          </w:p>
        </w:tc>
        <w:tc>
          <w:tcPr>
            <w:tcW w:w="2620" w:type="dxa"/>
            <w:vAlign w:val="bottom"/>
            <w:gridSpan w:val="2"/>
          </w:tcPr>
          <w:p>
            <w:pPr>
              <w:ind w:left="120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2003</w:t>
            </w:r>
          </w:p>
        </w:tc>
        <w:tc>
          <w:tcPr>
            <w:tcW w:w="400" w:type="dxa"/>
            <w:vAlign w:val="bottom"/>
          </w:tcPr>
          <w:p>
            <w:pPr>
              <w:spacing w:after="0"/>
              <w:rPr>
                <w:sz w:val="15"/>
                <w:szCs w:val="15"/>
                <w:color w:val="auto"/>
              </w:rPr>
            </w:pPr>
          </w:p>
        </w:tc>
        <w:tc>
          <w:tcPr>
            <w:tcW w:w="13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2003</w:t>
            </w:r>
          </w:p>
        </w:tc>
      </w:tr>
      <w:tr>
        <w:trPr>
          <w:trHeight w:val="176"/>
        </w:trPr>
        <w:tc>
          <w:tcPr>
            <w:tcW w:w="2280" w:type="dxa"/>
            <w:vAlign w:val="bottom"/>
          </w:tcPr>
          <w:p>
            <w:pPr>
              <w:spacing w:after="0"/>
              <w:rPr>
                <w:sz w:val="15"/>
                <w:szCs w:val="15"/>
                <w:color w:val="auto"/>
              </w:rPr>
            </w:pPr>
          </w:p>
        </w:tc>
        <w:tc>
          <w:tcPr>
            <w:tcW w:w="2620" w:type="dxa"/>
            <w:vAlign w:val="bottom"/>
            <w:gridSpan w:val="2"/>
          </w:tcPr>
          <w:p>
            <w:pPr>
              <w:ind w:left="120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2280" w:type="dxa"/>
            <w:vAlign w:val="bottom"/>
          </w:tcPr>
          <w:p>
            <w:pPr>
              <w:ind w:left="460"/>
              <w:spacing w:after="0"/>
              <w:rPr>
                <w:sz w:val="20"/>
                <w:szCs w:val="20"/>
                <w:color w:val="auto"/>
              </w:rPr>
            </w:pPr>
            <w:r>
              <w:rPr>
                <w:rFonts w:ascii="Courier New" w:cs="Courier New" w:eastAsia="Courier New" w:hAnsi="Courier New"/>
                <w:sz w:val="15"/>
                <w:szCs w:val="15"/>
                <w:color w:val="auto"/>
              </w:rPr>
              <w:t>License</w:t>
            </w:r>
          </w:p>
        </w:tc>
        <w:tc>
          <w:tcPr>
            <w:tcW w:w="1280" w:type="dxa"/>
            <w:vAlign w:val="bottom"/>
          </w:tcPr>
          <w:p>
            <w:pPr>
              <w:ind w:left="120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583</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3,827</w:t>
            </w:r>
          </w:p>
        </w:tc>
      </w:tr>
      <w:tr>
        <w:trPr>
          <w:trHeight w:val="176"/>
        </w:trPr>
        <w:tc>
          <w:tcPr>
            <w:tcW w:w="2280" w:type="dxa"/>
            <w:vAlign w:val="bottom"/>
          </w:tcPr>
          <w:p>
            <w:pPr>
              <w:ind w:left="460"/>
              <w:spacing w:after="0"/>
              <w:rPr>
                <w:sz w:val="20"/>
                <w:szCs w:val="20"/>
                <w:color w:val="auto"/>
              </w:rPr>
            </w:pPr>
            <w:r>
              <w:rPr>
                <w:rFonts w:ascii="Courier New" w:cs="Courier New" w:eastAsia="Courier New" w:hAnsi="Courier New"/>
                <w:sz w:val="15"/>
                <w:szCs w:val="15"/>
                <w:color w:val="auto"/>
              </w:rPr>
              <w:t>Service</w:t>
            </w:r>
          </w:p>
        </w:tc>
        <w:tc>
          <w:tcPr>
            <w:tcW w:w="1280" w:type="dxa"/>
            <w:vAlign w:val="bottom"/>
          </w:tcPr>
          <w:p>
            <w:pPr>
              <w:spacing w:after="0"/>
              <w:rPr>
                <w:sz w:val="15"/>
                <w:szCs w:val="15"/>
                <w:color w:val="auto"/>
              </w:rPr>
            </w:pP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32,374</w:t>
            </w:r>
          </w:p>
        </w:tc>
        <w:tc>
          <w:tcPr>
            <w:tcW w:w="400" w:type="dxa"/>
            <w:vAlign w:val="bottom"/>
          </w:tcPr>
          <w:p>
            <w:pPr>
              <w:spacing w:after="0"/>
              <w:rPr>
                <w:sz w:val="15"/>
                <w:szCs w:val="15"/>
                <w:color w:val="auto"/>
              </w:rPr>
            </w:pP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84,122</w:t>
            </w:r>
          </w:p>
        </w:tc>
      </w:tr>
    </w:tbl>
    <w:p>
      <w:pPr>
        <w:spacing w:after="0" w:line="357" w:lineRule="exact"/>
        <w:rPr>
          <w:sz w:val="20"/>
          <w:szCs w:val="20"/>
          <w:color w:val="auto"/>
        </w:rPr>
      </w:pPr>
    </w:p>
    <w:p>
      <w:pPr>
        <w:ind w:left="466" w:right="3179" w:firstLine="366"/>
        <w:spacing w:after="0" w:line="250" w:lineRule="auto"/>
        <w:rPr>
          <w:sz w:val="20"/>
          <w:szCs w:val="20"/>
          <w:color w:val="auto"/>
        </w:rPr>
      </w:pPr>
      <w:r>
        <w:rPr>
          <w:rFonts w:ascii="Courier New" w:cs="Courier New" w:eastAsia="Courier New" w:hAnsi="Courier New"/>
          <w:sz w:val="15"/>
          <w:szCs w:val="15"/>
          <w:color w:val="auto"/>
        </w:rPr>
        <w:t>The following related party expense is included in the statements of income for the three months and nine months ended June 30, 2003:</w:t>
      </w:r>
    </w:p>
    <w:p>
      <w:pPr>
        <w:sectPr>
          <w:pgSz w:w="11900" w:h="16838" w:orient="portrait"/>
          <w:cols w:equalWidth="0" w:num="1">
            <w:col w:w="10225"/>
          </w:cols>
          <w:pgMar w:left="234" w:top="8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46"/>
        <w:spacing w:after="0"/>
        <w:rPr>
          <w:sz w:val="20"/>
          <w:szCs w:val="20"/>
          <w:color w:val="auto"/>
        </w:rPr>
      </w:pPr>
      <w:r>
        <w:rPr>
          <w:rFonts w:ascii="Courier New" w:cs="Courier New" w:eastAsia="Courier New" w:hAnsi="Courier New"/>
          <w:sz w:val="15"/>
          <w:szCs w:val="15"/>
          <w:color w:val="auto"/>
        </w:rPr>
        <w:t>Interest income and other, net (1)</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Three months</w:t>
      </w:r>
    </w:p>
    <w:p>
      <w:pPr>
        <w:spacing w:after="0" w:line="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ended</w:t>
      </w:r>
    </w:p>
    <w:p>
      <w:pPr>
        <w:spacing w:after="0" w:line="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June 30,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2003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564</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Nine months</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ended</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June 30,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2003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1,662</w:t>
      </w:r>
    </w:p>
    <w:p>
      <w:pPr>
        <w:spacing w:after="0" w:line="182" w:lineRule="exact"/>
        <w:rPr>
          <w:sz w:val="20"/>
          <w:szCs w:val="20"/>
          <w:color w:val="auto"/>
        </w:rPr>
      </w:pPr>
    </w:p>
    <w:p>
      <w:pPr>
        <w:sectPr>
          <w:pgSz w:w="11900" w:h="16838" w:orient="portrait"/>
          <w:cols w:equalWidth="0" w:num="3">
            <w:col w:w="3766" w:space="360"/>
            <w:col w:w="1380" w:space="360"/>
            <w:col w:w="4359"/>
          </w:cols>
          <w:pgMar w:left="234" w:top="823" w:right="1440" w:bottom="1440" w:gutter="0" w:footer="0" w:header="0"/>
          <w:type w:val="continuous"/>
        </w:sectPr>
      </w:pPr>
    </w:p>
    <w:p>
      <w:pPr>
        <w:ind w:left="1006" w:right="2899" w:hanging="1006"/>
        <w:spacing w:after="0" w:line="249" w:lineRule="auto"/>
        <w:tabs>
          <w:tab w:leader="none" w:pos="100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interest and exchange rate differences, net of hedging, on the convertible debentures of Certen. Absent hedging, these amounts would be $4,733 and $9,344 for the three and nine months ended June 30, 2003, respectively.</w:t>
      </w:r>
    </w:p>
    <w:p>
      <w:pPr>
        <w:spacing w:after="0" w:line="35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5"/>
          </w:cols>
          <w:pgMar w:left="234" w:top="823" w:right="1440" w:bottom="1440" w:gutter="0" w:footer="0" w:header="0"/>
          <w:type w:val="continuous"/>
        </w:sectPr>
      </w:pPr>
    </w:p>
    <w:bookmarkStart w:id="10" w:name="page11"/>
    <w:bookmarkEnd w:id="10"/>
    <w:p>
      <w:pPr>
        <w:jc w:val="center"/>
        <w:ind w:right="3194"/>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3194"/>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82" w:lineRule="exact"/>
        <w:rPr>
          <w:sz w:val="20"/>
          <w:szCs w:val="20"/>
          <w:color w:val="auto"/>
        </w:rPr>
      </w:pPr>
    </w:p>
    <w:p>
      <w:pPr>
        <w:ind w:left="366" w:hanging="366"/>
        <w:spacing w:after="0"/>
        <w:tabs>
          <w:tab w:leader="none" w:pos="36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Receivable, Net</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Accounts receivable, net consists of the following:</w:t>
      </w:r>
    </w:p>
    <w:p>
      <w:pPr>
        <w:spacing w:after="0" w:line="359" w:lineRule="exact"/>
        <w:rPr>
          <w:sz w:val="20"/>
          <w:szCs w:val="20"/>
          <w:color w:val="auto"/>
        </w:rPr>
      </w:pPr>
    </w:p>
    <w:tbl>
      <w:tblPr>
        <w:tblLayout w:type="fixed"/>
        <w:tblInd w:w="926"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As of</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6"/>
        </w:trPr>
        <w:tc>
          <w:tcPr>
            <w:tcW w:w="2960" w:type="dxa"/>
            <w:vAlign w:val="bottom"/>
          </w:tcPr>
          <w:p>
            <w:pPr>
              <w:spacing w:after="0"/>
              <w:rPr>
                <w:sz w:val="15"/>
                <w:szCs w:val="15"/>
                <w:color w:val="auto"/>
              </w:rPr>
            </w:pPr>
          </w:p>
        </w:tc>
        <w:tc>
          <w:tcPr>
            <w:tcW w:w="344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w w:val="99"/>
              </w:rPr>
              <w:t>June 30,</w:t>
            </w:r>
          </w:p>
        </w:tc>
        <w:tc>
          <w:tcPr>
            <w:tcW w:w="13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September 30,</w:t>
            </w:r>
          </w:p>
        </w:tc>
      </w:tr>
      <w:tr>
        <w:trPr>
          <w:trHeight w:val="176"/>
        </w:trPr>
        <w:tc>
          <w:tcPr>
            <w:tcW w:w="2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2004</w:t>
            </w:r>
          </w:p>
        </w:tc>
        <w:tc>
          <w:tcPr>
            <w:tcW w:w="320" w:type="dxa"/>
            <w:vAlign w:val="bottom"/>
          </w:tcPr>
          <w:p>
            <w:pPr>
              <w:spacing w:after="0"/>
              <w:rPr>
                <w:sz w:val="15"/>
                <w:szCs w:val="15"/>
                <w:color w:val="auto"/>
              </w:rPr>
            </w:pPr>
          </w:p>
        </w:tc>
        <w:tc>
          <w:tcPr>
            <w:tcW w:w="10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2003</w:t>
            </w:r>
          </w:p>
        </w:tc>
      </w:tr>
      <w:tr>
        <w:trPr>
          <w:trHeight w:val="176"/>
        </w:trPr>
        <w:tc>
          <w:tcPr>
            <w:tcW w:w="2960" w:type="dxa"/>
            <w:vAlign w:val="bottom"/>
          </w:tcPr>
          <w:p>
            <w:pPr>
              <w:spacing w:after="0"/>
              <w:rPr>
                <w:sz w:val="15"/>
                <w:szCs w:val="15"/>
                <w:color w:val="auto"/>
              </w:rPr>
            </w:pPr>
          </w:p>
        </w:tc>
        <w:tc>
          <w:tcPr>
            <w:tcW w:w="206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2960" w:type="dxa"/>
            <w:vAlign w:val="bottom"/>
          </w:tcPr>
          <w:p>
            <w:pPr>
              <w:spacing w:after="0"/>
              <w:rPr>
                <w:sz w:val="20"/>
                <w:szCs w:val="20"/>
                <w:color w:val="auto"/>
              </w:rPr>
            </w:pPr>
            <w:r>
              <w:rPr>
                <w:rFonts w:ascii="Courier New" w:cs="Courier New" w:eastAsia="Courier New" w:hAnsi="Courier New"/>
                <w:sz w:val="15"/>
                <w:szCs w:val="15"/>
                <w:color w:val="auto"/>
              </w:rPr>
              <w:t>Accounts receivable -billed</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269,660</w:t>
            </w:r>
          </w:p>
        </w:tc>
        <w:tc>
          <w:tcPr>
            <w:tcW w:w="3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200,220</w:t>
            </w:r>
          </w:p>
        </w:tc>
      </w:tr>
      <w:tr>
        <w:trPr>
          <w:trHeight w:val="176"/>
        </w:trPr>
        <w:tc>
          <w:tcPr>
            <w:tcW w:w="2960" w:type="dxa"/>
            <w:vAlign w:val="bottom"/>
          </w:tcPr>
          <w:p>
            <w:pPr>
              <w:spacing w:after="0"/>
              <w:rPr>
                <w:sz w:val="20"/>
                <w:szCs w:val="20"/>
                <w:color w:val="auto"/>
              </w:rPr>
            </w:pPr>
            <w:r>
              <w:rPr>
                <w:rFonts w:ascii="Courier New" w:cs="Courier New" w:eastAsia="Courier New" w:hAnsi="Courier New"/>
                <w:sz w:val="15"/>
                <w:szCs w:val="15"/>
                <w:color w:val="auto"/>
              </w:rPr>
              <w:t>Accounts receivable -unbilled</w:t>
            </w:r>
          </w:p>
        </w:tc>
        <w:tc>
          <w:tcPr>
            <w:tcW w:w="600" w:type="dxa"/>
            <w:vAlign w:val="bottom"/>
          </w:tcPr>
          <w:p>
            <w:pPr>
              <w:spacing w:after="0"/>
              <w:rPr>
                <w:sz w:val="15"/>
                <w:szCs w:val="15"/>
                <w:color w:val="auto"/>
              </w:rPr>
            </w:pP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16,086</w:t>
            </w:r>
          </w:p>
        </w:tc>
        <w:tc>
          <w:tcPr>
            <w:tcW w:w="320" w:type="dxa"/>
            <w:vAlign w:val="bottom"/>
          </w:tcPr>
          <w:p>
            <w:pPr>
              <w:spacing w:after="0"/>
              <w:rPr>
                <w:sz w:val="15"/>
                <w:szCs w:val="15"/>
                <w:color w:val="auto"/>
              </w:rPr>
            </w:pPr>
          </w:p>
        </w:tc>
        <w:tc>
          <w:tcPr>
            <w:tcW w:w="10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16,072</w:t>
            </w:r>
          </w:p>
        </w:tc>
      </w:tr>
      <w:tr>
        <w:trPr>
          <w:trHeight w:val="176"/>
        </w:trPr>
        <w:tc>
          <w:tcPr>
            <w:tcW w:w="2960" w:type="dxa"/>
            <w:vAlign w:val="bottom"/>
          </w:tcPr>
          <w:p>
            <w:pPr>
              <w:spacing w:after="0"/>
              <w:rPr>
                <w:sz w:val="20"/>
                <w:szCs w:val="20"/>
                <w:color w:val="auto"/>
              </w:rPr>
            </w:pPr>
            <w:r>
              <w:rPr>
                <w:rFonts w:ascii="Courier New" w:cs="Courier New" w:eastAsia="Courier New" w:hAnsi="Courier New"/>
                <w:sz w:val="15"/>
                <w:szCs w:val="15"/>
                <w:color w:val="auto"/>
              </w:rPr>
              <w:t>Less - allowances</w:t>
            </w:r>
          </w:p>
        </w:tc>
        <w:tc>
          <w:tcPr>
            <w:tcW w:w="600" w:type="dxa"/>
            <w:vAlign w:val="bottom"/>
          </w:tcPr>
          <w:p>
            <w:pPr>
              <w:spacing w:after="0"/>
              <w:rPr>
                <w:sz w:val="15"/>
                <w:szCs w:val="15"/>
                <w:color w:val="auto"/>
              </w:rPr>
            </w:pPr>
          </w:p>
        </w:tc>
        <w:tc>
          <w:tcPr>
            <w:tcW w:w="14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(15,186)</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(18,018)</w:t>
            </w:r>
          </w:p>
        </w:tc>
      </w:tr>
      <w:tr>
        <w:trPr>
          <w:trHeight w:val="176"/>
        </w:trPr>
        <w:tc>
          <w:tcPr>
            <w:tcW w:w="2960" w:type="dxa"/>
            <w:vAlign w:val="bottom"/>
          </w:tcPr>
          <w:p>
            <w:pPr>
              <w:spacing w:after="0"/>
              <w:rPr>
                <w:sz w:val="15"/>
                <w:szCs w:val="15"/>
                <w:color w:val="auto"/>
              </w:rPr>
            </w:pPr>
          </w:p>
        </w:tc>
        <w:tc>
          <w:tcPr>
            <w:tcW w:w="206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960" w:type="dxa"/>
            <w:vAlign w:val="bottom"/>
          </w:tcPr>
          <w:p>
            <w:pPr>
              <w:spacing w:after="0"/>
              <w:rPr>
                <w:sz w:val="20"/>
                <w:szCs w:val="20"/>
                <w:color w:val="auto"/>
              </w:rPr>
            </w:pPr>
            <w:r>
              <w:rPr>
                <w:rFonts w:ascii="Courier New" w:cs="Courier New" w:eastAsia="Courier New" w:hAnsi="Courier New"/>
                <w:sz w:val="15"/>
                <w:szCs w:val="15"/>
                <w:color w:val="auto"/>
              </w:rPr>
              <w:t>Accounts receivable, net</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270,560</w:t>
            </w:r>
          </w:p>
        </w:tc>
        <w:tc>
          <w:tcPr>
            <w:tcW w:w="3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198,274</w:t>
            </w:r>
          </w:p>
        </w:tc>
      </w:tr>
      <w:tr>
        <w:trPr>
          <w:trHeight w:val="176"/>
        </w:trPr>
        <w:tc>
          <w:tcPr>
            <w:tcW w:w="2960" w:type="dxa"/>
            <w:vAlign w:val="bottom"/>
          </w:tcPr>
          <w:p>
            <w:pPr>
              <w:spacing w:after="0"/>
              <w:rPr>
                <w:sz w:val="15"/>
                <w:szCs w:val="15"/>
                <w:color w:val="auto"/>
              </w:rPr>
            </w:pPr>
          </w:p>
        </w:tc>
        <w:tc>
          <w:tcPr>
            <w:tcW w:w="206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366" w:hanging="366"/>
        <w:spacing w:after="0"/>
        <w:tabs>
          <w:tab w:leader="none" w:pos="36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182" w:lineRule="exact"/>
        <w:rPr>
          <w:sz w:val="20"/>
          <w:szCs w:val="20"/>
          <w:color w:val="auto"/>
        </w:rPr>
      </w:pPr>
    </w:p>
    <w:p>
      <w:pPr>
        <w:ind w:left="466" w:right="3280" w:firstLine="366"/>
        <w:spacing w:after="0" w:line="249" w:lineRule="auto"/>
        <w:rPr>
          <w:sz w:val="20"/>
          <w:szCs w:val="20"/>
          <w:color w:val="auto"/>
        </w:rPr>
      </w:pPr>
      <w:r>
        <w:rPr>
          <w:rFonts w:ascii="Courier New" w:cs="Courier New" w:eastAsia="Courier New" w:hAnsi="Courier New"/>
          <w:sz w:val="15"/>
          <w:szCs w:val="15"/>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76" w:lineRule="exact"/>
        <w:rPr>
          <w:sz w:val="20"/>
          <w:szCs w:val="20"/>
          <w:color w:val="auto"/>
        </w:rPr>
      </w:pPr>
    </w:p>
    <w:p>
      <w:pPr>
        <w:ind w:left="466" w:right="3480" w:firstLine="366"/>
        <w:spacing w:after="0" w:line="250" w:lineRule="auto"/>
        <w:rPr>
          <w:sz w:val="20"/>
          <w:szCs w:val="20"/>
          <w:color w:val="auto"/>
        </w:rPr>
      </w:pPr>
      <w:r>
        <w:rPr>
          <w:rFonts w:ascii="Courier New" w:cs="Courier New" w:eastAsia="Courier New" w:hAnsi="Courier New"/>
          <w:sz w:val="15"/>
          <w:szCs w:val="15"/>
          <w:color w:val="auto"/>
        </w:rPr>
        <w:t>The following table sets forth the reconciliation from net income to comprehensive income for the following periods: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646"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560" w:type="dxa"/>
            <w:vAlign w:val="bottom"/>
            <w:gridSpan w:val="3"/>
          </w:tcPr>
          <w:p>
            <w:pPr>
              <w:jc w:val="right"/>
              <w:ind w:right="644"/>
              <w:spacing w:after="0"/>
              <w:rPr>
                <w:sz w:val="20"/>
                <w:szCs w:val="20"/>
                <w:color w:val="auto"/>
              </w:rPr>
            </w:pPr>
            <w:r>
              <w:rPr>
                <w:rFonts w:ascii="Courier New" w:cs="Courier New" w:eastAsia="Courier New" w:hAnsi="Courier New"/>
                <w:sz w:val="15"/>
                <w:szCs w:val="15"/>
                <w:color w:val="auto"/>
              </w:rPr>
              <w:t>Three months ended</w:t>
            </w:r>
          </w:p>
        </w:tc>
        <w:tc>
          <w:tcPr>
            <w:tcW w:w="420" w:type="dxa"/>
            <w:vAlign w:val="bottom"/>
          </w:tcPr>
          <w:p>
            <w:pPr>
              <w:spacing w:after="0"/>
              <w:rPr>
                <w:sz w:val="14"/>
                <w:szCs w:val="14"/>
                <w:color w:val="auto"/>
              </w:rPr>
            </w:pPr>
          </w:p>
        </w:tc>
        <w:tc>
          <w:tcPr>
            <w:tcW w:w="2600" w:type="dxa"/>
            <w:vAlign w:val="bottom"/>
            <w:gridSpan w:val="3"/>
          </w:tcPr>
          <w:p>
            <w:pPr>
              <w:jc w:val="right"/>
              <w:ind w:right="564"/>
              <w:spacing w:after="0"/>
              <w:rPr>
                <w:sz w:val="20"/>
                <w:szCs w:val="20"/>
                <w:color w:val="auto"/>
              </w:rPr>
            </w:pPr>
            <w:r>
              <w:rPr>
                <w:rFonts w:ascii="Courier New" w:cs="Courier New" w:eastAsia="Courier New" w:hAnsi="Courier New"/>
                <w:sz w:val="15"/>
                <w:szCs w:val="15"/>
                <w:color w:val="auto"/>
              </w:rPr>
              <w:t>Nine months ended</w:t>
            </w:r>
          </w:p>
        </w:tc>
      </w:tr>
      <w:tr>
        <w:trPr>
          <w:trHeight w:val="176"/>
        </w:trPr>
        <w:tc>
          <w:tcPr>
            <w:tcW w:w="3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June 30,</w:t>
            </w: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June 30,</w:t>
            </w:r>
          </w:p>
        </w:tc>
        <w:tc>
          <w:tcPr>
            <w:tcW w:w="960" w:type="dxa"/>
            <w:vAlign w:val="bottom"/>
          </w:tcPr>
          <w:p>
            <w:pPr>
              <w:spacing w:after="0"/>
              <w:rPr>
                <w:sz w:val="15"/>
                <w:szCs w:val="15"/>
                <w:color w:val="auto"/>
              </w:rPr>
            </w:pPr>
          </w:p>
        </w:tc>
      </w:tr>
      <w:tr>
        <w:trPr>
          <w:trHeight w:val="176"/>
        </w:trPr>
        <w:tc>
          <w:tcPr>
            <w:tcW w:w="3520" w:type="dxa"/>
            <w:vAlign w:val="bottom"/>
          </w:tcPr>
          <w:p>
            <w:pPr>
              <w:spacing w:after="0"/>
              <w:rPr>
                <w:sz w:val="15"/>
                <w:szCs w:val="15"/>
                <w:color w:val="auto"/>
              </w:rPr>
            </w:pPr>
          </w:p>
        </w:tc>
        <w:tc>
          <w:tcPr>
            <w:tcW w:w="1740" w:type="dxa"/>
            <w:vAlign w:val="bottom"/>
            <w:gridSpan w:val="2"/>
          </w:tcPr>
          <w:p>
            <w:pPr>
              <w:ind w:left="420"/>
              <w:spacing w:after="0"/>
              <w:rPr>
                <w:sz w:val="20"/>
                <w:szCs w:val="20"/>
                <w:color w:val="auto"/>
              </w:rPr>
            </w:pPr>
            <w:r>
              <w:rPr>
                <w:rFonts w:ascii="Courier New" w:cs="Courier New" w:eastAsia="Courier New" w:hAnsi="Courier New"/>
                <w:sz w:val="10"/>
                <w:szCs w:val="10"/>
                <w:color w:val="auto"/>
                <w:w w:val="74"/>
              </w:rPr>
              <w:t>-----------------------------</w:t>
            </w: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2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4"/>
              </w:rPr>
              <w:t>2004</w:t>
            </w:r>
          </w:p>
        </w:tc>
        <w:tc>
          <w:tcPr>
            <w:tcW w:w="500" w:type="dxa"/>
            <w:vAlign w:val="bottom"/>
          </w:tcPr>
          <w:p>
            <w:pPr>
              <w:spacing w:after="0"/>
              <w:rPr>
                <w:sz w:val="15"/>
                <w:szCs w:val="15"/>
                <w:color w:val="auto"/>
              </w:rPr>
            </w:pP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2003</w:t>
            </w:r>
          </w:p>
        </w:tc>
        <w:tc>
          <w:tcPr>
            <w:tcW w:w="420" w:type="dxa"/>
            <w:vAlign w:val="bottom"/>
          </w:tcPr>
          <w:p>
            <w:pPr>
              <w:spacing w:after="0"/>
              <w:rPr>
                <w:sz w:val="15"/>
                <w:szCs w:val="15"/>
                <w:color w:val="auto"/>
              </w:rPr>
            </w:pPr>
          </w:p>
        </w:tc>
        <w:tc>
          <w:tcPr>
            <w:tcW w:w="11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2004</w:t>
            </w:r>
          </w:p>
        </w:tc>
        <w:tc>
          <w:tcPr>
            <w:tcW w:w="460" w:type="dxa"/>
            <w:vAlign w:val="bottom"/>
          </w:tcPr>
          <w:p>
            <w:pPr>
              <w:spacing w:after="0"/>
              <w:rPr>
                <w:sz w:val="15"/>
                <w:szCs w:val="15"/>
                <w:color w:val="auto"/>
              </w:rPr>
            </w:pPr>
          </w:p>
        </w:tc>
        <w:tc>
          <w:tcPr>
            <w:tcW w:w="9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2003</w:t>
            </w:r>
          </w:p>
        </w:tc>
      </w:tr>
      <w:tr>
        <w:trPr>
          <w:trHeight w:val="176"/>
        </w:trPr>
        <w:tc>
          <w:tcPr>
            <w:tcW w:w="3520" w:type="dxa"/>
            <w:vAlign w:val="bottom"/>
          </w:tcPr>
          <w:p>
            <w:pPr>
              <w:spacing w:after="0"/>
              <w:rPr>
                <w:sz w:val="15"/>
                <w:szCs w:val="15"/>
                <w:color w:val="auto"/>
              </w:rPr>
            </w:pPr>
          </w:p>
        </w:tc>
        <w:tc>
          <w:tcPr>
            <w:tcW w:w="17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35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78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59,920</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47,438</w:t>
            </w: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173,278</w:t>
            </w:r>
          </w:p>
        </w:tc>
        <w:tc>
          <w:tcPr>
            <w:tcW w:w="4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125,012</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Other comprehensive income (loss):</w:t>
            </w: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3520" w:type="dxa"/>
            <w:vAlign w:val="bottom"/>
          </w:tcPr>
          <w:p>
            <w:pPr>
              <w:ind w:left="360"/>
              <w:spacing w:after="0"/>
              <w:rPr>
                <w:sz w:val="20"/>
                <w:szCs w:val="20"/>
                <w:color w:val="auto"/>
              </w:rPr>
            </w:pPr>
            <w:r>
              <w:rPr>
                <w:rFonts w:ascii="Courier New" w:cs="Courier New" w:eastAsia="Courier New" w:hAnsi="Courier New"/>
                <w:sz w:val="15"/>
                <w:szCs w:val="15"/>
                <w:color w:val="auto"/>
              </w:rPr>
              <w:t>Unrealized income (loss) on</w:t>
            </w: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3520" w:type="dxa"/>
            <w:vAlign w:val="bottom"/>
          </w:tcPr>
          <w:p>
            <w:pPr>
              <w:ind w:left="460"/>
              <w:spacing w:after="0"/>
              <w:rPr>
                <w:sz w:val="20"/>
                <w:szCs w:val="20"/>
                <w:color w:val="auto"/>
              </w:rPr>
            </w:pPr>
            <w:r>
              <w:rPr>
                <w:rFonts w:ascii="Courier New" w:cs="Courier New" w:eastAsia="Courier New" w:hAnsi="Courier New"/>
                <w:sz w:val="15"/>
                <w:szCs w:val="15"/>
                <w:color w:val="auto"/>
              </w:rPr>
              <w:t>foreign currency hedging</w:t>
            </w: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3520" w:type="dxa"/>
            <w:vAlign w:val="bottom"/>
          </w:tcPr>
          <w:p>
            <w:pPr>
              <w:ind w:left="460"/>
              <w:spacing w:after="0"/>
              <w:rPr>
                <w:sz w:val="20"/>
                <w:szCs w:val="20"/>
                <w:color w:val="auto"/>
              </w:rPr>
            </w:pPr>
            <w:r>
              <w:rPr>
                <w:rFonts w:ascii="Courier New" w:cs="Courier New" w:eastAsia="Courier New" w:hAnsi="Courier New"/>
                <w:sz w:val="15"/>
                <w:szCs w:val="15"/>
                <w:color w:val="auto"/>
              </w:rPr>
              <w:t>contracts, net of tax</w:t>
            </w:r>
          </w:p>
        </w:tc>
        <w:tc>
          <w:tcPr>
            <w:tcW w:w="78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2,716</w:t>
            </w:r>
          </w:p>
        </w:tc>
        <w:tc>
          <w:tcPr>
            <w:tcW w:w="500" w:type="dxa"/>
            <w:vAlign w:val="bottom"/>
          </w:tcPr>
          <w:p>
            <w:pPr>
              <w:spacing w:after="0"/>
              <w:rPr>
                <w:sz w:val="15"/>
                <w:szCs w:val="15"/>
                <w:color w:val="auto"/>
              </w:rPr>
            </w:pPr>
          </w:p>
        </w:tc>
        <w:tc>
          <w:tcPr>
            <w:tcW w:w="11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6,151</w:t>
            </w:r>
          </w:p>
        </w:tc>
        <w:tc>
          <w:tcPr>
            <w:tcW w:w="42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(2,846)</w:t>
            </w:r>
          </w:p>
        </w:tc>
        <w:tc>
          <w:tcPr>
            <w:tcW w:w="46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15,285</w:t>
            </w:r>
          </w:p>
        </w:tc>
      </w:tr>
      <w:tr>
        <w:trPr>
          <w:trHeight w:val="176"/>
        </w:trPr>
        <w:tc>
          <w:tcPr>
            <w:tcW w:w="3520" w:type="dxa"/>
            <w:vAlign w:val="bottom"/>
          </w:tcPr>
          <w:p>
            <w:pPr>
              <w:ind w:left="280"/>
              <w:spacing w:after="0"/>
              <w:rPr>
                <w:sz w:val="20"/>
                <w:szCs w:val="20"/>
                <w:color w:val="auto"/>
              </w:rPr>
            </w:pPr>
            <w:r>
              <w:rPr>
                <w:rFonts w:ascii="Courier New" w:cs="Courier New" w:eastAsia="Courier New" w:hAnsi="Courier New"/>
                <w:sz w:val="15"/>
                <w:szCs w:val="15"/>
                <w:color w:val="auto"/>
              </w:rPr>
              <w:t>Unrealized loss on short-term</w:t>
            </w: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3520" w:type="dxa"/>
            <w:vAlign w:val="bottom"/>
          </w:tcPr>
          <w:p>
            <w:pPr>
              <w:ind w:left="460"/>
              <w:spacing w:after="0"/>
              <w:rPr>
                <w:sz w:val="20"/>
                <w:szCs w:val="20"/>
                <w:color w:val="auto"/>
              </w:rPr>
            </w:pPr>
            <w:r>
              <w:rPr>
                <w:rFonts w:ascii="Courier New" w:cs="Courier New" w:eastAsia="Courier New" w:hAnsi="Courier New"/>
                <w:sz w:val="15"/>
                <w:szCs w:val="15"/>
                <w:color w:val="auto"/>
              </w:rPr>
              <w:t>interest-bearing investments,</w:t>
            </w: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3520" w:type="dxa"/>
            <w:vAlign w:val="bottom"/>
          </w:tcPr>
          <w:p>
            <w:pPr>
              <w:ind w:left="460"/>
              <w:spacing w:after="0"/>
              <w:rPr>
                <w:sz w:val="20"/>
                <w:szCs w:val="20"/>
                <w:color w:val="auto"/>
              </w:rPr>
            </w:pPr>
            <w:r>
              <w:rPr>
                <w:rFonts w:ascii="Courier New" w:cs="Courier New" w:eastAsia="Courier New" w:hAnsi="Courier New"/>
                <w:sz w:val="15"/>
                <w:szCs w:val="15"/>
                <w:color w:val="auto"/>
              </w:rPr>
              <w:t>net of tax</w:t>
            </w:r>
          </w:p>
        </w:tc>
        <w:tc>
          <w:tcPr>
            <w:tcW w:w="7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(1,687)</w:t>
            </w:r>
          </w:p>
        </w:tc>
        <w:tc>
          <w:tcPr>
            <w:tcW w:w="50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(882)</w:t>
            </w:r>
          </w:p>
        </w:tc>
        <w:tc>
          <w:tcPr>
            <w:tcW w:w="42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(1,227)</w:t>
            </w: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(1,931)</w:t>
            </w:r>
          </w:p>
        </w:tc>
      </w:tr>
      <w:tr>
        <w:trPr>
          <w:trHeight w:val="176"/>
        </w:trPr>
        <w:tc>
          <w:tcPr>
            <w:tcW w:w="3520" w:type="dxa"/>
            <w:vAlign w:val="bottom"/>
          </w:tcPr>
          <w:p>
            <w:pPr>
              <w:spacing w:after="0"/>
              <w:rPr>
                <w:sz w:val="15"/>
                <w:szCs w:val="15"/>
                <w:color w:val="auto"/>
              </w:rPr>
            </w:pPr>
          </w:p>
        </w:tc>
        <w:tc>
          <w:tcPr>
            <w:tcW w:w="17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78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60,949</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52,707</w:t>
            </w: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169,205</w:t>
            </w:r>
          </w:p>
        </w:tc>
        <w:tc>
          <w:tcPr>
            <w:tcW w:w="4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138,366</w:t>
            </w:r>
          </w:p>
        </w:tc>
      </w:tr>
      <w:tr>
        <w:trPr>
          <w:trHeight w:val="176"/>
        </w:trPr>
        <w:tc>
          <w:tcPr>
            <w:tcW w:w="3520" w:type="dxa"/>
            <w:vAlign w:val="bottom"/>
          </w:tcPr>
          <w:p>
            <w:pPr>
              <w:spacing w:after="0"/>
              <w:rPr>
                <w:sz w:val="15"/>
                <w:szCs w:val="15"/>
                <w:color w:val="auto"/>
              </w:rPr>
            </w:pPr>
          </w:p>
        </w:tc>
        <w:tc>
          <w:tcPr>
            <w:tcW w:w="17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366" w:hanging="366"/>
        <w:spacing w:after="0"/>
        <w:tabs>
          <w:tab w:leader="none" w:pos="36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82" w:lineRule="exact"/>
        <w:rPr>
          <w:sz w:val="20"/>
          <w:szCs w:val="20"/>
          <w:color w:val="auto"/>
        </w:rPr>
      </w:pPr>
    </w:p>
    <w:p>
      <w:pPr>
        <w:jc w:val="right"/>
        <w:ind w:right="3280"/>
        <w:spacing w:after="0"/>
        <w:rPr>
          <w:sz w:val="20"/>
          <w:szCs w:val="20"/>
          <w:color w:val="auto"/>
        </w:rPr>
      </w:pPr>
      <w:r>
        <w:rPr>
          <w:rFonts w:ascii="Courier New" w:cs="Courier New" w:eastAsia="Courier New" w:hAnsi="Courier New"/>
          <w:sz w:val="15"/>
          <w:szCs w:val="15"/>
          <w:color w:val="auto"/>
        </w:rPr>
        <w:t>The provision for income taxes for the following periods consisted of:</w:t>
      </w:r>
    </w:p>
    <w:p>
      <w:pPr>
        <w:spacing w:after="0" w:line="200" w:lineRule="exact"/>
        <w:rPr>
          <w:sz w:val="20"/>
          <w:szCs w:val="20"/>
          <w:color w:val="auto"/>
        </w:rPr>
      </w:pPr>
    </w:p>
    <w:p>
      <w:pPr>
        <w:spacing w:after="0" w:line="335" w:lineRule="exact"/>
        <w:rPr>
          <w:sz w:val="20"/>
          <w:szCs w:val="20"/>
          <w:color w:val="auto"/>
        </w:rPr>
      </w:pPr>
    </w:p>
    <w:tbl>
      <w:tblPr>
        <w:tblLayout w:type="fixed"/>
        <w:tblInd w:w="646" w:type="dxa"/>
        <w:tblCellMar>
          <w:top w:w="0" w:type="dxa"/>
          <w:left w:w="0" w:type="dxa"/>
          <w:bottom w:w="0" w:type="dxa"/>
          <w:right w:w="0" w:type="dxa"/>
        </w:tblCellMar>
      </w:tblPr>
      <w:tr>
        <w:trPr>
          <w:trHeight w:val="171"/>
        </w:trPr>
        <w:tc>
          <w:tcPr>
            <w:tcW w:w="18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620" w:type="dxa"/>
            <w:vAlign w:val="bottom"/>
            <w:gridSpan w:val="3"/>
          </w:tcPr>
          <w:p>
            <w:pPr>
              <w:jc w:val="right"/>
              <w:ind w:right="704"/>
              <w:spacing w:after="0"/>
              <w:rPr>
                <w:sz w:val="20"/>
                <w:szCs w:val="20"/>
                <w:color w:val="auto"/>
              </w:rPr>
            </w:pPr>
            <w:r>
              <w:rPr>
                <w:rFonts w:ascii="Courier New" w:cs="Courier New" w:eastAsia="Courier New" w:hAnsi="Courier New"/>
                <w:sz w:val="15"/>
                <w:szCs w:val="15"/>
                <w:color w:val="auto"/>
              </w:rPr>
              <w:t>Three months ended</w:t>
            </w:r>
          </w:p>
        </w:tc>
        <w:tc>
          <w:tcPr>
            <w:tcW w:w="460" w:type="dxa"/>
            <w:vAlign w:val="bottom"/>
          </w:tcPr>
          <w:p>
            <w:pPr>
              <w:spacing w:after="0"/>
              <w:rPr>
                <w:sz w:val="14"/>
                <w:szCs w:val="14"/>
                <w:color w:val="auto"/>
              </w:rPr>
            </w:pPr>
          </w:p>
        </w:tc>
        <w:tc>
          <w:tcPr>
            <w:tcW w:w="2500" w:type="dxa"/>
            <w:vAlign w:val="bottom"/>
            <w:gridSpan w:val="3"/>
          </w:tcPr>
          <w:p>
            <w:pPr>
              <w:jc w:val="right"/>
              <w:ind w:right="464"/>
              <w:spacing w:after="0"/>
              <w:rPr>
                <w:sz w:val="20"/>
                <w:szCs w:val="20"/>
                <w:color w:val="auto"/>
              </w:rPr>
            </w:pPr>
            <w:r>
              <w:rPr>
                <w:rFonts w:ascii="Courier New" w:cs="Courier New" w:eastAsia="Courier New" w:hAnsi="Courier New"/>
                <w:sz w:val="15"/>
                <w:szCs w:val="15"/>
                <w:color w:val="auto"/>
              </w:rPr>
              <w:t>Nine months ended</w:t>
            </w:r>
          </w:p>
        </w:tc>
      </w:tr>
      <w:tr>
        <w:trPr>
          <w:trHeight w:val="176"/>
        </w:trPr>
        <w:tc>
          <w:tcPr>
            <w:tcW w:w="18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5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June 30,</w:t>
            </w: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June 30,</w:t>
            </w:r>
          </w:p>
        </w:tc>
        <w:tc>
          <w:tcPr>
            <w:tcW w:w="900" w:type="dxa"/>
            <w:vAlign w:val="bottom"/>
          </w:tcPr>
          <w:p>
            <w:pPr>
              <w:spacing w:after="0"/>
              <w:rPr>
                <w:sz w:val="15"/>
                <w:szCs w:val="15"/>
                <w:color w:val="auto"/>
              </w:rPr>
            </w:pPr>
          </w:p>
        </w:tc>
      </w:tr>
      <w:tr>
        <w:trPr>
          <w:trHeight w:val="176"/>
        </w:trPr>
        <w:tc>
          <w:tcPr>
            <w:tcW w:w="1820" w:type="dxa"/>
            <w:vAlign w:val="bottom"/>
          </w:tcPr>
          <w:p>
            <w:pPr>
              <w:spacing w:after="0"/>
              <w:rPr>
                <w:sz w:val="15"/>
                <w:szCs w:val="15"/>
                <w:color w:val="auto"/>
              </w:rPr>
            </w:pPr>
          </w:p>
        </w:tc>
        <w:tc>
          <w:tcPr>
            <w:tcW w:w="3440" w:type="dxa"/>
            <w:vAlign w:val="bottom"/>
            <w:gridSpan w:val="2"/>
          </w:tcPr>
          <w:p>
            <w:pPr>
              <w:ind w:left="2120"/>
              <w:spacing w:after="0"/>
              <w:rPr>
                <w:sz w:val="20"/>
                <w:szCs w:val="20"/>
                <w:color w:val="auto"/>
              </w:rPr>
            </w:pPr>
            <w:r>
              <w:rPr>
                <w:rFonts w:ascii="Courier New" w:cs="Courier New" w:eastAsia="Courier New" w:hAnsi="Courier New"/>
                <w:sz w:val="10"/>
                <w:szCs w:val="10"/>
                <w:color w:val="auto"/>
                <w:w w:val="72"/>
              </w:rPr>
              <w:t>------------------------------</w:t>
            </w: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9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18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96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4"/>
              </w:rPr>
              <w:t>2004</w:t>
            </w:r>
          </w:p>
        </w:tc>
        <w:tc>
          <w:tcPr>
            <w:tcW w:w="56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2003</w:t>
            </w:r>
          </w:p>
        </w:tc>
        <w:tc>
          <w:tcPr>
            <w:tcW w:w="460" w:type="dxa"/>
            <w:vAlign w:val="bottom"/>
          </w:tcPr>
          <w:p>
            <w:pPr>
              <w:spacing w:after="0"/>
              <w:rPr>
                <w:sz w:val="15"/>
                <w:szCs w:val="15"/>
                <w:color w:val="auto"/>
              </w:rPr>
            </w:pPr>
          </w:p>
        </w:tc>
        <w:tc>
          <w:tcPr>
            <w:tcW w:w="1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2004</w:t>
            </w:r>
          </w:p>
        </w:tc>
        <w:tc>
          <w:tcPr>
            <w:tcW w:w="460" w:type="dxa"/>
            <w:vAlign w:val="bottom"/>
          </w:tcPr>
          <w:p>
            <w:pPr>
              <w:spacing w:after="0"/>
              <w:rPr>
                <w:sz w:val="15"/>
                <w:szCs w:val="15"/>
                <w:color w:val="auto"/>
              </w:rPr>
            </w:pPr>
          </w:p>
        </w:tc>
        <w:tc>
          <w:tcPr>
            <w:tcW w:w="9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2003</w:t>
            </w:r>
          </w:p>
        </w:tc>
      </w:tr>
      <w:tr>
        <w:trPr>
          <w:trHeight w:val="176"/>
        </w:trPr>
        <w:tc>
          <w:tcPr>
            <w:tcW w:w="1820" w:type="dxa"/>
            <w:vAlign w:val="bottom"/>
          </w:tcPr>
          <w:p>
            <w:pPr>
              <w:spacing w:after="0"/>
              <w:rPr>
                <w:sz w:val="15"/>
                <w:szCs w:val="15"/>
                <w:color w:val="auto"/>
              </w:rPr>
            </w:pPr>
          </w:p>
        </w:tc>
        <w:tc>
          <w:tcPr>
            <w:tcW w:w="34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182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2480" w:type="dxa"/>
            <w:vAlign w:val="bottom"/>
          </w:tcPr>
          <w:p>
            <w:pPr>
              <w:ind w:left="21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32,755</w:t>
            </w:r>
          </w:p>
        </w:tc>
        <w:tc>
          <w:tcPr>
            <w:tcW w:w="5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10,571</w:t>
            </w:r>
          </w:p>
        </w:tc>
        <w:tc>
          <w:tcPr>
            <w:tcW w:w="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56,966</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31,115</w:t>
            </w:r>
          </w:p>
        </w:tc>
      </w:tr>
      <w:tr>
        <w:trPr>
          <w:trHeight w:val="176"/>
        </w:trPr>
        <w:tc>
          <w:tcPr>
            <w:tcW w:w="182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24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(15,855)</w:t>
            </w:r>
          </w:p>
        </w:tc>
        <w:tc>
          <w:tcPr>
            <w:tcW w:w="56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5,242</w:t>
            </w:r>
          </w:p>
        </w:tc>
        <w:tc>
          <w:tcPr>
            <w:tcW w:w="460" w:type="dxa"/>
            <w:vAlign w:val="bottom"/>
          </w:tcPr>
          <w:p>
            <w:pPr>
              <w:spacing w:after="0"/>
              <w:rPr>
                <w:sz w:val="15"/>
                <w:szCs w:val="15"/>
                <w:color w:val="auto"/>
              </w:rPr>
            </w:pP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(8,093)</w:t>
            </w:r>
          </w:p>
        </w:tc>
        <w:tc>
          <w:tcPr>
            <w:tcW w:w="4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10,556</w:t>
            </w:r>
          </w:p>
        </w:tc>
      </w:tr>
      <w:tr>
        <w:trPr>
          <w:trHeight w:val="176"/>
        </w:trPr>
        <w:tc>
          <w:tcPr>
            <w:tcW w:w="1820" w:type="dxa"/>
            <w:vAlign w:val="bottom"/>
          </w:tcPr>
          <w:p>
            <w:pPr>
              <w:spacing w:after="0"/>
              <w:rPr>
                <w:sz w:val="15"/>
                <w:szCs w:val="15"/>
                <w:color w:val="auto"/>
              </w:rPr>
            </w:pPr>
          </w:p>
        </w:tc>
        <w:tc>
          <w:tcPr>
            <w:tcW w:w="34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1820" w:type="dxa"/>
            <w:vAlign w:val="bottom"/>
          </w:tcPr>
          <w:p>
            <w:pPr>
              <w:spacing w:after="0"/>
              <w:rPr>
                <w:sz w:val="15"/>
                <w:szCs w:val="15"/>
                <w:color w:val="auto"/>
              </w:rPr>
            </w:pPr>
          </w:p>
        </w:tc>
        <w:tc>
          <w:tcPr>
            <w:tcW w:w="2480" w:type="dxa"/>
            <w:vAlign w:val="bottom"/>
          </w:tcPr>
          <w:p>
            <w:pPr>
              <w:ind w:left="21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16,900</w:t>
            </w:r>
          </w:p>
        </w:tc>
        <w:tc>
          <w:tcPr>
            <w:tcW w:w="5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15,813</w:t>
            </w:r>
          </w:p>
        </w:tc>
        <w:tc>
          <w:tcPr>
            <w:tcW w:w="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48,873</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41,671</w:t>
            </w:r>
          </w:p>
        </w:tc>
      </w:tr>
      <w:tr>
        <w:trPr>
          <w:trHeight w:val="176"/>
        </w:trPr>
        <w:tc>
          <w:tcPr>
            <w:tcW w:w="1820" w:type="dxa"/>
            <w:vAlign w:val="bottom"/>
          </w:tcPr>
          <w:p>
            <w:pPr>
              <w:spacing w:after="0"/>
              <w:rPr>
                <w:sz w:val="15"/>
                <w:szCs w:val="15"/>
                <w:color w:val="auto"/>
              </w:rPr>
            </w:pPr>
          </w:p>
        </w:tc>
        <w:tc>
          <w:tcPr>
            <w:tcW w:w="34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705"/>
        </w:trPr>
        <w:tc>
          <w:tcPr>
            <w:tcW w:w="1820" w:type="dxa"/>
            <w:vAlign w:val="bottom"/>
          </w:tcPr>
          <w:p>
            <w:pPr>
              <w:spacing w:after="0"/>
              <w:rPr>
                <w:sz w:val="24"/>
                <w:szCs w:val="24"/>
                <w:color w:val="auto"/>
              </w:rPr>
            </w:pPr>
          </w:p>
        </w:tc>
        <w:tc>
          <w:tcPr>
            <w:tcW w:w="2480" w:type="dxa"/>
            <w:vAlign w:val="bottom"/>
          </w:tcPr>
          <w:p>
            <w:pPr>
              <w:jc w:val="right"/>
              <w:ind w:right="1208"/>
              <w:spacing w:after="0"/>
              <w:rPr>
                <w:sz w:val="20"/>
                <w:szCs w:val="20"/>
                <w:color w:val="auto"/>
              </w:rPr>
            </w:pPr>
            <w:r>
              <w:rPr>
                <w:rFonts w:ascii="Courier New" w:cs="Courier New" w:eastAsia="Courier New" w:hAnsi="Courier New"/>
                <w:sz w:val="15"/>
                <w:szCs w:val="15"/>
                <w:color w:val="auto"/>
              </w:rPr>
              <w:t>9</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526"/>
          </w:cols>
          <w:pgMar w:left="234" w:top="647" w:right="1139" w:bottom="1440" w:gutter="0" w:footer="0" w:header="0"/>
        </w:sectPr>
      </w:pPr>
    </w:p>
    <w:bookmarkStart w:id="11" w:name="page12"/>
    <w:bookmarkEnd w:id="11"/>
    <w:p>
      <w:pPr>
        <w:jc w:val="center"/>
        <w:ind w:right="3474"/>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3474"/>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359" w:lineRule="exact"/>
        <w:rPr>
          <w:sz w:val="20"/>
          <w:szCs w:val="20"/>
          <w:color w:val="auto"/>
        </w:rPr>
      </w:pPr>
    </w:p>
    <w:p>
      <w:pPr>
        <w:ind w:left="6" w:right="3760" w:firstLine="824"/>
        <w:spacing w:after="0" w:line="250" w:lineRule="auto"/>
        <w:rPr>
          <w:sz w:val="20"/>
          <w:szCs w:val="20"/>
          <w:color w:val="auto"/>
        </w:rPr>
      </w:pPr>
      <w:r>
        <w:rPr>
          <w:rFonts w:ascii="Courier New" w:cs="Courier New" w:eastAsia="Courier New" w:hAnsi="Courier New"/>
          <w:sz w:val="15"/>
          <w:szCs w:val="15"/>
          <w:color w:val="auto"/>
        </w:rPr>
        <w:t>The effective income tax rate varied from the statutory Guernsey tax rate as follows for the following periods:</w:t>
      </w:r>
    </w:p>
    <w:p>
      <w:pPr>
        <w:spacing w:after="0" w:line="200" w:lineRule="exact"/>
        <w:rPr>
          <w:sz w:val="20"/>
          <w:szCs w:val="20"/>
          <w:color w:val="auto"/>
        </w:rPr>
      </w:pPr>
    </w:p>
    <w:p>
      <w:pPr>
        <w:spacing w:after="0" w:line="327" w:lineRule="exact"/>
        <w:rPr>
          <w:sz w:val="20"/>
          <w:szCs w:val="20"/>
          <w:color w:val="auto"/>
        </w:rPr>
      </w:pPr>
    </w:p>
    <w:tbl>
      <w:tblPr>
        <w:tblLayout w:type="fixed"/>
        <w:tblInd w:w="646"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384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Three months ended</w:t>
            </w:r>
          </w:p>
        </w:tc>
        <w:tc>
          <w:tcPr>
            <w:tcW w:w="312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Nine months ended</w:t>
            </w:r>
          </w:p>
        </w:tc>
      </w:tr>
      <w:tr>
        <w:trPr>
          <w:trHeight w:val="176"/>
        </w:trPr>
        <w:tc>
          <w:tcPr>
            <w:tcW w:w="32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0" w:type="dxa"/>
            <w:vAlign w:val="bottom"/>
          </w:tcPr>
          <w:p>
            <w:pPr>
              <w:jc w:val="right"/>
              <w:ind w:right="1204"/>
              <w:spacing w:after="0"/>
              <w:rPr>
                <w:sz w:val="20"/>
                <w:szCs w:val="20"/>
                <w:color w:val="auto"/>
              </w:rPr>
            </w:pPr>
            <w:r>
              <w:rPr>
                <w:rFonts w:ascii="Courier New" w:cs="Courier New" w:eastAsia="Courier New" w:hAnsi="Courier New"/>
                <w:sz w:val="15"/>
                <w:szCs w:val="15"/>
                <w:color w:val="auto"/>
                <w:w w:val="97"/>
              </w:rPr>
              <w:t>June 30,</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1100" w:type="dxa"/>
            <w:vAlign w:val="bottom"/>
          </w:tcPr>
          <w:p>
            <w:pPr>
              <w:spacing w:after="0"/>
              <w:rPr>
                <w:sz w:val="15"/>
                <w:szCs w:val="15"/>
                <w:color w:val="auto"/>
              </w:rPr>
            </w:pPr>
          </w:p>
        </w:tc>
      </w:tr>
      <w:tr>
        <w:trPr>
          <w:trHeight w:val="176"/>
        </w:trPr>
        <w:tc>
          <w:tcPr>
            <w:tcW w:w="3200" w:type="dxa"/>
            <w:vAlign w:val="bottom"/>
          </w:tcPr>
          <w:p>
            <w:pPr>
              <w:spacing w:after="0"/>
              <w:rPr>
                <w:sz w:val="15"/>
                <w:szCs w:val="15"/>
                <w:color w:val="auto"/>
              </w:rPr>
            </w:pPr>
          </w:p>
        </w:tc>
        <w:tc>
          <w:tcPr>
            <w:tcW w:w="38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spacing w:after="0"/>
              <w:rPr>
                <w:sz w:val="15"/>
                <w:szCs w:val="15"/>
                <w:color w:val="auto"/>
              </w:rPr>
            </w:pPr>
          </w:p>
        </w:tc>
        <w:tc>
          <w:tcPr>
            <w:tcW w:w="1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2004</w:t>
            </w:r>
          </w:p>
        </w:tc>
        <w:tc>
          <w:tcPr>
            <w:tcW w:w="20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2003</w:t>
            </w:r>
          </w:p>
        </w:tc>
        <w:tc>
          <w:tcPr>
            <w:tcW w:w="202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2004</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2003</w:t>
            </w:r>
          </w:p>
        </w:tc>
      </w:tr>
      <w:tr>
        <w:trPr>
          <w:trHeight w:val="176"/>
        </w:trPr>
        <w:tc>
          <w:tcPr>
            <w:tcW w:w="320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529"/>
        </w:trPr>
        <w:tc>
          <w:tcPr>
            <w:tcW w:w="3200" w:type="dxa"/>
            <w:vAlign w:val="bottom"/>
          </w:tcPr>
          <w:p>
            <w:pPr>
              <w:spacing w:after="0"/>
              <w:rPr>
                <w:sz w:val="20"/>
                <w:szCs w:val="20"/>
                <w:color w:val="auto"/>
              </w:rPr>
            </w:pPr>
            <w:r>
              <w:rPr>
                <w:rFonts w:ascii="Courier New" w:cs="Courier New" w:eastAsia="Courier New" w:hAnsi="Courier New"/>
                <w:sz w:val="15"/>
                <w:szCs w:val="15"/>
                <w:color w:val="auto"/>
              </w:rPr>
              <w:t>Statutory Guernsey tax rate</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2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w:t>
            </w:r>
          </w:p>
        </w:tc>
        <w:tc>
          <w:tcPr>
            <w:tcW w:w="20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Guernsey tax-exempt status</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2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w:t>
            </w:r>
          </w:p>
        </w:tc>
        <w:tc>
          <w:tcPr>
            <w:tcW w:w="20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Foreign taxes</w:t>
            </w:r>
          </w:p>
        </w:tc>
        <w:tc>
          <w:tcPr>
            <w:tcW w:w="1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w:t>
            </w:r>
          </w:p>
        </w:tc>
        <w:tc>
          <w:tcPr>
            <w:tcW w:w="20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25</w:t>
            </w:r>
          </w:p>
        </w:tc>
        <w:tc>
          <w:tcPr>
            <w:tcW w:w="20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22</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w:t>
            </w:r>
          </w:p>
        </w:tc>
      </w:tr>
      <w:tr>
        <w:trPr>
          <w:trHeight w:val="176"/>
        </w:trPr>
        <w:tc>
          <w:tcPr>
            <w:tcW w:w="320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2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w:t>
            </w:r>
          </w:p>
        </w:tc>
        <w:tc>
          <w:tcPr>
            <w:tcW w:w="20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22%</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w:t>
            </w:r>
          </w:p>
        </w:tc>
      </w:tr>
      <w:tr>
        <w:trPr>
          <w:trHeight w:val="176"/>
        </w:trPr>
        <w:tc>
          <w:tcPr>
            <w:tcW w:w="320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466" w:right="3560" w:firstLine="275"/>
        <w:spacing w:after="0" w:line="249" w:lineRule="auto"/>
        <w:rPr>
          <w:sz w:val="20"/>
          <w:szCs w:val="20"/>
          <w:color w:val="auto"/>
        </w:rPr>
      </w:pPr>
      <w:r>
        <w:rPr>
          <w:rFonts w:ascii="Courier New" w:cs="Courier New" w:eastAsia="Courier New" w:hAnsi="Courier New"/>
          <w:sz w:val="15"/>
          <w:szCs w:val="15"/>
          <w:color w:val="auto"/>
        </w:rPr>
        <w:t>As a Guernsey corporation with tax-exempt status, the Company's overall effective tax rate is attributable solely to foreign taxes and for fiscal year 2004 is expected to approximate 22%.</w:t>
      </w:r>
    </w:p>
    <w:p>
      <w:pPr>
        <w:spacing w:after="0" w:line="176" w:lineRule="exact"/>
        <w:rPr>
          <w:sz w:val="20"/>
          <w:szCs w:val="20"/>
          <w:color w:val="auto"/>
        </w:rPr>
      </w:pPr>
    </w:p>
    <w:p>
      <w:pPr>
        <w:ind w:left="366" w:hanging="366"/>
        <w:spacing w:after="0"/>
        <w:tabs>
          <w:tab w:leader="none" w:pos="36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82" w:lineRule="exact"/>
        <w:rPr>
          <w:sz w:val="20"/>
          <w:szCs w:val="20"/>
          <w:color w:val="auto"/>
        </w:rPr>
      </w:pPr>
    </w:p>
    <w:p>
      <w:pPr>
        <w:ind w:left="6" w:right="4020" w:firstLine="641"/>
        <w:spacing w:after="0" w:line="250" w:lineRule="auto"/>
        <w:rPr>
          <w:sz w:val="20"/>
          <w:szCs w:val="20"/>
          <w:color w:val="auto"/>
        </w:rPr>
      </w:pPr>
      <w:r>
        <w:rPr>
          <w:rFonts w:ascii="Courier New" w:cs="Courier New" w:eastAsia="Courier New" w:hAnsi="Courier New"/>
          <w:sz w:val="15"/>
          <w:szCs w:val="15"/>
          <w:color w:val="auto"/>
        </w:rPr>
        <w:t>The following table sets forth the computation of basic and diluted earnings per share:</w:t>
      </w:r>
    </w:p>
    <w:p>
      <w:pPr>
        <w:spacing w:after="0" w:line="200" w:lineRule="exact"/>
        <w:rPr>
          <w:sz w:val="20"/>
          <w:szCs w:val="20"/>
          <w:color w:val="auto"/>
        </w:rPr>
      </w:pPr>
    </w:p>
    <w:p>
      <w:pPr>
        <w:spacing w:after="0" w:line="327" w:lineRule="exact"/>
        <w:rPr>
          <w:sz w:val="20"/>
          <w:szCs w:val="20"/>
          <w:color w:val="auto"/>
        </w:rPr>
      </w:pPr>
    </w:p>
    <w:tbl>
      <w:tblPr>
        <w:tblLayout w:type="fixed"/>
        <w:tblInd w:w="646"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80" w:type="dxa"/>
            <w:vAlign w:val="bottom"/>
            <w:gridSpan w:val="3"/>
          </w:tcPr>
          <w:p>
            <w:pPr>
              <w:jc w:val="right"/>
              <w:ind w:right="844"/>
              <w:spacing w:after="0"/>
              <w:rPr>
                <w:sz w:val="20"/>
                <w:szCs w:val="20"/>
                <w:color w:val="auto"/>
              </w:rPr>
            </w:pPr>
            <w:r>
              <w:rPr>
                <w:rFonts w:ascii="Courier New" w:cs="Courier New" w:eastAsia="Courier New" w:hAnsi="Courier New"/>
                <w:sz w:val="15"/>
                <w:szCs w:val="15"/>
                <w:color w:val="auto"/>
              </w:rPr>
              <w:t>Three months ended</w:t>
            </w:r>
          </w:p>
        </w:tc>
        <w:tc>
          <w:tcPr>
            <w:tcW w:w="260" w:type="dxa"/>
            <w:vAlign w:val="bottom"/>
          </w:tcPr>
          <w:p>
            <w:pPr>
              <w:spacing w:after="0"/>
              <w:rPr>
                <w:sz w:val="14"/>
                <w:szCs w:val="14"/>
                <w:color w:val="auto"/>
              </w:rPr>
            </w:pPr>
          </w:p>
        </w:tc>
        <w:tc>
          <w:tcPr>
            <w:tcW w:w="2580" w:type="dxa"/>
            <w:vAlign w:val="bottom"/>
            <w:gridSpan w:val="3"/>
          </w:tcPr>
          <w:p>
            <w:pPr>
              <w:jc w:val="right"/>
              <w:ind w:right="484"/>
              <w:spacing w:after="0"/>
              <w:rPr>
                <w:sz w:val="20"/>
                <w:szCs w:val="20"/>
                <w:color w:val="auto"/>
              </w:rPr>
            </w:pPr>
            <w:r>
              <w:rPr>
                <w:rFonts w:ascii="Courier New" w:cs="Courier New" w:eastAsia="Courier New" w:hAnsi="Courier New"/>
                <w:sz w:val="15"/>
                <w:szCs w:val="15"/>
                <w:color w:val="auto"/>
              </w:rPr>
              <w:t>Nine months ended</w:t>
            </w:r>
          </w:p>
        </w:tc>
      </w:tr>
      <w:tr>
        <w:trPr>
          <w:trHeight w:val="176"/>
        </w:trPr>
        <w:tc>
          <w:tcPr>
            <w:tcW w:w="3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June 30,</w:t>
            </w:r>
          </w:p>
        </w:tc>
        <w:tc>
          <w:tcPr>
            <w:tcW w:w="920" w:type="dxa"/>
            <w:vAlign w:val="bottom"/>
          </w:tcPr>
          <w:p>
            <w:pPr>
              <w:spacing w:after="0"/>
              <w:rPr>
                <w:sz w:val="15"/>
                <w:szCs w:val="15"/>
                <w:color w:val="auto"/>
              </w:rPr>
            </w:pPr>
          </w:p>
        </w:tc>
      </w:tr>
      <w:tr>
        <w:trPr>
          <w:trHeight w:val="176"/>
        </w:trPr>
        <w:tc>
          <w:tcPr>
            <w:tcW w:w="3840" w:type="dxa"/>
            <w:vAlign w:val="bottom"/>
          </w:tcPr>
          <w:p>
            <w:pPr>
              <w:spacing w:after="0"/>
              <w:rPr>
                <w:sz w:val="15"/>
                <w:szCs w:val="15"/>
                <w:color w:val="auto"/>
              </w:rPr>
            </w:pPr>
          </w:p>
        </w:tc>
        <w:tc>
          <w:tcPr>
            <w:tcW w:w="340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w:t>
            </w:r>
          </w:p>
        </w:tc>
        <w:tc>
          <w:tcPr>
            <w:tcW w:w="284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w:t>
            </w:r>
          </w:p>
        </w:tc>
      </w:tr>
      <w:tr>
        <w:trPr>
          <w:trHeight w:val="176"/>
        </w:trPr>
        <w:tc>
          <w:tcPr>
            <w:tcW w:w="3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2004</w:t>
            </w:r>
          </w:p>
        </w:tc>
        <w:tc>
          <w:tcPr>
            <w:tcW w:w="100" w:type="dxa"/>
            <w:vAlign w:val="bottom"/>
          </w:tcPr>
          <w:p>
            <w:pPr>
              <w:spacing w:after="0"/>
              <w:rPr>
                <w:sz w:val="15"/>
                <w:szCs w:val="15"/>
                <w:color w:val="auto"/>
              </w:rPr>
            </w:pP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2003</w:t>
            </w:r>
          </w:p>
        </w:tc>
        <w:tc>
          <w:tcPr>
            <w:tcW w:w="2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2004</w:t>
            </w:r>
          </w:p>
        </w:tc>
        <w:tc>
          <w:tcPr>
            <w:tcW w:w="7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2003</w:t>
            </w:r>
          </w:p>
        </w:tc>
      </w:tr>
      <w:tr>
        <w:trPr>
          <w:trHeight w:val="176"/>
        </w:trPr>
        <w:tc>
          <w:tcPr>
            <w:tcW w:w="3840" w:type="dxa"/>
            <w:vAlign w:val="bottom"/>
          </w:tcPr>
          <w:p>
            <w:pPr>
              <w:spacing w:after="0"/>
              <w:rPr>
                <w:sz w:val="15"/>
                <w:szCs w:val="15"/>
                <w:color w:val="auto"/>
              </w:rPr>
            </w:pPr>
          </w:p>
        </w:tc>
        <w:tc>
          <w:tcPr>
            <w:tcW w:w="20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w:t>
            </w:r>
          </w:p>
        </w:tc>
      </w:tr>
      <w:tr>
        <w:trPr>
          <w:trHeight w:val="529"/>
        </w:trPr>
        <w:tc>
          <w:tcPr>
            <w:tcW w:w="384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3840" w:type="dxa"/>
            <w:vAlign w:val="bottom"/>
          </w:tcPr>
          <w:p>
            <w:pPr>
              <w:ind w:left="280"/>
              <w:spacing w:after="0"/>
              <w:rPr>
                <w:sz w:val="20"/>
                <w:szCs w:val="20"/>
                <w:color w:val="auto"/>
              </w:rPr>
            </w:pPr>
            <w:r>
              <w:rPr>
                <w:rFonts w:ascii="Courier New" w:cs="Courier New" w:eastAsia="Courier New" w:hAnsi="Courier New"/>
                <w:sz w:val="15"/>
                <w:szCs w:val="15"/>
                <w:color w:val="auto"/>
              </w:rPr>
              <w:t>Net income</w:t>
            </w:r>
          </w:p>
        </w:tc>
        <w:tc>
          <w:tcPr>
            <w:tcW w:w="4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59,920</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47,438</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173,278</w:t>
            </w:r>
          </w:p>
        </w:tc>
        <w:tc>
          <w:tcPr>
            <w:tcW w:w="740" w:type="dxa"/>
            <w:vAlign w:val="bottom"/>
          </w:tcPr>
          <w:p>
            <w:pPr>
              <w:ind w:left="6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125,012</w:t>
            </w:r>
          </w:p>
        </w:tc>
      </w:tr>
      <w:tr>
        <w:trPr>
          <w:trHeight w:val="176"/>
        </w:trPr>
        <w:tc>
          <w:tcPr>
            <w:tcW w:w="3840" w:type="dxa"/>
            <w:vAlign w:val="bottom"/>
          </w:tcPr>
          <w:p>
            <w:pPr>
              <w:spacing w:after="0"/>
              <w:rPr>
                <w:sz w:val="15"/>
                <w:szCs w:val="15"/>
                <w:color w:val="auto"/>
              </w:rPr>
            </w:pPr>
          </w:p>
        </w:tc>
        <w:tc>
          <w:tcPr>
            <w:tcW w:w="202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84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52"/>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Denominator for basic earnings per</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840" w:type="dxa"/>
            <w:vAlign w:val="bottom"/>
          </w:tcPr>
          <w:p>
            <w:pPr>
              <w:ind w:left="360"/>
              <w:spacing w:after="0"/>
              <w:rPr>
                <w:sz w:val="20"/>
                <w:szCs w:val="20"/>
                <w:color w:val="auto"/>
              </w:rPr>
            </w:pPr>
            <w:r>
              <w:rPr>
                <w:rFonts w:ascii="Courier New" w:cs="Courier New" w:eastAsia="Courier New" w:hAnsi="Courier New"/>
                <w:sz w:val="15"/>
                <w:szCs w:val="15"/>
                <w:color w:val="auto"/>
              </w:rPr>
              <w:t>weighted average number of shares</w:t>
            </w:r>
          </w:p>
        </w:tc>
        <w:tc>
          <w:tcPr>
            <w:tcW w:w="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outstanding (1)</w:t>
            </w:r>
          </w:p>
        </w:tc>
        <w:tc>
          <w:tcPr>
            <w:tcW w:w="420" w:type="dxa"/>
            <w:vAlign w:val="bottom"/>
          </w:tcPr>
          <w:p>
            <w:pPr>
              <w:spacing w:after="0"/>
              <w:rPr>
                <w:sz w:val="15"/>
                <w:szCs w:val="15"/>
                <w:color w:val="auto"/>
              </w:rPr>
            </w:pPr>
          </w:p>
        </w:tc>
        <w:tc>
          <w:tcPr>
            <w:tcW w:w="16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206,093</w:t>
            </w:r>
          </w:p>
        </w:tc>
        <w:tc>
          <w:tcPr>
            <w:tcW w:w="10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215,938</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210,409</w:t>
            </w:r>
          </w:p>
        </w:tc>
        <w:tc>
          <w:tcPr>
            <w:tcW w:w="7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215,786</w:t>
            </w:r>
          </w:p>
        </w:tc>
      </w:tr>
      <w:tr>
        <w:trPr>
          <w:trHeight w:val="352"/>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Effect of dilutive stock options</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granted</w:t>
            </w:r>
          </w:p>
        </w:tc>
        <w:tc>
          <w:tcPr>
            <w:tcW w:w="420" w:type="dxa"/>
            <w:vAlign w:val="bottom"/>
          </w:tcPr>
          <w:p>
            <w:pPr>
              <w:spacing w:after="0"/>
              <w:rPr>
                <w:sz w:val="15"/>
                <w:szCs w:val="15"/>
                <w:color w:val="auto"/>
              </w:rPr>
            </w:pPr>
          </w:p>
        </w:tc>
        <w:tc>
          <w:tcPr>
            <w:tcW w:w="16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5,708</w:t>
            </w:r>
          </w:p>
        </w:tc>
        <w:tc>
          <w:tcPr>
            <w:tcW w:w="10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4,854</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5,777</w:t>
            </w:r>
          </w:p>
        </w:tc>
        <w:tc>
          <w:tcPr>
            <w:tcW w:w="7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3,167</w:t>
            </w:r>
          </w:p>
        </w:tc>
      </w:tr>
      <w:tr>
        <w:trPr>
          <w:trHeight w:val="176"/>
        </w:trPr>
        <w:tc>
          <w:tcPr>
            <w:tcW w:w="3840" w:type="dxa"/>
            <w:vAlign w:val="bottom"/>
          </w:tcPr>
          <w:p>
            <w:pPr>
              <w:spacing w:after="0"/>
              <w:rPr>
                <w:sz w:val="15"/>
                <w:szCs w:val="15"/>
                <w:color w:val="auto"/>
              </w:rPr>
            </w:pPr>
          </w:p>
        </w:tc>
        <w:tc>
          <w:tcPr>
            <w:tcW w:w="202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7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Denominator for diluted earnings per</w:t>
            </w:r>
          </w:p>
        </w:tc>
        <w:tc>
          <w:tcPr>
            <w:tcW w:w="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share -</w:t>
            </w:r>
          </w:p>
        </w:tc>
        <w:tc>
          <w:tcPr>
            <w:tcW w:w="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840" w:type="dxa"/>
            <w:vAlign w:val="bottom"/>
          </w:tcPr>
          <w:p>
            <w:pPr>
              <w:ind w:left="360"/>
              <w:spacing w:after="0"/>
              <w:rPr>
                <w:sz w:val="20"/>
                <w:szCs w:val="20"/>
                <w:color w:val="auto"/>
              </w:rPr>
            </w:pPr>
            <w:r>
              <w:rPr>
                <w:rFonts w:ascii="Courier New" w:cs="Courier New" w:eastAsia="Courier New" w:hAnsi="Courier New"/>
                <w:sz w:val="15"/>
                <w:szCs w:val="15"/>
                <w:color w:val="auto"/>
              </w:rPr>
              <w:t>adjusted weighted average shares and</w:t>
            </w:r>
          </w:p>
        </w:tc>
        <w:tc>
          <w:tcPr>
            <w:tcW w:w="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840" w:type="dxa"/>
            <w:vAlign w:val="bottom"/>
          </w:tcPr>
          <w:p>
            <w:pPr>
              <w:ind w:left="360"/>
              <w:spacing w:after="0"/>
              <w:rPr>
                <w:sz w:val="20"/>
                <w:szCs w:val="20"/>
                <w:color w:val="auto"/>
              </w:rPr>
            </w:pPr>
            <w:r>
              <w:rPr>
                <w:rFonts w:ascii="Courier New" w:cs="Courier New" w:eastAsia="Courier New" w:hAnsi="Courier New"/>
                <w:sz w:val="15"/>
                <w:szCs w:val="15"/>
                <w:color w:val="auto"/>
              </w:rPr>
              <w:t>assumed conversions (1)</w:t>
            </w:r>
          </w:p>
        </w:tc>
        <w:tc>
          <w:tcPr>
            <w:tcW w:w="420" w:type="dxa"/>
            <w:vAlign w:val="bottom"/>
          </w:tcPr>
          <w:p>
            <w:pPr>
              <w:spacing w:after="0"/>
              <w:rPr>
                <w:sz w:val="15"/>
                <w:szCs w:val="15"/>
                <w:color w:val="auto"/>
              </w:rPr>
            </w:pPr>
          </w:p>
        </w:tc>
        <w:tc>
          <w:tcPr>
            <w:tcW w:w="16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211,801</w:t>
            </w:r>
          </w:p>
        </w:tc>
        <w:tc>
          <w:tcPr>
            <w:tcW w:w="10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220,792</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216,186</w:t>
            </w:r>
          </w:p>
        </w:tc>
        <w:tc>
          <w:tcPr>
            <w:tcW w:w="7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218,953</w:t>
            </w:r>
          </w:p>
        </w:tc>
      </w:tr>
      <w:tr>
        <w:trPr>
          <w:trHeight w:val="176"/>
        </w:trPr>
        <w:tc>
          <w:tcPr>
            <w:tcW w:w="3840" w:type="dxa"/>
            <w:vAlign w:val="bottom"/>
          </w:tcPr>
          <w:p>
            <w:pPr>
              <w:spacing w:after="0"/>
              <w:rPr>
                <w:sz w:val="15"/>
                <w:szCs w:val="15"/>
                <w:color w:val="auto"/>
              </w:rPr>
            </w:pPr>
          </w:p>
        </w:tc>
        <w:tc>
          <w:tcPr>
            <w:tcW w:w="202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Basic earnings per share</w:t>
            </w:r>
          </w:p>
        </w:tc>
        <w:tc>
          <w:tcPr>
            <w:tcW w:w="4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0.29</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0.22</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0.82</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0.58</w:t>
            </w:r>
          </w:p>
        </w:tc>
      </w:tr>
      <w:tr>
        <w:trPr>
          <w:trHeight w:val="176"/>
        </w:trPr>
        <w:tc>
          <w:tcPr>
            <w:tcW w:w="3840" w:type="dxa"/>
            <w:vAlign w:val="bottom"/>
          </w:tcPr>
          <w:p>
            <w:pPr>
              <w:spacing w:after="0"/>
              <w:rPr>
                <w:sz w:val="15"/>
                <w:szCs w:val="15"/>
                <w:color w:val="auto"/>
              </w:rPr>
            </w:pPr>
          </w:p>
        </w:tc>
        <w:tc>
          <w:tcPr>
            <w:tcW w:w="202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Diluted earnings per share</w:t>
            </w:r>
          </w:p>
        </w:tc>
        <w:tc>
          <w:tcPr>
            <w:tcW w:w="4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0.28</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0.21</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0.80</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0.57</w:t>
            </w:r>
          </w:p>
        </w:tc>
      </w:tr>
      <w:tr>
        <w:trPr>
          <w:trHeight w:val="176"/>
        </w:trPr>
        <w:tc>
          <w:tcPr>
            <w:tcW w:w="3840" w:type="dxa"/>
            <w:vAlign w:val="bottom"/>
          </w:tcPr>
          <w:p>
            <w:pPr>
              <w:spacing w:after="0"/>
              <w:rPr>
                <w:sz w:val="15"/>
                <w:szCs w:val="15"/>
                <w:color w:val="auto"/>
              </w:rPr>
            </w:pPr>
          </w:p>
        </w:tc>
        <w:tc>
          <w:tcPr>
            <w:tcW w:w="202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1106" w:right="3480" w:hanging="373"/>
        <w:spacing w:after="0" w:line="249" w:lineRule="auto"/>
        <w:tabs>
          <w:tab w:leader="none" w:pos="128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weighted average number of shares outstanding during the three months and nine months ended June 30, 2003 includes exchangeable shares held by shareholders of Amdocs Canada, Inc. (formerly Solect Technology Group Inc. ("Solect")) pursuant to the Company's acquisition of Solect in April 2000, which were exchangeable for the Company's ordinary shares on a one-for-one basis. As of August 2003, none of the exchangeable shares remained outstanding.</w:t>
      </w:r>
    </w:p>
    <w:p>
      <w:pPr>
        <w:spacing w:after="0" w:line="175" w:lineRule="exact"/>
        <w:rPr>
          <w:sz w:val="20"/>
          <w:szCs w:val="20"/>
          <w:color w:val="auto"/>
        </w:rPr>
      </w:pPr>
    </w:p>
    <w:p>
      <w:pPr>
        <w:ind w:left="466" w:right="3480" w:firstLine="366"/>
        <w:spacing w:after="0" w:line="249" w:lineRule="auto"/>
        <w:rPr>
          <w:sz w:val="20"/>
          <w:szCs w:val="20"/>
          <w:color w:val="auto"/>
        </w:rPr>
      </w:pPr>
      <w:r>
        <w:rPr>
          <w:rFonts w:ascii="Courier New" w:cs="Courier New" w:eastAsia="Courier New" w:hAnsi="Courier New"/>
          <w:sz w:val="15"/>
          <w:szCs w:val="15"/>
          <w:color w:val="auto"/>
        </w:rPr>
        <w:t>The effect of the 2% Convertible Notes due June 1, 2008 issued by the Company in May 2001 (the "2% Notes") on diluted earnings per share was anti-dilutive for the three months and nine months ended June 30, 2004 and 2003, and, therefore, was not included in the above calculation. The effect of the 0.50% Convertible Senior Notes due 2024 (the "0.50% Notes") issued by the Company in March 2004 on diluted earnings per share was not included in the above calculation due to the conditions on their conversion (see Note 11). The weighted average effect of the repurchase of ordinary shares by the Company has been included in the calculation of basic earnings per share.</w:t>
      </w:r>
    </w:p>
    <w:p>
      <w:pPr>
        <w:sectPr>
          <w:pgSz w:w="11900" w:h="16838" w:orient="portrait"/>
          <w:cols w:equalWidth="0" w:num="1">
            <w:col w:w="10806"/>
          </w:cols>
          <w:pgMar w:left="234" w:top="823" w:right="859" w:bottom="0" w:gutter="0" w:footer="0" w:header="0"/>
        </w:sectPr>
      </w:pPr>
    </w:p>
    <w:bookmarkStart w:id="12" w:name="page13"/>
    <w:bookmarkEnd w:id="12"/>
    <w:p>
      <w:pPr>
        <w:ind w:left="23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019"/>
          </w:cols>
          <w:pgMar w:left="1440" w:top="494" w:right="1440" w:bottom="1440" w:gutter="0" w:footer="0" w:header="0"/>
        </w:sectPr>
      </w:pPr>
    </w:p>
    <w:bookmarkStart w:id="13" w:name="page14"/>
    <w:bookmarkEnd w:id="13"/>
    <w:p>
      <w:pPr>
        <w:jc w:val="center"/>
        <w:ind w:right="2893"/>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359" w:lineRule="exact"/>
        <w:rPr>
          <w:sz w:val="20"/>
          <w:szCs w:val="20"/>
          <w:color w:val="auto"/>
        </w:rPr>
      </w:pPr>
    </w:p>
    <w:p>
      <w:pPr>
        <w:ind w:left="826" w:right="7559" w:hanging="826"/>
        <w:spacing w:after="0" w:line="497" w:lineRule="auto"/>
        <w:tabs>
          <w:tab w:leader="none" w:pos="4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of Securities Ordinary Shares</w:t>
      </w:r>
    </w:p>
    <w:p>
      <w:pPr>
        <w:spacing w:after="0" w:line="1" w:lineRule="exact"/>
        <w:rPr>
          <w:sz w:val="20"/>
          <w:szCs w:val="20"/>
          <w:color w:val="auto"/>
        </w:rPr>
      </w:pPr>
    </w:p>
    <w:p>
      <w:pPr>
        <w:ind w:left="466" w:right="2899" w:firstLine="366"/>
        <w:spacing w:after="0" w:line="249" w:lineRule="auto"/>
        <w:rPr>
          <w:sz w:val="20"/>
          <w:szCs w:val="20"/>
          <w:color w:val="auto"/>
        </w:rPr>
      </w:pPr>
      <w:r>
        <w:rPr>
          <w:rFonts w:ascii="Courier New" w:cs="Courier New" w:eastAsia="Courier New" w:hAnsi="Courier New"/>
          <w:sz w:val="15"/>
          <w:szCs w:val="15"/>
          <w:color w:val="auto"/>
        </w:rPr>
        <w:t>On November 5, 2003, the Company announced that its board of directors had authorized a share repurchase program of up to 5,000 ordinary shares during fiscal 2004. The authorization permits the Company to purchase ordinary shares in the open market or in privately negotiated transactions and at prices the Company deems appropriate. The Company stated that one of the main purposes of the repurchase program was to offset the dilutive effect of any future share issuances, including issuances pursuant to employee equity plans or in connection with acquisitions. During the three months ended December 31, 2003 the Company repurchased 4,990 ordinary shares under this repurchase program, for an aggregate purchase price of $123,993. No share repurchases under this program were made in the six months ended June 30, 2004.</w:t>
      </w:r>
    </w:p>
    <w:p>
      <w:pPr>
        <w:spacing w:after="0" w:line="175" w:lineRule="exact"/>
        <w:rPr>
          <w:sz w:val="20"/>
          <w:szCs w:val="20"/>
          <w:color w:val="auto"/>
        </w:rPr>
      </w:pPr>
    </w:p>
    <w:p>
      <w:pPr>
        <w:ind w:left="466" w:right="2899" w:firstLine="366"/>
        <w:spacing w:after="0" w:line="249" w:lineRule="auto"/>
        <w:rPr>
          <w:sz w:val="20"/>
          <w:szCs w:val="20"/>
          <w:color w:val="auto"/>
        </w:rPr>
      </w:pPr>
      <w:r>
        <w:rPr>
          <w:rFonts w:ascii="Courier New" w:cs="Courier New" w:eastAsia="Courier New" w:hAnsi="Courier New"/>
          <w:sz w:val="15"/>
          <w:szCs w:val="15"/>
          <w:color w:val="auto"/>
        </w:rPr>
        <w:t>In connection with the Company's acquisition of XACCT Technologies Ltd. (see Note 10), the Company's board of directors approved the repurchase of ordinary shares to offset the dilutive effect of share issuances in the acquisition. The closing of the acquisition occurred in February 2004, and the Company repurchased 484 ordinary shares in February 2004 for an aggregate purchase price of $13,417.</w:t>
      </w:r>
    </w:p>
    <w:p>
      <w:pPr>
        <w:spacing w:after="0" w:line="176" w:lineRule="exact"/>
        <w:rPr>
          <w:sz w:val="20"/>
          <w:szCs w:val="20"/>
          <w:color w:val="auto"/>
        </w:rPr>
      </w:pPr>
    </w:p>
    <w:p>
      <w:pPr>
        <w:ind w:left="466" w:right="2899" w:firstLine="366"/>
        <w:spacing w:after="0" w:line="249" w:lineRule="auto"/>
        <w:rPr>
          <w:sz w:val="20"/>
          <w:szCs w:val="20"/>
          <w:color w:val="auto"/>
        </w:rPr>
      </w:pPr>
      <w:r>
        <w:rPr>
          <w:rFonts w:ascii="Courier New" w:cs="Courier New" w:eastAsia="Courier New" w:hAnsi="Courier New"/>
          <w:sz w:val="15"/>
          <w:szCs w:val="15"/>
          <w:color w:val="auto"/>
        </w:rPr>
        <w:t>In connection with the Company's issuance of the 0.50% Notes (see Note 11), the board of directors approved the repurchase of ordinary shares sold short by purchasers of the 0.50% Notes in negotiated transactions, concurrently with the sale of the notes, to offset the dilutive effect of the ordinary shares issuable upon conversion of the 0.50% Notes. The closing of the sale of the 0.50% Notes occurred in March 2004, and the Company repurchased 6,074 ordinary shares for an aggregate purchase price of $170,061, out of the 10,436 ordinary shares issuable upon conversion of the 0.50% Notes, based on a conversion rate of 23.1911 shares per $1,000 principal amount.</w:t>
      </w:r>
    </w:p>
    <w:p>
      <w:pPr>
        <w:spacing w:after="0" w:line="175" w:lineRule="exact"/>
        <w:rPr>
          <w:sz w:val="20"/>
          <w:szCs w:val="20"/>
          <w:color w:val="auto"/>
        </w:rPr>
      </w:pPr>
    </w:p>
    <w:p>
      <w:pPr>
        <w:ind w:left="466" w:right="2979" w:firstLine="366"/>
        <w:spacing w:after="0" w:line="249" w:lineRule="auto"/>
        <w:rPr>
          <w:sz w:val="20"/>
          <w:szCs w:val="20"/>
          <w:color w:val="auto"/>
        </w:rPr>
      </w:pPr>
      <w:r>
        <w:rPr>
          <w:rFonts w:ascii="Courier New" w:cs="Courier New" w:eastAsia="Courier New" w:hAnsi="Courier New"/>
          <w:sz w:val="15"/>
          <w:szCs w:val="15"/>
          <w:color w:val="auto"/>
        </w:rPr>
        <w:t>On July 28, 2004 the Company announced that its board of directors had extended the Company's share repurchase program by authorizing the repurchase of up to $100,000 of its outstanding ordinary shares. The authorization permits the Company to purchase its ordinary shares in open market or privately negotiated transactions at times and prices considered appropriate by the Company. As of August 10, 2004, the Company had repurchased 2,219 ordinary shares under this repurchase program, for an aggregate purchase price of $46,811.</w:t>
      </w:r>
    </w:p>
    <w:p>
      <w:pPr>
        <w:spacing w:after="0" w:line="175"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Convertible Notes</w:t>
      </w:r>
    </w:p>
    <w:p>
      <w:pPr>
        <w:spacing w:after="0" w:line="182" w:lineRule="exact"/>
        <w:rPr>
          <w:sz w:val="20"/>
          <w:szCs w:val="20"/>
          <w:color w:val="auto"/>
        </w:rPr>
      </w:pPr>
    </w:p>
    <w:p>
      <w:pPr>
        <w:ind w:left="466" w:right="2899" w:firstLine="366"/>
        <w:spacing w:after="0" w:line="249" w:lineRule="auto"/>
        <w:rPr>
          <w:sz w:val="20"/>
          <w:szCs w:val="20"/>
          <w:color w:val="auto"/>
        </w:rPr>
      </w:pPr>
      <w:r>
        <w:rPr>
          <w:rFonts w:ascii="Courier New" w:cs="Courier New" w:eastAsia="Courier New" w:hAnsi="Courier New"/>
          <w:sz w:val="15"/>
          <w:szCs w:val="15"/>
          <w:color w:val="auto"/>
        </w:rPr>
        <w:t>In July 2002, the board of directors authorized the Company to repurchase its outstanding 2% Notes, in such amounts, at such prices and at such times considered appropriate by the Company. During the three months ended December 31, 2003, the Company repurchased $5,000 aggregate principal amount of the 2% Notes for an aggregate purchase price of $4,987. During fiscal 2003 and 2002, the Company repurchased $99,546 aggregate principal amount of the 2% Notes for an aggregate purchase price of $93,087.</w:t>
      </w:r>
    </w:p>
    <w:p>
      <w:pPr>
        <w:spacing w:after="0" w:line="175" w:lineRule="exact"/>
        <w:rPr>
          <w:sz w:val="20"/>
          <w:szCs w:val="20"/>
          <w:color w:val="auto"/>
        </w:rPr>
      </w:pPr>
    </w:p>
    <w:p>
      <w:pPr>
        <w:ind w:left="466" w:right="2899" w:firstLine="366"/>
        <w:spacing w:after="0" w:line="249" w:lineRule="auto"/>
        <w:rPr>
          <w:sz w:val="20"/>
          <w:szCs w:val="20"/>
          <w:color w:val="auto"/>
        </w:rPr>
      </w:pPr>
      <w:r>
        <w:rPr>
          <w:rFonts w:ascii="Courier New" w:cs="Courier New" w:eastAsia="Courier New" w:hAnsi="Courier New"/>
          <w:sz w:val="15"/>
          <w:szCs w:val="15"/>
          <w:color w:val="auto"/>
        </w:rPr>
        <w:t>On June 1, 2004, the Company completed a cash offer for the 2% Notes. Pursuant to the indenture for the 2% Notes, each holder of the 2% Notes had the right to require the Company to repurchase on June 1, 2004 all or any part of such holder's notes at a price equal to 100% of the principal amount plus accrued and unpaid interest. Under the terms of the 2% Notes, the Company had the option to pay for the 2% Notes with cash, ordinary shares, or a combination of cash and ordinary shares. The Company elected to pay for the notes solely with cash. The Company accepted for payment $395,110 principal amount of 2% Notes surrendered for repurchase pursuant to the offer. The untendered $344 principal amount of 2% Notes will remain as obligations of the Company, due June 1, 2008, in accordance with</w:t>
      </w:r>
    </w:p>
    <w:p>
      <w:pPr>
        <w:spacing w:after="0" w:line="351"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5"/>
          </w:cols>
          <w:pgMar w:left="234" w:top="647" w:right="1440" w:bottom="1440" w:gutter="0" w:footer="0" w:header="0"/>
        </w:sectPr>
      </w:pPr>
    </w:p>
    <w:bookmarkStart w:id="14" w:name="page15"/>
    <w:bookmarkEnd w:id="14"/>
    <w:p>
      <w:pPr>
        <w:jc w:val="center"/>
        <w:ind w:right="732"/>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732"/>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82" w:lineRule="exact"/>
        <w:rPr>
          <w:sz w:val="20"/>
          <w:szCs w:val="20"/>
          <w:color w:val="auto"/>
        </w:rPr>
      </w:pPr>
    </w:p>
    <w:p>
      <w:pPr>
        <w:ind w:left="8" w:right="280"/>
        <w:spacing w:after="0" w:line="250" w:lineRule="auto"/>
        <w:rPr>
          <w:sz w:val="20"/>
          <w:szCs w:val="20"/>
          <w:color w:val="auto"/>
        </w:rPr>
      </w:pPr>
      <w:r>
        <w:rPr>
          <w:rFonts w:ascii="Courier New" w:cs="Courier New" w:eastAsia="Courier New" w:hAnsi="Courier New"/>
          <w:sz w:val="15"/>
          <w:szCs w:val="15"/>
          <w:color w:val="auto"/>
        </w:rPr>
        <w:t>their terms, and are included in "Noncurrent liabilities and other" in the accompanying consolidated balance sheet as of June 30, 2004.</w:t>
      </w:r>
    </w:p>
    <w:p>
      <w:pPr>
        <w:spacing w:after="0" w:line="175" w:lineRule="exact"/>
        <w:rPr>
          <w:sz w:val="20"/>
          <w:szCs w:val="20"/>
          <w:color w:val="auto"/>
        </w:rPr>
      </w:pPr>
    </w:p>
    <w:p>
      <w:pPr>
        <w:ind w:left="368" w:right="5680" w:hanging="368"/>
        <w:spacing w:after="0" w:line="497" w:lineRule="auto"/>
        <w:tabs>
          <w:tab w:leader="none" w:pos="36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CERTEN INC.</w:t>
      </w:r>
    </w:p>
    <w:p>
      <w:pPr>
        <w:spacing w:after="0" w:line="1" w:lineRule="exact"/>
        <w:rPr>
          <w:sz w:val="20"/>
          <w:szCs w:val="20"/>
          <w:color w:val="auto"/>
        </w:rPr>
      </w:pPr>
    </w:p>
    <w:p>
      <w:pPr>
        <w:ind w:left="8" w:right="280" w:firstLine="366"/>
        <w:spacing w:after="0" w:line="248" w:lineRule="auto"/>
        <w:rPr>
          <w:sz w:val="20"/>
          <w:szCs w:val="20"/>
          <w:color w:val="auto"/>
        </w:rPr>
      </w:pPr>
      <w:r>
        <w:rPr>
          <w:rFonts w:ascii="Courier New" w:cs="Courier New" w:eastAsia="Courier New" w:hAnsi="Courier New"/>
          <w:sz w:val="15"/>
          <w:szCs w:val="15"/>
          <w:color w:val="auto"/>
        </w:rPr>
        <w:t>On July 2, 2003, the Company acquired from Bell Canada ("Bell") its 90% ownership interest in Certen (renamed Amdocs Canada Managed Services, Inc.) for approximately $66,000 in cash. In addition, the Company had related transaction costs of approximately $3,000. The Company and Bell formed Certen in January 2001 to provide customer care and billing solutions to Bell and a number of Bell's affiliated companies. Prior to this acquisition, the Company owned 10% of Certen. As a result of the acquisition, Certen is now a wholly owned subsidiary of the Company. Since Certen's inception, the Company has provided customer care and billing software required by Certen, including related customization, installation, maintenance and other services. This acquisition expanded the Company's Managed Services offerings and positioned it as a major provider of Managed Services to the communications industry, and was its next logical step in the evolution of its relationship with Bell. In addition, as a result of this acquisition, the Company continued to develop an integrated billing platform to replace legacy systems built on a product-by-product basis. Following the acquisition, Certen continued to provide Managed Services to Bell as it did prior to the acquisition, and the wholly owned subsidiary contributes a positive cash flow to the Company. The acquisition did not affect the Company's liquidity position. The fair market value of Certen's assets and liabilities has been included in the Company's consolidated balance sheet and the results of Certen's operations have been included in the Company's consolidated statements of income, commencing on July 2, 2003.</w:t>
      </w:r>
    </w:p>
    <w:p>
      <w:pPr>
        <w:spacing w:after="0" w:line="366" w:lineRule="exact"/>
        <w:rPr>
          <w:sz w:val="20"/>
          <w:szCs w:val="20"/>
          <w:color w:val="auto"/>
        </w:rPr>
      </w:pPr>
    </w:p>
    <w:p>
      <w:pPr>
        <w:ind w:left="8" w:right="820" w:firstLine="366"/>
        <w:spacing w:after="0" w:line="250" w:lineRule="auto"/>
        <w:rPr>
          <w:sz w:val="20"/>
          <w:szCs w:val="20"/>
          <w:color w:val="auto"/>
        </w:rPr>
      </w:pPr>
      <w:r>
        <w:rPr>
          <w:rFonts w:ascii="Courier New" w:cs="Courier New" w:eastAsia="Courier New" w:hAnsi="Courier New"/>
          <w:sz w:val="15"/>
          <w:szCs w:val="15"/>
          <w:color w:val="auto"/>
        </w:rPr>
        <w:t>The following is the revised allocation of the purchase price and deferred tax liability: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Purchase price</w:t>
      </w:r>
    </w:p>
    <w:p>
      <w:pPr>
        <w:spacing w:after="0" w:line="6" w:lineRule="exact"/>
        <w:rPr>
          <w:sz w:val="20"/>
          <w:szCs w:val="20"/>
          <w:color w:val="auto"/>
        </w:rPr>
      </w:pPr>
    </w:p>
    <w:p>
      <w:pPr>
        <w:ind w:left="828"/>
        <w:spacing w:after="0"/>
        <w:rPr>
          <w:sz w:val="20"/>
          <w:szCs w:val="20"/>
          <w:color w:val="auto"/>
        </w:rPr>
      </w:pPr>
      <w:r>
        <w:rPr>
          <w:rFonts w:ascii="Courier New" w:cs="Courier New" w:eastAsia="Courier New" w:hAnsi="Courier New"/>
          <w:sz w:val="15"/>
          <w:szCs w:val="15"/>
          <w:color w:val="auto"/>
        </w:rPr>
        <w:t>Estimated transaction costs</w:t>
      </w:r>
    </w:p>
    <w:p>
      <w:pPr>
        <w:spacing w:after="0" w:line="182" w:lineRule="exact"/>
        <w:rPr>
          <w:sz w:val="20"/>
          <w:szCs w:val="20"/>
          <w:color w:val="auto"/>
        </w:rPr>
      </w:pPr>
    </w:p>
    <w:p>
      <w:pPr>
        <w:ind w:left="828"/>
        <w:spacing w:after="0"/>
        <w:rPr>
          <w:sz w:val="20"/>
          <w:szCs w:val="20"/>
          <w:color w:val="auto"/>
        </w:rPr>
      </w:pPr>
      <w:r>
        <w:rPr>
          <w:rFonts w:ascii="Courier New" w:cs="Courier New" w:eastAsia="Courier New" w:hAnsi="Courier New"/>
          <w:sz w:val="15"/>
          <w:szCs w:val="15"/>
          <w:color w:val="auto"/>
        </w:rPr>
        <w:t>Total purchase price</w:t>
      </w:r>
    </w:p>
    <w:p>
      <w:pPr>
        <w:spacing w:after="0" w:line="6" w:lineRule="exact"/>
        <w:rPr>
          <w:sz w:val="20"/>
          <w:szCs w:val="20"/>
          <w:color w:val="auto"/>
        </w:rPr>
      </w:pPr>
    </w:p>
    <w:p>
      <w:pPr>
        <w:ind w:left="1008" w:right="180" w:hanging="182"/>
        <w:spacing w:after="0" w:line="250" w:lineRule="auto"/>
        <w:rPr>
          <w:sz w:val="20"/>
          <w:szCs w:val="20"/>
          <w:color w:val="auto"/>
        </w:rPr>
      </w:pPr>
      <w:r>
        <w:rPr>
          <w:rFonts w:ascii="Courier New" w:cs="Courier New" w:eastAsia="Courier New" w:hAnsi="Courier New"/>
          <w:sz w:val="15"/>
          <w:szCs w:val="15"/>
          <w:color w:val="auto"/>
        </w:rPr>
        <w:t>Write-off of deferred revenue and allowance on Amdocs books, net of tax</w:t>
      </w:r>
    </w:p>
    <w:p>
      <w:pPr>
        <w:spacing w:after="0" w:line="175" w:lineRule="exact"/>
        <w:rPr>
          <w:sz w:val="20"/>
          <w:szCs w:val="20"/>
          <w:color w:val="auto"/>
        </w:rPr>
      </w:pPr>
    </w:p>
    <w:p>
      <w:pPr>
        <w:ind w:left="828"/>
        <w:spacing w:after="0"/>
        <w:rPr>
          <w:sz w:val="20"/>
          <w:szCs w:val="20"/>
          <w:color w:val="auto"/>
        </w:rPr>
      </w:pPr>
      <w:r>
        <w:rPr>
          <w:rFonts w:ascii="Courier New" w:cs="Courier New" w:eastAsia="Courier New" w:hAnsi="Courier New"/>
          <w:sz w:val="15"/>
          <w:szCs w:val="15"/>
          <w:color w:val="auto"/>
        </w:rPr>
        <w:t>Net amount for purchase price allocation</w:t>
      </w:r>
    </w:p>
    <w:p>
      <w:pPr>
        <w:spacing w:after="0" w:line="359"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Allocation of purchase price:</w:t>
      </w:r>
    </w:p>
    <w:p>
      <w:pPr>
        <w:spacing w:after="0" w:line="6" w:lineRule="exact"/>
        <w:rPr>
          <w:sz w:val="20"/>
          <w:szCs w:val="20"/>
          <w:color w:val="auto"/>
        </w:rPr>
      </w:pPr>
    </w:p>
    <w:p>
      <w:pPr>
        <w:ind w:left="1008" w:right="360" w:hanging="182"/>
        <w:spacing w:after="0" w:line="248" w:lineRule="auto"/>
        <w:rPr>
          <w:sz w:val="20"/>
          <w:szCs w:val="20"/>
          <w:color w:val="auto"/>
        </w:rPr>
      </w:pPr>
      <w:r>
        <w:rPr>
          <w:rFonts w:ascii="Courier New" w:cs="Courier New" w:eastAsia="Courier New" w:hAnsi="Courier New"/>
          <w:sz w:val="15"/>
          <w:szCs w:val="15"/>
          <w:color w:val="auto"/>
        </w:rPr>
        <w:t>90% tangible assets acquired, net of capitalized Amdocs system on Certen's books</w:t>
      </w:r>
    </w:p>
    <w:p>
      <w:pPr>
        <w:spacing w:after="0" w:line="1" w:lineRule="exact"/>
        <w:rPr>
          <w:sz w:val="20"/>
          <w:szCs w:val="20"/>
          <w:color w:val="auto"/>
        </w:rPr>
      </w:pPr>
    </w:p>
    <w:p>
      <w:pPr>
        <w:ind w:left="828"/>
        <w:spacing w:after="0"/>
        <w:rPr>
          <w:sz w:val="20"/>
          <w:szCs w:val="20"/>
          <w:color w:val="auto"/>
        </w:rPr>
      </w:pPr>
      <w:r>
        <w:rPr>
          <w:rFonts w:ascii="Courier New" w:cs="Courier New" w:eastAsia="Courier New" w:hAnsi="Courier New"/>
          <w:sz w:val="15"/>
          <w:szCs w:val="15"/>
          <w:color w:val="auto"/>
        </w:rPr>
        <w:t>90% liabilities assumed</w:t>
      </w:r>
    </w:p>
    <w:p>
      <w:pPr>
        <w:spacing w:after="0" w:line="182" w:lineRule="exact"/>
        <w:rPr>
          <w:sz w:val="20"/>
          <w:szCs w:val="20"/>
          <w:color w:val="auto"/>
        </w:rPr>
      </w:pPr>
    </w:p>
    <w:p>
      <w:pPr>
        <w:ind w:left="828"/>
        <w:spacing w:after="0"/>
        <w:rPr>
          <w:sz w:val="20"/>
          <w:szCs w:val="20"/>
          <w:color w:val="auto"/>
        </w:rPr>
      </w:pPr>
      <w:r>
        <w:rPr>
          <w:rFonts w:ascii="Courier New" w:cs="Courier New" w:eastAsia="Courier New" w:hAnsi="Courier New"/>
          <w:sz w:val="15"/>
          <w:szCs w:val="15"/>
          <w:color w:val="auto"/>
        </w:rPr>
        <w:t>Net liabilities acquired</w:t>
      </w:r>
    </w:p>
    <w:p>
      <w:pPr>
        <w:spacing w:after="0" w:line="182" w:lineRule="exact"/>
        <w:rPr>
          <w:sz w:val="20"/>
          <w:szCs w:val="20"/>
          <w:color w:val="auto"/>
        </w:rPr>
      </w:pPr>
    </w:p>
    <w:p>
      <w:pPr>
        <w:ind w:left="828"/>
        <w:spacing w:after="0"/>
        <w:rPr>
          <w:sz w:val="20"/>
          <w:szCs w:val="20"/>
          <w:color w:val="auto"/>
        </w:rPr>
      </w:pPr>
      <w:r>
        <w:rPr>
          <w:rFonts w:ascii="Courier New" w:cs="Courier New" w:eastAsia="Courier New" w:hAnsi="Courier New"/>
          <w:sz w:val="15"/>
          <w:szCs w:val="15"/>
          <w:color w:val="auto"/>
        </w:rPr>
        <w:t>Customer arrangement</w:t>
      </w:r>
    </w:p>
    <w:p>
      <w:pPr>
        <w:spacing w:after="0" w:line="6" w:lineRule="exact"/>
        <w:rPr>
          <w:sz w:val="20"/>
          <w:szCs w:val="20"/>
          <w:color w:val="auto"/>
        </w:rPr>
      </w:pPr>
    </w:p>
    <w:p>
      <w:pPr>
        <w:ind w:left="1008" w:hanging="182"/>
        <w:spacing w:after="0" w:line="248" w:lineRule="auto"/>
        <w:rPr>
          <w:sz w:val="20"/>
          <w:szCs w:val="20"/>
          <w:color w:val="auto"/>
        </w:rPr>
      </w:pPr>
      <w:r>
        <w:rPr>
          <w:rFonts w:ascii="Courier New" w:cs="Courier New" w:eastAsia="Courier New" w:hAnsi="Courier New"/>
          <w:sz w:val="15"/>
          <w:szCs w:val="15"/>
          <w:color w:val="auto"/>
        </w:rPr>
        <w:t>Adjustment to fair value of pension and other post-employment benefit liabilities</w:t>
      </w:r>
    </w:p>
    <w:p>
      <w:pPr>
        <w:spacing w:after="0" w:line="1" w:lineRule="exact"/>
        <w:rPr>
          <w:sz w:val="20"/>
          <w:szCs w:val="20"/>
          <w:color w:val="auto"/>
        </w:rPr>
      </w:pPr>
    </w:p>
    <w:p>
      <w:pPr>
        <w:ind w:left="828"/>
        <w:spacing w:after="0"/>
        <w:rPr>
          <w:sz w:val="20"/>
          <w:szCs w:val="20"/>
          <w:color w:val="auto"/>
        </w:rPr>
      </w:pPr>
      <w:r>
        <w:rPr>
          <w:rFonts w:ascii="Courier New" w:cs="Courier New" w:eastAsia="Courier New" w:hAnsi="Courier New"/>
          <w:sz w:val="15"/>
          <w:szCs w:val="15"/>
          <w:color w:val="auto"/>
        </w:rPr>
        <w:t>EITF 95-3 and other liabilities</w:t>
      </w:r>
    </w:p>
    <w:p>
      <w:pPr>
        <w:spacing w:after="0" w:line="6" w:lineRule="exact"/>
        <w:rPr>
          <w:sz w:val="20"/>
          <w:szCs w:val="20"/>
          <w:color w:val="auto"/>
        </w:rPr>
      </w:pPr>
    </w:p>
    <w:p>
      <w:pPr>
        <w:jc w:val="both"/>
        <w:ind w:left="1008" w:right="280" w:hanging="182"/>
        <w:spacing w:after="0" w:line="249" w:lineRule="auto"/>
        <w:rPr>
          <w:sz w:val="20"/>
          <w:szCs w:val="20"/>
          <w:color w:val="auto"/>
        </w:rPr>
      </w:pPr>
      <w:r>
        <w:rPr>
          <w:rFonts w:ascii="Courier New" w:cs="Courier New" w:eastAsia="Courier New" w:hAnsi="Courier New"/>
          <w:sz w:val="15"/>
          <w:szCs w:val="15"/>
          <w:color w:val="auto"/>
        </w:rPr>
        <w:t>Deferred taxes resulting from the difference between the assigned value of certain assets and liabilities and their respective tax bases</w:t>
      </w:r>
    </w:p>
    <w:p>
      <w:pPr>
        <w:spacing w:after="0" w:line="176" w:lineRule="exact"/>
        <w:rPr>
          <w:sz w:val="20"/>
          <w:szCs w:val="20"/>
          <w:color w:val="auto"/>
        </w:rPr>
      </w:pPr>
    </w:p>
    <w:p>
      <w:pPr>
        <w:ind w:left="828"/>
        <w:spacing w:after="0"/>
        <w:rPr>
          <w:sz w:val="20"/>
          <w:szCs w:val="20"/>
          <w:color w:val="auto"/>
        </w:rPr>
      </w:pPr>
      <w:r>
        <w:rPr>
          <w:rFonts w:ascii="Courier New" w:cs="Courier New" w:eastAsia="Courier New" w:hAnsi="Courier New"/>
          <w:sz w:val="15"/>
          <w:szCs w:val="15"/>
          <w:color w:val="auto"/>
        </w:rPr>
        <w:t>Net fair value of liabilities acquired</w:t>
      </w:r>
    </w:p>
    <w:p>
      <w:pPr>
        <w:spacing w:after="0" w:line="6" w:lineRule="exact"/>
        <w:rPr>
          <w:sz w:val="20"/>
          <w:szCs w:val="20"/>
          <w:color w:val="auto"/>
        </w:rPr>
      </w:pPr>
    </w:p>
    <w:p>
      <w:pPr>
        <w:ind w:left="828"/>
        <w:spacing w:after="0"/>
        <w:rPr>
          <w:sz w:val="20"/>
          <w:szCs w:val="20"/>
          <w:color w:val="auto"/>
        </w:rPr>
      </w:pPr>
      <w:r>
        <w:rPr>
          <w:rFonts w:ascii="Courier New" w:cs="Courier New" w:eastAsia="Courier New" w:hAnsi="Courier New"/>
          <w:sz w:val="15"/>
          <w:szCs w:val="15"/>
          <w:color w:val="auto"/>
        </w:rPr>
        <w:t>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108"/>
        <w:spacing w:after="0"/>
        <w:rPr>
          <w:sz w:val="20"/>
          <w:szCs w:val="20"/>
          <w:color w:val="auto"/>
        </w:rPr>
      </w:pPr>
      <w:r>
        <w:rPr>
          <w:rFonts w:ascii="Courier New" w:cs="Courier New" w:eastAsia="Courier New" w:hAnsi="Courier New"/>
          <w:sz w:val="15"/>
          <w:szCs w:val="15"/>
          <w:color w:val="auto"/>
        </w:rPr>
        <w:t>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60" w:hanging="452"/>
        <w:spacing w:after="0"/>
        <w:tabs>
          <w:tab w:leader="none" w:pos="4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65,887</w:t>
      </w:r>
    </w:p>
    <w:p>
      <w:pPr>
        <w:spacing w:after="0" w:line="6" w:lineRule="exact"/>
        <w:rPr>
          <w:rFonts w:ascii="Courier New" w:cs="Courier New" w:eastAsia="Courier New" w:hAnsi="Courier New"/>
          <w:sz w:val="15"/>
          <w:szCs w:val="15"/>
          <w:color w:val="auto"/>
        </w:rPr>
      </w:pPr>
    </w:p>
    <w:p>
      <w:pPr>
        <w:ind w:left="5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2,925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center"/>
        <w:ind w:right="599"/>
        <w:spacing w:after="0"/>
        <w:rPr>
          <w:sz w:val="20"/>
          <w:szCs w:val="20"/>
          <w:color w:val="auto"/>
        </w:rPr>
      </w:pPr>
      <w:r>
        <w:rPr>
          <w:rFonts w:ascii="Courier New" w:cs="Courier New" w:eastAsia="Courier New" w:hAnsi="Courier New"/>
          <w:sz w:val="15"/>
          <w:szCs w:val="15"/>
          <w:color w:val="auto"/>
        </w:rPr>
        <w:t>68,812</w:t>
      </w:r>
    </w:p>
    <w:p>
      <w:pPr>
        <w:spacing w:after="0" w:line="182"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(33,666)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60" w:hanging="452"/>
        <w:spacing w:after="0"/>
        <w:tabs>
          <w:tab w:leader="none" w:pos="4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35,146</w:t>
      </w:r>
    </w:p>
    <w:p>
      <w:pPr>
        <w:spacing w:after="0" w:line="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35" w:lineRule="exact"/>
        <w:rPr>
          <w:sz w:val="20"/>
          <w:szCs w:val="20"/>
          <w:color w:val="auto"/>
        </w:rPr>
      </w:pPr>
    </w:p>
    <w:p>
      <w:pPr>
        <w:ind w:left="460" w:hanging="452"/>
        <w:spacing w:after="0"/>
        <w:tabs>
          <w:tab w:leader="none" w:pos="4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80,929</w:t>
      </w:r>
    </w:p>
    <w:p>
      <w:pPr>
        <w:spacing w:after="0" w:line="6" w:lineRule="exact"/>
        <w:rPr>
          <w:rFonts w:ascii="Courier New" w:cs="Courier New" w:eastAsia="Courier New" w:hAnsi="Courier New"/>
          <w:sz w:val="15"/>
          <w:szCs w:val="15"/>
          <w:color w:val="auto"/>
        </w:rPr>
      </w:pPr>
    </w:p>
    <w:p>
      <w:pPr>
        <w:ind w:left="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(241,460)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right"/>
        <w:ind w:right="979"/>
        <w:spacing w:after="0"/>
        <w:rPr>
          <w:sz w:val="20"/>
          <w:szCs w:val="20"/>
          <w:color w:val="auto"/>
        </w:rPr>
      </w:pPr>
      <w:r>
        <w:rPr>
          <w:rFonts w:ascii="Courier New" w:cs="Courier New" w:eastAsia="Courier New" w:hAnsi="Courier New"/>
          <w:sz w:val="15"/>
          <w:szCs w:val="15"/>
          <w:color w:val="auto"/>
        </w:rPr>
        <w:t>(160,531)</w:t>
      </w:r>
    </w:p>
    <w:p>
      <w:pPr>
        <w:spacing w:after="0" w:line="182" w:lineRule="exact"/>
        <w:rPr>
          <w:sz w:val="20"/>
          <w:szCs w:val="20"/>
          <w:color w:val="auto"/>
        </w:rPr>
      </w:pPr>
    </w:p>
    <w:p>
      <w:pPr>
        <w:jc w:val="center"/>
        <w:ind w:right="599"/>
        <w:spacing w:after="0"/>
        <w:rPr>
          <w:sz w:val="20"/>
          <w:szCs w:val="20"/>
          <w:color w:val="auto"/>
        </w:rPr>
      </w:pPr>
      <w:r>
        <w:rPr>
          <w:rFonts w:ascii="Courier New" w:cs="Courier New" w:eastAsia="Courier New" w:hAnsi="Courier New"/>
          <w:sz w:val="15"/>
          <w:szCs w:val="15"/>
          <w:color w:val="auto"/>
        </w:rPr>
        <w:t>36,385</w:t>
      </w:r>
    </w:p>
    <w:p>
      <w:pPr>
        <w:spacing w:after="0" w:line="182" w:lineRule="exact"/>
        <w:rPr>
          <w:sz w:val="20"/>
          <w:szCs w:val="20"/>
          <w:color w:val="auto"/>
        </w:rPr>
      </w:pPr>
    </w:p>
    <w:p>
      <w:pPr>
        <w:jc w:val="right"/>
        <w:ind w:right="979"/>
        <w:spacing w:after="0"/>
        <w:rPr>
          <w:sz w:val="20"/>
          <w:szCs w:val="20"/>
          <w:color w:val="auto"/>
        </w:rPr>
      </w:pPr>
      <w:r>
        <w:rPr>
          <w:rFonts w:ascii="Courier New" w:cs="Courier New" w:eastAsia="Courier New" w:hAnsi="Courier New"/>
          <w:sz w:val="15"/>
          <w:szCs w:val="15"/>
          <w:color w:val="auto"/>
        </w:rPr>
        <w:t>(12,605)</w:t>
      </w:r>
    </w:p>
    <w:p>
      <w:pPr>
        <w:spacing w:after="0" w:line="6" w:lineRule="exact"/>
        <w:rPr>
          <w:sz w:val="20"/>
          <w:szCs w:val="20"/>
          <w:color w:val="auto"/>
        </w:rPr>
      </w:pPr>
    </w:p>
    <w:p>
      <w:pPr>
        <w:jc w:val="right"/>
        <w:ind w:right="979"/>
        <w:spacing w:after="0"/>
        <w:rPr>
          <w:sz w:val="20"/>
          <w:szCs w:val="20"/>
          <w:color w:val="auto"/>
        </w:rPr>
      </w:pPr>
      <w:r>
        <w:rPr>
          <w:rFonts w:ascii="Courier New" w:cs="Courier New" w:eastAsia="Courier New" w:hAnsi="Courier New"/>
          <w:sz w:val="15"/>
          <w:szCs w:val="15"/>
          <w:color w:val="auto"/>
        </w:rPr>
        <w:t>(2,857)</w:t>
      </w:r>
    </w:p>
    <w:p>
      <w:pPr>
        <w:spacing w:after="0" w:line="359"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73,673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(65,935)</w:t>
      </w:r>
    </w:p>
    <w:p>
      <w:pPr>
        <w:spacing w:after="0" w:line="6"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101,081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60" w:hanging="452"/>
        <w:spacing w:after="0"/>
        <w:tabs>
          <w:tab w:leader="none" w:pos="4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35,146</w:t>
      </w:r>
    </w:p>
    <w:p>
      <w:pPr>
        <w:spacing w:after="0" w:line="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2">
            <w:col w:w="7148" w:space="540"/>
            <w:col w:w="2079"/>
          </w:cols>
          <w:pgMar w:left="692" w:top="470" w:right="1440" w:bottom="1440" w:gutter="0" w:footer="0" w:header="0"/>
        </w:sectPr>
      </w:pPr>
    </w:p>
    <w:bookmarkStart w:id="15" w:name="page16"/>
    <w:bookmarkEnd w:id="15"/>
    <w:p>
      <w:pPr>
        <w:jc w:val="center"/>
        <w:ind w:right="3359"/>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359"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The following table sets forth the unaudited pro forma revenue, operating income, net income and earnings per share figures for the three months and nine months ended June 30, 2003, as if Certen had been acquired as of October 1, 2001:</w:t>
      </w:r>
    </w:p>
    <w:p>
      <w:pPr>
        <w:spacing w:after="0" w:line="200" w:lineRule="exact"/>
        <w:rPr>
          <w:sz w:val="20"/>
          <w:szCs w:val="20"/>
          <w:color w:val="auto"/>
        </w:rPr>
      </w:pPr>
    </w:p>
    <w:p>
      <w:pPr>
        <w:spacing w:after="0" w:line="328" w:lineRule="exact"/>
        <w:rPr>
          <w:sz w:val="20"/>
          <w:szCs w:val="20"/>
          <w:color w:val="auto"/>
        </w:rPr>
      </w:pPr>
    </w:p>
    <w:tbl>
      <w:tblPr>
        <w:tblLayout w:type="fixed"/>
        <w:tblInd w:w="36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1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THREE MONTHS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NINE MONTHS</w:t>
            </w:r>
          </w:p>
        </w:tc>
      </w:tr>
      <w:tr>
        <w:trPr>
          <w:trHeight w:val="176"/>
        </w:trPr>
        <w:tc>
          <w:tcPr>
            <w:tcW w:w="3060" w:type="dxa"/>
            <w:vAlign w:val="bottom"/>
          </w:tcPr>
          <w:p>
            <w:pPr>
              <w:spacing w:after="0"/>
              <w:rPr>
                <w:sz w:val="15"/>
                <w:szCs w:val="15"/>
                <w:color w:val="auto"/>
              </w:rPr>
            </w:pPr>
          </w:p>
        </w:tc>
        <w:tc>
          <w:tcPr>
            <w:tcW w:w="19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ENDED</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ENDED</w:t>
            </w:r>
          </w:p>
        </w:tc>
      </w:tr>
      <w:tr>
        <w:trPr>
          <w:trHeight w:val="176"/>
        </w:trPr>
        <w:tc>
          <w:tcPr>
            <w:tcW w:w="3060" w:type="dxa"/>
            <w:vAlign w:val="bottom"/>
          </w:tcPr>
          <w:p>
            <w:pPr>
              <w:spacing w:after="0"/>
              <w:rPr>
                <w:sz w:val="15"/>
                <w:szCs w:val="15"/>
                <w:color w:val="auto"/>
              </w:rPr>
            </w:pPr>
          </w:p>
        </w:tc>
        <w:tc>
          <w:tcPr>
            <w:tcW w:w="1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060" w:type="dxa"/>
            <w:vAlign w:val="bottom"/>
          </w:tcPr>
          <w:p>
            <w:pPr>
              <w:spacing w:after="0"/>
              <w:rPr>
                <w:sz w:val="15"/>
                <w:szCs w:val="15"/>
                <w:color w:val="auto"/>
              </w:rPr>
            </w:pPr>
          </w:p>
        </w:tc>
        <w:tc>
          <w:tcPr>
            <w:tcW w:w="308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JUNE 30, 2003</w:t>
            </w:r>
          </w:p>
        </w:tc>
      </w:tr>
      <w:tr>
        <w:trPr>
          <w:trHeight w:val="176"/>
        </w:trPr>
        <w:tc>
          <w:tcPr>
            <w:tcW w:w="3060" w:type="dxa"/>
            <w:vAlign w:val="bottom"/>
          </w:tcPr>
          <w:p>
            <w:pPr>
              <w:spacing w:after="0"/>
              <w:rPr>
                <w:sz w:val="15"/>
                <w:szCs w:val="15"/>
                <w:color w:val="auto"/>
              </w:rPr>
            </w:pPr>
          </w:p>
        </w:tc>
        <w:tc>
          <w:tcPr>
            <w:tcW w:w="3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0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9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$ 432,383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$ 1,210,198</w:t>
            </w: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9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51,727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129,381</w:t>
            </w: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9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40,883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104,107</w:t>
            </w: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9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0.19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0.48</w:t>
            </w: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9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0.19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0.48</w:t>
            </w:r>
          </w:p>
        </w:tc>
      </w:tr>
    </w:tbl>
    <w:p>
      <w:pPr>
        <w:spacing w:after="0" w:line="35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XACCT TECHNOLOGIES LIMITED</w:t>
      </w:r>
    </w:p>
    <w:p>
      <w:pPr>
        <w:spacing w:after="0" w:line="182" w:lineRule="exact"/>
        <w:rPr>
          <w:sz w:val="20"/>
          <w:szCs w:val="20"/>
          <w:color w:val="auto"/>
        </w:rPr>
      </w:pPr>
    </w:p>
    <w:p>
      <w:pPr>
        <w:ind w:right="2979" w:firstLine="366"/>
        <w:spacing w:after="0" w:line="248" w:lineRule="auto"/>
        <w:rPr>
          <w:sz w:val="20"/>
          <w:szCs w:val="20"/>
          <w:color w:val="auto"/>
        </w:rPr>
      </w:pPr>
      <w:r>
        <w:rPr>
          <w:rFonts w:ascii="Courier New" w:cs="Courier New" w:eastAsia="Courier New" w:hAnsi="Courier New"/>
          <w:sz w:val="15"/>
          <w:szCs w:val="15"/>
          <w:color w:val="auto"/>
        </w:rPr>
        <w:t>On February 19, 2004, the Company acquired XACCT Technologies Ltd. ("XACCT"), a privately-held provider of mediation software to communications service providers. The Company acquired XACCT's outstanding shares for $28,425, of which $13,286 was paid in cash and the balance in</w:t>
      </w:r>
    </w:p>
    <w:p>
      <w:pPr>
        <w:spacing w:after="0" w:line="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561 of the Company's ordinary shares. In addition, the Company had related transaction costs of approximately $750. This acquisition further expands the scope of the Company's billing capabilities in the network mediation space, enabling the collection, formatting and distribution of network usage events. With this acquisition, the Company achieves the capability to support end-to-end event processing, from network mediation through billing, for voice, data, content and commerce prepaid and postpaid transactions. The Company repurchased 484 ordinary shares in February 2004 to offset the dilutive effect of shares issued in the acquisition. The fair market value of XACCT's assets and liabilities has been included in the Company's balance sheet and the results of XACCT's operations have been included in the Company's consolidated statements of income, commencing on February 19, 2004.</w:t>
      </w:r>
    </w:p>
    <w:p>
      <w:pPr>
        <w:spacing w:after="0" w:line="184" w:lineRule="exact"/>
        <w:rPr>
          <w:sz w:val="20"/>
          <w:szCs w:val="20"/>
          <w:color w:val="auto"/>
        </w:rPr>
      </w:pPr>
    </w:p>
    <w:p>
      <w:pPr>
        <w:ind w:right="3259" w:firstLine="366"/>
        <w:spacing w:after="0" w:line="250" w:lineRule="auto"/>
        <w:rPr>
          <w:sz w:val="20"/>
          <w:szCs w:val="20"/>
          <w:color w:val="auto"/>
        </w:rPr>
      </w:pPr>
      <w:r>
        <w:rPr>
          <w:rFonts w:ascii="Courier New" w:cs="Courier New" w:eastAsia="Courier New" w:hAnsi="Courier New"/>
          <w:sz w:val="15"/>
          <w:szCs w:val="15"/>
          <w:color w:val="auto"/>
        </w:rPr>
        <w:t>The following is the revised preliminary allocation of the purchase price and deferred tax assets:</w:t>
      </w:r>
    </w:p>
    <w:p>
      <w:pPr>
        <w:spacing w:after="0" w:line="351" w:lineRule="exact"/>
        <w:rPr>
          <w:sz w:val="20"/>
          <w:szCs w:val="20"/>
          <w:color w:val="auto"/>
        </w:rPr>
      </w:pPr>
    </w:p>
    <w:tbl>
      <w:tblPr>
        <w:tblLayout w:type="fixed"/>
        <w:tblInd w:w="540" w:type="dxa"/>
        <w:tblCellMar>
          <w:top w:w="0" w:type="dxa"/>
          <w:left w:w="0" w:type="dxa"/>
          <w:bottom w:w="0" w:type="dxa"/>
          <w:right w:w="0" w:type="dxa"/>
        </w:tblCellMar>
      </w:tblPr>
      <w:tr>
        <w:trPr>
          <w:trHeight w:val="171"/>
        </w:trPr>
        <w:tc>
          <w:tcPr>
            <w:tcW w:w="3440" w:type="dxa"/>
            <w:vAlign w:val="bottom"/>
          </w:tcPr>
          <w:p>
            <w:pPr>
              <w:spacing w:after="0"/>
              <w:rPr>
                <w:sz w:val="20"/>
                <w:szCs w:val="20"/>
                <w:color w:val="auto"/>
              </w:rPr>
            </w:pPr>
            <w:r>
              <w:rPr>
                <w:rFonts w:ascii="Courier New" w:cs="Courier New" w:eastAsia="Courier New" w:hAnsi="Courier New"/>
                <w:sz w:val="15"/>
                <w:szCs w:val="15"/>
                <w:color w:val="auto"/>
              </w:rPr>
              <w:t>Net assets acquired</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   551</w:t>
            </w:r>
          </w:p>
        </w:tc>
      </w:tr>
      <w:tr>
        <w:trPr>
          <w:trHeight w:val="176"/>
        </w:trPr>
        <w:tc>
          <w:tcPr>
            <w:tcW w:w="3440" w:type="dxa"/>
            <w:vAlign w:val="bottom"/>
          </w:tcPr>
          <w:p>
            <w:pPr>
              <w:spacing w:after="0"/>
              <w:rPr>
                <w:sz w:val="20"/>
                <w:szCs w:val="20"/>
                <w:color w:val="auto"/>
              </w:rPr>
            </w:pPr>
            <w:r>
              <w:rPr>
                <w:rFonts w:ascii="Courier New" w:cs="Courier New" w:eastAsia="Courier New" w:hAnsi="Courier New"/>
                <w:sz w:val="15"/>
                <w:szCs w:val="15"/>
                <w:color w:val="auto"/>
              </w:rPr>
              <w:t>Technology</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9,209</w:t>
            </w:r>
          </w:p>
        </w:tc>
      </w:tr>
      <w:tr>
        <w:trPr>
          <w:trHeight w:val="176"/>
        </w:trPr>
        <w:tc>
          <w:tcPr>
            <w:tcW w:w="3440" w:type="dxa"/>
            <w:vAlign w:val="bottom"/>
          </w:tcPr>
          <w:p>
            <w:pPr>
              <w:spacing w:after="0"/>
              <w:rPr>
                <w:sz w:val="20"/>
                <w:szCs w:val="20"/>
                <w:color w:val="auto"/>
              </w:rPr>
            </w:pPr>
            <w:r>
              <w:rPr>
                <w:rFonts w:ascii="Courier New" w:cs="Courier New" w:eastAsia="Courier New" w:hAnsi="Courier New"/>
                <w:sz w:val="15"/>
                <w:szCs w:val="15"/>
                <w:color w:val="auto"/>
              </w:rPr>
              <w:t>Customer arrangements</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1,064</w:t>
            </w:r>
          </w:p>
        </w:tc>
      </w:tr>
      <w:tr>
        <w:trPr>
          <w:trHeight w:val="176"/>
        </w:trPr>
        <w:tc>
          <w:tcPr>
            <w:tcW w:w="34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8,164</w:t>
            </w:r>
          </w:p>
        </w:tc>
      </w:tr>
      <w:tr>
        <w:trPr>
          <w:trHeight w:val="176"/>
        </w:trPr>
        <w:tc>
          <w:tcPr>
            <w:tcW w:w="344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10,187</w:t>
            </w:r>
          </w:p>
        </w:tc>
      </w:tr>
      <w:tr>
        <w:trPr>
          <w:trHeight w:val="176"/>
        </w:trPr>
        <w:tc>
          <w:tcPr>
            <w:tcW w:w="344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5480"/>
        <w:spacing w:after="0"/>
        <w:rPr>
          <w:sz w:val="20"/>
          <w:szCs w:val="20"/>
          <w:color w:val="auto"/>
        </w:rPr>
      </w:pPr>
      <w:r>
        <w:rPr>
          <w:rFonts w:ascii="Courier New" w:cs="Courier New" w:eastAsia="Courier New" w:hAnsi="Courier New"/>
          <w:sz w:val="15"/>
          <w:szCs w:val="15"/>
          <w:color w:val="auto"/>
        </w:rPr>
        <w:t>$29,175</w:t>
      </w:r>
    </w:p>
    <w:p>
      <w:pPr>
        <w:spacing w:after="0" w:line="6" w:lineRule="exact"/>
        <w:rPr>
          <w:sz w:val="20"/>
          <w:szCs w:val="20"/>
          <w:color w:val="auto"/>
        </w:rPr>
      </w:pPr>
    </w:p>
    <w:p>
      <w:pPr>
        <w:ind w:left="54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right="3079" w:firstLine="366"/>
        <w:spacing w:after="0" w:line="249" w:lineRule="auto"/>
        <w:rPr>
          <w:sz w:val="20"/>
          <w:szCs w:val="20"/>
          <w:color w:val="auto"/>
        </w:rPr>
      </w:pPr>
      <w:r>
        <w:rPr>
          <w:rFonts w:ascii="Courier New" w:cs="Courier New" w:eastAsia="Courier New" w:hAnsi="Courier New"/>
          <w:sz w:val="15"/>
          <w:szCs w:val="15"/>
          <w:color w:val="auto"/>
        </w:rPr>
        <w:t>Pro forma information on the Company's consolidated results of operations for the nine months and three months ended June 30, 2004 and 2003 to reflect the XACCT acquisition is not presented, as its results of operations during such periods are not material to the Company's consolidated results of operations.</w:t>
      </w:r>
    </w:p>
    <w:p>
      <w:pPr>
        <w:spacing w:after="0" w:line="35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759"/>
          </w:cols>
          <w:pgMar w:left="700" w:top="470" w:right="1440" w:bottom="1440" w:gutter="0" w:footer="0" w:header="0"/>
        </w:sectPr>
      </w:pPr>
    </w:p>
    <w:bookmarkStart w:id="16" w:name="page17"/>
    <w:bookmarkEnd w:id="16"/>
    <w:p>
      <w:pPr>
        <w:jc w:val="center"/>
        <w:ind w:right="2893"/>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359" w:lineRule="exact"/>
        <w:rPr>
          <w:sz w:val="20"/>
          <w:szCs w:val="20"/>
          <w:color w:val="auto"/>
        </w:rPr>
      </w:pPr>
    </w:p>
    <w:p>
      <w:pPr>
        <w:ind w:left="466" w:hanging="466"/>
        <w:spacing w:after="0"/>
        <w:tabs>
          <w:tab w:leader="none" w:pos="46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0.50% Convertible Senior Notes Due 2024</w:t>
      </w:r>
    </w:p>
    <w:p>
      <w:pPr>
        <w:spacing w:after="0" w:line="182" w:lineRule="exact"/>
        <w:rPr>
          <w:sz w:val="20"/>
          <w:szCs w:val="20"/>
          <w:color w:val="auto"/>
        </w:rPr>
      </w:pPr>
    </w:p>
    <w:p>
      <w:pPr>
        <w:ind w:left="466" w:right="2899" w:firstLine="366"/>
        <w:spacing w:after="0" w:line="248" w:lineRule="auto"/>
        <w:rPr>
          <w:sz w:val="20"/>
          <w:szCs w:val="20"/>
          <w:color w:val="auto"/>
        </w:rPr>
      </w:pPr>
      <w:r>
        <w:rPr>
          <w:rFonts w:ascii="Courier New" w:cs="Courier New" w:eastAsia="Courier New" w:hAnsi="Courier New"/>
          <w:sz w:val="15"/>
          <w:szCs w:val="15"/>
          <w:color w:val="auto"/>
        </w:rPr>
        <w:t>In March 2004, the Company issued $450,000 aggregate principal amount of 0.50% Notes. The Company is obligated to pay interest on the 0.50% Notes semi-annually on March 15 and September 15 of each year. The 0.50% Notes are senior unsecured obligations of the Company and rank equal in right of payment with all existing and future senior unsecured indebtedness of the Company. The 0.50% Notes are convertible, at the option of the holders at any time before the maturity date, into ordinary shares of the Company at a conversion rate of 23.1911 shares per one thousand dollars principal amount, representing a conversion price of approximately $43.12 per share, as follows: (i) during any fiscal quarter commencing after March 31, 2004, and only during that quarter if the closing sale price of the Company's ordinary shares exceeds 130% of the conversion price for at least 20 trading days in the 30 consecutive trading days ending on the last trading day of the proceeding fiscal quarter (initially 130% of $43.12, or $56.06);</w:t>
      </w:r>
    </w:p>
    <w:p>
      <w:pPr>
        <w:spacing w:after="0" w:line="8" w:lineRule="exact"/>
        <w:rPr>
          <w:sz w:val="20"/>
          <w:szCs w:val="20"/>
          <w:color w:val="auto"/>
        </w:rPr>
      </w:pPr>
    </w:p>
    <w:p>
      <w:pPr>
        <w:ind w:left="466" w:right="2899" w:hanging="8"/>
        <w:spacing w:after="0" w:line="248" w:lineRule="auto"/>
        <w:tabs>
          <w:tab w:leader="none" w:pos="924"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of specified credit rating events with respect to the notes; (iii) subject to certain exceptions, during the five business day period after any five consecutive trading day period in which the trading price per note for each day of that measurement period was less than 98% of the product of the closing sale price of the Company's ordinary shares and the conversion rate; provided, however, holders may not convert their notes (in reliance on this subsection) if on any trading day during such measurement period the closing sale price of the Company's ordinary shares was between 100% and 130% of the then current conversion price of the notes (initially, between $43.12 and $56.06); (iv) if the notes have been called for redemption, or (v) upon the occurrence of specified corporate events. The 0.50% Notes are subject to redemption at any time on or after March 20, 2009, in whole or in part, at the option of the Company, at a redemption price of 100% of the principal amount plus accrued and unpaid interest, if any, on such redemption date. The 0.50% Notes are subject to repurchase, at the holders' option, on March 15, 2009, 2014 and 2019, at a repurchase price equal to 100% of the principal amount plus accrued and unpaid interest, if any, on such repurchase date. The Company may choose to pay the repurchase price in cash, ordinary shares or a combination of cash and ordinary shares.</w:t>
      </w:r>
    </w:p>
    <w:p>
      <w:pPr>
        <w:spacing w:after="0" w:line="363"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Operational Efficiency and Cost Reduction Programs</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Fiscal Year Ended September 30, 2003</w:t>
      </w:r>
    </w:p>
    <w:p>
      <w:pPr>
        <w:spacing w:after="0" w:line="182" w:lineRule="exact"/>
        <w:rPr>
          <w:sz w:val="20"/>
          <w:szCs w:val="20"/>
          <w:color w:val="auto"/>
        </w:rPr>
      </w:pPr>
    </w:p>
    <w:p>
      <w:pPr>
        <w:ind w:left="466" w:right="2899" w:firstLine="366"/>
        <w:spacing w:after="0" w:line="249" w:lineRule="auto"/>
        <w:rPr>
          <w:sz w:val="20"/>
          <w:szCs w:val="20"/>
          <w:color w:val="auto"/>
        </w:rPr>
      </w:pPr>
      <w:r>
        <w:rPr>
          <w:rFonts w:ascii="Courier New" w:cs="Courier New" w:eastAsia="Courier New" w:hAnsi="Courier New"/>
          <w:sz w:val="15"/>
          <w:szCs w:val="15"/>
          <w:color w:val="auto"/>
        </w:rPr>
        <w:t>In the first quarter of fiscal 2003, the Company implemented a series of measures designed to reduce costs and improve productivity, with targeted quarterly savings of approximately $8,000. As part of this plan, the Company reduced its workforce by approximately 400 employees, representing approximately 4% of the Company's worldwide workforce of 9,000 full-time employees, vacated facilities in different centers around the world and implemented other cost reduction measures, including travel cuts and reduction in other discretionary costs.</w:t>
      </w:r>
    </w:p>
    <w:p>
      <w:pPr>
        <w:spacing w:after="0" w:line="175" w:lineRule="exact"/>
        <w:rPr>
          <w:sz w:val="20"/>
          <w:szCs w:val="20"/>
          <w:color w:val="auto"/>
        </w:rPr>
      </w:pPr>
    </w:p>
    <w:p>
      <w:pPr>
        <w:ind w:left="466" w:right="2979" w:firstLine="366"/>
        <w:spacing w:after="0" w:line="249" w:lineRule="auto"/>
        <w:rPr>
          <w:sz w:val="20"/>
          <w:szCs w:val="20"/>
          <w:color w:val="auto"/>
        </w:rPr>
      </w:pPr>
      <w:r>
        <w:rPr>
          <w:rFonts w:ascii="Courier New" w:cs="Courier New" w:eastAsia="Courier New" w:hAnsi="Courier New"/>
          <w:sz w:val="15"/>
          <w:szCs w:val="15"/>
          <w:color w:val="auto"/>
        </w:rPr>
        <w:t>The restructuring charge associated with these actions and recorded in the first quarter of fiscal 2003 was $9,956. Approximately $5,816 of the total charge was paid in cash as of June 30, 2004. The remainder of the charge, comprised of facility related costs, is expected to be paid out through June 2008.</w:t>
      </w:r>
    </w:p>
    <w:p>
      <w:pPr>
        <w:spacing w:after="0" w:line="176"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Details of $9,956 Restructuring Charge:</w:t>
      </w:r>
    </w:p>
    <w:p>
      <w:pPr>
        <w:spacing w:after="0" w:line="182" w:lineRule="exact"/>
        <w:rPr>
          <w:sz w:val="20"/>
          <w:szCs w:val="20"/>
          <w:color w:val="auto"/>
        </w:rPr>
      </w:pPr>
    </w:p>
    <w:p>
      <w:pPr>
        <w:ind w:left="466" w:right="2899" w:firstLine="366"/>
        <w:spacing w:after="0" w:line="249" w:lineRule="auto"/>
        <w:rPr>
          <w:sz w:val="20"/>
          <w:szCs w:val="20"/>
          <w:color w:val="auto"/>
        </w:rPr>
      </w:pPr>
      <w:r>
        <w:rPr>
          <w:rFonts w:ascii="Courier New" w:cs="Courier New" w:eastAsia="Courier New" w:hAnsi="Courier New"/>
          <w:sz w:val="15"/>
          <w:szCs w:val="15"/>
          <w:color w:val="auto"/>
        </w:rPr>
        <w:t>The Company recorded a charge of $4,011 related to employee separation costs in connection with the termination of employment of software information technology specialists and administrative professionals from various locations around the world. The Company recorded a charge of $4,022 related to facilities, representing rent obligations relating to vacated facilities in Raanana, Israel and St. Louis,</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5"/>
          </w:cols>
          <w:pgMar w:left="234" w:top="823" w:right="1440" w:bottom="1440" w:gutter="0" w:footer="0" w:header="0"/>
        </w:sectPr>
      </w:pPr>
    </w:p>
    <w:bookmarkStart w:id="17" w:name="page18"/>
    <w:bookmarkEnd w:id="17"/>
    <w:p>
      <w:pPr>
        <w:jc w:val="center"/>
        <w:ind w:right="460"/>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46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82" w:lineRule="exact"/>
        <w:rPr>
          <w:sz w:val="20"/>
          <w:szCs w:val="20"/>
          <w:color w:val="auto"/>
        </w:rPr>
      </w:pPr>
    </w:p>
    <w:p>
      <w:pPr>
        <w:jc w:val="both"/>
        <w:spacing w:after="0" w:line="249" w:lineRule="auto"/>
        <w:rPr>
          <w:sz w:val="20"/>
          <w:szCs w:val="20"/>
          <w:color w:val="auto"/>
        </w:rPr>
      </w:pPr>
      <w:r>
        <w:rPr>
          <w:rFonts w:ascii="Courier New" w:cs="Courier New" w:eastAsia="Courier New" w:hAnsi="Courier New"/>
          <w:sz w:val="15"/>
          <w:szCs w:val="15"/>
          <w:color w:val="auto"/>
        </w:rPr>
        <w:t>Missouri. The Company also recorded a provision of $1,829 for asset write-offs, principally for leasehold improvements in Raanana, Israel and St. Louis, Missouri that were abandoned.</w:t>
      </w:r>
    </w:p>
    <w:p>
      <w:pPr>
        <w:spacing w:after="0" w:line="176" w:lineRule="exact"/>
        <w:rPr>
          <w:sz w:val="20"/>
          <w:szCs w:val="20"/>
          <w:color w:val="auto"/>
        </w:rPr>
      </w:pPr>
    </w:p>
    <w:p>
      <w:pPr>
        <w:ind w:right="180" w:firstLine="366"/>
        <w:spacing w:after="0" w:line="250" w:lineRule="auto"/>
        <w:rPr>
          <w:sz w:val="20"/>
          <w:szCs w:val="20"/>
          <w:color w:val="auto"/>
        </w:rPr>
      </w:pPr>
      <w:r>
        <w:rPr>
          <w:rFonts w:ascii="Courier New" w:cs="Courier New" w:eastAsia="Courier New" w:hAnsi="Courier New"/>
          <w:sz w:val="15"/>
          <w:szCs w:val="15"/>
          <w:color w:val="auto"/>
        </w:rPr>
        <w:t>The first quarter of fiscal 2003 restructuring charge is comprised of the following as of June 30, 2004:</w:t>
      </w:r>
    </w:p>
    <w:p>
      <w:pPr>
        <w:spacing w:after="0" w:line="200" w:lineRule="exact"/>
        <w:rPr>
          <w:sz w:val="20"/>
          <w:szCs w:val="20"/>
          <w:color w:val="auto"/>
        </w:rPr>
      </w:pPr>
    </w:p>
    <w:p>
      <w:pPr>
        <w:spacing w:after="0" w:line="327"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EMPLOYEE</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6"/>
        </w:trPr>
        <w:tc>
          <w:tcPr>
            <w:tcW w:w="2740" w:type="dxa"/>
            <w:vAlign w:val="bottom"/>
          </w:tcPr>
          <w:p>
            <w:pPr>
              <w:spacing w:after="0"/>
              <w:rPr>
                <w:sz w:val="15"/>
                <w:szCs w:val="15"/>
                <w:color w:val="auto"/>
              </w:rPr>
            </w:pP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SEPARATION</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ASSET</w:t>
            </w:r>
          </w:p>
        </w:tc>
      </w:tr>
      <w:tr>
        <w:trPr>
          <w:trHeight w:val="176"/>
        </w:trPr>
        <w:tc>
          <w:tcPr>
            <w:tcW w:w="2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COSTS</w:t>
            </w:r>
          </w:p>
        </w:tc>
        <w:tc>
          <w:tcPr>
            <w:tcW w:w="28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7"/>
              </w:rPr>
              <w:t>FACILITIES</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WRITE-OFFS</w:t>
            </w:r>
          </w:p>
        </w:tc>
      </w:tr>
      <w:tr>
        <w:trPr>
          <w:trHeight w:val="176"/>
        </w:trPr>
        <w:tc>
          <w:tcPr>
            <w:tcW w:w="2740" w:type="dxa"/>
            <w:vAlign w:val="bottom"/>
          </w:tcPr>
          <w:p>
            <w:pPr>
              <w:spacing w:after="0"/>
              <w:rPr>
                <w:sz w:val="15"/>
                <w:szCs w:val="15"/>
                <w:color w:val="auto"/>
              </w:rPr>
            </w:pPr>
          </w:p>
        </w:tc>
        <w:tc>
          <w:tcPr>
            <w:tcW w:w="13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w:t>
            </w:r>
          </w:p>
        </w:tc>
      </w:tr>
      <w:tr>
        <w:trPr>
          <w:trHeight w:val="352"/>
        </w:trPr>
        <w:tc>
          <w:tcPr>
            <w:tcW w:w="2740" w:type="dxa"/>
            <w:vAlign w:val="bottom"/>
          </w:tcPr>
          <w:p>
            <w:pPr>
              <w:spacing w:after="0"/>
              <w:rPr>
                <w:sz w:val="20"/>
                <w:szCs w:val="20"/>
                <w:color w:val="auto"/>
              </w:rPr>
            </w:pPr>
            <w:r>
              <w:rPr>
                <w:rFonts w:ascii="Courier New" w:cs="Courier New" w:eastAsia="Courier New" w:hAnsi="Courier New"/>
                <w:sz w:val="15"/>
                <w:szCs w:val="15"/>
                <w:color w:val="auto"/>
              </w:rPr>
              <w:t>Balance as of October 1,</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2740" w:type="dxa"/>
            <w:vAlign w:val="bottom"/>
          </w:tcPr>
          <w:p>
            <w:pPr>
              <w:ind w:left="280"/>
              <w:spacing w:after="0"/>
              <w:rPr>
                <w:sz w:val="20"/>
                <w:szCs w:val="20"/>
                <w:color w:val="auto"/>
              </w:rPr>
            </w:pPr>
            <w:r>
              <w:rPr>
                <w:rFonts w:ascii="Courier New" w:cs="Courier New" w:eastAsia="Courier New" w:hAnsi="Courier New"/>
                <w:sz w:val="15"/>
                <w:szCs w:val="15"/>
                <w:color w:val="auto"/>
              </w:rPr>
              <w:t>2002</w:t>
            </w:r>
          </w:p>
        </w:tc>
        <w:tc>
          <w:tcPr>
            <w:tcW w:w="4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Charges</w:t>
            </w:r>
          </w:p>
        </w:tc>
        <w:tc>
          <w:tcPr>
            <w:tcW w:w="42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4,011</w:t>
            </w:r>
          </w:p>
        </w:tc>
        <w:tc>
          <w:tcPr>
            <w:tcW w:w="28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4,022</w:t>
            </w:r>
          </w:p>
        </w:tc>
        <w:tc>
          <w:tcPr>
            <w:tcW w:w="2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1,829</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Cash payments</w:t>
            </w:r>
          </w:p>
        </w:tc>
        <w:tc>
          <w:tcPr>
            <w:tcW w:w="42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(3,890)</w:t>
            </w:r>
          </w:p>
        </w:tc>
        <w:tc>
          <w:tcPr>
            <w:tcW w:w="28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(467)</w:t>
            </w:r>
          </w:p>
        </w:tc>
        <w:tc>
          <w:tcPr>
            <w:tcW w:w="2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Non cash</w:t>
            </w:r>
          </w:p>
        </w:tc>
        <w:tc>
          <w:tcPr>
            <w:tcW w:w="42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(1,829)</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42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38</w:t>
            </w:r>
          </w:p>
        </w:tc>
        <w:tc>
          <w:tcPr>
            <w:tcW w:w="28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(453)</w:t>
            </w:r>
          </w:p>
        </w:tc>
        <w:tc>
          <w:tcPr>
            <w:tcW w:w="2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15"/>
                <w:szCs w:val="15"/>
                <w:color w:val="auto"/>
              </w:rPr>
            </w:pP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Balance as of September 30,</w:t>
            </w: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2740" w:type="dxa"/>
            <w:vAlign w:val="bottom"/>
          </w:tcPr>
          <w:p>
            <w:pPr>
              <w:ind w:left="280"/>
              <w:spacing w:after="0"/>
              <w:rPr>
                <w:sz w:val="20"/>
                <w:szCs w:val="20"/>
                <w:color w:val="auto"/>
              </w:rPr>
            </w:pPr>
            <w:r>
              <w:rPr>
                <w:rFonts w:ascii="Courier New" w:cs="Courier New" w:eastAsia="Courier New" w:hAnsi="Courier New"/>
                <w:sz w:val="15"/>
                <w:szCs w:val="15"/>
                <w:color w:val="auto"/>
              </w:rPr>
              <w:t>2003</w:t>
            </w:r>
          </w:p>
        </w:tc>
        <w:tc>
          <w:tcPr>
            <w:tcW w:w="42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159</w:t>
            </w:r>
          </w:p>
        </w:tc>
        <w:tc>
          <w:tcPr>
            <w:tcW w:w="28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3,102</w:t>
            </w:r>
          </w:p>
        </w:tc>
        <w:tc>
          <w:tcPr>
            <w:tcW w:w="2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Cash payments</w:t>
            </w:r>
          </w:p>
        </w:tc>
        <w:tc>
          <w:tcPr>
            <w:tcW w:w="42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(167)</w:t>
            </w:r>
          </w:p>
        </w:tc>
        <w:tc>
          <w:tcPr>
            <w:tcW w:w="28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(1,198)</w:t>
            </w:r>
          </w:p>
        </w:tc>
        <w:tc>
          <w:tcPr>
            <w:tcW w:w="2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42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w:t>
            </w:r>
          </w:p>
        </w:tc>
        <w:tc>
          <w:tcPr>
            <w:tcW w:w="28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15"/>
                <w:szCs w:val="15"/>
                <w:color w:val="auto"/>
              </w:rPr>
            </w:pP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Balance as of June 30, 2004</w:t>
            </w:r>
          </w:p>
        </w:tc>
        <w:tc>
          <w:tcPr>
            <w:tcW w:w="4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1,904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15"/>
                <w:szCs w:val="15"/>
                <w:color w:val="auto"/>
              </w:rPr>
            </w:pP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80" w:firstLine="366"/>
        <w:spacing w:after="0" w:line="249" w:lineRule="auto"/>
        <w:rPr>
          <w:sz w:val="20"/>
          <w:szCs w:val="20"/>
          <w:color w:val="auto"/>
        </w:rPr>
      </w:pPr>
      <w:r>
        <w:rPr>
          <w:rFonts w:ascii="Courier New" w:cs="Courier New" w:eastAsia="Courier New" w:hAnsi="Courier New"/>
          <w:sz w:val="15"/>
          <w:szCs w:val="15"/>
          <w:color w:val="auto"/>
        </w:rPr>
        <w:t>The financial savings of these actions, of approximately $8,000 quarterly commencing in the second quarter of 2003, is reflected as a reduction in operating expense. These cost savings may not be permanent as increased activity levels resulting from, among other factors, acquisitions, new Managed Services agreements and increased revenue, may require an increase in headcount and other increased spending.</w:t>
      </w:r>
    </w:p>
    <w:p>
      <w:pPr>
        <w:spacing w:after="0" w:line="17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Fiscal Year Ended September 30, 2002</w:t>
      </w:r>
    </w:p>
    <w:p>
      <w:pPr>
        <w:spacing w:after="0" w:line="182" w:lineRule="exact"/>
        <w:rPr>
          <w:sz w:val="20"/>
          <w:szCs w:val="20"/>
          <w:color w:val="auto"/>
        </w:rPr>
      </w:pPr>
    </w:p>
    <w:p>
      <w:pPr>
        <w:ind w:right="80" w:firstLine="366"/>
        <w:spacing w:after="0" w:line="249" w:lineRule="auto"/>
        <w:rPr>
          <w:sz w:val="20"/>
          <w:szCs w:val="20"/>
          <w:color w:val="auto"/>
        </w:rPr>
      </w:pPr>
      <w:r>
        <w:rPr>
          <w:rFonts w:ascii="Courier New" w:cs="Courier New" w:eastAsia="Courier New" w:hAnsi="Courier New"/>
          <w:sz w:val="15"/>
          <w:szCs w:val="15"/>
          <w:color w:val="auto"/>
        </w:rPr>
        <w:t>In the fourth quarter of fiscal 2002, the Company implemented a cost reduction program targeted to reduce costs by approximately $30,000 quarterly in response to a decline of the forecasted revenue for the third and fourth quarters of fiscal 2002. The decline resulted from, among other factors, slowdowns in customer buying decisions in the third quarter of fiscal 2002, stemming from overall reductions in the capital investment budgets of many communications service providers, leading to fewer new contracts than expected, as well as from smaller than expected initial spending commitments and reduced discretionary spending under contracts with some customers.</w:t>
      </w:r>
    </w:p>
    <w:p>
      <w:pPr>
        <w:spacing w:after="0" w:line="175" w:lineRule="exact"/>
        <w:rPr>
          <w:sz w:val="20"/>
          <w:szCs w:val="20"/>
          <w:color w:val="auto"/>
        </w:rPr>
      </w:pPr>
    </w:p>
    <w:p>
      <w:pPr>
        <w:ind w:firstLine="366"/>
        <w:spacing w:after="0" w:line="249" w:lineRule="auto"/>
        <w:rPr>
          <w:sz w:val="20"/>
          <w:szCs w:val="20"/>
          <w:color w:val="auto"/>
        </w:rPr>
      </w:pPr>
      <w:r>
        <w:rPr>
          <w:rFonts w:ascii="Courier New" w:cs="Courier New" w:eastAsia="Courier New" w:hAnsi="Courier New"/>
          <w:sz w:val="15"/>
          <w:szCs w:val="15"/>
          <w:color w:val="auto"/>
        </w:rPr>
        <w:t>The restructuring charge associated with these actions and recorded in the fourth quarter of fiscal 2002 was $20,919. Approximately $16,957 of the total charge was paid in cash as of June 30, 2004. The remainder of the charge, comprised of facility related costs, is expected to be paid out through April 2012.</w:t>
      </w:r>
    </w:p>
    <w:p>
      <w:pPr>
        <w:spacing w:after="0" w:line="17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Details of $20,919 Restructuring Charge:</w:t>
      </w:r>
    </w:p>
    <w:p>
      <w:pPr>
        <w:spacing w:after="0" w:line="182" w:lineRule="exact"/>
        <w:rPr>
          <w:sz w:val="20"/>
          <w:szCs w:val="20"/>
          <w:color w:val="auto"/>
        </w:rPr>
      </w:pPr>
    </w:p>
    <w:p>
      <w:pPr>
        <w:ind w:firstLine="366"/>
        <w:spacing w:after="0" w:line="249" w:lineRule="auto"/>
        <w:rPr>
          <w:sz w:val="20"/>
          <w:szCs w:val="20"/>
          <w:color w:val="auto"/>
        </w:rPr>
      </w:pPr>
      <w:r>
        <w:rPr>
          <w:rFonts w:ascii="Courier New" w:cs="Courier New" w:eastAsia="Courier New" w:hAnsi="Courier New"/>
          <w:sz w:val="15"/>
          <w:szCs w:val="15"/>
          <w:color w:val="auto"/>
        </w:rPr>
        <w:t>The Company recorded a charge of $11,353 related to employee separation costs in connection with the termination of employment of approximately 1,000 employees, representing approximately 10% of the Company's worldwide workforce of 9,900 full-time employees. The actual number of employees terminated approximated original estimates. There was not a single group of employees or business function that was solely impacted by these measures; instead it impacted information technology specialists and administration professionals across a broad range of functions according to the areas with reduced activities. The Company recorded a charge of $7,880 related to facilities, representing rent obligations relating to vacated facilities in various locations in Canada, Israel and the United States.</w:t>
      </w:r>
    </w:p>
    <w:p>
      <w:pPr>
        <w:spacing w:after="0" w:line="35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0"/>
        <w:spacing w:after="0"/>
        <w:tabs>
          <w:tab w:leader="none" w:pos="1280" w:val="left"/>
        </w:tabs>
        <w:rPr>
          <w:sz w:val="20"/>
          <w:szCs w:val="20"/>
          <w:color w:val="auto"/>
        </w:rPr>
      </w:pP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5"/>
          <w:szCs w:val="15"/>
          <w:color w:val="auto"/>
        </w:rPr>
        <w:t>TOTAL</w:t>
      </w:r>
    </w:p>
    <w:p>
      <w:pPr>
        <w:spacing w:after="0" w:line="6"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59" w:lineRule="exact"/>
        <w:rPr>
          <w:sz w:val="20"/>
          <w:szCs w:val="20"/>
          <w:color w:val="auto"/>
        </w:rPr>
      </w:pPr>
    </w:p>
    <w:p>
      <w:pPr>
        <w:spacing w:after="0"/>
        <w:tabs>
          <w:tab w:leader="none" w:pos="540" w:val="left"/>
          <w:tab w:leader="none" w:pos="1080" w:val="left"/>
          <w:tab w:leader="none" w:pos="16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6" w:lineRule="exact"/>
        <w:rPr>
          <w:sz w:val="20"/>
          <w:szCs w:val="20"/>
          <w:color w:val="auto"/>
        </w:rPr>
      </w:pPr>
    </w:p>
    <w:p>
      <w:pPr>
        <w:ind w:left="560"/>
        <w:spacing w:after="0"/>
        <w:tabs>
          <w:tab w:leader="none" w:pos="1360" w:val="left"/>
        </w:tabs>
        <w:rPr>
          <w:sz w:val="20"/>
          <w:szCs w:val="20"/>
          <w:color w:val="auto"/>
        </w:rPr>
      </w:pPr>
      <w:r>
        <w:rPr>
          <w:rFonts w:ascii="Courier New" w:cs="Courier New" w:eastAsia="Courier New" w:hAnsi="Courier New"/>
          <w:sz w:val="15"/>
          <w:szCs w:val="15"/>
          <w:color w:val="auto"/>
        </w:rPr>
        <w:t>94</w:t>
      </w:r>
      <w:r>
        <w:rPr>
          <w:sz w:val="20"/>
          <w:szCs w:val="20"/>
          <w:color w:val="auto"/>
        </w:rPr>
        <w:tab/>
      </w:r>
      <w:r>
        <w:rPr>
          <w:rFonts w:ascii="Courier New" w:cs="Courier New" w:eastAsia="Courier New" w:hAnsi="Courier New"/>
          <w:sz w:val="15"/>
          <w:szCs w:val="15"/>
          <w:color w:val="auto"/>
        </w:rPr>
        <w:t>9,956</w:t>
      </w:r>
    </w:p>
    <w:p>
      <w:pPr>
        <w:spacing w:after="0" w:line="6" w:lineRule="exact"/>
        <w:rPr>
          <w:sz w:val="20"/>
          <w:szCs w:val="20"/>
          <w:color w:val="auto"/>
        </w:rPr>
      </w:pPr>
    </w:p>
    <w:p>
      <w:pPr>
        <w:ind w:left="1300" w:hanging="832"/>
        <w:spacing w:after="0"/>
        <w:tabs>
          <w:tab w:leader="none" w:pos="13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(4,451)</w:t>
      </w:r>
    </w:p>
    <w:p>
      <w:pPr>
        <w:spacing w:after="0" w:line="6" w:lineRule="exact"/>
        <w:rPr>
          <w:sz w:val="20"/>
          <w:szCs w:val="20"/>
          <w:color w:val="auto"/>
        </w:rPr>
      </w:pPr>
    </w:p>
    <w:p>
      <w:pPr>
        <w:ind w:left="1300" w:hanging="741"/>
        <w:spacing w:after="0"/>
        <w:tabs>
          <w:tab w:leader="none" w:pos="13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(1,829)</w:t>
      </w:r>
    </w:p>
    <w:p>
      <w:pPr>
        <w:spacing w:after="0" w:line="6" w:lineRule="exact"/>
        <w:rPr>
          <w:rFonts w:ascii="Courier New" w:cs="Courier New" w:eastAsia="Courier New" w:hAnsi="Courier New"/>
          <w:sz w:val="15"/>
          <w:szCs w:val="15"/>
          <w:color w:val="auto"/>
        </w:rPr>
      </w:pPr>
    </w:p>
    <w:p>
      <w:pPr>
        <w:ind w:left="1480" w:hanging="921"/>
        <w:spacing w:after="0"/>
        <w:tabs>
          <w:tab w:leader="none" w:pos="14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(415)</w:t>
      </w:r>
    </w:p>
    <w:p>
      <w:pPr>
        <w:spacing w:after="0" w:line="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1380" w:hanging="821"/>
        <w:spacing w:after="0"/>
        <w:tabs>
          <w:tab w:leader="none" w:pos="13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3,261</w:t>
      </w:r>
    </w:p>
    <w:p>
      <w:pPr>
        <w:spacing w:after="0" w:line="6" w:lineRule="exact"/>
        <w:rPr>
          <w:rFonts w:ascii="Courier New" w:cs="Courier New" w:eastAsia="Courier New" w:hAnsi="Courier New"/>
          <w:sz w:val="15"/>
          <w:szCs w:val="15"/>
          <w:color w:val="auto"/>
        </w:rPr>
      </w:pPr>
    </w:p>
    <w:p>
      <w:pPr>
        <w:ind w:left="1300" w:hanging="741"/>
        <w:spacing w:after="0"/>
        <w:tabs>
          <w:tab w:leader="none" w:pos="13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(1,365)</w:t>
      </w:r>
    </w:p>
    <w:p>
      <w:pPr>
        <w:spacing w:after="0" w:line="6" w:lineRule="exact"/>
        <w:rPr>
          <w:rFonts w:ascii="Courier New" w:cs="Courier New" w:eastAsia="Courier New" w:hAnsi="Courier New"/>
          <w:sz w:val="15"/>
          <w:szCs w:val="15"/>
          <w:color w:val="auto"/>
        </w:rPr>
      </w:pPr>
    </w:p>
    <w:p>
      <w:pPr>
        <w:ind w:left="1760" w:hanging="1201"/>
        <w:spacing w:after="0"/>
        <w:tabs>
          <w:tab w:leader="none" w:pos="17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8</w:t>
      </w:r>
    </w:p>
    <w:p>
      <w:pPr>
        <w:spacing w:after="0" w:line="6"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6" w:lineRule="exact"/>
        <w:rPr>
          <w:sz w:val="20"/>
          <w:szCs w:val="20"/>
          <w:color w:val="auto"/>
        </w:rPr>
      </w:pPr>
    </w:p>
    <w:p>
      <w:pPr>
        <w:ind w:left="560" w:hanging="550"/>
        <w:spacing w:after="0"/>
        <w:tabs>
          <w:tab w:leader="none" w:pos="5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1,904</w:t>
      </w:r>
    </w:p>
    <w:p>
      <w:pPr>
        <w:spacing w:after="0" w:line="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2">
            <w:col w:w="6860" w:space="360"/>
            <w:col w:w="2539"/>
          </w:cols>
          <w:pgMar w:left="700" w:top="470" w:right="1440" w:bottom="1440" w:gutter="0" w:footer="0" w:header="0"/>
        </w:sectPr>
      </w:pPr>
    </w:p>
    <w:bookmarkStart w:id="18" w:name="page19"/>
    <w:bookmarkEnd w:id="18"/>
    <w:p>
      <w:pPr>
        <w:jc w:val="center"/>
        <w:ind w:right="1100"/>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110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359" w:lineRule="exact"/>
        <w:rPr>
          <w:sz w:val="20"/>
          <w:szCs w:val="20"/>
          <w:color w:val="auto"/>
        </w:rPr>
      </w:pPr>
    </w:p>
    <w:p>
      <w:pPr>
        <w:jc w:val="both"/>
        <w:ind w:right="640"/>
        <w:spacing w:after="0" w:line="249" w:lineRule="auto"/>
        <w:rPr>
          <w:sz w:val="20"/>
          <w:szCs w:val="20"/>
          <w:color w:val="auto"/>
        </w:rPr>
      </w:pPr>
      <w:r>
        <w:rPr>
          <w:rFonts w:ascii="Courier New" w:cs="Courier New" w:eastAsia="Courier New" w:hAnsi="Courier New"/>
          <w:sz w:val="15"/>
          <w:szCs w:val="15"/>
          <w:color w:val="auto"/>
        </w:rPr>
        <w:t>The Company also recorded a provision of $1,584 for asset write-offs, principally for leasehold improvements in Canada, Israel and the United States that were abandoned.</w:t>
      </w:r>
    </w:p>
    <w:p>
      <w:pPr>
        <w:spacing w:after="0" w:line="176" w:lineRule="exact"/>
        <w:rPr>
          <w:sz w:val="20"/>
          <w:szCs w:val="20"/>
          <w:color w:val="auto"/>
        </w:rPr>
      </w:pPr>
    </w:p>
    <w:p>
      <w:pPr>
        <w:ind w:right="720" w:firstLine="366"/>
        <w:spacing w:after="0" w:line="250" w:lineRule="auto"/>
        <w:rPr>
          <w:sz w:val="20"/>
          <w:szCs w:val="20"/>
          <w:color w:val="auto"/>
        </w:rPr>
      </w:pPr>
      <w:r>
        <w:rPr>
          <w:rFonts w:ascii="Courier New" w:cs="Courier New" w:eastAsia="Courier New" w:hAnsi="Courier New"/>
          <w:sz w:val="15"/>
          <w:szCs w:val="15"/>
          <w:color w:val="auto"/>
        </w:rPr>
        <w:t>The fourth quarter of fiscal 2002 restructuring charge is comprised of the following as of June 30, 2004:</w:t>
      </w:r>
    </w:p>
    <w:p>
      <w:pPr>
        <w:spacing w:after="0" w:line="200" w:lineRule="exact"/>
        <w:rPr>
          <w:sz w:val="20"/>
          <w:szCs w:val="20"/>
          <w:color w:val="auto"/>
        </w:rPr>
      </w:pPr>
    </w:p>
    <w:p>
      <w:pPr>
        <w:spacing w:after="0" w:line="327"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9"/>
              </w:rPr>
              <w:t>Employee</w:t>
            </w: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6"/>
        </w:trPr>
        <w:tc>
          <w:tcPr>
            <w:tcW w:w="2740" w:type="dxa"/>
            <w:vAlign w:val="bottom"/>
          </w:tcPr>
          <w:p>
            <w:pPr>
              <w:spacing w:after="0"/>
              <w:rPr>
                <w:sz w:val="15"/>
                <w:szCs w:val="15"/>
                <w:color w:val="auto"/>
              </w:rPr>
            </w:pPr>
          </w:p>
        </w:tc>
        <w:tc>
          <w:tcPr>
            <w:tcW w:w="166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Separation</w:t>
            </w: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Asset</w:t>
            </w:r>
          </w:p>
        </w:tc>
      </w:tr>
      <w:tr>
        <w:trPr>
          <w:trHeight w:val="176"/>
        </w:trPr>
        <w:tc>
          <w:tcPr>
            <w:tcW w:w="2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Costs</w:t>
            </w:r>
          </w:p>
        </w:tc>
        <w:tc>
          <w:tcPr>
            <w:tcW w:w="15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Facilities</w:t>
            </w:r>
          </w:p>
        </w:tc>
        <w:tc>
          <w:tcPr>
            <w:tcW w:w="36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Write-offs</w:t>
            </w:r>
          </w:p>
        </w:tc>
      </w:tr>
      <w:tr>
        <w:trPr>
          <w:trHeight w:val="176"/>
        </w:trPr>
        <w:tc>
          <w:tcPr>
            <w:tcW w:w="2740" w:type="dxa"/>
            <w:vAlign w:val="bottom"/>
          </w:tcPr>
          <w:p>
            <w:pPr>
              <w:spacing w:after="0"/>
              <w:rPr>
                <w:sz w:val="15"/>
                <w:szCs w:val="15"/>
                <w:color w:val="auto"/>
              </w:rPr>
            </w:pPr>
          </w:p>
        </w:tc>
        <w:tc>
          <w:tcPr>
            <w:tcW w:w="16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w:t>
            </w:r>
          </w:p>
        </w:tc>
      </w:tr>
      <w:tr>
        <w:trPr>
          <w:trHeight w:val="352"/>
        </w:trPr>
        <w:tc>
          <w:tcPr>
            <w:tcW w:w="2740" w:type="dxa"/>
            <w:vAlign w:val="bottom"/>
          </w:tcPr>
          <w:p>
            <w:pPr>
              <w:spacing w:after="0"/>
              <w:rPr>
                <w:sz w:val="20"/>
                <w:szCs w:val="20"/>
                <w:color w:val="auto"/>
              </w:rPr>
            </w:pPr>
            <w:r>
              <w:rPr>
                <w:rFonts w:ascii="Courier New" w:cs="Courier New" w:eastAsia="Courier New" w:hAnsi="Courier New"/>
                <w:sz w:val="15"/>
                <w:szCs w:val="15"/>
                <w:color w:val="auto"/>
              </w:rPr>
              <w:t>Balance as of October 1,</w:t>
            </w: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6"/>
        </w:trPr>
        <w:tc>
          <w:tcPr>
            <w:tcW w:w="2740" w:type="dxa"/>
            <w:vAlign w:val="bottom"/>
          </w:tcPr>
          <w:p>
            <w:pPr>
              <w:ind w:left="280"/>
              <w:spacing w:after="0"/>
              <w:rPr>
                <w:sz w:val="20"/>
                <w:szCs w:val="20"/>
                <w:color w:val="auto"/>
              </w:rPr>
            </w:pPr>
            <w:r>
              <w:rPr>
                <w:rFonts w:ascii="Courier New" w:cs="Courier New" w:eastAsia="Courier New" w:hAnsi="Courier New"/>
                <w:sz w:val="15"/>
                <w:szCs w:val="15"/>
                <w:color w:val="auto"/>
              </w:rPr>
              <w:t>2001</w:t>
            </w:r>
          </w:p>
        </w:tc>
        <w:tc>
          <w:tcPr>
            <w:tcW w:w="4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Charges</w:t>
            </w:r>
          </w:p>
        </w:tc>
        <w:tc>
          <w:tcPr>
            <w:tcW w:w="460" w:type="dxa"/>
            <w:vAlign w:val="bottom"/>
          </w:tcPr>
          <w:p>
            <w:pPr>
              <w:spacing w:after="0"/>
              <w:rPr>
                <w:sz w:val="15"/>
                <w:szCs w:val="15"/>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11,353</w:t>
            </w:r>
          </w:p>
        </w:tc>
        <w:tc>
          <w:tcPr>
            <w:tcW w:w="400" w:type="dxa"/>
            <w:vAlign w:val="bottom"/>
          </w:tcPr>
          <w:p>
            <w:pPr>
              <w:spacing w:after="0"/>
              <w:rPr>
                <w:sz w:val="15"/>
                <w:szCs w:val="15"/>
                <w:color w:val="auto"/>
              </w:rPr>
            </w:pPr>
          </w:p>
        </w:tc>
        <w:tc>
          <w:tcPr>
            <w:tcW w:w="11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7,880</w:t>
            </w:r>
          </w:p>
        </w:tc>
        <w:tc>
          <w:tcPr>
            <w:tcW w:w="3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1,584</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Cash payments</w:t>
            </w:r>
          </w:p>
        </w:tc>
        <w:tc>
          <w:tcPr>
            <w:tcW w:w="46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(8,053)</w:t>
            </w:r>
          </w:p>
        </w:tc>
        <w:tc>
          <w:tcPr>
            <w:tcW w:w="400" w:type="dxa"/>
            <w:vAlign w:val="bottom"/>
          </w:tcPr>
          <w:p>
            <w:pPr>
              <w:spacing w:after="0"/>
              <w:rPr>
                <w:sz w:val="15"/>
                <w:szCs w:val="15"/>
                <w:color w:val="auto"/>
              </w:rPr>
            </w:pP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(456)</w:t>
            </w:r>
          </w:p>
        </w:tc>
        <w:tc>
          <w:tcPr>
            <w:tcW w:w="3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Non cash</w:t>
            </w:r>
          </w:p>
        </w:tc>
        <w:tc>
          <w:tcPr>
            <w:tcW w:w="460" w:type="dxa"/>
            <w:vAlign w:val="bottom"/>
          </w:tcPr>
          <w:p>
            <w:pPr>
              <w:spacing w:after="0"/>
              <w:rPr>
                <w:sz w:val="15"/>
                <w:szCs w:val="15"/>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1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(1,584)</w:t>
            </w:r>
          </w:p>
        </w:tc>
      </w:tr>
      <w:tr>
        <w:trPr>
          <w:trHeight w:val="176"/>
        </w:trPr>
        <w:tc>
          <w:tcPr>
            <w:tcW w:w="2740" w:type="dxa"/>
            <w:vAlign w:val="bottom"/>
          </w:tcPr>
          <w:p>
            <w:pPr>
              <w:spacing w:after="0"/>
              <w:rPr>
                <w:sz w:val="15"/>
                <w:szCs w:val="15"/>
                <w:color w:val="auto"/>
              </w:rPr>
            </w:pPr>
          </w:p>
        </w:tc>
        <w:tc>
          <w:tcPr>
            <w:tcW w:w="16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Balance as of September 30,</w:t>
            </w: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740" w:type="dxa"/>
            <w:vAlign w:val="bottom"/>
          </w:tcPr>
          <w:p>
            <w:pPr>
              <w:ind w:left="280"/>
              <w:spacing w:after="0"/>
              <w:rPr>
                <w:sz w:val="20"/>
                <w:szCs w:val="20"/>
                <w:color w:val="auto"/>
              </w:rPr>
            </w:pPr>
            <w:r>
              <w:rPr>
                <w:rFonts w:ascii="Courier New" w:cs="Courier New" w:eastAsia="Courier New" w:hAnsi="Courier New"/>
                <w:sz w:val="15"/>
                <w:szCs w:val="15"/>
                <w:color w:val="auto"/>
              </w:rPr>
              <w:t>2002</w:t>
            </w:r>
          </w:p>
        </w:tc>
        <w:tc>
          <w:tcPr>
            <w:tcW w:w="460" w:type="dxa"/>
            <w:vAlign w:val="bottom"/>
          </w:tcPr>
          <w:p>
            <w:pPr>
              <w:spacing w:after="0"/>
              <w:rPr>
                <w:sz w:val="15"/>
                <w:szCs w:val="15"/>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3,300</w:t>
            </w:r>
          </w:p>
        </w:tc>
        <w:tc>
          <w:tcPr>
            <w:tcW w:w="400" w:type="dxa"/>
            <w:vAlign w:val="bottom"/>
          </w:tcPr>
          <w:p>
            <w:pPr>
              <w:spacing w:after="0"/>
              <w:rPr>
                <w:sz w:val="15"/>
                <w:szCs w:val="15"/>
                <w:color w:val="auto"/>
              </w:rPr>
            </w:pPr>
          </w:p>
        </w:tc>
        <w:tc>
          <w:tcPr>
            <w:tcW w:w="11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7,424</w:t>
            </w:r>
          </w:p>
        </w:tc>
        <w:tc>
          <w:tcPr>
            <w:tcW w:w="3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Cash payments</w:t>
            </w:r>
          </w:p>
        </w:tc>
        <w:tc>
          <w:tcPr>
            <w:tcW w:w="46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(3,240)</w:t>
            </w:r>
          </w:p>
        </w:tc>
        <w:tc>
          <w:tcPr>
            <w:tcW w:w="400" w:type="dxa"/>
            <w:vAlign w:val="bottom"/>
          </w:tcPr>
          <w:p>
            <w:pPr>
              <w:spacing w:after="0"/>
              <w:rPr>
                <w:sz w:val="15"/>
                <w:szCs w:val="15"/>
                <w:color w:val="auto"/>
              </w:rPr>
            </w:pP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(4,082)</w:t>
            </w:r>
          </w:p>
        </w:tc>
        <w:tc>
          <w:tcPr>
            <w:tcW w:w="3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460" w:type="dxa"/>
            <w:vAlign w:val="bottom"/>
          </w:tcPr>
          <w:p>
            <w:pPr>
              <w:spacing w:after="0"/>
              <w:rPr>
                <w:sz w:val="15"/>
                <w:szCs w:val="15"/>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22</w:t>
            </w:r>
          </w:p>
        </w:tc>
        <w:tc>
          <w:tcPr>
            <w:tcW w:w="400" w:type="dxa"/>
            <w:vAlign w:val="bottom"/>
          </w:tcPr>
          <w:p>
            <w:pPr>
              <w:spacing w:after="0"/>
              <w:rPr>
                <w:sz w:val="15"/>
                <w:szCs w:val="15"/>
                <w:color w:val="auto"/>
              </w:rPr>
            </w:pP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(148)</w:t>
            </w:r>
          </w:p>
        </w:tc>
        <w:tc>
          <w:tcPr>
            <w:tcW w:w="3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15"/>
                <w:szCs w:val="15"/>
                <w:color w:val="auto"/>
              </w:rPr>
            </w:pPr>
          </w:p>
        </w:tc>
        <w:tc>
          <w:tcPr>
            <w:tcW w:w="16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Balance as of September 30,</w:t>
            </w: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740" w:type="dxa"/>
            <w:vAlign w:val="bottom"/>
          </w:tcPr>
          <w:p>
            <w:pPr>
              <w:ind w:left="280"/>
              <w:spacing w:after="0"/>
              <w:rPr>
                <w:sz w:val="20"/>
                <w:szCs w:val="20"/>
                <w:color w:val="auto"/>
              </w:rPr>
            </w:pPr>
            <w:r>
              <w:rPr>
                <w:rFonts w:ascii="Courier New" w:cs="Courier New" w:eastAsia="Courier New" w:hAnsi="Courier New"/>
                <w:sz w:val="15"/>
                <w:szCs w:val="15"/>
                <w:color w:val="auto"/>
              </w:rPr>
              <w:t>2003</w:t>
            </w:r>
          </w:p>
        </w:tc>
        <w:tc>
          <w:tcPr>
            <w:tcW w:w="460" w:type="dxa"/>
            <w:vAlign w:val="bottom"/>
          </w:tcPr>
          <w:p>
            <w:pPr>
              <w:spacing w:after="0"/>
              <w:rPr>
                <w:sz w:val="15"/>
                <w:szCs w:val="15"/>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82</w:t>
            </w:r>
          </w:p>
        </w:tc>
        <w:tc>
          <w:tcPr>
            <w:tcW w:w="400" w:type="dxa"/>
            <w:vAlign w:val="bottom"/>
          </w:tcPr>
          <w:p>
            <w:pPr>
              <w:spacing w:after="0"/>
              <w:rPr>
                <w:sz w:val="15"/>
                <w:szCs w:val="15"/>
                <w:color w:val="auto"/>
              </w:rPr>
            </w:pPr>
          </w:p>
        </w:tc>
        <w:tc>
          <w:tcPr>
            <w:tcW w:w="11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3,194</w:t>
            </w:r>
          </w:p>
        </w:tc>
        <w:tc>
          <w:tcPr>
            <w:tcW w:w="3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Cash payments</w:t>
            </w:r>
          </w:p>
        </w:tc>
        <w:tc>
          <w:tcPr>
            <w:tcW w:w="460" w:type="dxa"/>
            <w:vAlign w:val="bottom"/>
          </w:tcPr>
          <w:p>
            <w:pPr>
              <w:spacing w:after="0"/>
              <w:rPr>
                <w:sz w:val="15"/>
                <w:szCs w:val="15"/>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(1,024)</w:t>
            </w:r>
          </w:p>
        </w:tc>
        <w:tc>
          <w:tcPr>
            <w:tcW w:w="3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46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(82)</w:t>
            </w:r>
          </w:p>
        </w:tc>
        <w:tc>
          <w:tcPr>
            <w:tcW w:w="400" w:type="dxa"/>
            <w:vAlign w:val="bottom"/>
          </w:tcPr>
          <w:p>
            <w:pPr>
              <w:spacing w:after="0"/>
              <w:rPr>
                <w:sz w:val="15"/>
                <w:szCs w:val="15"/>
                <w:color w:val="auto"/>
              </w:rPr>
            </w:pPr>
          </w:p>
        </w:tc>
        <w:tc>
          <w:tcPr>
            <w:tcW w:w="11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43</w:t>
            </w:r>
          </w:p>
        </w:tc>
        <w:tc>
          <w:tcPr>
            <w:tcW w:w="3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15"/>
                <w:szCs w:val="15"/>
                <w:color w:val="auto"/>
              </w:rPr>
            </w:pPr>
          </w:p>
        </w:tc>
        <w:tc>
          <w:tcPr>
            <w:tcW w:w="16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Balance as of June 30, 2004</w:t>
            </w:r>
          </w:p>
        </w:tc>
        <w:tc>
          <w:tcPr>
            <w:tcW w:w="460" w:type="dxa"/>
            <w:vAlign w:val="bottom"/>
          </w:tcPr>
          <w:p>
            <w:pPr>
              <w:ind w:left="38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2,213</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15"/>
                <w:szCs w:val="15"/>
                <w:color w:val="auto"/>
              </w:rPr>
            </w:pPr>
          </w:p>
        </w:tc>
        <w:tc>
          <w:tcPr>
            <w:tcW w:w="16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334" w:lineRule="exact"/>
        <w:rPr>
          <w:sz w:val="20"/>
          <w:szCs w:val="20"/>
          <w:color w:val="auto"/>
        </w:rPr>
      </w:pPr>
    </w:p>
    <w:p>
      <w:pPr>
        <w:ind w:right="640" w:firstLine="366"/>
        <w:spacing w:after="0" w:line="249" w:lineRule="auto"/>
        <w:rPr>
          <w:sz w:val="20"/>
          <w:szCs w:val="20"/>
          <w:color w:val="auto"/>
        </w:rPr>
      </w:pPr>
      <w:r>
        <w:rPr>
          <w:rFonts w:ascii="Courier New" w:cs="Courier New" w:eastAsia="Courier New" w:hAnsi="Courier New"/>
          <w:sz w:val="15"/>
          <w:szCs w:val="15"/>
          <w:color w:val="auto"/>
        </w:rPr>
        <w:t>The financial savings of these actions of approximately $30,000 quarterly commencing in the first quarter of fiscal 2003, is reflected as a reduction in operating expense. These cost savings may not be permanent as increased activity levels resulting from, among other factors, acquisitions, Managed Services agreements and increased revenue, may require an increase in headcount and other increased spending.</w:t>
      </w:r>
    </w:p>
    <w:p>
      <w:pPr>
        <w:spacing w:after="0" w:line="176" w:lineRule="exact"/>
        <w:rPr>
          <w:sz w:val="20"/>
          <w:szCs w:val="20"/>
          <w:color w:val="auto"/>
        </w:rPr>
      </w:pPr>
    </w:p>
    <w:p>
      <w:pPr>
        <w:ind w:right="720" w:firstLine="366"/>
        <w:spacing w:after="0" w:line="249" w:lineRule="auto"/>
        <w:rPr>
          <w:sz w:val="20"/>
          <w:szCs w:val="20"/>
          <w:color w:val="auto"/>
        </w:rPr>
      </w:pPr>
      <w:r>
        <w:rPr>
          <w:rFonts w:ascii="Courier New" w:cs="Courier New" w:eastAsia="Courier New" w:hAnsi="Courier New"/>
          <w:sz w:val="15"/>
          <w:szCs w:val="15"/>
          <w:color w:val="auto"/>
        </w:rPr>
        <w:t>In the first quarter of fiscal 2002, as part of a plan to achieve increased operational efficiency and to more closely monitor and reduce costs, the Company consolidated its Stamford, Connecticut data center into its Champaign, Illinois facility and closed the Stamford facility.</w:t>
      </w:r>
    </w:p>
    <w:p>
      <w:pPr>
        <w:spacing w:after="0" w:line="176" w:lineRule="exact"/>
        <w:rPr>
          <w:sz w:val="20"/>
          <w:szCs w:val="20"/>
          <w:color w:val="auto"/>
        </w:rPr>
      </w:pPr>
    </w:p>
    <w:p>
      <w:pPr>
        <w:ind w:right="820" w:firstLine="366"/>
        <w:spacing w:after="0" w:line="249" w:lineRule="auto"/>
        <w:rPr>
          <w:sz w:val="20"/>
          <w:szCs w:val="20"/>
          <w:color w:val="auto"/>
        </w:rPr>
      </w:pPr>
      <w:r>
        <w:rPr>
          <w:rFonts w:ascii="Courier New" w:cs="Courier New" w:eastAsia="Courier New" w:hAnsi="Courier New"/>
          <w:sz w:val="15"/>
          <w:szCs w:val="15"/>
          <w:color w:val="auto"/>
        </w:rPr>
        <w:t>The restructuring charge associated with this action and recorded in the first quarter of fiscal 2002 was $13,311. Approximately $6,789 of the total charge was paid in cash as of June 30, 2004. The remainder of the charge, comprised of facility related costs, is expected to be paid out through August 2008.</w:t>
      </w:r>
    </w:p>
    <w:p>
      <w:pPr>
        <w:spacing w:after="0" w:line="17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Details of $13,311 Restructuring charge:</w:t>
      </w:r>
    </w:p>
    <w:p>
      <w:pPr>
        <w:spacing w:after="0" w:line="182" w:lineRule="exact"/>
        <w:rPr>
          <w:sz w:val="20"/>
          <w:szCs w:val="20"/>
          <w:color w:val="auto"/>
        </w:rPr>
      </w:pPr>
    </w:p>
    <w:p>
      <w:pPr>
        <w:ind w:right="640" w:firstLine="366"/>
        <w:spacing w:after="0" w:line="249" w:lineRule="auto"/>
        <w:rPr>
          <w:sz w:val="20"/>
          <w:szCs w:val="20"/>
          <w:color w:val="auto"/>
        </w:rPr>
      </w:pPr>
      <w:r>
        <w:rPr>
          <w:rFonts w:ascii="Courier New" w:cs="Courier New" w:eastAsia="Courier New" w:hAnsi="Courier New"/>
          <w:sz w:val="15"/>
          <w:szCs w:val="15"/>
          <w:color w:val="auto"/>
        </w:rPr>
        <w:t>Approximately $6,255 of the total restructuring charge related to facilities and represented rent obligations outstanding for the Stamford site. Approximately $4,126 of the total restructuring charge related to the write-off of leasehold improvements at the Stamford site that were abandoned. The Company also recorded a provision of $2,530 related to employee separation costs in connection with the termination of employment of 166 employees.</w:t>
      </w:r>
    </w:p>
    <w:p>
      <w:pPr>
        <w:spacing w:after="0" w:line="200" w:lineRule="exact"/>
        <w:rPr>
          <w:sz w:val="20"/>
          <w:szCs w:val="20"/>
          <w:color w:val="auto"/>
        </w:rPr>
      </w:pPr>
    </w:p>
    <w:p>
      <w:pPr>
        <w:spacing w:after="0" w:line="328"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7"/>
              </w:rPr>
              <w:t>Other</w:t>
            </w:r>
          </w:p>
        </w:tc>
        <w:tc>
          <w:tcPr>
            <w:tcW w:w="520" w:type="dxa"/>
            <w:vAlign w:val="bottom"/>
          </w:tcPr>
          <w:p>
            <w:pPr>
              <w:spacing w:after="0"/>
              <w:rPr>
                <w:sz w:val="14"/>
                <w:szCs w:val="14"/>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r>
      <w:tr>
        <w:trPr>
          <w:trHeight w:val="529"/>
        </w:trPr>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26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102</w:t>
            </w:r>
          </w:p>
        </w:tc>
        <w:tc>
          <w:tcPr>
            <w:tcW w:w="52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20,919</w:t>
            </w:r>
          </w:p>
        </w:tc>
      </w:tr>
      <w:tr>
        <w:trPr>
          <w:trHeight w:val="176"/>
        </w:trPr>
        <w:tc>
          <w:tcPr>
            <w:tcW w:w="26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(57)</w:t>
            </w:r>
          </w:p>
        </w:tc>
        <w:tc>
          <w:tcPr>
            <w:tcW w:w="52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(8,566)</w:t>
            </w:r>
          </w:p>
        </w:tc>
      </w:tr>
      <w:tr>
        <w:trPr>
          <w:trHeight w:val="176"/>
        </w:trPr>
        <w:tc>
          <w:tcPr>
            <w:tcW w:w="26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(1,584)</w:t>
            </w:r>
          </w:p>
        </w:tc>
      </w:tr>
      <w:tr>
        <w:trPr>
          <w:trHeight w:val="176"/>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r>
      <w:tr>
        <w:trPr>
          <w:trHeight w:val="352"/>
        </w:trPr>
        <w:tc>
          <w:tcPr>
            <w:tcW w:w="260" w:type="dxa"/>
            <w:vAlign w:val="bottom"/>
          </w:tcPr>
          <w:p>
            <w:pPr>
              <w:spacing w:after="0"/>
              <w:rPr>
                <w:sz w:val="24"/>
                <w:szCs w:val="24"/>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45</w:t>
            </w:r>
          </w:p>
        </w:tc>
        <w:tc>
          <w:tcPr>
            <w:tcW w:w="520" w:type="dxa"/>
            <w:vAlign w:val="bottom"/>
          </w:tcPr>
          <w:p>
            <w:pPr>
              <w:spacing w:after="0"/>
              <w:rPr>
                <w:sz w:val="24"/>
                <w:szCs w:val="24"/>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10,769</w:t>
            </w:r>
          </w:p>
        </w:tc>
      </w:tr>
      <w:tr>
        <w:trPr>
          <w:trHeight w:val="176"/>
        </w:trPr>
        <w:tc>
          <w:tcPr>
            <w:tcW w:w="26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w:t>
            </w:r>
          </w:p>
        </w:tc>
        <w:tc>
          <w:tcPr>
            <w:tcW w:w="52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(7,367)</w:t>
            </w:r>
          </w:p>
        </w:tc>
      </w:tr>
      <w:tr>
        <w:trPr>
          <w:trHeight w:val="176"/>
        </w:trPr>
        <w:tc>
          <w:tcPr>
            <w:tcW w:w="26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(126)</w:t>
            </w:r>
          </w:p>
        </w:tc>
      </w:tr>
      <w:tr>
        <w:trPr>
          <w:trHeight w:val="176"/>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r>
    </w:tbl>
    <w:p>
      <w:pPr>
        <w:spacing w:after="0" w:line="181" w:lineRule="exact"/>
        <w:rPr>
          <w:sz w:val="20"/>
          <w:szCs w:val="20"/>
          <w:color w:val="auto"/>
        </w:rPr>
      </w:pPr>
    </w:p>
    <w:p>
      <w:pPr>
        <w:ind w:left="1920" w:hanging="1196"/>
        <w:spacing w:after="0"/>
        <w:tabs>
          <w:tab w:leader="none" w:pos="19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3,276</w:t>
      </w:r>
    </w:p>
    <w:p>
      <w:pPr>
        <w:spacing w:after="0" w:line="6" w:lineRule="exact"/>
        <w:rPr>
          <w:rFonts w:ascii="Courier New" w:cs="Courier New" w:eastAsia="Courier New" w:hAnsi="Courier New"/>
          <w:sz w:val="15"/>
          <w:szCs w:val="15"/>
          <w:color w:val="auto"/>
        </w:rPr>
      </w:pPr>
    </w:p>
    <w:p>
      <w:pPr>
        <w:ind w:left="1820" w:hanging="1096"/>
        <w:spacing w:after="0"/>
        <w:tabs>
          <w:tab w:leader="none" w:pos="18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(1,024)</w:t>
      </w:r>
    </w:p>
    <w:p>
      <w:pPr>
        <w:spacing w:after="0" w:line="6" w:lineRule="exact"/>
        <w:rPr>
          <w:rFonts w:ascii="Courier New" w:cs="Courier New" w:eastAsia="Courier New" w:hAnsi="Courier New"/>
          <w:sz w:val="15"/>
          <w:szCs w:val="15"/>
          <w:color w:val="auto"/>
        </w:rPr>
      </w:pPr>
    </w:p>
    <w:p>
      <w:pPr>
        <w:ind w:left="2100" w:hanging="1376"/>
        <w:spacing w:after="0"/>
        <w:tabs>
          <w:tab w:leader="none" w:pos="21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(39)</w:t>
      </w:r>
    </w:p>
    <w:p>
      <w:pPr>
        <w:spacing w:after="0" w:line="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80"/>
        <w:spacing w:after="0"/>
        <w:tabs>
          <w:tab w:leader="none" w:pos="700" w:val="left"/>
          <w:tab w:leader="none" w:pos="1620" w:val="left"/>
          <w:tab w:leader="none" w:pos="19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tab/>
        <w:t>2,213</w:t>
      </w:r>
    </w:p>
    <w:p>
      <w:pPr>
        <w:spacing w:after="0" w:line="6"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2">
            <w:col w:w="7500" w:space="380"/>
            <w:col w:w="2740"/>
          </w:cols>
          <w:pgMar w:left="700" w:top="647" w:right="579" w:bottom="1440" w:gutter="0" w:footer="0" w:header="0"/>
        </w:sectPr>
      </w:pPr>
    </w:p>
    <w:bookmarkStart w:id="19" w:name="page20"/>
    <w:bookmarkEnd w:id="19"/>
    <w:p>
      <w:pPr>
        <w:jc w:val="center"/>
        <w:ind w:right="3474"/>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3474"/>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359" w:lineRule="exact"/>
        <w:rPr>
          <w:sz w:val="20"/>
          <w:szCs w:val="20"/>
          <w:color w:val="auto"/>
        </w:rPr>
      </w:pPr>
    </w:p>
    <w:p>
      <w:pPr>
        <w:ind w:left="466" w:right="3480" w:firstLine="366"/>
        <w:spacing w:after="0" w:line="250" w:lineRule="auto"/>
        <w:rPr>
          <w:sz w:val="20"/>
          <w:szCs w:val="20"/>
          <w:color w:val="auto"/>
        </w:rPr>
      </w:pPr>
      <w:r>
        <w:rPr>
          <w:rFonts w:ascii="Courier New" w:cs="Courier New" w:eastAsia="Courier New" w:hAnsi="Courier New"/>
          <w:sz w:val="15"/>
          <w:szCs w:val="15"/>
          <w:color w:val="auto"/>
        </w:rPr>
        <w:t>The restructuring charge related to the consolidation of the Stamford and Champaign facilities is comprised of the following as of June 30, 2004:</w:t>
      </w:r>
    </w:p>
    <w:p>
      <w:pPr>
        <w:spacing w:after="0" w:line="200" w:lineRule="exact"/>
        <w:rPr>
          <w:sz w:val="20"/>
          <w:szCs w:val="20"/>
          <w:color w:val="auto"/>
        </w:rPr>
      </w:pPr>
    </w:p>
    <w:p>
      <w:pPr>
        <w:spacing w:after="0" w:line="327" w:lineRule="exact"/>
        <w:rPr>
          <w:sz w:val="20"/>
          <w:szCs w:val="20"/>
          <w:color w:val="auto"/>
        </w:rPr>
      </w:pPr>
    </w:p>
    <w:tbl>
      <w:tblPr>
        <w:tblLayout w:type="fixed"/>
        <w:tblInd w:w="646"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152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Employee</w:t>
            </w: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6"/>
        </w:trPr>
        <w:tc>
          <w:tcPr>
            <w:tcW w:w="2740" w:type="dxa"/>
            <w:vAlign w:val="bottom"/>
          </w:tcPr>
          <w:p>
            <w:pPr>
              <w:spacing w:after="0"/>
              <w:rPr>
                <w:sz w:val="15"/>
                <w:szCs w:val="15"/>
                <w:color w:val="auto"/>
              </w:rPr>
            </w:pPr>
          </w:p>
        </w:tc>
        <w:tc>
          <w:tcPr>
            <w:tcW w:w="15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Separation</w:t>
            </w: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7"/>
              </w:rPr>
              <w:t>Asset</w:t>
            </w: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2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7"/>
              </w:rPr>
              <w:t>Costs</w:t>
            </w:r>
          </w:p>
        </w:tc>
        <w:tc>
          <w:tcPr>
            <w:tcW w:w="15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Facilities</w:t>
            </w:r>
          </w:p>
        </w:tc>
        <w:tc>
          <w:tcPr>
            <w:tcW w:w="16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Write-offs</w:t>
            </w:r>
          </w:p>
        </w:tc>
        <w:tc>
          <w:tcPr>
            <w:tcW w:w="460" w:type="dxa"/>
            <w:vAlign w:val="bottom"/>
          </w:tcPr>
          <w:p>
            <w:pPr>
              <w:spacing w:after="0"/>
              <w:rPr>
                <w:sz w:val="15"/>
                <w:szCs w:val="15"/>
                <w:color w:val="auto"/>
              </w:rPr>
            </w:pP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7"/>
              </w:rPr>
              <w:t>Other</w:t>
            </w:r>
          </w:p>
        </w:tc>
        <w:tc>
          <w:tcPr>
            <w:tcW w:w="50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2740" w:type="dxa"/>
            <w:vAlign w:val="bottom"/>
          </w:tcPr>
          <w:p>
            <w:pPr>
              <w:spacing w:after="0"/>
              <w:rPr>
                <w:sz w:val="15"/>
                <w:szCs w:val="15"/>
                <w:color w:val="auto"/>
              </w:rPr>
            </w:pPr>
          </w:p>
        </w:tc>
        <w:tc>
          <w:tcPr>
            <w:tcW w:w="15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w:t>
            </w:r>
          </w:p>
        </w:tc>
      </w:tr>
      <w:tr>
        <w:trPr>
          <w:trHeight w:val="352"/>
        </w:trPr>
        <w:tc>
          <w:tcPr>
            <w:tcW w:w="2740" w:type="dxa"/>
            <w:vAlign w:val="bottom"/>
          </w:tcPr>
          <w:p>
            <w:pPr>
              <w:spacing w:after="0"/>
              <w:rPr>
                <w:sz w:val="20"/>
                <w:szCs w:val="20"/>
                <w:color w:val="auto"/>
              </w:rPr>
            </w:pPr>
            <w:r>
              <w:rPr>
                <w:rFonts w:ascii="Courier New" w:cs="Courier New" w:eastAsia="Courier New" w:hAnsi="Courier New"/>
                <w:sz w:val="15"/>
                <w:szCs w:val="15"/>
                <w:color w:val="auto"/>
              </w:rPr>
              <w:t>Balance as of October 1,</w:t>
            </w: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6"/>
        </w:trPr>
        <w:tc>
          <w:tcPr>
            <w:tcW w:w="2740" w:type="dxa"/>
            <w:vAlign w:val="bottom"/>
          </w:tcPr>
          <w:p>
            <w:pPr>
              <w:ind w:left="280"/>
              <w:spacing w:after="0"/>
              <w:rPr>
                <w:sz w:val="20"/>
                <w:szCs w:val="20"/>
                <w:color w:val="auto"/>
              </w:rPr>
            </w:pPr>
            <w:r>
              <w:rPr>
                <w:rFonts w:ascii="Courier New" w:cs="Courier New" w:eastAsia="Courier New" w:hAnsi="Courier New"/>
                <w:sz w:val="15"/>
                <w:szCs w:val="15"/>
                <w:color w:val="auto"/>
              </w:rPr>
              <w:t>2001</w:t>
            </w:r>
          </w:p>
        </w:tc>
        <w:tc>
          <w:tcPr>
            <w:tcW w:w="460" w:type="dxa"/>
            <w:vAlign w:val="bottom"/>
          </w:tcPr>
          <w:p>
            <w:pPr>
              <w:ind w:left="3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Charges</w:t>
            </w:r>
          </w:p>
        </w:tc>
        <w:tc>
          <w:tcPr>
            <w:tcW w:w="46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2,530</w:t>
            </w:r>
          </w:p>
        </w:tc>
        <w:tc>
          <w:tcPr>
            <w:tcW w:w="54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6,255</w:t>
            </w:r>
          </w:p>
        </w:tc>
        <w:tc>
          <w:tcPr>
            <w:tcW w:w="5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4,126</w:t>
            </w:r>
          </w:p>
        </w:tc>
        <w:tc>
          <w:tcPr>
            <w:tcW w:w="4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400</w:t>
            </w:r>
          </w:p>
        </w:tc>
        <w:tc>
          <w:tcPr>
            <w:tcW w:w="500" w:type="dxa"/>
            <w:vAlign w:val="bottom"/>
          </w:tcPr>
          <w:p>
            <w:pPr>
              <w:spacing w:after="0"/>
              <w:rPr>
                <w:sz w:val="15"/>
                <w:szCs w:val="15"/>
                <w:color w:val="auto"/>
              </w:rPr>
            </w:pP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13,311</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Cash payments</w:t>
            </w:r>
          </w:p>
        </w:tc>
        <w:tc>
          <w:tcPr>
            <w:tcW w:w="46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(2,473)</w:t>
            </w:r>
          </w:p>
        </w:tc>
        <w:tc>
          <w:tcPr>
            <w:tcW w:w="540" w:type="dxa"/>
            <w:vAlign w:val="bottom"/>
          </w:tcPr>
          <w:p>
            <w:pPr>
              <w:spacing w:after="0"/>
              <w:rPr>
                <w:sz w:val="15"/>
                <w:szCs w:val="15"/>
                <w:color w:val="auto"/>
              </w:rPr>
            </w:pP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(2,592)</w:t>
            </w:r>
          </w:p>
        </w:tc>
        <w:tc>
          <w:tcPr>
            <w:tcW w:w="5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w:t>
            </w:r>
          </w:p>
        </w:tc>
        <w:tc>
          <w:tcPr>
            <w:tcW w:w="5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(5,070)</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Non cash</w:t>
            </w:r>
          </w:p>
        </w:tc>
        <w:tc>
          <w:tcPr>
            <w:tcW w:w="46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(4,126)</w:t>
            </w:r>
          </w:p>
        </w:tc>
        <w:tc>
          <w:tcPr>
            <w:tcW w:w="4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(4,126)</w:t>
            </w:r>
          </w:p>
        </w:tc>
      </w:tr>
      <w:tr>
        <w:trPr>
          <w:trHeight w:val="176"/>
        </w:trPr>
        <w:tc>
          <w:tcPr>
            <w:tcW w:w="2740" w:type="dxa"/>
            <w:vAlign w:val="bottom"/>
          </w:tcPr>
          <w:p>
            <w:pPr>
              <w:spacing w:after="0"/>
              <w:rPr>
                <w:sz w:val="15"/>
                <w:szCs w:val="15"/>
                <w:color w:val="auto"/>
              </w:rPr>
            </w:pPr>
          </w:p>
        </w:tc>
        <w:tc>
          <w:tcPr>
            <w:tcW w:w="15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Balance as of September 30,</w:t>
            </w: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2740" w:type="dxa"/>
            <w:vAlign w:val="bottom"/>
          </w:tcPr>
          <w:p>
            <w:pPr>
              <w:ind w:left="280"/>
              <w:spacing w:after="0"/>
              <w:rPr>
                <w:sz w:val="20"/>
                <w:szCs w:val="20"/>
                <w:color w:val="auto"/>
              </w:rPr>
            </w:pPr>
            <w:r>
              <w:rPr>
                <w:rFonts w:ascii="Courier New" w:cs="Courier New" w:eastAsia="Courier New" w:hAnsi="Courier New"/>
                <w:sz w:val="15"/>
                <w:szCs w:val="15"/>
                <w:color w:val="auto"/>
              </w:rPr>
              <w:t>2002</w:t>
            </w:r>
          </w:p>
        </w:tc>
        <w:tc>
          <w:tcPr>
            <w:tcW w:w="46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57</w:t>
            </w:r>
          </w:p>
        </w:tc>
        <w:tc>
          <w:tcPr>
            <w:tcW w:w="54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3,663</w:t>
            </w:r>
          </w:p>
        </w:tc>
        <w:tc>
          <w:tcPr>
            <w:tcW w:w="5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395</w:t>
            </w:r>
          </w:p>
        </w:tc>
        <w:tc>
          <w:tcPr>
            <w:tcW w:w="500" w:type="dxa"/>
            <w:vAlign w:val="bottom"/>
          </w:tcPr>
          <w:p>
            <w:pPr>
              <w:spacing w:after="0"/>
              <w:rPr>
                <w:sz w:val="15"/>
                <w:szCs w:val="15"/>
                <w:color w:val="auto"/>
              </w:rPr>
            </w:pP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4,115</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Cash payments</w:t>
            </w:r>
          </w:p>
        </w:tc>
        <w:tc>
          <w:tcPr>
            <w:tcW w:w="46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(785)</w:t>
            </w:r>
          </w:p>
        </w:tc>
        <w:tc>
          <w:tcPr>
            <w:tcW w:w="5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(141)</w:t>
            </w:r>
          </w:p>
        </w:tc>
        <w:tc>
          <w:tcPr>
            <w:tcW w:w="5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(926)</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46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(57)</w:t>
            </w:r>
          </w:p>
        </w:tc>
        <w:tc>
          <w:tcPr>
            <w:tcW w:w="540" w:type="dxa"/>
            <w:vAlign w:val="bottom"/>
          </w:tcPr>
          <w:p>
            <w:pPr>
              <w:spacing w:after="0"/>
              <w:rPr>
                <w:sz w:val="15"/>
                <w:szCs w:val="15"/>
                <w:color w:val="auto"/>
              </w:rPr>
            </w:pP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(168)</w:t>
            </w:r>
          </w:p>
        </w:tc>
        <w:tc>
          <w:tcPr>
            <w:tcW w:w="5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(254)</w:t>
            </w:r>
          </w:p>
        </w:tc>
        <w:tc>
          <w:tcPr>
            <w:tcW w:w="5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(479)</w:t>
            </w:r>
          </w:p>
        </w:tc>
      </w:tr>
      <w:tr>
        <w:trPr>
          <w:trHeight w:val="176"/>
        </w:trPr>
        <w:tc>
          <w:tcPr>
            <w:tcW w:w="2740" w:type="dxa"/>
            <w:vAlign w:val="bottom"/>
          </w:tcPr>
          <w:p>
            <w:pPr>
              <w:spacing w:after="0"/>
              <w:rPr>
                <w:sz w:val="15"/>
                <w:szCs w:val="15"/>
                <w:color w:val="auto"/>
              </w:rPr>
            </w:pPr>
          </w:p>
        </w:tc>
        <w:tc>
          <w:tcPr>
            <w:tcW w:w="15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Balance as of September 30,</w:t>
            </w: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2740" w:type="dxa"/>
            <w:vAlign w:val="bottom"/>
          </w:tcPr>
          <w:p>
            <w:pPr>
              <w:ind w:left="280"/>
              <w:spacing w:after="0"/>
              <w:rPr>
                <w:sz w:val="20"/>
                <w:szCs w:val="20"/>
                <w:color w:val="auto"/>
              </w:rPr>
            </w:pPr>
            <w:r>
              <w:rPr>
                <w:rFonts w:ascii="Courier New" w:cs="Courier New" w:eastAsia="Courier New" w:hAnsi="Courier New"/>
                <w:sz w:val="15"/>
                <w:szCs w:val="15"/>
                <w:color w:val="auto"/>
              </w:rPr>
              <w:t>2003</w:t>
            </w:r>
          </w:p>
        </w:tc>
        <w:tc>
          <w:tcPr>
            <w:tcW w:w="46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2,710</w:t>
            </w:r>
          </w:p>
        </w:tc>
        <w:tc>
          <w:tcPr>
            <w:tcW w:w="5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2,710</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Cash payments</w:t>
            </w:r>
          </w:p>
        </w:tc>
        <w:tc>
          <w:tcPr>
            <w:tcW w:w="46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(793)</w:t>
            </w:r>
          </w:p>
        </w:tc>
        <w:tc>
          <w:tcPr>
            <w:tcW w:w="5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(793)</w:t>
            </w:r>
          </w:p>
        </w:tc>
      </w:tr>
      <w:tr>
        <w:trPr>
          <w:trHeight w:val="176"/>
        </w:trPr>
        <w:tc>
          <w:tcPr>
            <w:tcW w:w="2740" w:type="dxa"/>
            <w:vAlign w:val="bottom"/>
          </w:tcPr>
          <w:p>
            <w:pPr>
              <w:spacing w:after="0"/>
              <w:rPr>
                <w:sz w:val="15"/>
                <w:szCs w:val="15"/>
                <w:color w:val="auto"/>
              </w:rPr>
            </w:pPr>
          </w:p>
        </w:tc>
        <w:tc>
          <w:tcPr>
            <w:tcW w:w="15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Balance as of June 30, 2004</w:t>
            </w:r>
          </w:p>
        </w:tc>
        <w:tc>
          <w:tcPr>
            <w:tcW w:w="460" w:type="dxa"/>
            <w:vAlign w:val="bottom"/>
          </w:tcPr>
          <w:p>
            <w:pPr>
              <w:ind w:left="3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1,917</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1,917</w:t>
            </w:r>
          </w:p>
        </w:tc>
      </w:tr>
      <w:tr>
        <w:trPr>
          <w:trHeight w:val="176"/>
        </w:trPr>
        <w:tc>
          <w:tcPr>
            <w:tcW w:w="2740" w:type="dxa"/>
            <w:vAlign w:val="bottom"/>
          </w:tcPr>
          <w:p>
            <w:pPr>
              <w:spacing w:after="0"/>
              <w:rPr>
                <w:sz w:val="15"/>
                <w:szCs w:val="15"/>
                <w:color w:val="auto"/>
              </w:rPr>
            </w:pPr>
          </w:p>
        </w:tc>
        <w:tc>
          <w:tcPr>
            <w:tcW w:w="15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ind w:left="466" w:right="3560" w:firstLine="458"/>
        <w:spacing w:after="0" w:line="250" w:lineRule="auto"/>
        <w:rPr>
          <w:sz w:val="20"/>
          <w:szCs w:val="20"/>
          <w:color w:val="auto"/>
        </w:rPr>
      </w:pPr>
      <w:r>
        <w:rPr>
          <w:rFonts w:ascii="Courier New" w:cs="Courier New" w:eastAsia="Courier New" w:hAnsi="Courier New"/>
          <w:sz w:val="15"/>
          <w:szCs w:val="15"/>
          <w:color w:val="auto"/>
        </w:rPr>
        <w:t>The operating costs related to the Stamford site that were eliminated were approximately $8,500 in its last quarter of activity.</w:t>
      </w:r>
    </w:p>
    <w:p>
      <w:pPr>
        <w:spacing w:after="0" w:line="175" w:lineRule="exact"/>
        <w:rPr>
          <w:sz w:val="20"/>
          <w:szCs w:val="20"/>
          <w:color w:val="auto"/>
        </w:rPr>
      </w:pPr>
    </w:p>
    <w:p>
      <w:pPr>
        <w:ind w:left="466" w:hanging="466"/>
        <w:spacing w:after="0"/>
        <w:tabs>
          <w:tab w:leader="none" w:pos="466"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Benefits</w:t>
      </w:r>
    </w:p>
    <w:p>
      <w:pPr>
        <w:spacing w:after="0" w:line="182" w:lineRule="exact"/>
        <w:rPr>
          <w:sz w:val="20"/>
          <w:szCs w:val="20"/>
          <w:color w:val="auto"/>
        </w:rPr>
      </w:pPr>
    </w:p>
    <w:p>
      <w:pPr>
        <w:ind w:left="466" w:right="3480" w:firstLine="366"/>
        <w:spacing w:after="0" w:line="249" w:lineRule="auto"/>
        <w:rPr>
          <w:sz w:val="20"/>
          <w:szCs w:val="20"/>
          <w:color w:val="auto"/>
        </w:rPr>
      </w:pPr>
      <w:r>
        <w:rPr>
          <w:rFonts w:ascii="Courier New" w:cs="Courier New" w:eastAsia="Courier New" w:hAnsi="Courier New"/>
          <w:sz w:val="15"/>
          <w:szCs w:val="15"/>
          <w:color w:val="auto"/>
        </w:rPr>
        <w:t>FASB Statement No. 132 (revised 2003), "Employers' Disclosures about Pensions and Other Postretirement Benefits", requires additional disclosures about assets, obligations, cash flows, and net periodic benefit cost of defined benefit pension plans and other post-retirement benefit plans.</w:t>
      </w:r>
    </w:p>
    <w:p>
      <w:pPr>
        <w:spacing w:after="0" w:line="352" w:lineRule="exact"/>
        <w:rPr>
          <w:sz w:val="20"/>
          <w:szCs w:val="20"/>
          <w:color w:val="auto"/>
        </w:rPr>
      </w:pPr>
    </w:p>
    <w:p>
      <w:pPr>
        <w:ind w:left="466" w:right="3480" w:firstLine="366"/>
        <w:spacing w:after="0" w:line="249" w:lineRule="auto"/>
        <w:rPr>
          <w:sz w:val="20"/>
          <w:szCs w:val="20"/>
          <w:color w:val="auto"/>
        </w:rPr>
      </w:pPr>
      <w:r>
        <w:rPr>
          <w:rFonts w:ascii="Courier New" w:cs="Courier New" w:eastAsia="Courier New" w:hAnsi="Courier New"/>
          <w:sz w:val="15"/>
          <w:szCs w:val="15"/>
          <w:color w:val="auto"/>
        </w:rPr>
        <w:t>As a result of the Company's acquisition of Certen (see Note 10) on July 2, 2003, the Company now maintains several non-contributory defined benefit plans that provide for pension, other retirement and post-employment benefits for Certen employees based on length of service and rate of pay. Contributions by the Company are based on various generally accepted actuarial methods and reflect actuarial assumptions concerning future investment returns, salary projections and future service benefits. Plan assets consist primarily of Canadian and other equities, government and corporate bonds, debentures and secured mortgages, which are held in units of the BCE Master Trust Fund, a trust established by Bell.</w:t>
      </w:r>
    </w:p>
    <w:p>
      <w:pPr>
        <w:spacing w:after="0" w:line="175" w:lineRule="exact"/>
        <w:rPr>
          <w:sz w:val="20"/>
          <w:szCs w:val="20"/>
          <w:color w:val="auto"/>
        </w:rPr>
      </w:pPr>
    </w:p>
    <w:p>
      <w:pPr>
        <w:ind w:left="466" w:right="3760" w:firstLine="366"/>
        <w:spacing w:after="0" w:line="250" w:lineRule="auto"/>
        <w:rPr>
          <w:sz w:val="20"/>
          <w:szCs w:val="20"/>
          <w:color w:val="auto"/>
        </w:rPr>
      </w:pPr>
      <w:r>
        <w:rPr>
          <w:rFonts w:ascii="Courier New" w:cs="Courier New" w:eastAsia="Courier New" w:hAnsi="Courier New"/>
          <w:sz w:val="15"/>
          <w:szCs w:val="15"/>
          <w:color w:val="auto"/>
        </w:rPr>
        <w:t>The net periodic benefit cost under these plans for the three months and nine months ended June 30, 2004, was as follows:</w:t>
      </w:r>
    </w:p>
    <w:p>
      <w:pPr>
        <w:spacing w:after="0" w:line="200" w:lineRule="exact"/>
        <w:rPr>
          <w:sz w:val="20"/>
          <w:szCs w:val="20"/>
          <w:color w:val="auto"/>
        </w:rPr>
      </w:pPr>
    </w:p>
    <w:p>
      <w:pPr>
        <w:spacing w:after="0" w:line="327" w:lineRule="exact"/>
        <w:rPr>
          <w:sz w:val="20"/>
          <w:szCs w:val="20"/>
          <w:color w:val="auto"/>
        </w:rPr>
      </w:pPr>
    </w:p>
    <w:tbl>
      <w:tblPr>
        <w:tblLayout w:type="fixed"/>
        <w:tblInd w:w="466"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Three months ended</w:t>
            </w: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Nine months ended</w:t>
            </w:r>
          </w:p>
        </w:tc>
        <w:tc>
          <w:tcPr>
            <w:tcW w:w="280" w:type="dxa"/>
            <w:vAlign w:val="bottom"/>
          </w:tcPr>
          <w:p>
            <w:pPr>
              <w:spacing w:after="0"/>
              <w:rPr>
                <w:sz w:val="14"/>
                <w:szCs w:val="14"/>
                <w:color w:val="auto"/>
              </w:rPr>
            </w:pPr>
          </w:p>
        </w:tc>
      </w:tr>
      <w:tr>
        <w:trPr>
          <w:trHeight w:val="176"/>
        </w:trPr>
        <w:tc>
          <w:tcPr>
            <w:tcW w:w="3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June 30, 2004</w:t>
            </w: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June 30, 2004</w:t>
            </w:r>
          </w:p>
        </w:tc>
        <w:tc>
          <w:tcPr>
            <w:tcW w:w="280" w:type="dxa"/>
            <w:vAlign w:val="bottom"/>
          </w:tcPr>
          <w:p>
            <w:pPr>
              <w:spacing w:after="0"/>
              <w:rPr>
                <w:sz w:val="15"/>
                <w:szCs w:val="15"/>
                <w:color w:val="auto"/>
              </w:rPr>
            </w:pPr>
          </w:p>
        </w:tc>
      </w:tr>
      <w:tr>
        <w:trPr>
          <w:trHeight w:val="176"/>
        </w:trPr>
        <w:tc>
          <w:tcPr>
            <w:tcW w:w="3020" w:type="dxa"/>
            <w:vAlign w:val="bottom"/>
          </w:tcPr>
          <w:p>
            <w:pPr>
              <w:spacing w:after="0"/>
              <w:rPr>
                <w:sz w:val="15"/>
                <w:szCs w:val="15"/>
                <w:color w:val="auto"/>
              </w:rPr>
            </w:pPr>
          </w:p>
        </w:tc>
        <w:tc>
          <w:tcPr>
            <w:tcW w:w="1600" w:type="dxa"/>
            <w:vAlign w:val="bottom"/>
            <w:gridSpan w:val="2"/>
          </w:tcPr>
          <w:p>
            <w:pPr>
              <w:ind w:left="180"/>
              <w:spacing w:after="0"/>
              <w:rPr>
                <w:sz w:val="20"/>
                <w:szCs w:val="20"/>
                <w:color w:val="auto"/>
              </w:rPr>
            </w:pPr>
            <w:r>
              <w:rPr>
                <w:rFonts w:ascii="Courier New" w:cs="Courier New" w:eastAsia="Courier New" w:hAnsi="Courier New"/>
                <w:sz w:val="11"/>
                <w:szCs w:val="11"/>
                <w:color w:val="auto"/>
                <w:w w:val="70"/>
              </w:rPr>
              <w:t>------------------------------</w:t>
            </w: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Pension</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Pension</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280" w:type="dxa"/>
            <w:vAlign w:val="bottom"/>
          </w:tcPr>
          <w:p>
            <w:pPr>
              <w:spacing w:after="0"/>
              <w:rPr>
                <w:sz w:val="15"/>
                <w:szCs w:val="15"/>
                <w:color w:val="auto"/>
              </w:rPr>
            </w:pPr>
          </w:p>
        </w:tc>
      </w:tr>
      <w:tr>
        <w:trPr>
          <w:trHeight w:val="176"/>
        </w:trPr>
        <w:tc>
          <w:tcPr>
            <w:tcW w:w="3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Benefits</w:t>
            </w:r>
          </w:p>
        </w:tc>
        <w:tc>
          <w:tcPr>
            <w:tcW w:w="17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Benefits</w:t>
            </w:r>
          </w:p>
        </w:tc>
        <w:tc>
          <w:tcPr>
            <w:tcW w:w="500" w:type="dxa"/>
            <w:vAlign w:val="bottom"/>
          </w:tcPr>
          <w:p>
            <w:pPr>
              <w:spacing w:after="0"/>
              <w:rPr>
                <w:sz w:val="15"/>
                <w:szCs w:val="15"/>
                <w:color w:val="auto"/>
              </w:rPr>
            </w:pP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Benefits</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Benefits</w:t>
            </w:r>
          </w:p>
        </w:tc>
      </w:tr>
      <w:tr>
        <w:trPr>
          <w:trHeight w:val="176"/>
        </w:trPr>
        <w:tc>
          <w:tcPr>
            <w:tcW w:w="3020" w:type="dxa"/>
            <w:vAlign w:val="bottom"/>
          </w:tcPr>
          <w:p>
            <w:pPr>
              <w:spacing w:after="0"/>
              <w:rPr>
                <w:sz w:val="15"/>
                <w:szCs w:val="15"/>
                <w:color w:val="auto"/>
              </w:rPr>
            </w:pPr>
          </w:p>
        </w:tc>
        <w:tc>
          <w:tcPr>
            <w:tcW w:w="160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020" w:type="dxa"/>
            <w:vAlign w:val="bottom"/>
          </w:tcPr>
          <w:p>
            <w:pPr>
              <w:spacing w:after="0"/>
              <w:rPr>
                <w:sz w:val="20"/>
                <w:szCs w:val="20"/>
                <w:color w:val="auto"/>
              </w:rPr>
            </w:pPr>
            <w:r>
              <w:rPr>
                <w:rFonts w:ascii="Courier New" w:cs="Courier New" w:eastAsia="Courier New" w:hAnsi="Courier New"/>
                <w:sz w:val="15"/>
                <w:szCs w:val="15"/>
                <w:color w:val="auto"/>
              </w:rPr>
              <w:t>Service costs</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515</w:t>
            </w:r>
          </w:p>
        </w:tc>
        <w:tc>
          <w:tcPr>
            <w:tcW w:w="10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94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1,488</w:t>
            </w:r>
          </w:p>
        </w:tc>
        <w:tc>
          <w:tcPr>
            <w:tcW w:w="10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271</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Interest on benefit obligations</w:t>
            </w:r>
          </w:p>
        </w:tc>
        <w:tc>
          <w:tcPr>
            <w:tcW w:w="360" w:type="dxa"/>
            <w:vAlign w:val="bottom"/>
          </w:tcPr>
          <w:p>
            <w:pPr>
              <w:spacing w:after="0"/>
              <w:rPr>
                <w:sz w:val="15"/>
                <w:szCs w:val="15"/>
                <w:color w:val="auto"/>
              </w:rPr>
            </w:pPr>
          </w:p>
        </w:tc>
        <w:tc>
          <w:tcPr>
            <w:tcW w:w="12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673</w:t>
            </w:r>
          </w:p>
        </w:tc>
        <w:tc>
          <w:tcPr>
            <w:tcW w:w="1060" w:type="dxa"/>
            <w:vAlign w:val="bottom"/>
          </w:tcPr>
          <w:p>
            <w:pPr>
              <w:spacing w:after="0"/>
              <w:rPr>
                <w:sz w:val="15"/>
                <w:szCs w:val="15"/>
                <w:color w:val="auto"/>
              </w:rPr>
            </w:pPr>
          </w:p>
        </w:tc>
        <w:tc>
          <w:tcPr>
            <w:tcW w:w="6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97</w:t>
            </w:r>
          </w:p>
        </w:tc>
        <w:tc>
          <w:tcPr>
            <w:tcW w:w="500" w:type="dxa"/>
            <w:vAlign w:val="bottom"/>
          </w:tcPr>
          <w:p>
            <w:pPr>
              <w:spacing w:after="0"/>
              <w:rPr>
                <w:sz w:val="15"/>
                <w:szCs w:val="15"/>
                <w:color w:val="auto"/>
              </w:rPr>
            </w:pP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1,943</w:t>
            </w:r>
          </w:p>
        </w:tc>
        <w:tc>
          <w:tcPr>
            <w:tcW w:w="10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279</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Expected return on plan assets</w:t>
            </w:r>
          </w:p>
        </w:tc>
        <w:tc>
          <w:tcPr>
            <w:tcW w:w="36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(575)</w:t>
            </w:r>
          </w:p>
        </w:tc>
        <w:tc>
          <w:tcPr>
            <w:tcW w:w="1060" w:type="dxa"/>
            <w:vAlign w:val="bottom"/>
          </w:tcPr>
          <w:p>
            <w:pPr>
              <w:spacing w:after="0"/>
              <w:rPr>
                <w:sz w:val="15"/>
                <w:szCs w:val="15"/>
                <w:color w:val="auto"/>
              </w:rPr>
            </w:pPr>
          </w:p>
        </w:tc>
        <w:tc>
          <w:tcPr>
            <w:tcW w:w="6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(1,661)</w:t>
            </w:r>
          </w:p>
        </w:tc>
        <w:tc>
          <w:tcPr>
            <w:tcW w:w="10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020" w:type="dxa"/>
            <w:vAlign w:val="bottom"/>
          </w:tcPr>
          <w:p>
            <w:pPr>
              <w:spacing w:after="0"/>
              <w:rPr>
                <w:sz w:val="15"/>
                <w:szCs w:val="15"/>
                <w:color w:val="auto"/>
              </w:rPr>
            </w:pPr>
          </w:p>
        </w:tc>
        <w:tc>
          <w:tcPr>
            <w:tcW w:w="160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020" w:type="dxa"/>
            <w:vAlign w:val="bottom"/>
          </w:tcPr>
          <w:p>
            <w:pPr>
              <w:spacing w:after="0"/>
              <w:rPr>
                <w:sz w:val="15"/>
                <w:szCs w:val="15"/>
                <w:color w:val="auto"/>
              </w:rPr>
            </w:pP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613</w:t>
            </w:r>
          </w:p>
        </w:tc>
        <w:tc>
          <w:tcPr>
            <w:tcW w:w="10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88"/>
              </w:rPr>
              <w:t>191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1,770</w:t>
            </w:r>
          </w:p>
        </w:tc>
        <w:tc>
          <w:tcPr>
            <w:tcW w:w="10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550</w:t>
            </w:r>
          </w:p>
        </w:tc>
      </w:tr>
      <w:tr>
        <w:trPr>
          <w:trHeight w:val="176"/>
        </w:trPr>
        <w:tc>
          <w:tcPr>
            <w:tcW w:w="3020" w:type="dxa"/>
            <w:vAlign w:val="bottom"/>
          </w:tcPr>
          <w:p>
            <w:pPr>
              <w:spacing w:after="0"/>
              <w:rPr>
                <w:sz w:val="15"/>
                <w:szCs w:val="15"/>
                <w:color w:val="auto"/>
              </w:rPr>
            </w:pPr>
          </w:p>
        </w:tc>
        <w:tc>
          <w:tcPr>
            <w:tcW w:w="160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466" w:right="3660" w:firstLine="366"/>
        <w:spacing w:after="0" w:line="249" w:lineRule="auto"/>
        <w:rPr>
          <w:sz w:val="20"/>
          <w:szCs w:val="20"/>
          <w:color w:val="auto"/>
        </w:rPr>
      </w:pPr>
      <w:r>
        <w:rPr>
          <w:rFonts w:ascii="Courier New" w:cs="Courier New" w:eastAsia="Courier New" w:hAnsi="Courier New"/>
          <w:sz w:val="15"/>
          <w:szCs w:val="15"/>
          <w:color w:val="auto"/>
        </w:rPr>
        <w:t>For the three and nine months ended June 30, 2004, no contributions were made by the Company, although the Company expects that contributions for the fiscal year ending September 30, 2004 will approximate the net periodic benefit cost.</w:t>
      </w:r>
    </w:p>
    <w:p>
      <w:pPr>
        <w:spacing w:after="0" w:line="35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806"/>
          </w:cols>
          <w:pgMar w:left="234" w:top="470" w:right="859" w:bottom="658" w:gutter="0" w:footer="0" w:header="0"/>
        </w:sectPr>
      </w:pPr>
    </w:p>
    <w:bookmarkStart w:id="20" w:name="page21"/>
    <w:bookmarkEnd w:id="20"/>
    <w:p>
      <w:pPr>
        <w:jc w:val="center"/>
        <w:ind w:right="2893"/>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359" w:lineRule="exact"/>
        <w:rPr>
          <w:sz w:val="20"/>
          <w:szCs w:val="20"/>
          <w:color w:val="auto"/>
        </w:rPr>
      </w:pPr>
    </w:p>
    <w:p>
      <w:pPr>
        <w:ind w:left="466" w:hanging="466"/>
        <w:spacing w:after="0"/>
        <w:tabs>
          <w:tab w:leader="none" w:pos="466"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Legal Proceedings</w:t>
      </w:r>
    </w:p>
    <w:p>
      <w:pPr>
        <w:spacing w:after="0" w:line="182" w:lineRule="exact"/>
        <w:rPr>
          <w:sz w:val="20"/>
          <w:szCs w:val="20"/>
          <w:color w:val="auto"/>
        </w:rPr>
      </w:pPr>
    </w:p>
    <w:p>
      <w:pPr>
        <w:ind w:left="466" w:right="2979" w:firstLine="366"/>
        <w:spacing w:after="0" w:line="249" w:lineRule="auto"/>
        <w:rPr>
          <w:sz w:val="20"/>
          <w:szCs w:val="20"/>
          <w:color w:val="auto"/>
        </w:rPr>
      </w:pPr>
      <w:r>
        <w:rPr>
          <w:rFonts w:ascii="Courier New" w:cs="Courier New" w:eastAsia="Courier New" w:hAnsi="Courier New"/>
          <w:sz w:val="15"/>
          <w:szCs w:val="15"/>
          <w:color w:val="auto"/>
        </w:rPr>
        <w:t>On December 2, 2003 the Company announced that the United States District Court for the Eastern District of Missouri had issued an order granting the Company's motion to dismiss the securities class action lawsuits that had been pending against the Company and certain of its directors and officers since June 2002. The court's order also directed that judgment be entered in favor of the defendants. The consolidated complaint filed in the action alleged that the Company and the individual defendants had made false or misleading statements about the Company's business and future prospects during a putative class period between July 18, 2000 and June 20, 2002. On December 29, 2003 the lead plaintiffs appealed to the United States Court of Appeals for the Eighth Circuit from the final judgment entered on December 1, 2003.</w:t>
      </w:r>
    </w:p>
    <w:p>
      <w:pPr>
        <w:spacing w:after="0" w:line="175" w:lineRule="exact"/>
        <w:rPr>
          <w:sz w:val="20"/>
          <w:szCs w:val="20"/>
          <w:color w:val="auto"/>
        </w:rPr>
      </w:pPr>
    </w:p>
    <w:p>
      <w:pPr>
        <w:ind w:left="466" w:right="2899" w:firstLine="366"/>
        <w:spacing w:after="0" w:line="249" w:lineRule="auto"/>
        <w:rPr>
          <w:sz w:val="20"/>
          <w:szCs w:val="20"/>
          <w:color w:val="auto"/>
        </w:rPr>
      </w:pPr>
      <w:r>
        <w:rPr>
          <w:rFonts w:ascii="Courier New" w:cs="Courier New" w:eastAsia="Courier New" w:hAnsi="Courier New"/>
          <w:sz w:val="15"/>
          <w:szCs w:val="15"/>
          <w:color w:val="auto"/>
        </w:rPr>
        <w:t>The Company is involved in various other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176"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Securities and Exchange Commission Investigation</w:t>
      </w:r>
    </w:p>
    <w:p>
      <w:pPr>
        <w:spacing w:after="0" w:line="182" w:lineRule="exact"/>
        <w:rPr>
          <w:sz w:val="20"/>
          <w:szCs w:val="20"/>
          <w:color w:val="auto"/>
        </w:rPr>
      </w:pPr>
    </w:p>
    <w:p>
      <w:pPr>
        <w:ind w:left="466" w:right="2899" w:firstLine="366"/>
        <w:spacing w:after="0" w:line="249" w:lineRule="auto"/>
        <w:rPr>
          <w:sz w:val="20"/>
          <w:szCs w:val="20"/>
          <w:color w:val="auto"/>
        </w:rPr>
      </w:pPr>
      <w:r>
        <w:rPr>
          <w:rFonts w:ascii="Courier New" w:cs="Courier New" w:eastAsia="Courier New" w:hAnsi="Courier New"/>
          <w:sz w:val="15"/>
          <w:szCs w:val="15"/>
          <w:color w:val="auto"/>
        </w:rPr>
        <w:t>The Company has been informed that the Midwest Regional Office of the SEC is conducting a private investigation into the events leading up to the Company's announcement in June 2002 of revised projected revenue for the third and fourth quarters of fiscal 2002. The investigation appears to be focused on, but is not explicitly limited to, the Company's forecasting beginning with its April 23, 2002 press release. Although the Company believes that it will be able to satisfy any concerns the SEC staff may have in this regard, the Company is unable to predict the duration, scope, or outcome of the investigation. The Company is cooperating fully with the SEC staff.</w:t>
      </w:r>
    </w:p>
    <w:p>
      <w:pPr>
        <w:spacing w:after="0" w:line="175"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Guarantor's Accounting and Disclosure Requirements for Guarantees</w:t>
      </w:r>
    </w:p>
    <w:p>
      <w:pPr>
        <w:spacing w:after="0" w:line="182" w:lineRule="exact"/>
        <w:rPr>
          <w:sz w:val="20"/>
          <w:szCs w:val="20"/>
          <w:color w:val="auto"/>
        </w:rPr>
      </w:pPr>
    </w:p>
    <w:p>
      <w:pPr>
        <w:ind w:left="366" w:right="2899" w:firstLine="458"/>
        <w:spacing w:after="0" w:line="249" w:lineRule="auto"/>
        <w:rPr>
          <w:sz w:val="20"/>
          <w:szCs w:val="20"/>
          <w:color w:val="auto"/>
        </w:rPr>
      </w:pPr>
      <w:r>
        <w:rPr>
          <w:rFonts w:ascii="Courier New" w:cs="Courier New" w:eastAsia="Courier New" w:hAnsi="Courier New"/>
          <w:sz w:val="15"/>
          <w:szCs w:val="15"/>
          <w:color w:val="auto"/>
        </w:rPr>
        <w:t>The Company is a party to an agreement entered into prior to December 31, 2002 that includes an indemnification of one of its customers for any withholding tax that might be required under the customer's local tax laws from certain payments made to the Company under this agreement. The indemnification under this agreement expires in December 2005. As of June 30, 2004 and September 30, 2003, the maximum potential amount of the Company's future exposure under this guarantee as determined in accordance with Financial Accounting Standards Board Interpretation No. 45 "Guarantor's Accounting and Disclosure Requirements for Guarantees, Including Indirect Guarantees of Indebtedness of Others" was $4,717.</w:t>
      </w:r>
    </w:p>
    <w:p>
      <w:pPr>
        <w:spacing w:after="0" w:line="175" w:lineRule="exact"/>
        <w:rPr>
          <w:sz w:val="20"/>
          <w:szCs w:val="20"/>
          <w:color w:val="auto"/>
        </w:rPr>
      </w:pPr>
    </w:p>
    <w:p>
      <w:pPr>
        <w:ind w:left="366" w:right="2979" w:firstLine="458"/>
        <w:spacing w:after="0" w:line="249" w:lineRule="auto"/>
        <w:rPr>
          <w:sz w:val="20"/>
          <w:szCs w:val="20"/>
          <w:color w:val="auto"/>
        </w:rPr>
      </w:pPr>
      <w:r>
        <w:rPr>
          <w:rFonts w:ascii="Courier New" w:cs="Courier New" w:eastAsia="Courier New" w:hAnsi="Courier New"/>
          <w:sz w:val="15"/>
          <w:szCs w:val="15"/>
          <w:color w:val="auto"/>
        </w:rPr>
        <w:t>The Company generally sells its ClarifyCRM products with a limited warranty for a period of 90 days. The Company's policy is to accrue for warranty costs, if needed, based on historical trends in product failure. Based on the Company's experience, only minimal warranty services have been required and, as a result, the Company did not accrue any amounts for product warranty liability during the nine months ended June 30, 2004 and 2003.</w:t>
      </w:r>
    </w:p>
    <w:p>
      <w:pPr>
        <w:spacing w:after="0" w:line="175" w:lineRule="exact"/>
        <w:rPr>
          <w:sz w:val="20"/>
          <w:szCs w:val="20"/>
          <w:color w:val="auto"/>
        </w:rPr>
      </w:pPr>
    </w:p>
    <w:p>
      <w:pPr>
        <w:ind w:left="466" w:right="3079" w:firstLine="366"/>
        <w:spacing w:after="0" w:line="249" w:lineRule="auto"/>
        <w:rPr>
          <w:sz w:val="20"/>
          <w:szCs w:val="20"/>
          <w:color w:val="auto"/>
        </w:rPr>
      </w:pPr>
      <w:r>
        <w:rPr>
          <w:rFonts w:ascii="Courier New" w:cs="Courier New" w:eastAsia="Courier New" w:hAnsi="Courier New"/>
          <w:sz w:val="15"/>
          <w:szCs w:val="15"/>
          <w:color w:val="auto"/>
        </w:rPr>
        <w:t>The Company generally indemnifies its customers against claims of intellectual property infringement made by third parties arising from the use of the Company's software. To date, the Company has incurred only minimal costs as a result of such obligations and has not accrued any liabilities related to such indemnification in its consolidated financial statements.</w:t>
      </w:r>
    </w:p>
    <w:p>
      <w:pPr>
        <w:spacing w:after="0" w:line="35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5"/>
          </w:cols>
          <w:pgMar w:left="234" w:top="647" w:right="1440" w:bottom="1440" w:gutter="0" w:footer="0" w:header="0"/>
        </w:sectPr>
      </w:pPr>
    </w:p>
    <w:bookmarkStart w:id="21" w:name="page22"/>
    <w:bookmarkEnd w:id="21"/>
    <w:p>
      <w:pPr>
        <w:spacing w:after="0"/>
        <w:tabs>
          <w:tab w:leader="none" w:pos="800" w:val="left"/>
        </w:tabs>
        <w:rPr>
          <w:sz w:val="20"/>
          <w:szCs w:val="20"/>
          <w:color w:val="auto"/>
        </w:rPr>
      </w:pPr>
      <w:r>
        <w:rPr>
          <w:rFonts w:ascii="Courier New" w:cs="Courier New" w:eastAsia="Courier New" w:hAnsi="Courier New"/>
          <w:sz w:val="15"/>
          <w:szCs w:val="15"/>
          <w:color w:val="auto"/>
        </w:rPr>
        <w:t>Item 2.</w:t>
        <w:tab/>
        <w:t>Operating and Financial Review and Prospects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 Looking Statements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section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186"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under the caption "Risk Factors" in the Form 20-F for fiscal 2003 that we have filed with the United States Securities and Exchange Commission ("SEC").</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82" w:lineRule="exact"/>
        <w:rPr>
          <w:sz w:val="20"/>
          <w:szCs w:val="20"/>
          <w:color w:val="auto"/>
        </w:rPr>
      </w:pPr>
    </w:p>
    <w:p>
      <w:pPr>
        <w:ind w:right="2899" w:firstLine="458"/>
        <w:spacing w:after="0" w:line="250" w:lineRule="auto"/>
        <w:rPr>
          <w:sz w:val="20"/>
          <w:szCs w:val="20"/>
          <w:color w:val="auto"/>
        </w:rPr>
      </w:pPr>
      <w:r>
        <w:rPr>
          <w:rFonts w:ascii="Courier New" w:cs="Courier New" w:eastAsia="Courier New" w:hAnsi="Courier New"/>
          <w:sz w:val="15"/>
          <w:szCs w:val="15"/>
          <w:color w:val="auto"/>
        </w:rPr>
        <w:t>In this section, we discuss the general financial condition and the results of operations for Amdocs and its subsidiaries including:</w:t>
      </w:r>
    </w:p>
    <w:p>
      <w:pPr>
        <w:spacing w:after="0" w:line="175" w:lineRule="exact"/>
        <w:rPr>
          <w:sz w:val="20"/>
          <w:szCs w:val="20"/>
          <w:color w:val="auto"/>
        </w:rPr>
      </w:pPr>
    </w:p>
    <w:p>
      <w:pPr>
        <w:ind w:left="820" w:hanging="460"/>
        <w:spacing w:after="0"/>
        <w:tabs>
          <w:tab w:leader="none" w:pos="8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factors that affect our business,</w:t>
      </w:r>
    </w:p>
    <w:p>
      <w:pPr>
        <w:spacing w:after="0" w:line="182" w:lineRule="exact"/>
        <w:rPr>
          <w:rFonts w:ascii="Courier New" w:cs="Courier New" w:eastAsia="Courier New" w:hAnsi="Courier New"/>
          <w:sz w:val="15"/>
          <w:szCs w:val="15"/>
          <w:color w:val="auto"/>
        </w:rPr>
      </w:pPr>
    </w:p>
    <w:p>
      <w:pPr>
        <w:ind w:left="820" w:right="2899" w:hanging="460"/>
        <w:spacing w:after="0" w:line="250" w:lineRule="auto"/>
        <w:tabs>
          <w:tab w:leader="none" w:pos="8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revenue and costs for the nine months and three months ended June 30, 2004 and 2003,</w:t>
      </w:r>
    </w:p>
    <w:p>
      <w:pPr>
        <w:spacing w:after="0" w:line="174" w:lineRule="exact"/>
        <w:rPr>
          <w:rFonts w:ascii="Courier New" w:cs="Courier New" w:eastAsia="Courier New" w:hAnsi="Courier New"/>
          <w:sz w:val="15"/>
          <w:szCs w:val="15"/>
          <w:color w:val="auto"/>
        </w:rPr>
      </w:pPr>
    </w:p>
    <w:p>
      <w:pPr>
        <w:ind w:left="820" w:right="3539" w:hanging="460"/>
        <w:spacing w:after="0" w:line="250" w:lineRule="auto"/>
        <w:tabs>
          <w:tab w:leader="none" w:pos="8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reasons why such revenue and costs were different from period to period,</w:t>
      </w:r>
    </w:p>
    <w:p>
      <w:pPr>
        <w:spacing w:after="0" w:line="174" w:lineRule="exact"/>
        <w:rPr>
          <w:rFonts w:ascii="Courier New" w:cs="Courier New" w:eastAsia="Courier New" w:hAnsi="Courier New"/>
          <w:sz w:val="15"/>
          <w:szCs w:val="15"/>
          <w:color w:val="auto"/>
        </w:rPr>
      </w:pPr>
    </w:p>
    <w:p>
      <w:pPr>
        <w:ind w:left="820" w:hanging="460"/>
        <w:spacing w:after="0"/>
        <w:tabs>
          <w:tab w:leader="none" w:pos="8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revenue,</w:t>
      </w:r>
    </w:p>
    <w:p>
      <w:pPr>
        <w:spacing w:after="0" w:line="182" w:lineRule="exact"/>
        <w:rPr>
          <w:rFonts w:ascii="Courier New" w:cs="Courier New" w:eastAsia="Courier New" w:hAnsi="Courier New"/>
          <w:sz w:val="15"/>
          <w:szCs w:val="15"/>
          <w:color w:val="auto"/>
        </w:rPr>
      </w:pPr>
    </w:p>
    <w:p>
      <w:pPr>
        <w:ind w:left="820" w:hanging="460"/>
        <w:spacing w:after="0"/>
        <w:tabs>
          <w:tab w:leader="none" w:pos="8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all of this affects our overall financial condition,</w:t>
      </w:r>
    </w:p>
    <w:p>
      <w:pPr>
        <w:spacing w:after="0" w:line="182" w:lineRule="exact"/>
        <w:rPr>
          <w:rFonts w:ascii="Courier New" w:cs="Courier New" w:eastAsia="Courier New" w:hAnsi="Courier New"/>
          <w:sz w:val="15"/>
          <w:szCs w:val="15"/>
          <w:color w:val="auto"/>
        </w:rPr>
      </w:pPr>
    </w:p>
    <w:p>
      <w:pPr>
        <w:ind w:left="820" w:right="2979" w:hanging="460"/>
        <w:spacing w:after="0" w:line="250" w:lineRule="auto"/>
        <w:tabs>
          <w:tab w:leader="none" w:pos="8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expenditures for the nine months and three months ended June 30, 2004 and 2003, and</w:t>
      </w:r>
    </w:p>
    <w:p>
      <w:pPr>
        <w:spacing w:after="0" w:line="174" w:lineRule="exact"/>
        <w:rPr>
          <w:rFonts w:ascii="Courier New" w:cs="Courier New" w:eastAsia="Courier New" w:hAnsi="Courier New"/>
          <w:sz w:val="15"/>
          <w:szCs w:val="15"/>
          <w:color w:val="auto"/>
        </w:rPr>
      </w:pPr>
    </w:p>
    <w:p>
      <w:pPr>
        <w:ind w:left="820" w:right="3359" w:hanging="460"/>
        <w:spacing w:after="0" w:line="250" w:lineRule="auto"/>
        <w:tabs>
          <w:tab w:leader="none" w:pos="8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cash to pay for future capital expenditures and possible acquisitions.</w:t>
      </w:r>
    </w:p>
    <w:p>
      <w:pPr>
        <w:spacing w:after="0" w:line="175" w:lineRule="exact"/>
        <w:rPr>
          <w:sz w:val="20"/>
          <w:szCs w:val="20"/>
          <w:color w:val="auto"/>
        </w:rPr>
      </w:pPr>
    </w:p>
    <w:p>
      <w:pPr>
        <w:jc w:val="both"/>
        <w:ind w:right="3079" w:firstLine="458"/>
        <w:spacing w:after="0" w:line="249" w:lineRule="auto"/>
        <w:rPr>
          <w:sz w:val="20"/>
          <w:szCs w:val="20"/>
          <w:color w:val="auto"/>
        </w:rPr>
      </w:pPr>
      <w:r>
        <w:rPr>
          <w:rFonts w:ascii="Courier New" w:cs="Courier New" w:eastAsia="Courier New" w:hAnsi="Courier New"/>
          <w:sz w:val="15"/>
          <w:szCs w:val="15"/>
          <w:color w:val="auto"/>
        </w:rPr>
        <w:t>In this section, we also analyze and explain the changes in the specific line items in our consolidated statements of income between the nine-month and three-month periods ended June 30, 2004 and 2003. You should read this section in conjunction with our consolidated financial statements.</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47"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Overview of Business and Trend Information</w:t>
      </w:r>
    </w:p>
    <w:p>
      <w:pPr>
        <w:spacing w:after="0" w:line="182"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Our market focus is primarily the communications industry, and we are a leading provider of software products and services to major communications companies in North America, Europe and the rest of the world. The products and services that we provide are known as integrated customer management systems, which we refer to as "Integrated Customer Management". Our Integrated Customer Management product offerings consist primarily of billing and customer relationship management systems, which we refer to, collectively, as "Customer Care and Billing Systems", or "CC&amp;B Systems". We refer to customer relationship management products included within CC&amp;B Systems as "CRM" products. Our portfolio of products also includes a full range of directory sales and publishing systems, which we refer to as "Directory Systems", for publishers of both traditional printed yellow page and white page directories and electronic Internet directories.</w:t>
      </w:r>
    </w:p>
    <w:p>
      <w:pPr>
        <w:spacing w:after="0" w:line="184"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Our Integrated Customer Management systems are designed to meet the mission-critical needs of leading communications service providers. We support a wide range of communications services, including wireline, wireless, voice, data, broadband, content, electronic and mobile commerce and Internet Protocol ("IP") based services. We also support companies that offer bundled or convergent service packages. Due to the complexity of our customers' projects and the expertise required for system support, we also provide extensive implementation, system integration, system modification, ongoing support, system enhancement and maintenance services. In addition, we offer Managed Services, which include a combination of services, such as system modernization and consolidation, management and operation of data centers, purchase and management of related hardware assets, billing operations and application support, in all cases on either or a combination of a fixed or unit charge basis to our customers.</w:t>
      </w:r>
    </w:p>
    <w:p>
      <w:pPr>
        <w:spacing w:after="0" w:line="351"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Our business is conducted on a global basis. We maintain five development facilities located in Israel, the United States, Cyprus, Ireland and Canada. Recently, we established a new development center in India. We expect this development center to grow and support the overall activity of our business worldwide, at comparatively lower operating costs.</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As part of our strategy, we may pursue acquisitions and other initiatives in order to offer new products or services or otherwise enhance our market position or strategic strengths.</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We derive our revenue principally from:</w:t>
      </w:r>
    </w:p>
    <w:p>
      <w:pPr>
        <w:spacing w:after="0" w:line="182" w:lineRule="exact"/>
        <w:rPr>
          <w:sz w:val="20"/>
          <w:szCs w:val="20"/>
          <w:color w:val="auto"/>
        </w:rPr>
      </w:pPr>
    </w:p>
    <w:p>
      <w:pPr>
        <w:ind w:left="920" w:right="3179" w:hanging="468"/>
        <w:spacing w:after="0" w:line="249" w:lineRule="auto"/>
        <w:tabs>
          <w:tab w:leader="none" w:pos="9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sales of our products and related services, including license fees and modification, implementation and integration services,</w:t>
      </w:r>
    </w:p>
    <w:p>
      <w:pPr>
        <w:spacing w:after="0" w:line="175" w:lineRule="exact"/>
        <w:rPr>
          <w:rFonts w:ascii="Courier New" w:cs="Courier New" w:eastAsia="Courier New" w:hAnsi="Courier New"/>
          <w:sz w:val="15"/>
          <w:szCs w:val="15"/>
          <w:color w:val="auto"/>
        </w:rPr>
      </w:pPr>
    </w:p>
    <w:p>
      <w:pPr>
        <w:ind w:left="920" w:right="3439" w:hanging="468"/>
        <w:spacing w:after="0" w:line="250" w:lineRule="auto"/>
        <w:tabs>
          <w:tab w:leader="none" w:pos="9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Managed Services and other related services for our solutions, and</w:t>
      </w:r>
    </w:p>
    <w:p>
      <w:pPr>
        <w:spacing w:after="0" w:line="174" w:lineRule="exact"/>
        <w:rPr>
          <w:rFonts w:ascii="Courier New" w:cs="Courier New" w:eastAsia="Courier New" w:hAnsi="Courier New"/>
          <w:sz w:val="15"/>
          <w:szCs w:val="15"/>
          <w:color w:val="auto"/>
        </w:rPr>
      </w:pPr>
    </w:p>
    <w:p>
      <w:pPr>
        <w:ind w:left="920" w:right="2899" w:hanging="468"/>
        <w:spacing w:after="0" w:line="249" w:lineRule="auto"/>
        <w:tabs>
          <w:tab w:leader="none" w:pos="9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recurring revenue from ongoing support and maintenance provided to our customers, and from incremental license fees resulting from increases in a customer's business volume.</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Revenue is recognized only when all of the following conditions have been met: (i) there is persuasive evidence of an arrangement; (ii) delivery has occurred; (iii) the fee is fixed and determinable; and (iv) collectability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As a result, we generally recognize combined license and service revenue over the course of these long-term projects, using the percentage of</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823" w:right="1440" w:bottom="1440" w:gutter="0" w:footer="0" w:header="0"/>
        </w:sectPr>
      </w:pPr>
    </w:p>
    <w:bookmarkStart w:id="23" w:name="page24"/>
    <w:bookmarkEnd w:id="23"/>
    <w:p>
      <w:pPr>
        <w:ind w:right="2899"/>
        <w:spacing w:after="0" w:line="248" w:lineRule="auto"/>
        <w:rPr>
          <w:sz w:val="20"/>
          <w:szCs w:val="20"/>
          <w:color w:val="auto"/>
        </w:rPr>
      </w:pPr>
      <w:r>
        <w:rPr>
          <w:rFonts w:ascii="Courier New" w:cs="Courier New" w:eastAsia="Courier New" w:hAnsi="Courier New"/>
          <w:sz w:val="15"/>
          <w:szCs w:val="15"/>
          <w:color w:val="auto"/>
        </w:rPr>
        <w:t>completion method of accounting. Initial license fee revenue is recognized as work is performed, using the percentage of completion method of accounting. Subsequent license fee revenue is recognized upon completion of specified conditions in each contract, based on a customer's subscriber level or number of users when greater than the level specified in the contract for the initial license fee. Service revenue that involves significant ongoing obligations, including fees for software customization, implementation and modification, also is recognized as work is performed, under the percentage of completion method of accounting. Revenue from software solutions that do not require significant customization and modification is recognized upon delivery. In Managed Services contracts, we typically recognize revenue from the operation of a customer's system either ratably over the service period or as services are performed. Revenue from ongoing support services is recognized as work is performed. Revenue from third-party hardware and software sales is recognized upon installation and delivery, respectively. Maintenance revenue is recognized ratably over the term of the maintenance agreement. As a result of a significant portion of our revenue being subject to the percentage of completion accounting method, the size and timing of customer projects and our progress in completing such projects may significantly affect our annual and quarterly operating results.</w:t>
      </w:r>
    </w:p>
    <w:p>
      <w:pPr>
        <w:spacing w:after="0" w:line="364"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Our business is subject to the effects of general global economic conditions and, in particular, market conditions in the communications industry. As a result of the slowdown in the communications industry during the last two years, the market value, financial results and prospects, and capital spending levels of communications companies declined or degraded. The challenging environment in the communications industry significantly impacted our business. During the last two years, delays in customer buying decisions stemming from rigorous management of operating expenses and overall reductions in the capital investment budgets of many communications service providers led to fewer new contracts, as well as smaller initial spending commitments and reduced discretionary spending under contracts with some of our customers. As a result of the market conditions during fiscal 2002 mentioned above, our revenue in the fiscal 2002 third quarter decreased by more than $75 million from the previous quarter. Revenue continued to decline in the fourth quarter of fiscal 2002 and the first quarter of fiscal 2003. During calendar 2003, the market began to stabilize. As a result, we resumed sequential revenue growth in the second quarter of fiscal 2003. During the nine months ended June 30, 2004, communications service providers demonstrated a greater readiness to commit to new projects, although the market has not grown at the rate expected. While difficulties remain in the communications industry, we believe that, with the overall improvement of market conditions, we should achieve very modest sequential growth in the coming quarters.</w:t>
      </w:r>
    </w:p>
    <w:p>
      <w:pPr>
        <w:spacing w:after="0" w:line="189"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Our quarterly revenue for the last eleven quarters is summarized below (in millions):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jc w:val="right"/>
              <w:ind w:right="604"/>
              <w:spacing w:after="0"/>
              <w:rPr>
                <w:sz w:val="20"/>
                <w:szCs w:val="20"/>
                <w:color w:val="auto"/>
              </w:rPr>
            </w:pPr>
            <w:r>
              <w:rPr>
                <w:rFonts w:ascii="Courier New" w:cs="Courier New" w:eastAsia="Courier New" w:hAnsi="Courier New"/>
                <w:sz w:val="15"/>
                <w:szCs w:val="15"/>
                <w:color w:val="auto"/>
                <w:w w:val="99"/>
              </w:rPr>
              <w:t>Q1</w:t>
            </w:r>
          </w:p>
        </w:tc>
        <w:tc>
          <w:tcPr>
            <w:tcW w:w="920" w:type="dxa"/>
            <w:vAlign w:val="bottom"/>
          </w:tcPr>
          <w:p>
            <w:pPr>
              <w:spacing w:after="0"/>
              <w:rPr>
                <w:sz w:val="14"/>
                <w:szCs w:val="14"/>
                <w:color w:val="auto"/>
              </w:rPr>
            </w:pPr>
          </w:p>
        </w:tc>
        <w:tc>
          <w:tcPr>
            <w:tcW w:w="110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Q2</w:t>
            </w:r>
          </w:p>
        </w:tc>
        <w:tc>
          <w:tcPr>
            <w:tcW w:w="720" w:type="dxa"/>
            <w:vAlign w:val="bottom"/>
          </w:tcPr>
          <w:p>
            <w:pPr>
              <w:spacing w:after="0"/>
              <w:rPr>
                <w:sz w:val="14"/>
                <w:szCs w:val="14"/>
                <w:color w:val="auto"/>
              </w:rPr>
            </w:pPr>
          </w:p>
        </w:tc>
        <w:tc>
          <w:tcPr>
            <w:tcW w:w="11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Q3</w:t>
            </w:r>
          </w:p>
        </w:tc>
        <w:tc>
          <w:tcPr>
            <w:tcW w:w="700" w:type="dxa"/>
            <w:vAlign w:val="bottom"/>
          </w:tcPr>
          <w:p>
            <w:pPr>
              <w:spacing w:after="0"/>
              <w:rPr>
                <w:sz w:val="14"/>
                <w:szCs w:val="14"/>
                <w:color w:val="auto"/>
              </w:rPr>
            </w:pPr>
          </w:p>
        </w:tc>
        <w:tc>
          <w:tcPr>
            <w:tcW w:w="10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Q4</w:t>
            </w:r>
          </w:p>
        </w:tc>
      </w:tr>
      <w:tr>
        <w:trPr>
          <w:trHeight w:val="176"/>
        </w:trPr>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Fiscal 2004</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428.3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442.8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450.2</w:t>
            </w:r>
          </w:p>
        </w:tc>
        <w:tc>
          <w:tcPr>
            <w:tcW w:w="700" w:type="dxa"/>
            <w:vAlign w:val="bottom"/>
          </w:tcPr>
          <w:p>
            <w:pPr>
              <w:spacing w:after="0"/>
              <w:rPr>
                <w:sz w:val="24"/>
                <w:szCs w:val="24"/>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NA</w:t>
            </w:r>
          </w:p>
        </w:tc>
      </w:tr>
      <w:tr>
        <w:trPr>
          <w:trHeight w:val="352"/>
        </w:trPr>
        <w:tc>
          <w:tcPr>
            <w:tcW w:w="600" w:type="dxa"/>
            <w:vAlign w:val="bottom"/>
          </w:tcPr>
          <w:p>
            <w:pPr>
              <w:spacing w:after="0"/>
              <w:rPr>
                <w:sz w:val="20"/>
                <w:szCs w:val="20"/>
                <w:color w:val="auto"/>
              </w:rPr>
            </w:pPr>
            <w:r>
              <w:rPr>
                <w:rFonts w:ascii="Courier New" w:cs="Courier New" w:eastAsia="Courier New" w:hAnsi="Courier New"/>
                <w:sz w:val="15"/>
                <w:szCs w:val="15"/>
                <w:color w:val="auto"/>
              </w:rPr>
              <w:t>Fiscal</w:t>
            </w:r>
          </w:p>
        </w:tc>
        <w:tc>
          <w:tcPr>
            <w:tcW w:w="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2003</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339.4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355.0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377.2</w:t>
            </w:r>
          </w:p>
        </w:tc>
        <w:tc>
          <w:tcPr>
            <w:tcW w:w="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411.7</w:t>
            </w:r>
          </w:p>
        </w:tc>
      </w:tr>
      <w:tr>
        <w:trPr>
          <w:trHeight w:val="352"/>
        </w:trPr>
        <w:tc>
          <w:tcPr>
            <w:tcW w:w="600" w:type="dxa"/>
            <w:vAlign w:val="bottom"/>
          </w:tcPr>
          <w:p>
            <w:pPr>
              <w:spacing w:after="0"/>
              <w:rPr>
                <w:sz w:val="20"/>
                <w:szCs w:val="20"/>
                <w:color w:val="auto"/>
              </w:rPr>
            </w:pPr>
            <w:r>
              <w:rPr>
                <w:rFonts w:ascii="Courier New" w:cs="Courier New" w:eastAsia="Courier New" w:hAnsi="Courier New"/>
                <w:sz w:val="15"/>
                <w:szCs w:val="15"/>
                <w:color w:val="auto"/>
              </w:rPr>
              <w:t>Fiscal</w:t>
            </w:r>
          </w:p>
        </w:tc>
        <w:tc>
          <w:tcPr>
            <w:tcW w:w="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2002</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422.6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455.3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380.2</w:t>
            </w:r>
          </w:p>
        </w:tc>
        <w:tc>
          <w:tcPr>
            <w:tcW w:w="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355.5</w:t>
            </w:r>
          </w:p>
        </w:tc>
      </w:tr>
    </w:tbl>
    <w:p>
      <w:pPr>
        <w:spacing w:after="0" w:line="357"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Due to our heavy dependence on the communications industry and a limited number of significant customers, we can be adversely affected by consolidations of service providers and by bankruptcies or other business failures in that industry. The potential loss of a customer due to consolidation or failures in the communications industry could harm our business and might have a material adverse effect on our consolidated operating results and financial condition.</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We believe that we are a leading global provider of CC&amp;B Systems. We provide a broad set of billing and CRM products, with proven functionality and scalability, accompanied by a comprehensive range of support services.</w:t>
      </w:r>
    </w:p>
    <w:p>
      <w:pPr>
        <w:spacing w:after="0" w:line="176" w:lineRule="exact"/>
        <w:rPr>
          <w:sz w:val="20"/>
          <w:szCs w:val="20"/>
          <w:color w:val="auto"/>
        </w:rPr>
      </w:pPr>
    </w:p>
    <w:p>
      <w:pPr>
        <w:ind w:left="460" w:right="3079"/>
        <w:spacing w:after="0" w:line="250" w:lineRule="auto"/>
        <w:rPr>
          <w:sz w:val="20"/>
          <w:szCs w:val="20"/>
          <w:color w:val="auto"/>
        </w:rPr>
      </w:pPr>
      <w:r>
        <w:rPr>
          <w:rFonts w:ascii="Courier New" w:cs="Courier New" w:eastAsia="Courier New" w:hAnsi="Courier New"/>
          <w:sz w:val="15"/>
          <w:szCs w:val="15"/>
          <w:color w:val="auto"/>
        </w:rPr>
        <w:t>We believe that demand for our CC&amp;B Systems is driven by, among other key factors:</w:t>
      </w:r>
    </w:p>
    <w:p>
      <w:pPr>
        <w:spacing w:after="0" w:line="175" w:lineRule="exact"/>
        <w:rPr>
          <w:sz w:val="20"/>
          <w:szCs w:val="20"/>
          <w:color w:val="auto"/>
        </w:rPr>
      </w:pPr>
    </w:p>
    <w:p>
      <w:pPr>
        <w:ind w:left="820" w:hanging="368"/>
        <w:spacing w:after="0"/>
        <w:tabs>
          <w:tab w:leader="none" w:pos="8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global penetration of communications service providers,</w:t>
      </w:r>
    </w:p>
    <w:p>
      <w:pPr>
        <w:spacing w:after="0" w:line="182" w:lineRule="exact"/>
        <w:rPr>
          <w:rFonts w:ascii="Courier New" w:cs="Courier New" w:eastAsia="Courier New" w:hAnsi="Courier New"/>
          <w:sz w:val="15"/>
          <w:szCs w:val="15"/>
          <w:color w:val="auto"/>
        </w:rPr>
      </w:pPr>
    </w:p>
    <w:p>
      <w:pPr>
        <w:ind w:left="820" w:right="3079" w:hanging="368"/>
        <w:spacing w:after="0" w:line="250" w:lineRule="auto"/>
        <w:tabs>
          <w:tab w:leader="none" w:pos="8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emergence of new communications products and services, especially IP, data and content services,</w:t>
      </w:r>
    </w:p>
    <w:p>
      <w:pPr>
        <w:spacing w:after="0" w:line="174" w:lineRule="exact"/>
        <w:rPr>
          <w:rFonts w:ascii="Courier New" w:cs="Courier New" w:eastAsia="Courier New" w:hAnsi="Courier New"/>
          <w:sz w:val="15"/>
          <w:szCs w:val="15"/>
          <w:color w:val="auto"/>
        </w:rPr>
      </w:pPr>
    </w:p>
    <w:p>
      <w:pPr>
        <w:ind w:left="820" w:right="3079" w:hanging="368"/>
        <w:spacing w:after="0" w:line="249" w:lineRule="auto"/>
        <w:tabs>
          <w:tab w:leader="none" w:pos="8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technological changes, such as the introduction of wireless Internet services via GPRS (General Packet Radio Services) and UMTS (Universal Mobile Telecommunications System) technology,</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823" w:right="1440" w:bottom="481" w:gutter="0" w:footer="0" w:header="0"/>
        </w:sectPr>
      </w:pPr>
    </w:p>
    <w:bookmarkStart w:id="24" w:name="page25"/>
    <w:bookmarkEnd w:id="24"/>
    <w:p>
      <w:pPr>
        <w:ind w:left="820" w:hanging="368"/>
        <w:spacing w:after="0"/>
        <w:tabs>
          <w:tab w:leader="none" w:pos="8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ongoing consolidation within the communications industry,</w:t>
      </w:r>
    </w:p>
    <w:p>
      <w:pPr>
        <w:spacing w:after="0" w:line="182" w:lineRule="exact"/>
        <w:rPr>
          <w:rFonts w:ascii="Courier New" w:cs="Courier New" w:eastAsia="Courier New" w:hAnsi="Courier New"/>
          <w:sz w:val="15"/>
          <w:szCs w:val="15"/>
          <w:color w:val="auto"/>
        </w:rPr>
      </w:pPr>
    </w:p>
    <w:p>
      <w:pPr>
        <w:ind w:left="820" w:right="2899" w:hanging="368"/>
        <w:spacing w:after="0" w:line="250" w:lineRule="auto"/>
        <w:tabs>
          <w:tab w:leader="none" w:pos="8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needs of communications service providers to reduce costs and retain high value customers, and</w:t>
      </w:r>
    </w:p>
    <w:p>
      <w:pPr>
        <w:spacing w:after="0" w:line="174" w:lineRule="exact"/>
        <w:rPr>
          <w:rFonts w:ascii="Courier New" w:cs="Courier New" w:eastAsia="Courier New" w:hAnsi="Courier New"/>
          <w:sz w:val="15"/>
          <w:szCs w:val="15"/>
          <w:color w:val="auto"/>
        </w:rPr>
      </w:pPr>
    </w:p>
    <w:p>
      <w:pPr>
        <w:ind w:left="820" w:hanging="368"/>
        <w:spacing w:after="0"/>
        <w:tabs>
          <w:tab w:leader="none" w:pos="8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shift from in-house management to vendor solutions.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also believe that additional drivers of demand are the continuing trend for communications service providers to offer their subscribers multiple service packages, commonly referred to as bundled or convergent services (combinations of voice, broadband, electronic and mobile commerce and IP services), and the ability of our CC&amp;B Systems to improve productivity.</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License and service revenue from the sale of CC&amp;B Systems and Directory Systems includes revenue from Managed Services arrangements. Managed Services projects are a significant part of our business, and generate substantial, long-term revenue streams, cash flow and operating income. In the initial period of our Managed Services projects, we generally invest in modernization and consolidation of the customer's systems. Invoices are usually structured on a periodic fixed or unit charge basis. As a result, Managed Services projects can be less profitable in the initial period. Margins tend to improve over time as we benefit from the operational efficiencies provided by system modernization and consolidation. We expect that our Managed Services relationships will generate margins comparable to sales of our other products and related license and services over the entire relationships. Revenue related to Managed Services agreements in the three months and nine months ended June 30, 2004 was approximately 40% of total revenue for such periods.</w:t>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2" w:lineRule="exact"/>
        <w:rPr>
          <w:sz w:val="20"/>
          <w:szCs w:val="20"/>
          <w:color w:val="auto"/>
        </w:rPr>
      </w:pPr>
    </w:p>
    <w:p>
      <w:pPr>
        <w:jc w:val="both"/>
        <w:ind w:right="3079" w:firstLine="458"/>
        <w:spacing w:after="0" w:line="249" w:lineRule="auto"/>
        <w:rPr>
          <w:sz w:val="20"/>
          <w:szCs w:val="20"/>
          <w:color w:val="auto"/>
        </w:rPr>
      </w:pPr>
      <w:r>
        <w:rPr>
          <w:rFonts w:ascii="Courier New" w:cs="Courier New" w:eastAsia="Courier New" w:hAnsi="Courier New"/>
          <w:sz w:val="15"/>
          <w:szCs w:val="15"/>
          <w:color w:val="auto"/>
        </w:rPr>
        <w:t>The following table sets forth for the nine months and three months ended June 30, 2004 and 2003 certain items in our consolidated statements of income reflected as a percentage of 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262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Three months ended</w:t>
            </w:r>
          </w:p>
        </w:tc>
        <w:tc>
          <w:tcPr>
            <w:tcW w:w="20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Nine months ended</w:t>
            </w:r>
          </w:p>
        </w:tc>
      </w:tr>
      <w:tr>
        <w:trPr>
          <w:trHeight w:val="176"/>
        </w:trPr>
        <w:tc>
          <w:tcPr>
            <w:tcW w:w="34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1000" w:type="dxa"/>
            <w:vAlign w:val="bottom"/>
          </w:tcPr>
          <w:p>
            <w:pPr>
              <w:spacing w:after="0"/>
              <w:rPr>
                <w:sz w:val="15"/>
                <w:szCs w:val="15"/>
                <w:color w:val="auto"/>
              </w:rPr>
            </w:pPr>
          </w:p>
        </w:tc>
        <w:tc>
          <w:tcPr>
            <w:tcW w:w="202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June 30,</w:t>
            </w:r>
          </w:p>
        </w:tc>
      </w:tr>
      <w:tr>
        <w:trPr>
          <w:trHeight w:val="176"/>
        </w:trPr>
        <w:tc>
          <w:tcPr>
            <w:tcW w:w="3420" w:type="dxa"/>
            <w:vAlign w:val="bottom"/>
          </w:tcPr>
          <w:p>
            <w:pPr>
              <w:spacing w:after="0"/>
              <w:rPr>
                <w:sz w:val="15"/>
                <w:szCs w:val="15"/>
                <w:color w:val="auto"/>
              </w:rPr>
            </w:pPr>
          </w:p>
        </w:tc>
        <w:tc>
          <w:tcPr>
            <w:tcW w:w="262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15"/>
                <w:szCs w:val="15"/>
                <w:color w:val="auto"/>
              </w:rPr>
            </w:pPr>
          </w:p>
        </w:tc>
        <w:tc>
          <w:tcPr>
            <w:tcW w:w="16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2004</w:t>
            </w:r>
          </w:p>
        </w:tc>
        <w:tc>
          <w:tcPr>
            <w:tcW w:w="10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2003</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2004</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2003</w:t>
            </w:r>
          </w:p>
        </w:tc>
      </w:tr>
      <w:tr>
        <w:trPr>
          <w:trHeight w:val="176"/>
        </w:trPr>
        <w:tc>
          <w:tcPr>
            <w:tcW w:w="3420" w:type="dxa"/>
            <w:vAlign w:val="bottom"/>
          </w:tcPr>
          <w:p>
            <w:pPr>
              <w:spacing w:after="0"/>
              <w:rPr>
                <w:sz w:val="15"/>
                <w:szCs w:val="15"/>
                <w:color w:val="auto"/>
              </w:rPr>
            </w:pP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9"/>
        </w:trPr>
        <w:tc>
          <w:tcPr>
            <w:tcW w:w="34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6"/>
        </w:trPr>
        <w:tc>
          <w:tcPr>
            <w:tcW w:w="3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License ..........................</w:t>
            </w:r>
          </w:p>
        </w:tc>
        <w:tc>
          <w:tcPr>
            <w:tcW w:w="16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3.8%</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6"/>
        </w:trPr>
        <w:tc>
          <w:tcPr>
            <w:tcW w:w="3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Service ..........................</w:t>
            </w: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96.2</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97.0</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96.1</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95.2</w:t>
            </w:r>
          </w:p>
        </w:tc>
      </w:tr>
      <w:tr>
        <w:trPr>
          <w:trHeight w:val="176"/>
        </w:trPr>
        <w:tc>
          <w:tcPr>
            <w:tcW w:w="3420" w:type="dxa"/>
            <w:vAlign w:val="bottom"/>
          </w:tcPr>
          <w:p>
            <w:pPr>
              <w:spacing w:after="0"/>
              <w:rPr>
                <w:sz w:val="15"/>
                <w:szCs w:val="15"/>
                <w:color w:val="auto"/>
              </w:rPr>
            </w:pP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15"/>
                <w:szCs w:val="15"/>
                <w:color w:val="auto"/>
              </w:rPr>
            </w:pP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100.0</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100.0</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100.0</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100.0</w:t>
            </w:r>
          </w:p>
        </w:tc>
      </w:tr>
      <w:tr>
        <w:trPr>
          <w:trHeight w:val="176"/>
        </w:trPr>
        <w:tc>
          <w:tcPr>
            <w:tcW w:w="3420" w:type="dxa"/>
            <w:vAlign w:val="bottom"/>
          </w:tcPr>
          <w:p>
            <w:pPr>
              <w:spacing w:after="0"/>
              <w:rPr>
                <w:sz w:val="15"/>
                <w:szCs w:val="15"/>
                <w:color w:val="auto"/>
              </w:rPr>
            </w:pP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Cost of license ..................</w:t>
            </w: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0.3</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0.4</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0.3</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0.4</w:t>
            </w:r>
          </w:p>
        </w:tc>
      </w:tr>
      <w:tr>
        <w:trPr>
          <w:trHeight w:val="176"/>
        </w:trPr>
        <w:tc>
          <w:tcPr>
            <w:tcW w:w="3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Cost of service ..................</w:t>
            </w: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62.9</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61.1</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63.1</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60.4</w:t>
            </w:r>
          </w:p>
        </w:tc>
      </w:tr>
      <w:tr>
        <w:trPr>
          <w:trHeight w:val="176"/>
        </w:trPr>
        <w:tc>
          <w:tcPr>
            <w:tcW w:w="3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Research and development .........</w:t>
            </w: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7.0</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7.9</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7.0</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8.3</w:t>
            </w:r>
          </w:p>
        </w:tc>
      </w:tr>
      <w:tr>
        <w:trPr>
          <w:trHeight w:val="176"/>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w:t>
            </w:r>
          </w:p>
        </w:tc>
        <w:tc>
          <w:tcPr>
            <w:tcW w:w="1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administrative .................</w:t>
            </w: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11.7</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13.5</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12.0</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14.3</w:t>
            </w:r>
          </w:p>
        </w:tc>
      </w:tr>
      <w:tr>
        <w:trPr>
          <w:trHeight w:val="176"/>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purchased</w:t>
            </w:r>
          </w:p>
        </w:tc>
        <w:tc>
          <w:tcPr>
            <w:tcW w:w="1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intangible assets ..............</w:t>
            </w: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1.0</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w:t>
            </w:r>
          </w:p>
        </w:tc>
      </w:tr>
      <w:tr>
        <w:trPr>
          <w:trHeight w:val="176"/>
        </w:trPr>
        <w:tc>
          <w:tcPr>
            <w:tcW w:w="3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Restructuring charges ............</w:t>
            </w: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0.9</w:t>
            </w:r>
          </w:p>
        </w:tc>
      </w:tr>
      <w:tr>
        <w:trPr>
          <w:trHeight w:val="176"/>
        </w:trPr>
        <w:tc>
          <w:tcPr>
            <w:tcW w:w="3420" w:type="dxa"/>
            <w:vAlign w:val="bottom"/>
          </w:tcPr>
          <w:p>
            <w:pPr>
              <w:spacing w:after="0"/>
              <w:rPr>
                <w:sz w:val="15"/>
                <w:szCs w:val="15"/>
                <w:color w:val="auto"/>
              </w:rPr>
            </w:pP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15"/>
                <w:szCs w:val="15"/>
                <w:color w:val="auto"/>
              </w:rPr>
            </w:pP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82.9</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84.1</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83.4</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85.6</w:t>
            </w:r>
          </w:p>
        </w:tc>
      </w:tr>
      <w:tr>
        <w:trPr>
          <w:trHeight w:val="176"/>
        </w:trPr>
        <w:tc>
          <w:tcPr>
            <w:tcW w:w="3420" w:type="dxa"/>
            <w:vAlign w:val="bottom"/>
          </w:tcPr>
          <w:p>
            <w:pPr>
              <w:spacing w:after="0"/>
              <w:rPr>
                <w:sz w:val="15"/>
                <w:szCs w:val="15"/>
                <w:color w:val="auto"/>
              </w:rPr>
            </w:pP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Operating income ...................</w:t>
            </w: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17.1</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15.9</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16.6</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14.4</w:t>
            </w:r>
          </w:p>
        </w:tc>
      </w:tr>
      <w:tr>
        <w:trPr>
          <w:trHeight w:val="176"/>
        </w:trPr>
        <w:tc>
          <w:tcPr>
            <w:tcW w:w="3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Interest income and other, net .....</w:t>
            </w: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0.0</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0.9</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0.2</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w:t>
            </w:r>
          </w:p>
        </w:tc>
      </w:tr>
      <w:tr>
        <w:trPr>
          <w:trHeight w:val="176"/>
        </w:trPr>
        <w:tc>
          <w:tcPr>
            <w:tcW w:w="3420" w:type="dxa"/>
            <w:vAlign w:val="bottom"/>
          </w:tcPr>
          <w:p>
            <w:pPr>
              <w:spacing w:after="0"/>
              <w:rPr>
                <w:sz w:val="15"/>
                <w:szCs w:val="15"/>
                <w:color w:val="auto"/>
              </w:rPr>
            </w:pP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Income before income taxes .........</w:t>
            </w: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17.1</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16.8</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16.8</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15.6</w:t>
            </w:r>
          </w:p>
        </w:tc>
      </w:tr>
      <w:tr>
        <w:trPr>
          <w:trHeight w:val="176"/>
        </w:trPr>
        <w:tc>
          <w:tcPr>
            <w:tcW w:w="3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Income taxes .......................</w:t>
            </w: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3.8</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4.2</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3.7</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w:t>
            </w:r>
          </w:p>
        </w:tc>
      </w:tr>
      <w:tr>
        <w:trPr>
          <w:trHeight w:val="176"/>
        </w:trPr>
        <w:tc>
          <w:tcPr>
            <w:tcW w:w="3420" w:type="dxa"/>
            <w:vAlign w:val="bottom"/>
          </w:tcPr>
          <w:p>
            <w:pPr>
              <w:spacing w:after="0"/>
              <w:rPr>
                <w:sz w:val="15"/>
                <w:szCs w:val="15"/>
                <w:color w:val="auto"/>
              </w:rPr>
            </w:pP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Net income .........................</w:t>
            </w:r>
          </w:p>
        </w:tc>
        <w:tc>
          <w:tcPr>
            <w:tcW w:w="16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13.3%</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12.6%</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13.1%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11.7%</w:t>
            </w:r>
          </w:p>
        </w:tc>
      </w:tr>
      <w:tr>
        <w:trPr>
          <w:trHeight w:val="176"/>
        </w:trPr>
        <w:tc>
          <w:tcPr>
            <w:tcW w:w="3420" w:type="dxa"/>
            <w:vAlign w:val="bottom"/>
          </w:tcPr>
          <w:p>
            <w:pPr>
              <w:spacing w:after="0"/>
              <w:rPr>
                <w:sz w:val="15"/>
                <w:szCs w:val="15"/>
                <w:color w:val="auto"/>
              </w:rPr>
            </w:pP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705"/>
        </w:trPr>
        <w:tc>
          <w:tcPr>
            <w:tcW w:w="3420" w:type="dxa"/>
            <w:vAlign w:val="bottom"/>
          </w:tcPr>
          <w:p>
            <w:pPr>
              <w:spacing w:after="0"/>
              <w:rPr>
                <w:sz w:val="24"/>
                <w:szCs w:val="24"/>
                <w:color w:val="auto"/>
              </w:rPr>
            </w:pPr>
          </w:p>
        </w:tc>
        <w:tc>
          <w:tcPr>
            <w:tcW w:w="162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22</w:t>
            </w: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19"/>
          </w:cols>
          <w:pgMar w:left="240" w:top="823" w:right="1440" w:bottom="1440" w:gutter="0" w:footer="0" w:header="0"/>
        </w:sectPr>
      </w:pPr>
    </w:p>
    <w:bookmarkStart w:id="25" w:name="page26"/>
    <w:bookmarkEnd w:id="25"/>
    <w:p>
      <w:pPr>
        <w:spacing w:after="0" w:line="3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NINE MONTHS ENDED JUNE 30, 2004 AND 2003</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The following is a tabular presentation of our results of operations for the nine months ended June 30, 2004 compared to the nine months ended June 30, 2003. Following the table is a discussion and analysis of our business and results of operations for such periods.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3"/>
          </w:tcPr>
          <w:p>
            <w:pPr>
              <w:jc w:val="right"/>
              <w:ind w:right="484"/>
              <w:spacing w:after="0"/>
              <w:rPr>
                <w:sz w:val="20"/>
                <w:szCs w:val="20"/>
                <w:color w:val="auto"/>
              </w:rPr>
            </w:pPr>
            <w:r>
              <w:rPr>
                <w:rFonts w:ascii="Courier New" w:cs="Courier New" w:eastAsia="Courier New" w:hAnsi="Courier New"/>
                <w:sz w:val="15"/>
                <w:szCs w:val="15"/>
                <w:color w:val="auto"/>
              </w:rPr>
              <w:t>NINE MONTHS ENDED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6"/>
        </w:trPr>
        <w:tc>
          <w:tcPr>
            <w:tcW w:w="2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00" w:type="dxa"/>
            <w:vAlign w:val="bottom"/>
            <w:gridSpan w:val="3"/>
          </w:tcPr>
          <w:p>
            <w:pPr>
              <w:jc w:val="right"/>
              <w:ind w:right="844"/>
              <w:spacing w:after="0"/>
              <w:rPr>
                <w:sz w:val="20"/>
                <w:szCs w:val="20"/>
                <w:color w:val="auto"/>
              </w:rPr>
            </w:pPr>
            <w:r>
              <w:rPr>
                <w:rFonts w:ascii="Courier New" w:cs="Courier New" w:eastAsia="Courier New" w:hAnsi="Courier New"/>
                <w:sz w:val="15"/>
                <w:szCs w:val="15"/>
                <w:color w:val="auto"/>
              </w:rPr>
              <w:t>JUNE 30,</w:t>
            </w:r>
          </w:p>
        </w:tc>
        <w:tc>
          <w:tcPr>
            <w:tcW w:w="1920" w:type="dxa"/>
            <w:vAlign w:val="bottom"/>
            <w:gridSpan w:val="3"/>
          </w:tcPr>
          <w:p>
            <w:pPr>
              <w:spacing w:after="0"/>
              <w:rPr>
                <w:sz w:val="20"/>
                <w:szCs w:val="20"/>
                <w:color w:val="auto"/>
              </w:rPr>
            </w:pPr>
            <w:r>
              <w:rPr>
                <w:rFonts w:ascii="Courier New" w:cs="Courier New" w:eastAsia="Courier New" w:hAnsi="Courier New"/>
                <w:sz w:val="15"/>
                <w:szCs w:val="15"/>
                <w:color w:val="auto"/>
              </w:rPr>
              <w:t>INCREASE (DECREASE)</w:t>
            </w:r>
          </w:p>
        </w:tc>
      </w:tr>
      <w:tr>
        <w:trPr>
          <w:trHeight w:val="176"/>
        </w:trPr>
        <w:tc>
          <w:tcPr>
            <w:tcW w:w="284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92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2004</w:t>
            </w:r>
          </w:p>
        </w:tc>
        <w:tc>
          <w:tcPr>
            <w:tcW w:w="280" w:type="dxa"/>
            <w:vAlign w:val="bottom"/>
          </w:tcPr>
          <w:p>
            <w:pPr>
              <w:spacing w:after="0"/>
              <w:rPr>
                <w:sz w:val="15"/>
                <w:szCs w:val="15"/>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2003</w:t>
            </w:r>
          </w:p>
        </w:tc>
        <w:tc>
          <w:tcPr>
            <w:tcW w:w="140" w:type="dxa"/>
            <w:vAlign w:val="bottom"/>
          </w:tcPr>
          <w:p>
            <w:pPr>
              <w:spacing w:after="0"/>
              <w:rPr>
                <w:sz w:val="15"/>
                <w:szCs w:val="15"/>
                <w:color w:val="auto"/>
              </w:rPr>
            </w:pPr>
          </w:p>
        </w:tc>
        <w:tc>
          <w:tcPr>
            <w:tcW w:w="10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AMOUNT</w:t>
            </w:r>
          </w:p>
        </w:tc>
        <w:tc>
          <w:tcPr>
            <w:tcW w:w="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spacing w:after="0"/>
              <w:rPr>
                <w:sz w:val="15"/>
                <w:szCs w:val="15"/>
                <w:color w:val="auto"/>
              </w:rPr>
            </w:pP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840" w:type="dxa"/>
            <w:vAlign w:val="bottom"/>
          </w:tcPr>
          <w:p>
            <w:pPr>
              <w:spacing w:after="0"/>
              <w:rPr>
                <w:sz w:val="15"/>
                <w:szCs w:val="15"/>
                <w:color w:val="auto"/>
              </w:rPr>
            </w:pPr>
          </w:p>
        </w:tc>
        <w:tc>
          <w:tcPr>
            <w:tcW w:w="3700" w:type="dxa"/>
            <w:vAlign w:val="bottom"/>
            <w:gridSpan w:val="6"/>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5"/>
                <w:szCs w:val="15"/>
                <w:color w:val="auto"/>
              </w:rPr>
            </w:pPr>
          </w:p>
        </w:tc>
      </w:tr>
      <w:tr>
        <w:trPr>
          <w:trHeight w:val="352"/>
        </w:trPr>
        <w:tc>
          <w:tcPr>
            <w:tcW w:w="28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52"/>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License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52,026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51,176</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850</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w:t>
            </w:r>
          </w:p>
        </w:tc>
      </w:tr>
      <w:tr>
        <w:trPr>
          <w:trHeight w:val="352"/>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Service ...................</w:t>
            </w:r>
          </w:p>
        </w:tc>
        <w:tc>
          <w:tcPr>
            <w:tcW w:w="26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1,269,251</w:t>
            </w:r>
          </w:p>
        </w:tc>
        <w:tc>
          <w:tcPr>
            <w:tcW w:w="28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1,020,392</w:t>
            </w:r>
          </w:p>
        </w:tc>
        <w:tc>
          <w:tcPr>
            <w:tcW w:w="140" w:type="dxa"/>
            <w:vAlign w:val="bottom"/>
          </w:tcPr>
          <w:p>
            <w:pPr>
              <w:spacing w:after="0"/>
              <w:rPr>
                <w:sz w:val="24"/>
                <w:szCs w:val="24"/>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248,859</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24.4</w:t>
            </w:r>
          </w:p>
        </w:tc>
      </w:tr>
      <w:tr>
        <w:trPr>
          <w:trHeight w:val="176"/>
        </w:trPr>
        <w:tc>
          <w:tcPr>
            <w:tcW w:w="2840" w:type="dxa"/>
            <w:vAlign w:val="bottom"/>
          </w:tcPr>
          <w:p>
            <w:pPr>
              <w:spacing w:after="0"/>
              <w:rPr>
                <w:sz w:val="15"/>
                <w:szCs w:val="15"/>
                <w:color w:val="auto"/>
              </w:rPr>
            </w:pP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spacing w:after="0"/>
              <w:rPr>
                <w:sz w:val="15"/>
                <w:szCs w:val="15"/>
                <w:color w:val="auto"/>
              </w:rPr>
            </w:pPr>
          </w:p>
        </w:tc>
      </w:tr>
      <w:tr>
        <w:trPr>
          <w:trHeight w:val="352"/>
        </w:trPr>
        <w:tc>
          <w:tcPr>
            <w:tcW w:w="2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1,321,277</w:t>
            </w:r>
          </w:p>
        </w:tc>
        <w:tc>
          <w:tcPr>
            <w:tcW w:w="28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1,071,568</w:t>
            </w:r>
          </w:p>
        </w:tc>
        <w:tc>
          <w:tcPr>
            <w:tcW w:w="140" w:type="dxa"/>
            <w:vAlign w:val="bottom"/>
          </w:tcPr>
          <w:p>
            <w:pPr>
              <w:spacing w:after="0"/>
              <w:rPr>
                <w:sz w:val="24"/>
                <w:szCs w:val="24"/>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249,709</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23.3</w:t>
            </w:r>
          </w:p>
        </w:tc>
      </w:tr>
      <w:tr>
        <w:trPr>
          <w:trHeight w:val="176"/>
        </w:trPr>
        <w:tc>
          <w:tcPr>
            <w:tcW w:w="2840" w:type="dxa"/>
            <w:vAlign w:val="bottom"/>
          </w:tcPr>
          <w:p>
            <w:pPr>
              <w:spacing w:after="0"/>
              <w:rPr>
                <w:sz w:val="15"/>
                <w:szCs w:val="15"/>
                <w:color w:val="auto"/>
              </w:rPr>
            </w:pP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spacing w:after="0"/>
              <w:rPr>
                <w:sz w:val="15"/>
                <w:szCs w:val="15"/>
                <w:color w:val="auto"/>
              </w:rPr>
            </w:pPr>
          </w:p>
        </w:tc>
      </w:tr>
      <w:tr>
        <w:trPr>
          <w:trHeight w:val="352"/>
        </w:trPr>
        <w:tc>
          <w:tcPr>
            <w:tcW w:w="28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52"/>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Cost of license ...........</w:t>
            </w:r>
          </w:p>
        </w:tc>
        <w:tc>
          <w:tcPr>
            <w:tcW w:w="26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3,807</w:t>
            </w:r>
          </w:p>
        </w:tc>
        <w:tc>
          <w:tcPr>
            <w:tcW w:w="28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4,137</w:t>
            </w:r>
          </w:p>
        </w:tc>
        <w:tc>
          <w:tcPr>
            <w:tcW w:w="140" w:type="dxa"/>
            <w:vAlign w:val="bottom"/>
          </w:tcPr>
          <w:p>
            <w:pPr>
              <w:spacing w:after="0"/>
              <w:rPr>
                <w:sz w:val="24"/>
                <w:szCs w:val="24"/>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(330)</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(8.0)</w:t>
            </w:r>
          </w:p>
        </w:tc>
      </w:tr>
      <w:tr>
        <w:trPr>
          <w:trHeight w:val="352"/>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Cost of service ...........</w:t>
            </w:r>
          </w:p>
        </w:tc>
        <w:tc>
          <w:tcPr>
            <w:tcW w:w="26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833,470</w:t>
            </w:r>
          </w:p>
        </w:tc>
        <w:tc>
          <w:tcPr>
            <w:tcW w:w="28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646,389</w:t>
            </w:r>
          </w:p>
        </w:tc>
        <w:tc>
          <w:tcPr>
            <w:tcW w:w="140" w:type="dxa"/>
            <w:vAlign w:val="bottom"/>
          </w:tcPr>
          <w:p>
            <w:pPr>
              <w:spacing w:after="0"/>
              <w:rPr>
                <w:sz w:val="24"/>
                <w:szCs w:val="24"/>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187,081</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28.9</w:t>
            </w:r>
          </w:p>
        </w:tc>
      </w:tr>
      <w:tr>
        <w:trPr>
          <w:trHeight w:val="352"/>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Research and development ..</w:t>
            </w:r>
          </w:p>
        </w:tc>
        <w:tc>
          <w:tcPr>
            <w:tcW w:w="26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92,247</w:t>
            </w:r>
          </w:p>
        </w:tc>
        <w:tc>
          <w:tcPr>
            <w:tcW w:w="28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88,888</w:t>
            </w:r>
          </w:p>
        </w:tc>
        <w:tc>
          <w:tcPr>
            <w:tcW w:w="140" w:type="dxa"/>
            <w:vAlign w:val="bottom"/>
          </w:tcPr>
          <w:p>
            <w:pPr>
              <w:spacing w:after="0"/>
              <w:rPr>
                <w:sz w:val="24"/>
                <w:szCs w:val="24"/>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3,359</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w:t>
            </w:r>
          </w:p>
        </w:tc>
      </w:tr>
      <w:tr>
        <w:trPr>
          <w:trHeight w:val="352"/>
        </w:trPr>
        <w:tc>
          <w:tcPr>
            <w:tcW w:w="284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and</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administrative ..........</w:t>
            </w:r>
          </w:p>
        </w:tc>
        <w:tc>
          <w:tcPr>
            <w:tcW w:w="26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159,078</w:t>
            </w:r>
          </w:p>
        </w:tc>
        <w:tc>
          <w:tcPr>
            <w:tcW w:w="28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153,644</w:t>
            </w:r>
          </w:p>
        </w:tc>
        <w:tc>
          <w:tcPr>
            <w:tcW w:w="140" w:type="dxa"/>
            <w:vAlign w:val="bottom"/>
          </w:tcPr>
          <w:p>
            <w:pPr>
              <w:spacing w:after="0"/>
              <w:rPr>
                <w:sz w:val="15"/>
                <w:szCs w:val="15"/>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5,434</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w:t>
            </w:r>
          </w:p>
        </w:tc>
      </w:tr>
      <w:tr>
        <w:trPr>
          <w:trHeight w:val="352"/>
        </w:trPr>
        <w:tc>
          <w:tcPr>
            <w:tcW w:w="2840" w:type="dxa"/>
            <w:vAlign w:val="bottom"/>
          </w:tcPr>
          <w:p>
            <w:pPr>
              <w:ind w:left="260"/>
              <w:spacing w:after="0"/>
              <w:rPr>
                <w:sz w:val="20"/>
                <w:szCs w:val="20"/>
                <w:color w:val="auto"/>
              </w:rPr>
            </w:pPr>
            <w:r>
              <w:rPr>
                <w:rFonts w:ascii="Courier New" w:cs="Courier New" w:eastAsia="Courier New" w:hAnsi="Courier New"/>
                <w:sz w:val="15"/>
                <w:szCs w:val="15"/>
                <w:color w:val="auto"/>
              </w:rPr>
              <w:t>Amortization of purchased</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intangible assets .......</w:t>
            </w:r>
          </w:p>
        </w:tc>
        <w:tc>
          <w:tcPr>
            <w:tcW w:w="26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13,423</w:t>
            </w:r>
          </w:p>
        </w:tc>
        <w:tc>
          <w:tcPr>
            <w:tcW w:w="28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14,303</w:t>
            </w:r>
          </w:p>
        </w:tc>
        <w:tc>
          <w:tcPr>
            <w:tcW w:w="14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(880)</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(6.2)</w:t>
            </w:r>
          </w:p>
        </w:tc>
      </w:tr>
      <w:tr>
        <w:trPr>
          <w:trHeight w:val="352"/>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Restructuring charges .....</w:t>
            </w:r>
          </w:p>
        </w:tc>
        <w:tc>
          <w:tcPr>
            <w:tcW w:w="260" w:type="dxa"/>
            <w:vAlign w:val="bottom"/>
          </w:tcPr>
          <w:p>
            <w:pPr>
              <w:spacing w:after="0"/>
              <w:rPr>
                <w:sz w:val="24"/>
                <w:szCs w:val="24"/>
                <w:color w:val="auto"/>
              </w:rPr>
            </w:pPr>
          </w:p>
        </w:tc>
        <w:tc>
          <w:tcPr>
            <w:tcW w:w="9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9,956</w:t>
            </w:r>
          </w:p>
        </w:tc>
        <w:tc>
          <w:tcPr>
            <w:tcW w:w="140" w:type="dxa"/>
            <w:vAlign w:val="bottom"/>
          </w:tcPr>
          <w:p>
            <w:pPr>
              <w:spacing w:after="0"/>
              <w:rPr>
                <w:sz w:val="24"/>
                <w:szCs w:val="24"/>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(9,956)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6"/>
        </w:trPr>
        <w:tc>
          <w:tcPr>
            <w:tcW w:w="2840" w:type="dxa"/>
            <w:vAlign w:val="bottom"/>
          </w:tcPr>
          <w:p>
            <w:pPr>
              <w:spacing w:after="0"/>
              <w:rPr>
                <w:sz w:val="15"/>
                <w:szCs w:val="15"/>
                <w:color w:val="auto"/>
              </w:rPr>
            </w:pP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spacing w:after="0"/>
              <w:rPr>
                <w:sz w:val="15"/>
                <w:szCs w:val="15"/>
                <w:color w:val="auto"/>
              </w:rPr>
            </w:pPr>
          </w:p>
        </w:tc>
      </w:tr>
      <w:tr>
        <w:trPr>
          <w:trHeight w:val="352"/>
        </w:trPr>
        <w:tc>
          <w:tcPr>
            <w:tcW w:w="2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1,102,025</w:t>
            </w:r>
          </w:p>
        </w:tc>
        <w:tc>
          <w:tcPr>
            <w:tcW w:w="28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917,317</w:t>
            </w:r>
          </w:p>
        </w:tc>
        <w:tc>
          <w:tcPr>
            <w:tcW w:w="140" w:type="dxa"/>
            <w:vAlign w:val="bottom"/>
          </w:tcPr>
          <w:p>
            <w:pPr>
              <w:spacing w:after="0"/>
              <w:rPr>
                <w:sz w:val="24"/>
                <w:szCs w:val="24"/>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184,708</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20.1</w:t>
            </w:r>
          </w:p>
        </w:tc>
      </w:tr>
      <w:tr>
        <w:trPr>
          <w:trHeight w:val="176"/>
        </w:trPr>
        <w:tc>
          <w:tcPr>
            <w:tcW w:w="2840" w:type="dxa"/>
            <w:vAlign w:val="bottom"/>
          </w:tcPr>
          <w:p>
            <w:pPr>
              <w:spacing w:after="0"/>
              <w:rPr>
                <w:sz w:val="15"/>
                <w:szCs w:val="15"/>
                <w:color w:val="auto"/>
              </w:rPr>
            </w:pP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spacing w:after="0"/>
              <w:rPr>
                <w:sz w:val="15"/>
                <w:szCs w:val="15"/>
                <w:color w:val="auto"/>
              </w:rPr>
            </w:pPr>
          </w:p>
        </w:tc>
      </w:tr>
      <w:tr>
        <w:trPr>
          <w:trHeight w:val="352"/>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Operating income .............</w:t>
            </w:r>
          </w:p>
        </w:tc>
        <w:tc>
          <w:tcPr>
            <w:tcW w:w="26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219,252</w:t>
            </w:r>
          </w:p>
        </w:tc>
        <w:tc>
          <w:tcPr>
            <w:tcW w:w="28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154,251</w:t>
            </w:r>
          </w:p>
        </w:tc>
        <w:tc>
          <w:tcPr>
            <w:tcW w:w="140" w:type="dxa"/>
            <w:vAlign w:val="bottom"/>
          </w:tcPr>
          <w:p>
            <w:pPr>
              <w:spacing w:after="0"/>
              <w:rPr>
                <w:sz w:val="24"/>
                <w:szCs w:val="24"/>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65,001</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42.1</w:t>
            </w:r>
          </w:p>
        </w:tc>
      </w:tr>
      <w:tr>
        <w:trPr>
          <w:trHeight w:val="352"/>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income and other, net</w:t>
            </w:r>
          </w:p>
        </w:tc>
        <w:tc>
          <w:tcPr>
            <w:tcW w:w="26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2,899</w:t>
            </w:r>
          </w:p>
        </w:tc>
        <w:tc>
          <w:tcPr>
            <w:tcW w:w="28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12,432</w:t>
            </w:r>
          </w:p>
        </w:tc>
        <w:tc>
          <w:tcPr>
            <w:tcW w:w="140" w:type="dxa"/>
            <w:vAlign w:val="bottom"/>
          </w:tcPr>
          <w:p>
            <w:pPr>
              <w:spacing w:after="0"/>
              <w:rPr>
                <w:sz w:val="24"/>
                <w:szCs w:val="24"/>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(9,533)</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(76.7)</w:t>
            </w:r>
          </w:p>
        </w:tc>
      </w:tr>
      <w:tr>
        <w:trPr>
          <w:trHeight w:val="176"/>
        </w:trPr>
        <w:tc>
          <w:tcPr>
            <w:tcW w:w="2840" w:type="dxa"/>
            <w:vAlign w:val="bottom"/>
          </w:tcPr>
          <w:p>
            <w:pPr>
              <w:spacing w:after="0"/>
              <w:rPr>
                <w:sz w:val="15"/>
                <w:szCs w:val="15"/>
                <w:color w:val="auto"/>
              </w:rPr>
            </w:pP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spacing w:after="0"/>
              <w:rPr>
                <w:sz w:val="15"/>
                <w:szCs w:val="15"/>
                <w:color w:val="auto"/>
              </w:rPr>
            </w:pPr>
          </w:p>
        </w:tc>
      </w:tr>
      <w:tr>
        <w:trPr>
          <w:trHeight w:val="352"/>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before income taxes ...</w:t>
            </w:r>
          </w:p>
        </w:tc>
        <w:tc>
          <w:tcPr>
            <w:tcW w:w="26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222,151</w:t>
            </w:r>
          </w:p>
        </w:tc>
        <w:tc>
          <w:tcPr>
            <w:tcW w:w="28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166,683</w:t>
            </w:r>
          </w:p>
        </w:tc>
        <w:tc>
          <w:tcPr>
            <w:tcW w:w="140" w:type="dxa"/>
            <w:vAlign w:val="bottom"/>
          </w:tcPr>
          <w:p>
            <w:pPr>
              <w:spacing w:after="0"/>
              <w:rPr>
                <w:sz w:val="24"/>
                <w:szCs w:val="24"/>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55,468</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33.3</w:t>
            </w:r>
          </w:p>
        </w:tc>
      </w:tr>
      <w:tr>
        <w:trPr>
          <w:trHeight w:val="352"/>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taxes .................</w:t>
            </w:r>
          </w:p>
        </w:tc>
        <w:tc>
          <w:tcPr>
            <w:tcW w:w="26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48,873</w:t>
            </w:r>
          </w:p>
        </w:tc>
        <w:tc>
          <w:tcPr>
            <w:tcW w:w="28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41,671</w:t>
            </w:r>
          </w:p>
        </w:tc>
        <w:tc>
          <w:tcPr>
            <w:tcW w:w="140" w:type="dxa"/>
            <w:vAlign w:val="bottom"/>
          </w:tcPr>
          <w:p>
            <w:pPr>
              <w:spacing w:after="0"/>
              <w:rPr>
                <w:sz w:val="24"/>
                <w:szCs w:val="24"/>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7,202</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17.3</w:t>
            </w:r>
          </w:p>
        </w:tc>
      </w:tr>
      <w:tr>
        <w:trPr>
          <w:trHeight w:val="176"/>
        </w:trPr>
        <w:tc>
          <w:tcPr>
            <w:tcW w:w="2840" w:type="dxa"/>
            <w:vAlign w:val="bottom"/>
          </w:tcPr>
          <w:p>
            <w:pPr>
              <w:spacing w:after="0"/>
              <w:rPr>
                <w:sz w:val="15"/>
                <w:szCs w:val="15"/>
                <w:color w:val="auto"/>
              </w:rPr>
            </w:pP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spacing w:after="0"/>
              <w:rPr>
                <w:sz w:val="15"/>
                <w:szCs w:val="15"/>
                <w:color w:val="auto"/>
              </w:rPr>
            </w:pPr>
          </w:p>
        </w:tc>
      </w:tr>
      <w:tr>
        <w:trPr>
          <w:trHeight w:val="352"/>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income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173,278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125,012</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48,266</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38.6%</w:t>
            </w:r>
          </w:p>
        </w:tc>
      </w:tr>
      <w:tr>
        <w:trPr>
          <w:trHeight w:val="176"/>
        </w:trPr>
        <w:tc>
          <w:tcPr>
            <w:tcW w:w="2840" w:type="dxa"/>
            <w:vAlign w:val="bottom"/>
          </w:tcPr>
          <w:p>
            <w:pPr>
              <w:spacing w:after="0"/>
              <w:rPr>
                <w:sz w:val="15"/>
                <w:szCs w:val="15"/>
                <w:color w:val="auto"/>
              </w:rPr>
            </w:pP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spacing w:after="0"/>
              <w:rPr>
                <w:sz w:val="15"/>
                <w:szCs w:val="15"/>
                <w:color w:val="auto"/>
              </w:rPr>
            </w:pPr>
          </w:p>
        </w:tc>
      </w:tr>
    </w:tbl>
    <w:p>
      <w:pPr>
        <w:spacing w:after="0" w:line="35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REVENUE. The increase in total revenue in the nine months ended June 30, 2004 is due to an increase in service revenue as a result of the Managed Services agreements signed during fiscal 2003 and additional revenue resulting from our acquisition of Certen in the fourth quarter of fiscal 2003. Revenue related to Managed Services agreements in the nine months ended June 30, 2004 was approximately 40% of total revenue. The net revenue impact of the Managed Services agreements entered into during fiscal 2003, including the effect of the Certen acquisition, was approximately $208 million in the nine months ended June 30, 2004.</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Managed Services arrangements accounted for the majority part of the increase in revenue during the nine months ended June 30, 2004 and include only a small license revenue component, therefore, in the nine months ended June 30, 2004, such arrangements had the effect of decreasing license revenue, as a percentage of revenue, by 0.9% compared to the nine months ended June 30, 2003.</w:t>
      </w:r>
    </w:p>
    <w:p>
      <w:pPr>
        <w:spacing w:after="0" w:line="176"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License and service revenue from the sale of CC&amp;B Systems was $1,144.7 million for the nine months ended June 30, 2004, an increase of $218.1 million, or 23.5%, over the nine months ended June 30, 2003. Approximately two-thirds of the increase is attributable to our acquisition of Certen in the fourth quarter of fiscal 2003, and the remainder is attributable to additional revenue from existing and new customers. License and service revenue from the sale of CC&amp;B Systems represented 86.6% and 86.5% of our total revenue in the nine months ended June 30, 2004 and 2003, respectively. The demand for our CC&amp;B Systems is primarily driven by the need for communications companies to continue to integrate their billing, CRM and order management systems into Integrated Customer Management products and services. In fiscal 2003, many communications companies reduced or delayed expenditures on system upgrades as a result of the slowdown in the communications industry. Recently, however, there has been an improvement in market conditions contributing to the increase in revenue in the nine months ended June 30, 2004.</w:t>
      </w:r>
    </w:p>
    <w:p>
      <w:pPr>
        <w:sectPr>
          <w:pgSz w:w="11900" w:h="16871" w:orient="portrait"/>
          <w:cols w:equalWidth="0" w:num="1">
            <w:col w:w="10219"/>
          </w:cols>
          <w:pgMar w:left="240" w:top="470" w:right="1440" w:bottom="0" w:gutter="0" w:footer="0" w:header="0"/>
        </w:sectPr>
      </w:pPr>
    </w:p>
    <w:bookmarkStart w:id="26" w:name="page27"/>
    <w:bookmarkEnd w:id="26"/>
    <w:p>
      <w:pPr>
        <w:ind w:left="23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9019"/>
          </w:cols>
          <w:pgMar w:left="1440" w:top="494" w:right="1440" w:bottom="1440" w:gutter="0" w:footer="0" w:header="0"/>
        </w:sectPr>
      </w:pPr>
    </w:p>
    <w:bookmarkStart w:id="27" w:name="page28"/>
    <w:bookmarkEnd w:id="27"/>
    <w:p>
      <w:pPr>
        <w:ind w:right="2899" w:firstLine="550"/>
        <w:spacing w:after="0" w:line="249" w:lineRule="auto"/>
        <w:rPr>
          <w:sz w:val="20"/>
          <w:szCs w:val="20"/>
          <w:color w:val="auto"/>
        </w:rPr>
      </w:pPr>
      <w:r>
        <w:rPr>
          <w:rFonts w:ascii="Courier New" w:cs="Courier New" w:eastAsia="Courier New" w:hAnsi="Courier New"/>
          <w:sz w:val="15"/>
          <w:szCs w:val="15"/>
          <w:color w:val="auto"/>
        </w:rPr>
        <w:t>License and service revenue from the sale of Directory Systems was $176.6 million for the nine months ended June 30, 2004, an increase of $31.6 million, or 21.8%, over the nine months ended June 30, 2003. Approximately $59 million of the increase in Directory Systems revenue in the nine months ended June 30, 2004 was attributable to the Managed Services agreements. This revenue was partially offset by the completion of certain implementation projects that accounted for $27 million of revenue in the comparable period of fiscal 2003. License and service revenue from the sale of Directory Systems represented 13.4% and 13.5% of our total revenue in the nine months ended June 30, 2004 and 2003, respectively. We believe that we are a leading provider of Directory Systems in most of the markets we serve. We expect that our revenue from Directory Systems will remain relatively stable in fiscal 2004.</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In the nine months ended June 30, 2004, revenue from customers in North America, Europe and the rest of the world accounted for 66.8%, 26.4% and 6.8%, respectively, of total revenue compared to 61.1%, 30.2% and 8.7%, respectively, for the nine months ended June 30, 2003. Approximately 90.0% of the increase in revenue from customers in North America is attributable to Managed Services agreements, including the acquisition of Certen, which expanded our activity and revenue from customers in North America, and approximately 10.0% is attributable to the expansion of relationships with existing customers in North America. The decreased contribution to revenue from customers in Europe relative to customers in North America, as a percentage of revenue, resulted from the relatively greater growth in activity from customers in North America than in Europe during the nine months ended June 30, 2004. Revenue from customers in the rest of the world in absolute amount was relatively stable in the nine months ended June 30, 2004 compared to the nine months ended June 30, 2003.</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In the nine months ended June 30, 2004, cost of license, as a percentage of license revenue, was 7.3% compared to 8.1% in the nine months ended June 30, 2003.</w:t>
      </w:r>
    </w:p>
    <w:p>
      <w:pPr>
        <w:spacing w:after="0" w:line="35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Cost of Service. The increase in cost of service in the nine months ended June 30, 2004 was 28.9%, which was higher than 23.3%, the increase in our total revenue in the nine months ended June 30, 2004, and resulted in a 2.6% decrease in our gross margin. Our gross margin was affected by the Managed Services agreements signed during fiscal 2003, which we expect to be less profitable in their initial period, and to a lesser extent, by the decrease, as a percentage of revenue, in our license revenue.</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Research and Development. Research and development expense was primarily comprised of compensation expense attributed to research and development activities, which involve the development of new software modules and product offerings, either in conjunction with customer projects or as part of our internal product development program. We are currently focusing significant development efforts on the integration between our products in order to provide Integrated Customer Management to our customers, while continuing to upgrade our existing systems. The majority of our research and development expenditures are directed to our billing and CRM systems, and the remainder to directory, content, mediation, order management solutions and other activities. The increase in research and development expense was proportionally less than the increase in our total revenue. Although we intend to continue to devote resources to research and development, our research and development budget, like all of our costs, is sensitive to our overall financial condition.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363"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is primarily comprised of compensation expense. The increase in selling, general and administrative expense in the nine months ended June 30, 2004 was attributable to the overall increase in our operations, as well as to the increase in our selling and marketing efforts. The increase in selling, general and administrative expense in the nine months ended June 30, 2004 was 3.5%, which was proportionally less than the 23.3% increase in our total revenue.</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47" w:right="1440" w:bottom="1440" w:gutter="0" w:footer="0" w:header="0"/>
        </w:sectPr>
      </w:pPr>
    </w:p>
    <w:bookmarkStart w:id="28" w:name="page29"/>
    <w:bookmarkEnd w:id="28"/>
    <w:p>
      <w:pPr>
        <w:ind w:right="2979" w:firstLine="458"/>
        <w:spacing w:after="0" w:line="249" w:lineRule="auto"/>
        <w:rPr>
          <w:sz w:val="20"/>
          <w:szCs w:val="20"/>
          <w:color w:val="auto"/>
        </w:rPr>
      </w:pPr>
      <w:r>
        <w:rPr>
          <w:rFonts w:ascii="Courier New" w:cs="Courier New" w:eastAsia="Courier New" w:hAnsi="Courier New"/>
          <w:sz w:val="15"/>
          <w:szCs w:val="15"/>
          <w:color w:val="auto"/>
        </w:rPr>
        <w:t>Restructuring Charges. The restructuring charge in the nine months ended June 30, 2003 consisted of the cost reduction program we implemented during the first quarter of fiscal 2003.</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Operating Income. The increase in operating income in the nine months ended June 30, 2004 resulted from the 23.3% increase in our total revenue, which was partially offset by the 2.6% decrease in our gross margin attributable to the relative low gross margin of our Managed Services projects in their early stages of implementation, and to the effect of the $10.0 million restructuring charge in the nine months ended June 30, 2003.</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Interest Income and Other, Net. The decrease in interest income and other, net, in the nine months ended June 30, 2004 is primarily attributable to the decline in interest rates on our short-term interest-bearing investments, which resulted from our decision to shorten the duration of our investments due to volatility in the interest rate environment, and was also affected by the decrease of interest income on debentures issued by Certen to us that was eliminated as a result of the Certen acquisition.</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Income Taxes. Our effective tax rate in the nine months ended June 30, 2004 was 22% compared to 25% in the nine months ended June 30, 2003. Our effective tax rate for fiscal year 2004 is expected to be approximately 22% due to the corporate income tax rates in the various countries in which we operate and the relative magnitude of our business in those countries. The reduction in our effective tax rate is due to our continued expansion into countries with lower effective tax rates.</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Net Income. The increase in net income in the nine months ended June 30, 2004 is attributable to the 23.3% increase in our total revenue and to the effect of the $10.0 million restructuring charge in the nine months ended June 30, 2003. The increase was partially offset by the 2.6% decrease in our gross margin attributable to the relative low gross margin of our Managed Services projects in their early stages of implementation.</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Diluted Earnings Per Share. Diluted earnings per share were $0.80 for the nine months ended June 30, 2004, compared to $0.57 in the nine months ended June 30, 2003.</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47" w:right="1440" w:bottom="1440" w:gutter="0" w:footer="0" w:header="0"/>
        </w:sectPr>
      </w:pPr>
    </w:p>
    <w:bookmarkStart w:id="29" w:name="page30"/>
    <w:bookmarkEnd w:id="29"/>
    <w:p>
      <w:pPr>
        <w:spacing w:after="0" w:line="4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THREE MONTHS ENDED JUNE 30, 2004 AND 2003</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following is a tabular presentation of our results of operations for the three months ended June 30, 2004 compared to the three months ended June 30, 2003. Following the table is a discussion and analysis of our business and results of operations for such periods.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21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THREE MONTHS ENDED</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6"/>
        </w:trPr>
        <w:tc>
          <w:tcPr>
            <w:tcW w:w="3520" w:type="dxa"/>
            <w:vAlign w:val="bottom"/>
          </w:tcPr>
          <w:p>
            <w:pPr>
              <w:spacing w:after="0"/>
              <w:rPr>
                <w:sz w:val="15"/>
                <w:szCs w:val="15"/>
                <w:color w:val="auto"/>
              </w:rPr>
            </w:pPr>
          </w:p>
        </w:tc>
        <w:tc>
          <w:tcPr>
            <w:tcW w:w="2160" w:type="dxa"/>
            <w:vAlign w:val="bottom"/>
            <w:gridSpan w:val="2"/>
          </w:tcPr>
          <w:p>
            <w:pPr>
              <w:jc w:val="right"/>
              <w:ind w:right="664"/>
              <w:spacing w:after="0"/>
              <w:rPr>
                <w:sz w:val="20"/>
                <w:szCs w:val="20"/>
                <w:color w:val="auto"/>
              </w:rPr>
            </w:pPr>
            <w:r>
              <w:rPr>
                <w:rFonts w:ascii="Courier New" w:cs="Courier New" w:eastAsia="Courier New" w:hAnsi="Courier New"/>
                <w:sz w:val="15"/>
                <w:szCs w:val="15"/>
                <w:color w:val="auto"/>
              </w:rPr>
              <w:t>JUNE 30,</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INCREASE (DECREASE)</w:t>
            </w:r>
          </w:p>
        </w:tc>
      </w:tr>
      <w:tr>
        <w:trPr>
          <w:trHeight w:val="176"/>
        </w:trPr>
        <w:tc>
          <w:tcPr>
            <w:tcW w:w="3520" w:type="dxa"/>
            <w:vAlign w:val="bottom"/>
          </w:tcPr>
          <w:p>
            <w:pPr>
              <w:spacing w:after="0"/>
              <w:rPr>
                <w:sz w:val="15"/>
                <w:szCs w:val="15"/>
                <w:color w:val="auto"/>
              </w:rPr>
            </w:pPr>
          </w:p>
        </w:tc>
        <w:tc>
          <w:tcPr>
            <w:tcW w:w="21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3520" w:type="dxa"/>
            <w:vAlign w:val="bottom"/>
          </w:tcPr>
          <w:p>
            <w:pPr>
              <w:spacing w:after="0"/>
              <w:rPr>
                <w:sz w:val="15"/>
                <w:szCs w:val="15"/>
                <w:color w:val="auto"/>
              </w:rPr>
            </w:pPr>
          </w:p>
        </w:tc>
        <w:tc>
          <w:tcPr>
            <w:tcW w:w="8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2004</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2003</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AMOUNT</w:t>
            </w: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3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9"/>
              </w:rPr>
              <w:t>(in thousands)</w:t>
            </w: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3520" w:type="dxa"/>
            <w:vAlign w:val="bottom"/>
          </w:tcPr>
          <w:p>
            <w:pPr>
              <w:spacing w:after="0"/>
              <w:rPr>
                <w:sz w:val="15"/>
                <w:szCs w:val="15"/>
                <w:color w:val="auto"/>
              </w:rPr>
            </w:pPr>
          </w:p>
        </w:tc>
        <w:tc>
          <w:tcPr>
            <w:tcW w:w="3160" w:type="dxa"/>
            <w:vAlign w:val="bottom"/>
            <w:gridSpan w:val="3"/>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r>
      <w:tr>
        <w:trPr>
          <w:trHeight w:val="352"/>
        </w:trPr>
        <w:tc>
          <w:tcPr>
            <w:tcW w:w="35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2"/>
        </w:trPr>
        <w:tc>
          <w:tcPr>
            <w:tcW w:w="3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License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$ 17,298</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$ 11,491</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  5,807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50.5%</w:t>
            </w:r>
          </w:p>
        </w:tc>
      </w:tr>
      <w:tr>
        <w:trPr>
          <w:trHeight w:val="352"/>
        </w:trPr>
        <w:tc>
          <w:tcPr>
            <w:tcW w:w="3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Service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432,926</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365,677</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67,249</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18.4</w:t>
            </w:r>
          </w:p>
        </w:tc>
      </w:tr>
      <w:tr>
        <w:trPr>
          <w:trHeight w:val="176"/>
        </w:trPr>
        <w:tc>
          <w:tcPr>
            <w:tcW w:w="3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740" w:type="dxa"/>
            <w:vAlign w:val="bottom"/>
          </w:tcPr>
          <w:p>
            <w:pPr>
              <w:spacing w:after="0"/>
              <w:rPr>
                <w:sz w:val="15"/>
                <w:szCs w:val="15"/>
                <w:color w:val="auto"/>
              </w:rPr>
            </w:pPr>
          </w:p>
        </w:tc>
      </w:tr>
      <w:tr>
        <w:trPr>
          <w:trHeight w:val="352"/>
        </w:trPr>
        <w:tc>
          <w:tcPr>
            <w:tcW w:w="3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450,224</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377,168</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73,056</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19.4</w:t>
            </w:r>
          </w:p>
        </w:tc>
      </w:tr>
      <w:tr>
        <w:trPr>
          <w:trHeight w:val="176"/>
        </w:trPr>
        <w:tc>
          <w:tcPr>
            <w:tcW w:w="3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740" w:type="dxa"/>
            <w:vAlign w:val="bottom"/>
          </w:tcPr>
          <w:p>
            <w:pPr>
              <w:spacing w:after="0"/>
              <w:rPr>
                <w:sz w:val="15"/>
                <w:szCs w:val="15"/>
                <w:color w:val="auto"/>
              </w:rPr>
            </w:pPr>
          </w:p>
        </w:tc>
      </w:tr>
      <w:tr>
        <w:trPr>
          <w:trHeight w:val="352"/>
        </w:trPr>
        <w:tc>
          <w:tcPr>
            <w:tcW w:w="35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2"/>
        </w:trPr>
        <w:tc>
          <w:tcPr>
            <w:tcW w:w="3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Cost of license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1,448</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1,455</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r>
      <w:tr>
        <w:trPr>
          <w:trHeight w:val="352"/>
        </w:trPr>
        <w:tc>
          <w:tcPr>
            <w:tcW w:w="3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Cost of service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283,109</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230,323</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52,786</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22.9</w:t>
            </w:r>
          </w:p>
        </w:tc>
      </w:tr>
      <w:tr>
        <w:trPr>
          <w:trHeight w:val="352"/>
        </w:trPr>
        <w:tc>
          <w:tcPr>
            <w:tcW w:w="3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Research and development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31,665</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29,941</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1,724</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w:t>
            </w:r>
          </w:p>
        </w:tc>
      </w:tr>
      <w:tr>
        <w:trPr>
          <w:trHeight w:val="352"/>
        </w:trPr>
        <w:tc>
          <w:tcPr>
            <w:tcW w:w="352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and</w:t>
            </w: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6"/>
        </w:trPr>
        <w:tc>
          <w:tcPr>
            <w:tcW w:w="3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administrative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52,745</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50,943</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1,802</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w:t>
            </w:r>
          </w:p>
        </w:tc>
      </w:tr>
      <w:tr>
        <w:trPr>
          <w:trHeight w:val="352"/>
        </w:trPr>
        <w:tc>
          <w:tcPr>
            <w:tcW w:w="3520" w:type="dxa"/>
            <w:vAlign w:val="bottom"/>
          </w:tcPr>
          <w:p>
            <w:pPr>
              <w:ind w:left="260"/>
              <w:spacing w:after="0"/>
              <w:rPr>
                <w:sz w:val="20"/>
                <w:szCs w:val="20"/>
                <w:color w:val="auto"/>
              </w:rPr>
            </w:pPr>
            <w:r>
              <w:rPr>
                <w:rFonts w:ascii="Courier New" w:cs="Courier New" w:eastAsia="Courier New" w:hAnsi="Courier New"/>
                <w:sz w:val="15"/>
                <w:szCs w:val="15"/>
                <w:color w:val="auto"/>
              </w:rPr>
              <w:t>Amortization of purchased</w:t>
            </w: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6"/>
        </w:trPr>
        <w:tc>
          <w:tcPr>
            <w:tcW w:w="3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intangible assets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4,558</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4,524</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34</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0.8</w:t>
            </w:r>
          </w:p>
        </w:tc>
      </w:tr>
      <w:tr>
        <w:trPr>
          <w:trHeight w:val="176"/>
        </w:trPr>
        <w:tc>
          <w:tcPr>
            <w:tcW w:w="3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740" w:type="dxa"/>
            <w:vAlign w:val="bottom"/>
          </w:tcPr>
          <w:p>
            <w:pPr>
              <w:spacing w:after="0"/>
              <w:rPr>
                <w:sz w:val="15"/>
                <w:szCs w:val="15"/>
                <w:color w:val="auto"/>
              </w:rPr>
            </w:pPr>
          </w:p>
        </w:tc>
      </w:tr>
      <w:tr>
        <w:trPr>
          <w:trHeight w:val="352"/>
        </w:trPr>
        <w:tc>
          <w:tcPr>
            <w:tcW w:w="3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373,525</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317,186</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56,339</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17.8</w:t>
            </w:r>
          </w:p>
        </w:tc>
      </w:tr>
      <w:tr>
        <w:trPr>
          <w:trHeight w:val="176"/>
        </w:trPr>
        <w:tc>
          <w:tcPr>
            <w:tcW w:w="3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740" w:type="dxa"/>
            <w:vAlign w:val="bottom"/>
          </w:tcPr>
          <w:p>
            <w:pPr>
              <w:spacing w:after="0"/>
              <w:rPr>
                <w:sz w:val="15"/>
                <w:szCs w:val="15"/>
                <w:color w:val="auto"/>
              </w:rPr>
            </w:pPr>
          </w:p>
        </w:tc>
      </w:tr>
      <w:tr>
        <w:trPr>
          <w:trHeight w:val="352"/>
        </w:trPr>
        <w:tc>
          <w:tcPr>
            <w:tcW w:w="3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Operating income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76,699</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59,982</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16,717</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27.9</w:t>
            </w:r>
          </w:p>
        </w:tc>
      </w:tr>
      <w:tr>
        <w:trPr>
          <w:trHeight w:val="352"/>
        </w:trPr>
        <w:tc>
          <w:tcPr>
            <w:tcW w:w="3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Interest income and other, net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121</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3,269</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(3,148)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(96.3)</w:t>
            </w:r>
          </w:p>
        </w:tc>
      </w:tr>
      <w:tr>
        <w:trPr>
          <w:trHeight w:val="176"/>
        </w:trPr>
        <w:tc>
          <w:tcPr>
            <w:tcW w:w="3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740" w:type="dxa"/>
            <w:vAlign w:val="bottom"/>
          </w:tcPr>
          <w:p>
            <w:pPr>
              <w:spacing w:after="0"/>
              <w:rPr>
                <w:sz w:val="15"/>
                <w:szCs w:val="15"/>
                <w:color w:val="auto"/>
              </w:rPr>
            </w:pPr>
          </w:p>
        </w:tc>
      </w:tr>
      <w:tr>
        <w:trPr>
          <w:trHeight w:val="352"/>
        </w:trPr>
        <w:tc>
          <w:tcPr>
            <w:tcW w:w="3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Income before income taxes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76,820</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63,251</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13,569</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21.5</w:t>
            </w:r>
          </w:p>
        </w:tc>
      </w:tr>
      <w:tr>
        <w:trPr>
          <w:trHeight w:val="352"/>
        </w:trPr>
        <w:tc>
          <w:tcPr>
            <w:tcW w:w="3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Income taxes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16,900</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15,813</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1,087</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6.9</w:t>
            </w:r>
          </w:p>
        </w:tc>
      </w:tr>
      <w:tr>
        <w:trPr>
          <w:trHeight w:val="176"/>
        </w:trPr>
        <w:tc>
          <w:tcPr>
            <w:tcW w:w="3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740" w:type="dxa"/>
            <w:vAlign w:val="bottom"/>
          </w:tcPr>
          <w:p>
            <w:pPr>
              <w:spacing w:after="0"/>
              <w:rPr>
                <w:sz w:val="15"/>
                <w:szCs w:val="15"/>
                <w:color w:val="auto"/>
              </w:rPr>
            </w:pPr>
          </w:p>
        </w:tc>
      </w:tr>
      <w:tr>
        <w:trPr>
          <w:trHeight w:val="352"/>
        </w:trPr>
        <w:tc>
          <w:tcPr>
            <w:tcW w:w="3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Net income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$ 59,920</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$ 47,438</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$ 12,482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26.3%</w:t>
            </w:r>
          </w:p>
        </w:tc>
      </w:tr>
      <w:tr>
        <w:trPr>
          <w:trHeight w:val="176"/>
        </w:trPr>
        <w:tc>
          <w:tcPr>
            <w:tcW w:w="3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740" w:type="dxa"/>
            <w:vAlign w:val="bottom"/>
          </w:tcPr>
          <w:p>
            <w:pPr>
              <w:spacing w:after="0"/>
              <w:rPr>
                <w:sz w:val="15"/>
                <w:szCs w:val="15"/>
                <w:color w:val="auto"/>
              </w:rPr>
            </w:pPr>
          </w:p>
        </w:tc>
      </w:tr>
    </w:tbl>
    <w:p>
      <w:pPr>
        <w:spacing w:after="0" w:line="35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REVENUE. The increase in total revenue in the three months ended June 30, 2004 is due primarily to an increase in service revenue as a result of Managed Services agreements signed during fiscal 2003 and additional revenue resulting from our acquisition of Certen in the fourth quarter of fiscal 2003. Revenue related to Managed Services agreements in the three months ended June 30, 2004 was approximately 40% of total revenue. The net revenue impact of the Managed Services agreements entered into during fiscal 2003, including the effect of the Certen acquisition, was approximately $58 million in the three months ended June 30, 2004.</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License revenue in the three months ended June 30, 2004 increased compared to the three months ended June 30, 2003, as a result of new contracts that we obtained from new and existing customers during fiscal 2004.</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License and service revenue from the sale of CC&amp;B Systems was $388.0 million for the three months ended June 30, 2004, an increase of $65.9 million, or 20.4%, over the three months ended June 30, 2003. Approximately two-thirds of the increase is attributable to our acquisition of Certen in the fourth quarter of fiscal 2003, and the remainder is attributable to additional revenue from existing and new customers. License and service revenue from the sale of CC&amp;B Systems represented 86.2% and 85.4% of our total revenue in the three months ended June 30, 2004 and 2003, respectively. The demand for our CC&amp;B Systems is primarily driven by the need for communications companies to continue to integrate their billing, CRM and order management systems into Integrated Customer Management products and services. In fiscal 2003, many communications companies reduced or delayed expenditures on system upgrades as a result of the slowdown in the communications industry. Recently, however, there has been an improvement in market conditions contributing for the increase in revenue in the third quarter of fiscal 2004.</w:t>
      </w:r>
    </w:p>
    <w:p>
      <w:pPr>
        <w:spacing w:after="0" w:line="185" w:lineRule="exact"/>
        <w:rPr>
          <w:sz w:val="20"/>
          <w:szCs w:val="20"/>
          <w:color w:val="auto"/>
        </w:rPr>
      </w:pPr>
    </w:p>
    <w:p>
      <w:pPr>
        <w:jc w:val="both"/>
        <w:ind w:right="3079" w:firstLine="550"/>
        <w:spacing w:after="0" w:line="249" w:lineRule="auto"/>
        <w:rPr>
          <w:sz w:val="20"/>
          <w:szCs w:val="20"/>
          <w:color w:val="auto"/>
        </w:rPr>
      </w:pPr>
      <w:r>
        <w:rPr>
          <w:rFonts w:ascii="Courier New" w:cs="Courier New" w:eastAsia="Courier New" w:hAnsi="Courier New"/>
          <w:sz w:val="15"/>
          <w:szCs w:val="15"/>
          <w:color w:val="auto"/>
        </w:rPr>
        <w:t>License and service revenue from the sale of Directory Systems was $62.2 million for the three months ended June 30, 2004, an increase of $7.2 million, or 13.1%, over the three months ended June 30, 2003. Approximately $15 million</w:t>
      </w:r>
    </w:p>
    <w:p>
      <w:pPr>
        <w:sectPr>
          <w:pgSz w:w="11900" w:h="16880" w:orient="portrait"/>
          <w:cols w:equalWidth="0" w:num="1">
            <w:col w:w="10219"/>
          </w:cols>
          <w:pgMar w:left="240" w:top="470" w:right="1440" w:bottom="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of the increase in Directory Systems revenue in the three months ended June 30,</w:t>
      </w:r>
    </w:p>
    <w:p>
      <w:pPr>
        <w:sectPr>
          <w:pgSz w:w="11900" w:h="16838" w:orient="portrait"/>
          <w:cols w:equalWidth="0" w:num="1">
            <w:col w:w="10219"/>
          </w:cols>
          <w:pgMar w:left="240" w:top="141" w:right="1440" w:bottom="1440" w:gutter="0" w:footer="0" w:header="0"/>
        </w:sectPr>
      </w:pP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141" w:right="1440" w:bottom="1440" w:gutter="0" w:footer="0" w:header="0"/>
          <w:type w:val="continuous"/>
        </w:sectPr>
      </w:pPr>
    </w:p>
    <w:bookmarkStart w:id="31" w:name="page32"/>
    <w:bookmarkEnd w:id="31"/>
    <w:p>
      <w:pPr>
        <w:ind w:right="2899"/>
        <w:spacing w:after="0" w:line="249" w:lineRule="auto"/>
        <w:rPr>
          <w:sz w:val="20"/>
          <w:szCs w:val="20"/>
          <w:color w:val="auto"/>
        </w:rPr>
      </w:pPr>
      <w:r>
        <w:rPr>
          <w:rFonts w:ascii="Courier New" w:cs="Courier New" w:eastAsia="Courier New" w:hAnsi="Courier New"/>
          <w:sz w:val="15"/>
          <w:szCs w:val="15"/>
          <w:color w:val="auto"/>
        </w:rPr>
        <w:t>2004 was attributable to the Managed Services agreements. This revenue was partially offset by the completion of certain implementation projects that accounted for $8 million of revenue in the comparable period of fiscal 2003. License and service revenue from the sale of Directory Systems represented 13.8% and 14.6% of our total revenue in the three months ended June 30, 2004 and 2003, respectively. We believe that we are a leading provider of Directory Systems in most of the markets we serve. We expect that our revenue from Directory Systems will remain relatively stable in fiscal 2004.</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In the three months ended June 30, 2004, revenue from customers in North America, Europe and the rest of the world accounted for 65.9%, 26.1% and 8.0%, respectively, of total revenue compared to 62.9%, 28.1% and 9.0%, respectively, for the three months ended June 30, 2003. Approximately 95.0% of the increase in revenue from customers in North America is attributable to Managed Services agreements, including the acquisition of Certen, which expanded our activity and revenue from customers in North America, and approximately 5.0% to the expansion of relationships with existing customers in North America. The decreased contribution to revenue from customers in Europe relative to customers in North America, as a percentage of revenue, resulted from the relatively greater growth in activity from customers in North America than in Europe during the three months ended June 30, 2004. Revenue from customers in the rest of the world in absolute amount was relatively stable in the three months ended June 30, 2004 compared to the three months ended June 30, 2003.</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In the three months ended June 30, 2004, cost of license, as a percentage of license revenue, was 8.4%, compared to 12.7% in the three months ended June 30, 2003.</w:t>
      </w:r>
    </w:p>
    <w:p>
      <w:pPr>
        <w:spacing w:after="0" w:line="35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Cost of Service. The increase in cost of service in the three months ended June 30, 2004 was 22.9%, which was higher than 19.4%, the increase in our total revenue in the three months ended June 30, 2004, and resulted in a 1.7% decrease in our gross margin. Our gross margin was affected by the Managed Services agreements signed during fiscal 2003, which we expect to be less profitable in their initial period.</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Research and Development. Research and development expense was primarily comprised of compensation expense attributed to research and development activities, which involve the development of new software modules and product offerings, either in conjunction with customer projects or as part of our internal product development program. We are currently focusing significant development efforts on the integration between our products in order to provide Integrated Customer Management to our customers, while continuing to upgrade our existing systems. The majority of our research and development expenditures are directed to our billing and CRM systems, and the remainder to directory, content, mediation and order management solutions. The increase in research and development expense was proportionally less than the increase in our total revenue. Although we intend to continue to devote resources to research and development, our research and development budget, like all of our costs, is sensitive to our overall financial condition.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18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is primarily comprised of compensation expense. The increase in selling, general and administrative expense in the three months ended June 30, 2004 was attributable to overall increase in our operations, as well as to the increase in our selling and marketing efforts. The increase in selling, general and administrative expense in the three months ended June 30, 2004 was 3.5%, which was proportionally less than the 19.4% increase in our total revenue.</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Operating Income. The increase in operating income in the three months ended June 30, 2004 resulted from the 19.4% increase in our total revenue, partially offset by the 1.7% decrease in our gross margin attributable to the relative low gross margin of our Managed Services projects in their early stages of implementation.</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47" w:right="1440" w:bottom="1440" w:gutter="0" w:footer="0" w:header="0"/>
        </w:sectPr>
      </w:pPr>
    </w:p>
    <w:bookmarkStart w:id="32" w:name="page33"/>
    <w:bookmarkEnd w:id="32"/>
    <w:p>
      <w:pPr>
        <w:ind w:right="2979" w:firstLine="458"/>
        <w:spacing w:after="0" w:line="249" w:lineRule="auto"/>
        <w:rPr>
          <w:sz w:val="20"/>
          <w:szCs w:val="20"/>
          <w:color w:val="auto"/>
        </w:rPr>
      </w:pPr>
      <w:r>
        <w:rPr>
          <w:rFonts w:ascii="Courier New" w:cs="Courier New" w:eastAsia="Courier New" w:hAnsi="Courier New"/>
          <w:sz w:val="15"/>
          <w:szCs w:val="15"/>
          <w:color w:val="auto"/>
        </w:rPr>
        <w:t>Interest Income and Other, Net. The decrease in interest income and other, net, in the three months ended June 30, 2004 is primarily attributable to the decline in interest rates on our short-term interest-bearing investments, which resulted from our decision to shorten the duration of our investments due to volatility in the interest rate environment, and was also affected by the decrease resulted from the interest income on debentures issued by Certen to us that was eliminated as a result of the Certen acquisition.</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Income Taxes. Our effective tax rate in the three months ended June 30, 2004 was 22% compared to 25% in the three months ended June 30, 2003. Our effective tax rate for fiscal year 2004 is expected to be approximately 22% due to the corporate income tax rates in the various countries in which we operate and the relative magnitude of our business in those countries. The reduction in our effective tax rate is due to our continued expansion into countries with lower effective tax rates.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Net Income. The increase in net income is attributable to the 19.4% increase in our total revenue, which was partially offset by the 1.7% decrease in our gross margin attributable to the relative low gross margin of our Managed Services projects in their early stages of implementation in the three months ended June 30, 2004.</w:t>
      </w:r>
    </w:p>
    <w:p>
      <w:pPr>
        <w:spacing w:after="0" w:line="176" w:lineRule="exact"/>
        <w:rPr>
          <w:sz w:val="20"/>
          <w:szCs w:val="20"/>
          <w:color w:val="auto"/>
        </w:rPr>
      </w:pPr>
    </w:p>
    <w:p>
      <w:pPr>
        <w:jc w:val="both"/>
        <w:ind w:right="3079" w:firstLine="458"/>
        <w:spacing w:after="0" w:line="249" w:lineRule="auto"/>
        <w:rPr>
          <w:sz w:val="20"/>
          <w:szCs w:val="20"/>
          <w:color w:val="auto"/>
        </w:rPr>
      </w:pPr>
      <w:r>
        <w:rPr>
          <w:rFonts w:ascii="Courier New" w:cs="Courier New" w:eastAsia="Courier New" w:hAnsi="Courier New"/>
          <w:sz w:val="15"/>
          <w:szCs w:val="15"/>
          <w:color w:val="auto"/>
        </w:rPr>
        <w:t>Diluted Earnings Per Share. Diluted earnings per share were $0.28 for the three months ended June 30, 2004, compared to $0.21 in the three months ended June 30, 2003.</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Cash, cash equivalents and short-term interest-bearing investments totaled $1,228.3 million as of June 30, 2004, compared to $1,290.9 million as of September 30, 2003. The decrease is attributable to the use of approximately $395.1 million to repurchase 2% Convertible Notes due June 1, 2008 (the "2% Notes") as described below, the use of $170.1 million to repurchase ordinary shares sold short by purchasers of the 0.50% Convertible Senior Notes due 2024 (the "0.50% Notes") in negotiated transactions concurrently with the sale of the 0.50% Notes, and the use of an additional $137.4 million to repurchase our ordinary shares pursuant to our share repurchase program and in connection with our acquisition of XACCT, which was partially offset by the net proceeds from the issuance of $450.0 million of 0.50% Notes in March 2004 and positive cash flows from operations. Net cash provided by operating activities amounted to $257.7 million and $284.0 million for the nine months ended June 30, 2004 and 2003, respectively. Although net income before depreciation and amortization increased in the nine months ended June 30, 2004, cash flows from operations decreased, due primarily to increases in accounts receivable. We currently intend to retain our future operating cash flows to support the further expansion of our business, including investments related to new Managed Services projects and acquisitions. We also may use a portion of our cash balances for future repurchases of our outstanding securities.</w:t>
      </w:r>
    </w:p>
    <w:p>
      <w:pPr>
        <w:spacing w:after="0" w:line="188"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Our policy is to retain substantial cash balances in order to support the growth of the Company. We believe that our current cash balances, cash generated from operations and our current lines of credit will provide sufficient resources to meet our liquidity needs for at least the next fiscal year.</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On June 1, 2004, we completed a cash offer for the 2% Notes. Pursuant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indenture for the 2% Notes, each holder of the 2% Notes had the right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 us to repurchase on June 1, 2004 all or any part of such holder's notes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a price equal to 100% of the principal amount plus accrued and unpaid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Under the terms of the 2% Notes, we had the option to pay for the 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with cash, ordinary shares, or a combination of cash and ordinary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elected to pay for the 2% Notes solely with cash. We accepted for payment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$395.1 million principal amount of 2% Notes surrendered for repurchase pursuant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offer. The untendered $344,000 principal amount of 2% Notes will remain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our obligations due June 1, 2008, in accordance with their terms. As of June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 2004, $0.3 million and $450.0 million aggregate principal amount of our 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and 0.50% Notes were outstanding, respectively.</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On July 28, 2004 we announced that our board of directors had extended our share repurchase program by authorizing the repurchase of up to $100.0 million of our outstanding ordinary shares. The authorization permits us to purchase our ordinary shares in open market or privately negotiated transactions at times and</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47" w:right="1440" w:bottom="1440" w:gutter="0" w:footer="0" w:header="0"/>
        </w:sectPr>
      </w:pPr>
    </w:p>
    <w:bookmarkStart w:id="33" w:name="page34"/>
    <w:bookmarkEnd w:id="33"/>
    <w:p>
      <w:pPr>
        <w:ind w:right="3079"/>
        <w:spacing w:after="0" w:line="249" w:lineRule="auto"/>
        <w:rPr>
          <w:sz w:val="20"/>
          <w:szCs w:val="20"/>
          <w:color w:val="auto"/>
        </w:rPr>
      </w:pPr>
      <w:r>
        <w:rPr>
          <w:rFonts w:ascii="Courier New" w:cs="Courier New" w:eastAsia="Courier New" w:hAnsi="Courier New"/>
          <w:sz w:val="15"/>
          <w:szCs w:val="15"/>
          <w:color w:val="auto"/>
        </w:rPr>
        <w:t>prices considered appropriate by us. As of August 10, 2004, we had repurchased 2,218,500 ordinary shares under this repurchase program, for an aggregate purchase price of 46.8 million.</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As of June 30, 2004, we had available short-term general revolving lines of credit totaling $31.0 million, pursuant to which $0.9 million of loans was outstanding. In addition, as of June 30, 2004 we had outstanding letters of credit and bank guarantees from various banks totaling $13.6 million.</w:t>
      </w:r>
    </w:p>
    <w:p>
      <w:pPr>
        <w:spacing w:after="0" w:line="176" w:lineRule="exact"/>
        <w:rPr>
          <w:sz w:val="20"/>
          <w:szCs w:val="20"/>
          <w:color w:val="auto"/>
        </w:rPr>
      </w:pPr>
    </w:p>
    <w:p>
      <w:pPr>
        <w:ind w:right="3359" w:firstLine="458"/>
        <w:spacing w:after="0" w:line="250" w:lineRule="auto"/>
        <w:rPr>
          <w:sz w:val="20"/>
          <w:szCs w:val="20"/>
          <w:color w:val="auto"/>
        </w:rPr>
      </w:pPr>
      <w:r>
        <w:rPr>
          <w:rFonts w:ascii="Courier New" w:cs="Courier New" w:eastAsia="Courier New" w:hAnsi="Courier New"/>
          <w:sz w:val="15"/>
          <w:szCs w:val="15"/>
          <w:color w:val="auto"/>
        </w:rPr>
        <w:t>As of June 30, 2004, we had outstanding long-term obligations of $28.4 million in connection with leasing arrangements.</w:t>
      </w:r>
    </w:p>
    <w:p>
      <w:pPr>
        <w:spacing w:after="0" w:line="175" w:lineRule="exact"/>
        <w:rPr>
          <w:sz w:val="20"/>
          <w:szCs w:val="20"/>
          <w:color w:val="auto"/>
        </w:rPr>
      </w:pPr>
    </w:p>
    <w:p>
      <w:pPr>
        <w:ind w:right="3179" w:firstLine="458"/>
        <w:spacing w:after="0" w:line="248" w:lineRule="auto"/>
        <w:rPr>
          <w:sz w:val="20"/>
          <w:szCs w:val="20"/>
          <w:color w:val="auto"/>
        </w:rPr>
      </w:pPr>
      <w:r>
        <w:rPr>
          <w:rFonts w:ascii="Courier New" w:cs="Courier New" w:eastAsia="Courier New" w:hAnsi="Courier New"/>
          <w:sz w:val="15"/>
          <w:szCs w:val="15"/>
          <w:color w:val="auto"/>
        </w:rPr>
        <w:t>We have contractual obligations for our convertible notes, financing arrangements, capital leases and non-cancelable operating leases that were summarized in a table of contractual obligations in our Annual Report on Form</w:t>
      </w:r>
    </w:p>
    <w:p>
      <w:pPr>
        <w:spacing w:after="0" w:line="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20-F for the year ended September 30, 2003. There have been no material changes in contractual obligations outside the ordinary course of our business since September 30, 2003, with the exception of the issuance of our 0.50% Notes in March 2004 and the repurchase of the 2% Notes in June 2004, as discussed above.</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Our capital expenditures were approximately $33.5 million in the nine months ended June 30, 2004. Approximately 85% of these expenditures consisted of purchases of computer equipment and, the remainder, leasehold improvements. We funded our capital expenditures principally from operating cash flows. We do not anticipate any changes to this policy in the foreseeable future.</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Currency Fluctuations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manage our foreign subsidiaries as integral direct components of our operations. The U.S. dollar is our functional currency. According to the salient economic factors indicated in SFAS No.52, "Foreign Currency Translation", our cash flow, sale price, sales market, expense, financing and intercompany transactions and arrangement indicators are denominated in the U.S. dollar. The operations of our foreign subsidiaries provide the same type of services with the same type of expenditure throughout Amdocs' group.</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During the nine months ended June 30, 2004, our revenue and operating expenses (excluding acquisition-related charges) in U.S. dollars or linked to the U.S. dollar decreased compared to fiscal 2003, from 80% to 70% and from 60% to 50%, respectively, primarily as a result of the acquisition of Certen Inc., the majority of whose business is in Canadian dollars. As a result of long-term contracts in currencies other than the U.S. dollar and more customers seeking contracts that are denominated in currencies such as the Euro, we expect that the percentage of our revenue and operating expenses in U.S. dollars or linked to the U.S. dollar will decrease slightly over time. Historically, the effect of fluctuations in currency exchange rates has had a minimal impact on our consolidated operations. As more of our customers seek contracts that are denominated in currencies other than the U.S. dollar, our exposure to fluctuations in currency exchange rates could increase.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We periodically assess the applicability of the U.S. dollar as our functional currency by reviewing the salient indicators.</w:t>
      </w:r>
    </w:p>
    <w:p>
      <w:pPr>
        <w:spacing w:after="0" w:line="36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47" w:right="1440" w:bottom="1440" w:gutter="0" w:footer="0" w:header="0"/>
        </w:sectPr>
      </w:pPr>
    </w:p>
    <w:bookmarkStart w:id="34" w:name="page35"/>
    <w:bookmarkEnd w:id="34"/>
    <w:p>
      <w:pPr>
        <w:ind w:left="6"/>
        <w:spacing w:after="0"/>
        <w:tabs>
          <w:tab w:leader="none" w:pos="806" w:val="left"/>
        </w:tabs>
        <w:rPr>
          <w:sz w:val="20"/>
          <w:szCs w:val="20"/>
          <w:color w:val="auto"/>
        </w:rPr>
      </w:pPr>
      <w:r>
        <w:rPr>
          <w:rFonts w:ascii="Courier New" w:cs="Courier New" w:eastAsia="Courier New" w:hAnsi="Courier New"/>
          <w:sz w:val="15"/>
          <w:szCs w:val="15"/>
          <w:color w:val="auto"/>
        </w:rPr>
        <w:t>PART II</w:t>
        <w:tab/>
        <w:t>OTHER INFORMATION</w:t>
      </w:r>
    </w:p>
    <w:p>
      <w:pPr>
        <w:spacing w:after="0" w:line="182" w:lineRule="exact"/>
        <w:rPr>
          <w:sz w:val="20"/>
          <w:szCs w:val="20"/>
          <w:color w:val="auto"/>
        </w:rPr>
      </w:pPr>
    </w:p>
    <w:p>
      <w:pPr>
        <w:ind w:left="6"/>
        <w:spacing w:after="0"/>
        <w:tabs>
          <w:tab w:leader="none" w:pos="1806" w:val="left"/>
          <w:tab w:leader="none" w:pos="3006" w:val="left"/>
          <w:tab w:leader="none" w:pos="5566" w:val="left"/>
        </w:tabs>
        <w:rPr>
          <w:sz w:val="20"/>
          <w:szCs w:val="20"/>
          <w:color w:val="auto"/>
        </w:rPr>
      </w:pPr>
      <w:r>
        <w:rPr>
          <w:rFonts w:ascii="Courier New" w:cs="Courier New" w:eastAsia="Courier New" w:hAnsi="Courier New"/>
          <w:sz w:val="15"/>
          <w:szCs w:val="15"/>
          <w:color w:val="auto"/>
        </w:rPr>
        <w:t>ITEM 1. CHANGES IN</w:t>
        <w:tab/>
        <w:t>SECURITIES,</w:t>
        <w:tab/>
        <w:t>USE OF PROCEEDS AND ISSUER</w:t>
        <w:tab/>
        <w:t>PURCHASES OF EQUITY</w:t>
      </w:r>
    </w:p>
    <w:p>
      <w:pPr>
        <w:spacing w:after="0" w:line="6" w:lineRule="exact"/>
        <w:rPr>
          <w:sz w:val="20"/>
          <w:szCs w:val="20"/>
          <w:color w:val="auto"/>
        </w:rPr>
      </w:pPr>
    </w:p>
    <w:p>
      <w:pPr>
        <w:ind w:left="726"/>
        <w:spacing w:after="0"/>
        <w:rPr>
          <w:sz w:val="20"/>
          <w:szCs w:val="20"/>
          <w:color w:val="auto"/>
        </w:rPr>
      </w:pPr>
      <w:r>
        <w:rPr>
          <w:rFonts w:ascii="Courier New" w:cs="Courier New" w:eastAsia="Courier New" w:hAnsi="Courier New"/>
          <w:sz w:val="15"/>
          <w:szCs w:val="15"/>
          <w:color w:val="auto"/>
        </w:rPr>
        <w:t>SECURITIES.</w:t>
      </w:r>
    </w:p>
    <w:p>
      <w:pPr>
        <w:spacing w:after="0" w:line="359" w:lineRule="exact"/>
        <w:rPr>
          <w:sz w:val="20"/>
          <w:szCs w:val="20"/>
          <w:color w:val="auto"/>
        </w:rPr>
      </w:pPr>
    </w:p>
    <w:p>
      <w:pPr>
        <w:ind w:left="826" w:hanging="826"/>
        <w:spacing w:after="0"/>
        <w:tabs>
          <w:tab w:leader="none" w:pos="826"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Issuer Purchases of Equity Securities</w:t>
      </w:r>
    </w:p>
    <w:p>
      <w:pPr>
        <w:spacing w:after="0" w:line="182" w:lineRule="exact"/>
        <w:rPr>
          <w:sz w:val="20"/>
          <w:szCs w:val="20"/>
          <w:color w:val="auto"/>
        </w:rPr>
      </w:pPr>
    </w:p>
    <w:p>
      <w:pPr>
        <w:ind w:left="6" w:right="3480" w:firstLine="824"/>
        <w:spacing w:after="0" w:line="249" w:lineRule="auto"/>
        <w:rPr>
          <w:sz w:val="20"/>
          <w:szCs w:val="20"/>
          <w:color w:val="auto"/>
        </w:rPr>
      </w:pPr>
      <w:r>
        <w:rPr>
          <w:rFonts w:ascii="Courier New" w:cs="Courier New" w:eastAsia="Courier New" w:hAnsi="Courier New"/>
          <w:sz w:val="15"/>
          <w:szCs w:val="15"/>
          <w:color w:val="auto"/>
        </w:rPr>
        <w:t>The following table provides information about purchases by the Company and its affiliated purchasers during the quarter ended June 30, 2004 of equity securities that are registered by the Company pursuant to Section 12 of the Exchange Act:</w:t>
      </w:r>
    </w:p>
    <w:p>
      <w:pPr>
        <w:spacing w:after="0" w:line="176" w:lineRule="exact"/>
        <w:rPr>
          <w:sz w:val="20"/>
          <w:szCs w:val="20"/>
          <w:color w:val="auto"/>
        </w:rPr>
      </w:pPr>
    </w:p>
    <w:p>
      <w:pPr>
        <w:ind w:left="2006"/>
        <w:spacing w:after="0"/>
        <w:rPr>
          <w:sz w:val="20"/>
          <w:szCs w:val="20"/>
          <w:color w:val="auto"/>
        </w:rPr>
      </w:pPr>
      <w:r>
        <w:rPr>
          <w:rFonts w:ascii="Courier New" w:cs="Courier New" w:eastAsia="Courier New" w:hAnsi="Courier New"/>
          <w:sz w:val="15"/>
          <w:szCs w:val="15"/>
          <w:color w:val="auto"/>
        </w:rPr>
        <w:t>ISSUER PURCHASES OF EQUITY SECURITIES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Ordinary Shares</w:t>
      </w:r>
    </w:p>
    <w:p>
      <w:pPr>
        <w:spacing w:after="0" w:line="200" w:lineRule="exact"/>
        <w:rPr>
          <w:sz w:val="20"/>
          <w:szCs w:val="20"/>
          <w:color w:val="auto"/>
        </w:rPr>
      </w:pPr>
    </w:p>
    <w:p>
      <w:pPr>
        <w:spacing w:after="0" w:line="335"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520" w:type="dxa"/>
            <w:vAlign w:val="bottom"/>
          </w:tcPr>
          <w:p>
            <w:pPr>
              <w:spacing w:after="0"/>
              <w:rPr>
                <w:sz w:val="14"/>
                <w:szCs w:val="14"/>
                <w:color w:val="auto"/>
              </w:rPr>
            </w:pPr>
          </w:p>
        </w:tc>
        <w:tc>
          <w:tcPr>
            <w:tcW w:w="22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(a)</w:t>
            </w:r>
          </w:p>
        </w:tc>
        <w:tc>
          <w:tcPr>
            <w:tcW w:w="164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(b)</w:t>
            </w:r>
          </w:p>
        </w:tc>
        <w:tc>
          <w:tcPr>
            <w:tcW w:w="212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(c)</w:t>
            </w:r>
          </w:p>
        </w:tc>
        <w:tc>
          <w:tcPr>
            <w:tcW w:w="228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(d)</w:t>
            </w:r>
          </w:p>
        </w:tc>
      </w:tr>
      <w:tr>
        <w:trPr>
          <w:trHeight w:val="176"/>
        </w:trPr>
        <w:tc>
          <w:tcPr>
            <w:tcW w:w="25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MAXIMUM NUMBER (OR</w:t>
            </w:r>
          </w:p>
        </w:tc>
      </w:tr>
      <w:tr>
        <w:trPr>
          <w:trHeight w:val="176"/>
        </w:trPr>
        <w:tc>
          <w:tcPr>
            <w:tcW w:w="25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1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TOTAL NUMBER OF</w:t>
            </w:r>
          </w:p>
        </w:tc>
        <w:tc>
          <w:tcPr>
            <w:tcW w:w="2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APPROXIMATE DOLLAR</w:t>
            </w:r>
          </w:p>
        </w:tc>
      </w:tr>
      <w:tr>
        <w:trPr>
          <w:trHeight w:val="176"/>
        </w:trPr>
        <w:tc>
          <w:tcPr>
            <w:tcW w:w="25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120" w:type="dxa"/>
            <w:vAlign w:val="bottom"/>
          </w:tcPr>
          <w:p>
            <w:pPr>
              <w:ind w:left="100"/>
              <w:spacing w:after="0"/>
              <w:rPr>
                <w:sz w:val="20"/>
                <w:szCs w:val="20"/>
                <w:color w:val="auto"/>
              </w:rPr>
            </w:pPr>
            <w:r>
              <w:rPr>
                <w:rFonts w:ascii="Courier New" w:cs="Courier New" w:eastAsia="Courier New" w:hAnsi="Courier New"/>
                <w:sz w:val="15"/>
                <w:szCs w:val="15"/>
                <w:color w:val="auto"/>
              </w:rPr>
              <w:t>SHARES (OR UNITS)</w:t>
            </w:r>
          </w:p>
        </w:tc>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VALUE) OF SHARES (OR</w:t>
            </w:r>
          </w:p>
        </w:tc>
      </w:tr>
      <w:tr>
        <w:trPr>
          <w:trHeight w:val="176"/>
        </w:trPr>
        <w:tc>
          <w:tcPr>
            <w:tcW w:w="25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120" w:type="dxa"/>
            <w:vAlign w:val="bottom"/>
          </w:tcPr>
          <w:p>
            <w:pPr>
              <w:ind w:left="100"/>
              <w:spacing w:after="0"/>
              <w:rPr>
                <w:sz w:val="20"/>
                <w:szCs w:val="20"/>
                <w:color w:val="auto"/>
              </w:rPr>
            </w:pPr>
            <w:r>
              <w:rPr>
                <w:rFonts w:ascii="Courier New" w:cs="Courier New" w:eastAsia="Courier New" w:hAnsi="Courier New"/>
                <w:sz w:val="15"/>
                <w:szCs w:val="15"/>
                <w:color w:val="auto"/>
              </w:rPr>
              <w:t>PURCHASED AS PART</w:t>
            </w:r>
          </w:p>
        </w:tc>
        <w:tc>
          <w:tcPr>
            <w:tcW w:w="2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UNITS) THAT MAY YET</w:t>
            </w:r>
          </w:p>
        </w:tc>
      </w:tr>
      <w:tr>
        <w:trPr>
          <w:trHeight w:val="176"/>
        </w:trPr>
        <w:tc>
          <w:tcPr>
            <w:tcW w:w="2520" w:type="dxa"/>
            <w:vAlign w:val="bottom"/>
          </w:tcPr>
          <w:p>
            <w:pPr>
              <w:spacing w:after="0"/>
              <w:rPr>
                <w:sz w:val="15"/>
                <w:szCs w:val="15"/>
                <w:color w:val="auto"/>
              </w:rPr>
            </w:pPr>
          </w:p>
        </w:tc>
        <w:tc>
          <w:tcPr>
            <w:tcW w:w="2240" w:type="dxa"/>
            <w:vAlign w:val="bottom"/>
          </w:tcPr>
          <w:p>
            <w:pPr>
              <w:jc w:val="center"/>
              <w:ind w:right="164"/>
              <w:spacing w:after="0"/>
              <w:rPr>
                <w:sz w:val="20"/>
                <w:szCs w:val="20"/>
                <w:color w:val="auto"/>
              </w:rPr>
            </w:pPr>
            <w:r>
              <w:rPr>
                <w:rFonts w:ascii="Courier New" w:cs="Courier New" w:eastAsia="Courier New" w:hAnsi="Courier New"/>
                <w:sz w:val="15"/>
                <w:szCs w:val="15"/>
                <w:color w:val="auto"/>
              </w:rPr>
              <w:t>TOTAL NUMBER OF</w:t>
            </w:r>
          </w:p>
        </w:tc>
        <w:tc>
          <w:tcPr>
            <w:tcW w:w="1640" w:type="dxa"/>
            <w:vAlign w:val="bottom"/>
          </w:tcPr>
          <w:p>
            <w:pPr>
              <w:ind w:left="80"/>
              <w:spacing w:after="0"/>
              <w:rPr>
                <w:sz w:val="20"/>
                <w:szCs w:val="20"/>
                <w:color w:val="auto"/>
              </w:rPr>
            </w:pPr>
            <w:r>
              <w:rPr>
                <w:rFonts w:ascii="Courier New" w:cs="Courier New" w:eastAsia="Courier New" w:hAnsi="Courier New"/>
                <w:sz w:val="15"/>
                <w:szCs w:val="15"/>
                <w:color w:val="auto"/>
              </w:rPr>
              <w:t>AVERAGE PRICE</w:t>
            </w:r>
          </w:p>
        </w:tc>
        <w:tc>
          <w:tcPr>
            <w:tcW w:w="21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OF PUBLICLY</w:t>
            </w:r>
          </w:p>
        </w:tc>
        <w:tc>
          <w:tcPr>
            <w:tcW w:w="2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BE PURCHASED UNDER</w:t>
            </w:r>
          </w:p>
        </w:tc>
      </w:tr>
      <w:tr>
        <w:trPr>
          <w:trHeight w:val="176"/>
        </w:trPr>
        <w:tc>
          <w:tcPr>
            <w:tcW w:w="2520" w:type="dxa"/>
            <w:vAlign w:val="bottom"/>
          </w:tcPr>
          <w:p>
            <w:pPr>
              <w:spacing w:after="0"/>
              <w:rPr>
                <w:sz w:val="15"/>
                <w:szCs w:val="15"/>
                <w:color w:val="auto"/>
              </w:rPr>
            </w:pPr>
          </w:p>
        </w:tc>
        <w:tc>
          <w:tcPr>
            <w:tcW w:w="2240" w:type="dxa"/>
            <w:vAlign w:val="bottom"/>
          </w:tcPr>
          <w:p>
            <w:pPr>
              <w:jc w:val="center"/>
              <w:ind w:right="164"/>
              <w:spacing w:after="0"/>
              <w:rPr>
                <w:sz w:val="20"/>
                <w:szCs w:val="20"/>
                <w:color w:val="auto"/>
              </w:rPr>
            </w:pPr>
            <w:r>
              <w:rPr>
                <w:rFonts w:ascii="Courier New" w:cs="Courier New" w:eastAsia="Courier New" w:hAnsi="Courier New"/>
                <w:sz w:val="15"/>
                <w:szCs w:val="15"/>
                <w:color w:val="auto"/>
              </w:rPr>
              <w:t>SHARES (OR UNITS)</w:t>
            </w:r>
          </w:p>
        </w:tc>
        <w:tc>
          <w:tcPr>
            <w:tcW w:w="1640" w:type="dxa"/>
            <w:vAlign w:val="bottom"/>
          </w:tcPr>
          <w:p>
            <w:pPr>
              <w:ind w:left="80"/>
              <w:spacing w:after="0"/>
              <w:rPr>
                <w:sz w:val="20"/>
                <w:szCs w:val="20"/>
                <w:color w:val="auto"/>
              </w:rPr>
            </w:pPr>
            <w:r>
              <w:rPr>
                <w:rFonts w:ascii="Courier New" w:cs="Courier New" w:eastAsia="Courier New" w:hAnsi="Courier New"/>
                <w:sz w:val="15"/>
                <w:szCs w:val="15"/>
                <w:color w:val="auto"/>
              </w:rPr>
              <w:t>PAID PER SHARE</w:t>
            </w:r>
          </w:p>
        </w:tc>
        <w:tc>
          <w:tcPr>
            <w:tcW w:w="2120" w:type="dxa"/>
            <w:vAlign w:val="bottom"/>
          </w:tcPr>
          <w:p>
            <w:pPr>
              <w:ind w:left="100"/>
              <w:spacing w:after="0"/>
              <w:rPr>
                <w:sz w:val="20"/>
                <w:szCs w:val="20"/>
                <w:color w:val="auto"/>
              </w:rPr>
            </w:pPr>
            <w:r>
              <w:rPr>
                <w:rFonts w:ascii="Courier New" w:cs="Courier New" w:eastAsia="Courier New" w:hAnsi="Courier New"/>
                <w:sz w:val="15"/>
                <w:szCs w:val="15"/>
                <w:color w:val="auto"/>
              </w:rPr>
              <w:t>ANNOUNCED PLANS OR</w:t>
            </w:r>
          </w:p>
        </w:tc>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THE PLANS OR PROGRAMS</w:t>
            </w:r>
          </w:p>
        </w:tc>
      </w:tr>
      <w:tr>
        <w:trPr>
          <w:trHeight w:val="176"/>
        </w:trPr>
        <w:tc>
          <w:tcPr>
            <w:tcW w:w="2520" w:type="dxa"/>
            <w:vAlign w:val="bottom"/>
          </w:tcPr>
          <w:p>
            <w:pPr>
              <w:spacing w:after="0"/>
              <w:rPr>
                <w:sz w:val="20"/>
                <w:szCs w:val="20"/>
                <w:color w:val="auto"/>
              </w:rPr>
            </w:pPr>
            <w:r>
              <w:rPr>
                <w:rFonts w:ascii="Courier New" w:cs="Courier New" w:eastAsia="Courier New" w:hAnsi="Courier New"/>
                <w:sz w:val="15"/>
                <w:szCs w:val="15"/>
                <w:color w:val="auto"/>
              </w:rPr>
              <w:t>PERIOD</w:t>
            </w:r>
          </w:p>
        </w:tc>
        <w:tc>
          <w:tcPr>
            <w:tcW w:w="22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PURCHASED</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(OR UNIT)</w:t>
            </w:r>
          </w:p>
        </w:tc>
        <w:tc>
          <w:tcPr>
            <w:tcW w:w="2120" w:type="dxa"/>
            <w:vAlign w:val="bottom"/>
          </w:tcPr>
          <w:p>
            <w:pPr>
              <w:jc w:val="right"/>
              <w:ind w:right="764"/>
              <w:spacing w:after="0"/>
              <w:rPr>
                <w:sz w:val="20"/>
                <w:szCs w:val="20"/>
                <w:color w:val="auto"/>
              </w:rPr>
            </w:pPr>
            <w:r>
              <w:rPr>
                <w:rFonts w:ascii="Courier New" w:cs="Courier New" w:eastAsia="Courier New" w:hAnsi="Courier New"/>
                <w:sz w:val="15"/>
                <w:szCs w:val="15"/>
                <w:color w:val="auto"/>
              </w:rPr>
              <w:t>PROGRAMS</w:t>
            </w:r>
          </w:p>
        </w:tc>
        <w:tc>
          <w:tcPr>
            <w:tcW w:w="228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(1) (2)</w:t>
            </w:r>
          </w:p>
        </w:tc>
      </w:tr>
      <w:tr>
        <w:trPr>
          <w:trHeight w:val="176"/>
        </w:trPr>
        <w:tc>
          <w:tcPr>
            <w:tcW w:w="25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2520" w:type="dxa"/>
            <w:vAlign w:val="bottom"/>
          </w:tcPr>
          <w:p>
            <w:pPr>
              <w:spacing w:after="0"/>
              <w:rPr>
                <w:sz w:val="20"/>
                <w:szCs w:val="20"/>
                <w:color w:val="auto"/>
              </w:rPr>
            </w:pPr>
            <w:r>
              <w:rPr>
                <w:rFonts w:ascii="Courier New" w:cs="Courier New" w:eastAsia="Courier New" w:hAnsi="Courier New"/>
                <w:sz w:val="15"/>
                <w:szCs w:val="15"/>
                <w:color w:val="auto"/>
              </w:rPr>
              <w:t>04/01/04-04/30/04</w:t>
            </w:r>
          </w:p>
        </w:tc>
        <w:tc>
          <w:tcPr>
            <w:tcW w:w="22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10,100</w:t>
            </w:r>
          </w:p>
        </w:tc>
      </w:tr>
      <w:tr>
        <w:trPr>
          <w:trHeight w:val="352"/>
        </w:trPr>
        <w:tc>
          <w:tcPr>
            <w:tcW w:w="2520" w:type="dxa"/>
            <w:vAlign w:val="bottom"/>
          </w:tcPr>
          <w:p>
            <w:pPr>
              <w:spacing w:after="0"/>
              <w:rPr>
                <w:sz w:val="20"/>
                <w:szCs w:val="20"/>
                <w:color w:val="auto"/>
              </w:rPr>
            </w:pPr>
            <w:r>
              <w:rPr>
                <w:rFonts w:ascii="Courier New" w:cs="Courier New" w:eastAsia="Courier New" w:hAnsi="Courier New"/>
                <w:sz w:val="15"/>
                <w:szCs w:val="15"/>
                <w:color w:val="auto"/>
              </w:rPr>
              <w:t>05/01/04-05/31/04</w:t>
            </w:r>
          </w:p>
        </w:tc>
        <w:tc>
          <w:tcPr>
            <w:tcW w:w="22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10,100</w:t>
            </w:r>
          </w:p>
        </w:tc>
      </w:tr>
      <w:tr>
        <w:trPr>
          <w:trHeight w:val="352"/>
        </w:trPr>
        <w:tc>
          <w:tcPr>
            <w:tcW w:w="2520" w:type="dxa"/>
            <w:vAlign w:val="bottom"/>
          </w:tcPr>
          <w:p>
            <w:pPr>
              <w:spacing w:after="0"/>
              <w:rPr>
                <w:sz w:val="20"/>
                <w:szCs w:val="20"/>
                <w:color w:val="auto"/>
              </w:rPr>
            </w:pPr>
            <w:r>
              <w:rPr>
                <w:rFonts w:ascii="Courier New" w:cs="Courier New" w:eastAsia="Courier New" w:hAnsi="Courier New"/>
                <w:sz w:val="15"/>
                <w:szCs w:val="15"/>
                <w:color w:val="auto"/>
              </w:rPr>
              <w:t>06/01/04-06/30/04</w:t>
            </w:r>
          </w:p>
        </w:tc>
        <w:tc>
          <w:tcPr>
            <w:tcW w:w="22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10,100</w:t>
            </w:r>
          </w:p>
        </w:tc>
      </w:tr>
      <w:tr>
        <w:trPr>
          <w:trHeight w:val="176"/>
        </w:trPr>
        <w:tc>
          <w:tcPr>
            <w:tcW w:w="2520" w:type="dxa"/>
            <w:vAlign w:val="bottom"/>
          </w:tcPr>
          <w:p>
            <w:pPr>
              <w:spacing w:after="0"/>
              <w:rPr>
                <w:sz w:val="15"/>
                <w:szCs w:val="15"/>
                <w:color w:val="auto"/>
              </w:rPr>
            </w:pPr>
          </w:p>
        </w:tc>
        <w:tc>
          <w:tcPr>
            <w:tcW w:w="2240" w:type="dxa"/>
            <w:vAlign w:val="bottom"/>
          </w:tcPr>
          <w:p>
            <w:pPr>
              <w:jc w:val="center"/>
              <w:ind w:right="16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spacing w:after="0"/>
              <w:rPr>
                <w:sz w:val="15"/>
                <w:szCs w:val="15"/>
                <w:color w:val="auto"/>
              </w:rPr>
            </w:pPr>
          </w:p>
        </w:tc>
        <w:tc>
          <w:tcPr>
            <w:tcW w:w="21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spacing w:after="0"/>
              <w:rPr>
                <w:sz w:val="15"/>
                <w:szCs w:val="15"/>
                <w:color w:val="auto"/>
              </w:rPr>
            </w:pPr>
          </w:p>
        </w:tc>
      </w:tr>
      <w:tr>
        <w:trPr>
          <w:trHeight w:val="176"/>
        </w:trPr>
        <w:tc>
          <w:tcPr>
            <w:tcW w:w="25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2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spacing w:after="0"/>
              <w:rPr>
                <w:sz w:val="15"/>
                <w:szCs w:val="15"/>
                <w:color w:val="auto"/>
              </w:rPr>
            </w:pPr>
          </w:p>
        </w:tc>
        <w:tc>
          <w:tcPr>
            <w:tcW w:w="21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10,100</w:t>
            </w:r>
          </w:p>
        </w:tc>
      </w:tr>
    </w:tbl>
    <w:p>
      <w:pPr>
        <w:spacing w:after="0" w:line="357" w:lineRule="exact"/>
        <w:rPr>
          <w:sz w:val="20"/>
          <w:szCs w:val="20"/>
          <w:color w:val="auto"/>
        </w:rPr>
      </w:pPr>
    </w:p>
    <w:p>
      <w:pPr>
        <w:ind w:left="466" w:right="3480" w:hanging="466"/>
        <w:spacing w:after="0" w:line="248" w:lineRule="auto"/>
        <w:tabs>
          <w:tab w:leader="none" w:pos="466"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November 5, 2003, the Company announced that its board of directors had authorized a share repurchase program of up to five million ordinary shares during fiscal 2004. The authorization permits the Company to purchase ordinary shares in open market or privately negotiated transactions and at prices the Company deems appropriate. The Company stated that one of the main purposes of the repurchase program was to offset the dilutive effect of any future share issuances, including issuances pursuant to employee equity plans or in connection with acquisitions. The Company had repurchased through open market purchases 4,989,900 ordinary shares under this repurchase program through December 31, 2003, with 10,100 shares available for repurchase pursuant to the board authorization for the program. No share repurchases under this program were made in the six months ended June 30, 2004.</w:t>
      </w:r>
    </w:p>
    <w:p>
      <w:pPr>
        <w:spacing w:after="0" w:line="183" w:lineRule="exact"/>
        <w:rPr>
          <w:rFonts w:ascii="Courier New" w:cs="Courier New" w:eastAsia="Courier New" w:hAnsi="Courier New"/>
          <w:sz w:val="15"/>
          <w:szCs w:val="15"/>
          <w:color w:val="auto"/>
        </w:rPr>
      </w:pPr>
    </w:p>
    <w:p>
      <w:pPr>
        <w:ind w:left="466" w:right="3480" w:hanging="466"/>
        <w:spacing w:after="0" w:line="249" w:lineRule="auto"/>
        <w:tabs>
          <w:tab w:leader="none" w:pos="466"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July 28, 2004 the Company announced that its board of directors had extended the Company's share repurchase program by authorizing the repurchase of up to $100.0 million of its outstanding ordinary shares. The authorization permits the Company to purchase its ordinary shares in open market or privately negotiated transactions at times and prices considered appropriate by the Company. As of August 10, 2004, the Company had repurchased 2,218,500 ordinary shares under this repurchase program, for an aggregate purchase price of $46.8 million.</w:t>
      </w:r>
    </w:p>
    <w:p>
      <w:pPr>
        <w:spacing w:after="0" w:line="35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806"/>
          </w:cols>
          <w:pgMar w:left="234" w:top="470" w:right="859" w:bottom="1440" w:gutter="0" w:footer="0" w:header="0"/>
        </w:sectPr>
      </w:pPr>
    </w:p>
    <w:bookmarkStart w:id="35" w:name="page36"/>
    <w:bookmarkEnd w:id="35"/>
    <w:tbl>
      <w:tblPr>
        <w:tblLayout w:type="fixed"/>
        <w:tblInd w:w="6" w:type="dxa"/>
        <w:tblCellMar>
          <w:top w:w="0" w:type="dxa"/>
          <w:left w:w="0" w:type="dxa"/>
          <w:bottom w:w="0" w:type="dxa"/>
          <w:right w:w="0" w:type="dxa"/>
        </w:tblCellMar>
      </w:tblPr>
      <w:tr>
        <w:trPr>
          <w:trHeight w:val="171"/>
        </w:trPr>
        <w:tc>
          <w:tcPr>
            <w:tcW w:w="2240" w:type="dxa"/>
            <w:vAlign w:val="bottom"/>
          </w:tcPr>
          <w:p>
            <w:pPr>
              <w:spacing w:after="0"/>
              <w:rPr>
                <w:sz w:val="20"/>
                <w:szCs w:val="20"/>
                <w:color w:val="auto"/>
              </w:rPr>
            </w:pPr>
            <w:r>
              <w:rPr>
                <w:rFonts w:ascii="Courier New" w:cs="Courier New" w:eastAsia="Courier New" w:hAnsi="Courier New"/>
                <w:sz w:val="15"/>
                <w:szCs w:val="15"/>
                <w:color w:val="auto"/>
              </w:rPr>
              <w:t>Convertible Notes</w:t>
            </w: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529"/>
        </w:trPr>
        <w:tc>
          <w:tcPr>
            <w:tcW w:w="2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jc w:val="center"/>
              <w:ind w:right="604"/>
              <w:spacing w:after="0"/>
              <w:rPr>
                <w:sz w:val="20"/>
                <w:szCs w:val="20"/>
                <w:color w:val="auto"/>
              </w:rPr>
            </w:pPr>
            <w:r>
              <w:rPr>
                <w:rFonts w:ascii="Courier New" w:cs="Courier New" w:eastAsia="Courier New" w:hAnsi="Courier New"/>
                <w:sz w:val="15"/>
                <w:szCs w:val="15"/>
                <w:color w:val="auto"/>
              </w:rPr>
              <w:t>(a)</w:t>
            </w:r>
          </w:p>
        </w:tc>
        <w:tc>
          <w:tcPr>
            <w:tcW w:w="1740" w:type="dxa"/>
            <w:vAlign w:val="bottom"/>
          </w:tcPr>
          <w:p>
            <w:pPr>
              <w:ind w:left="680"/>
              <w:spacing w:after="0"/>
              <w:rPr>
                <w:sz w:val="20"/>
                <w:szCs w:val="20"/>
                <w:color w:val="auto"/>
              </w:rPr>
            </w:pPr>
            <w:r>
              <w:rPr>
                <w:rFonts w:ascii="Courier New" w:cs="Courier New" w:eastAsia="Courier New" w:hAnsi="Courier New"/>
                <w:sz w:val="15"/>
                <w:szCs w:val="15"/>
                <w:color w:val="auto"/>
              </w:rPr>
              <w:t>(b)</w:t>
            </w:r>
          </w:p>
        </w:tc>
        <w:tc>
          <w:tcPr>
            <w:tcW w:w="22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6"/>
              </w:rPr>
              <w:t>(c)</w:t>
            </w:r>
          </w:p>
        </w:tc>
        <w:tc>
          <w:tcPr>
            <w:tcW w:w="540" w:type="dxa"/>
            <w:vAlign w:val="bottom"/>
          </w:tcPr>
          <w:p>
            <w:pPr>
              <w:spacing w:after="0"/>
              <w:rPr>
                <w:sz w:val="24"/>
                <w:szCs w:val="24"/>
                <w:color w:val="auto"/>
              </w:rPr>
            </w:pPr>
          </w:p>
        </w:tc>
        <w:tc>
          <w:tcPr>
            <w:tcW w:w="170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(d)</w:t>
            </w:r>
          </w:p>
        </w:tc>
      </w:tr>
      <w:tr>
        <w:trPr>
          <w:trHeight w:val="176"/>
        </w:trPr>
        <w:tc>
          <w:tcPr>
            <w:tcW w:w="2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740" w:type="dxa"/>
            <w:vAlign w:val="bottom"/>
          </w:tcPr>
          <w:p>
            <w:pPr>
              <w:ind w:left="220"/>
              <w:spacing w:after="0"/>
              <w:rPr>
                <w:sz w:val="20"/>
                <w:szCs w:val="20"/>
                <w:color w:val="auto"/>
              </w:rPr>
            </w:pPr>
            <w:r>
              <w:rPr>
                <w:rFonts w:ascii="Courier New" w:cs="Courier New" w:eastAsia="Courier New" w:hAnsi="Courier New"/>
                <w:sz w:val="15"/>
                <w:szCs w:val="15"/>
                <w:color w:val="auto"/>
              </w:rPr>
              <w:t>AVERAGE PRICE</w:t>
            </w:r>
          </w:p>
        </w:tc>
        <w:tc>
          <w:tcPr>
            <w:tcW w:w="220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TOTAL NUMBER OF</w:t>
            </w:r>
          </w:p>
        </w:tc>
        <w:tc>
          <w:tcPr>
            <w:tcW w:w="22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MAXIMUM NUMBER (OR</w:t>
            </w:r>
          </w:p>
        </w:tc>
      </w:tr>
      <w:tr>
        <w:trPr>
          <w:trHeight w:val="176"/>
        </w:trPr>
        <w:tc>
          <w:tcPr>
            <w:tcW w:w="2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740" w:type="dxa"/>
            <w:vAlign w:val="bottom"/>
          </w:tcPr>
          <w:p>
            <w:pPr>
              <w:ind w:left="420"/>
              <w:spacing w:after="0"/>
              <w:rPr>
                <w:sz w:val="20"/>
                <w:szCs w:val="20"/>
                <w:color w:val="auto"/>
              </w:rPr>
            </w:pPr>
            <w:r>
              <w:rPr>
                <w:rFonts w:ascii="Courier New" w:cs="Courier New" w:eastAsia="Courier New" w:hAnsi="Courier New"/>
                <w:sz w:val="15"/>
                <w:szCs w:val="15"/>
                <w:color w:val="auto"/>
              </w:rPr>
              <w:t>PAID PER</w:t>
            </w:r>
          </w:p>
        </w:tc>
        <w:tc>
          <w:tcPr>
            <w:tcW w:w="220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PRINCIPAL AMOUNT OF</w:t>
            </w:r>
          </w:p>
        </w:tc>
        <w:tc>
          <w:tcPr>
            <w:tcW w:w="22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APPROXIMATE DOLLAR</w:t>
            </w:r>
          </w:p>
        </w:tc>
      </w:tr>
      <w:tr>
        <w:trPr>
          <w:trHeight w:val="176"/>
        </w:trPr>
        <w:tc>
          <w:tcPr>
            <w:tcW w:w="2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740" w:type="dxa"/>
            <w:vAlign w:val="bottom"/>
          </w:tcPr>
          <w:p>
            <w:pPr>
              <w:ind w:left="500"/>
              <w:spacing w:after="0"/>
              <w:rPr>
                <w:sz w:val="20"/>
                <w:szCs w:val="20"/>
                <w:color w:val="auto"/>
              </w:rPr>
            </w:pPr>
            <w:r>
              <w:rPr>
                <w:rFonts w:ascii="Courier New" w:cs="Courier New" w:eastAsia="Courier New" w:hAnsi="Courier New"/>
                <w:sz w:val="15"/>
                <w:szCs w:val="15"/>
                <w:color w:val="auto"/>
              </w:rPr>
              <w:t>$1,000</w:t>
            </w:r>
          </w:p>
        </w:tc>
        <w:tc>
          <w:tcPr>
            <w:tcW w:w="2200" w:type="dxa"/>
            <w:vAlign w:val="bottom"/>
          </w:tcPr>
          <w:p>
            <w:pPr>
              <w:ind w:left="140"/>
              <w:spacing w:after="0"/>
              <w:rPr>
                <w:sz w:val="20"/>
                <w:szCs w:val="20"/>
                <w:color w:val="auto"/>
              </w:rPr>
            </w:pPr>
            <w:r>
              <w:rPr>
                <w:rFonts w:ascii="Courier New" w:cs="Courier New" w:eastAsia="Courier New" w:hAnsi="Courier New"/>
                <w:sz w:val="15"/>
                <w:szCs w:val="15"/>
                <w:color w:val="auto"/>
              </w:rPr>
              <w:t>CONVERTIBLE NOTES</w:t>
            </w:r>
          </w:p>
        </w:tc>
        <w:tc>
          <w:tcPr>
            <w:tcW w:w="2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VALUE) OF PRINCIPAL</w:t>
            </w:r>
          </w:p>
        </w:tc>
      </w:tr>
      <w:tr>
        <w:trPr>
          <w:trHeight w:val="176"/>
        </w:trPr>
        <w:tc>
          <w:tcPr>
            <w:tcW w:w="2240" w:type="dxa"/>
            <w:vAlign w:val="bottom"/>
          </w:tcPr>
          <w:p>
            <w:pPr>
              <w:spacing w:after="0"/>
              <w:rPr>
                <w:sz w:val="15"/>
                <w:szCs w:val="15"/>
                <w:color w:val="auto"/>
              </w:rPr>
            </w:pPr>
          </w:p>
        </w:tc>
        <w:tc>
          <w:tcPr>
            <w:tcW w:w="2380" w:type="dxa"/>
            <w:vAlign w:val="bottom"/>
            <w:gridSpan w:val="2"/>
          </w:tcPr>
          <w:p>
            <w:pPr>
              <w:jc w:val="center"/>
              <w:ind w:left="105"/>
              <w:spacing w:after="0"/>
              <w:rPr>
                <w:sz w:val="20"/>
                <w:szCs w:val="20"/>
                <w:color w:val="auto"/>
              </w:rPr>
            </w:pPr>
            <w:r>
              <w:rPr>
                <w:rFonts w:ascii="Courier New" w:cs="Courier New" w:eastAsia="Courier New" w:hAnsi="Courier New"/>
                <w:sz w:val="15"/>
                <w:szCs w:val="15"/>
                <w:color w:val="auto"/>
              </w:rPr>
              <w:t>TOTAL PRINCIPAL</w:t>
            </w:r>
          </w:p>
        </w:tc>
        <w:tc>
          <w:tcPr>
            <w:tcW w:w="1740" w:type="dxa"/>
            <w:vAlign w:val="bottom"/>
          </w:tcPr>
          <w:p>
            <w:pPr>
              <w:ind w:left="420"/>
              <w:spacing w:after="0"/>
              <w:rPr>
                <w:sz w:val="20"/>
                <w:szCs w:val="20"/>
                <w:color w:val="auto"/>
              </w:rPr>
            </w:pPr>
            <w:r>
              <w:rPr>
                <w:rFonts w:ascii="Courier New" w:cs="Courier New" w:eastAsia="Courier New" w:hAnsi="Courier New"/>
                <w:sz w:val="15"/>
                <w:szCs w:val="15"/>
                <w:color w:val="auto"/>
              </w:rPr>
              <w:t>PRINCIPAL</w:t>
            </w:r>
          </w:p>
        </w:tc>
        <w:tc>
          <w:tcPr>
            <w:tcW w:w="220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PURCHASED AS PART</w:t>
            </w:r>
          </w:p>
        </w:tc>
        <w:tc>
          <w:tcPr>
            <w:tcW w:w="2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AMOUNT OF CONVERTIBLE</w:t>
            </w:r>
          </w:p>
        </w:tc>
      </w:tr>
      <w:tr>
        <w:trPr>
          <w:trHeight w:val="176"/>
        </w:trPr>
        <w:tc>
          <w:tcPr>
            <w:tcW w:w="2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20" w:type="dxa"/>
            <w:vAlign w:val="bottom"/>
          </w:tcPr>
          <w:p>
            <w:pPr>
              <w:jc w:val="center"/>
              <w:ind w:right="604"/>
              <w:spacing w:after="0"/>
              <w:rPr>
                <w:sz w:val="20"/>
                <w:szCs w:val="20"/>
                <w:color w:val="auto"/>
              </w:rPr>
            </w:pPr>
            <w:r>
              <w:rPr>
                <w:rFonts w:ascii="Courier New" w:cs="Courier New" w:eastAsia="Courier New" w:hAnsi="Courier New"/>
                <w:sz w:val="15"/>
                <w:szCs w:val="15"/>
                <w:color w:val="auto"/>
              </w:rPr>
              <w:t>AMOUNT OF</w:t>
            </w:r>
          </w:p>
        </w:tc>
        <w:tc>
          <w:tcPr>
            <w:tcW w:w="1740" w:type="dxa"/>
            <w:vAlign w:val="bottom"/>
          </w:tcPr>
          <w:p>
            <w:pPr>
              <w:ind w:left="420"/>
              <w:spacing w:after="0"/>
              <w:rPr>
                <w:sz w:val="20"/>
                <w:szCs w:val="20"/>
                <w:color w:val="auto"/>
              </w:rPr>
            </w:pPr>
            <w:r>
              <w:rPr>
                <w:rFonts w:ascii="Courier New" w:cs="Courier New" w:eastAsia="Courier New" w:hAnsi="Courier New"/>
                <w:sz w:val="15"/>
                <w:szCs w:val="15"/>
                <w:color w:val="auto"/>
              </w:rPr>
              <w:t>AMOUNT OF</w:t>
            </w:r>
          </w:p>
        </w:tc>
        <w:tc>
          <w:tcPr>
            <w:tcW w:w="220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OF PUBLICLY</w:t>
            </w:r>
          </w:p>
        </w:tc>
        <w:tc>
          <w:tcPr>
            <w:tcW w:w="2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NOTES THAT MAY YET BE</w:t>
            </w:r>
          </w:p>
        </w:tc>
      </w:tr>
      <w:tr>
        <w:trPr>
          <w:trHeight w:val="176"/>
        </w:trPr>
        <w:tc>
          <w:tcPr>
            <w:tcW w:w="2240" w:type="dxa"/>
            <w:vAlign w:val="bottom"/>
          </w:tcPr>
          <w:p>
            <w:pPr>
              <w:spacing w:after="0"/>
              <w:rPr>
                <w:sz w:val="15"/>
                <w:szCs w:val="15"/>
                <w:color w:val="auto"/>
              </w:rPr>
            </w:pPr>
          </w:p>
        </w:tc>
        <w:tc>
          <w:tcPr>
            <w:tcW w:w="2380" w:type="dxa"/>
            <w:vAlign w:val="bottom"/>
            <w:gridSpan w:val="2"/>
          </w:tcPr>
          <w:p>
            <w:pPr>
              <w:jc w:val="center"/>
              <w:ind w:left="105"/>
              <w:spacing w:after="0"/>
              <w:rPr>
                <w:sz w:val="20"/>
                <w:szCs w:val="20"/>
                <w:color w:val="auto"/>
              </w:rPr>
            </w:pPr>
            <w:r>
              <w:rPr>
                <w:rFonts w:ascii="Courier New" w:cs="Courier New" w:eastAsia="Courier New" w:hAnsi="Courier New"/>
                <w:sz w:val="15"/>
                <w:szCs w:val="15"/>
                <w:color w:val="auto"/>
              </w:rPr>
              <w:t>CONVERTIBLE NOTES</w:t>
            </w:r>
          </w:p>
        </w:tc>
        <w:tc>
          <w:tcPr>
            <w:tcW w:w="1740" w:type="dxa"/>
            <w:vAlign w:val="bottom"/>
          </w:tcPr>
          <w:p>
            <w:pPr>
              <w:ind w:left="220"/>
              <w:spacing w:after="0"/>
              <w:rPr>
                <w:sz w:val="20"/>
                <w:szCs w:val="20"/>
                <w:color w:val="auto"/>
              </w:rPr>
            </w:pPr>
            <w:r>
              <w:rPr>
                <w:rFonts w:ascii="Courier New" w:cs="Courier New" w:eastAsia="Courier New" w:hAnsi="Courier New"/>
                <w:sz w:val="15"/>
                <w:szCs w:val="15"/>
                <w:color w:val="auto"/>
              </w:rPr>
              <w:t>CONVERTIBLE</w:t>
            </w:r>
          </w:p>
        </w:tc>
        <w:tc>
          <w:tcPr>
            <w:tcW w:w="2200" w:type="dxa"/>
            <w:vAlign w:val="bottom"/>
          </w:tcPr>
          <w:p>
            <w:pPr>
              <w:ind w:left="140"/>
              <w:spacing w:after="0"/>
              <w:rPr>
                <w:sz w:val="20"/>
                <w:szCs w:val="20"/>
                <w:color w:val="auto"/>
              </w:rPr>
            </w:pPr>
            <w:r>
              <w:rPr>
                <w:rFonts w:ascii="Courier New" w:cs="Courier New" w:eastAsia="Courier New" w:hAnsi="Courier New"/>
                <w:sz w:val="15"/>
                <w:szCs w:val="15"/>
                <w:color w:val="auto"/>
              </w:rPr>
              <w:t>ANNOUNCED PLANS OR</w:t>
            </w:r>
          </w:p>
        </w:tc>
        <w:tc>
          <w:tcPr>
            <w:tcW w:w="22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PURCHASED UNDER THE</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PERIOD</w:t>
            </w:r>
          </w:p>
        </w:tc>
        <w:tc>
          <w:tcPr>
            <w:tcW w:w="860" w:type="dxa"/>
            <w:vAlign w:val="bottom"/>
          </w:tcPr>
          <w:p>
            <w:pPr>
              <w:spacing w:after="0"/>
              <w:rPr>
                <w:sz w:val="15"/>
                <w:szCs w:val="15"/>
                <w:color w:val="auto"/>
              </w:rPr>
            </w:pPr>
          </w:p>
        </w:tc>
        <w:tc>
          <w:tcPr>
            <w:tcW w:w="15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PURCHASED</w:t>
            </w:r>
          </w:p>
        </w:tc>
        <w:tc>
          <w:tcPr>
            <w:tcW w:w="1740" w:type="dxa"/>
            <w:vAlign w:val="bottom"/>
          </w:tcPr>
          <w:p>
            <w:pPr>
              <w:ind w:left="500"/>
              <w:spacing w:after="0"/>
              <w:rPr>
                <w:sz w:val="20"/>
                <w:szCs w:val="20"/>
                <w:color w:val="auto"/>
              </w:rPr>
            </w:pPr>
            <w:r>
              <w:rPr>
                <w:rFonts w:ascii="Courier New" w:cs="Courier New" w:eastAsia="Courier New" w:hAnsi="Courier New"/>
                <w:sz w:val="15"/>
                <w:szCs w:val="15"/>
                <w:color w:val="auto"/>
              </w:rPr>
              <w:t>NOTES</w:t>
            </w:r>
          </w:p>
        </w:tc>
        <w:tc>
          <w:tcPr>
            <w:tcW w:w="220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PROGRAMS</w:t>
            </w:r>
          </w:p>
        </w:tc>
        <w:tc>
          <w:tcPr>
            <w:tcW w:w="2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PLANS OR PROGRAMS (1)</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38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r>
      <w:tr>
        <w:trPr>
          <w:trHeight w:val="352"/>
        </w:trPr>
        <w:tc>
          <w:tcPr>
            <w:tcW w:w="2240" w:type="dxa"/>
            <w:vAlign w:val="bottom"/>
          </w:tcPr>
          <w:p>
            <w:pPr>
              <w:spacing w:after="0"/>
              <w:rPr>
                <w:sz w:val="20"/>
                <w:szCs w:val="20"/>
                <w:color w:val="auto"/>
              </w:rPr>
            </w:pPr>
            <w:r>
              <w:rPr>
                <w:rFonts w:ascii="Courier New" w:cs="Courier New" w:eastAsia="Courier New" w:hAnsi="Courier New"/>
                <w:sz w:val="15"/>
                <w:szCs w:val="15"/>
                <w:color w:val="auto"/>
              </w:rPr>
              <w:t>04/01/04-04/30/04</w:t>
            </w:r>
          </w:p>
        </w:tc>
        <w:tc>
          <w:tcPr>
            <w:tcW w:w="860" w:type="dxa"/>
            <w:vAlign w:val="bottom"/>
          </w:tcPr>
          <w:p>
            <w:pPr>
              <w:ind w:left="780"/>
              <w:spacing w:after="0"/>
              <w:rPr>
                <w:sz w:val="20"/>
                <w:szCs w:val="20"/>
                <w:color w:val="auto"/>
              </w:rPr>
            </w:pPr>
            <w:r>
              <w:rPr>
                <w:rFonts w:ascii="Courier New" w:cs="Courier New" w:eastAsia="Courier New" w:hAnsi="Courier New"/>
                <w:sz w:val="14"/>
                <w:szCs w:val="14"/>
                <w:color w:val="auto"/>
                <w:w w:val="70"/>
              </w:rPr>
              <w:t>$</w:t>
            </w:r>
          </w:p>
        </w:tc>
        <w:tc>
          <w:tcPr>
            <w:tcW w:w="15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395,454,000</w:t>
            </w:r>
          </w:p>
        </w:tc>
      </w:tr>
      <w:tr>
        <w:trPr>
          <w:trHeight w:val="352"/>
        </w:trPr>
        <w:tc>
          <w:tcPr>
            <w:tcW w:w="2240" w:type="dxa"/>
            <w:vAlign w:val="bottom"/>
          </w:tcPr>
          <w:p>
            <w:pPr>
              <w:spacing w:after="0"/>
              <w:rPr>
                <w:sz w:val="20"/>
                <w:szCs w:val="20"/>
                <w:color w:val="auto"/>
              </w:rPr>
            </w:pPr>
            <w:r>
              <w:rPr>
                <w:rFonts w:ascii="Courier New" w:cs="Courier New" w:eastAsia="Courier New" w:hAnsi="Courier New"/>
                <w:sz w:val="15"/>
                <w:szCs w:val="15"/>
                <w:color w:val="auto"/>
              </w:rPr>
              <w:t>05/01/04-05/31/04</w:t>
            </w:r>
          </w:p>
        </w:tc>
        <w:tc>
          <w:tcPr>
            <w:tcW w:w="860" w:type="dxa"/>
            <w:vAlign w:val="bottom"/>
          </w:tcPr>
          <w:p>
            <w:pPr>
              <w:spacing w:after="0"/>
              <w:rPr>
                <w:sz w:val="24"/>
                <w:szCs w:val="24"/>
                <w:color w:val="auto"/>
              </w:rPr>
            </w:pPr>
          </w:p>
        </w:tc>
        <w:tc>
          <w:tcPr>
            <w:tcW w:w="15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c>
          <w:tcPr>
            <w:tcW w:w="17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395,454,000</w:t>
            </w:r>
          </w:p>
        </w:tc>
      </w:tr>
      <w:tr>
        <w:trPr>
          <w:trHeight w:val="352"/>
        </w:trPr>
        <w:tc>
          <w:tcPr>
            <w:tcW w:w="2240" w:type="dxa"/>
            <w:vAlign w:val="bottom"/>
          </w:tcPr>
          <w:p>
            <w:pPr>
              <w:spacing w:after="0"/>
              <w:rPr>
                <w:sz w:val="20"/>
                <w:szCs w:val="20"/>
                <w:color w:val="auto"/>
              </w:rPr>
            </w:pPr>
            <w:r>
              <w:rPr>
                <w:rFonts w:ascii="Courier New" w:cs="Courier New" w:eastAsia="Courier New" w:hAnsi="Courier New"/>
                <w:sz w:val="15"/>
                <w:szCs w:val="15"/>
                <w:color w:val="auto"/>
              </w:rPr>
              <w:t>06/01/04-06/30/04</w:t>
            </w:r>
          </w:p>
        </w:tc>
        <w:tc>
          <w:tcPr>
            <w:tcW w:w="860" w:type="dxa"/>
            <w:vAlign w:val="bottom"/>
          </w:tcPr>
          <w:p>
            <w:pPr>
              <w:spacing w:after="0"/>
              <w:rPr>
                <w:sz w:val="24"/>
                <w:szCs w:val="24"/>
                <w:color w:val="auto"/>
              </w:rPr>
            </w:pPr>
          </w:p>
        </w:tc>
        <w:tc>
          <w:tcPr>
            <w:tcW w:w="15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395,110,000</w:t>
            </w:r>
          </w:p>
        </w:tc>
        <w:tc>
          <w:tcPr>
            <w:tcW w:w="17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$ 1,000</w:t>
            </w:r>
          </w:p>
        </w:tc>
        <w:tc>
          <w:tcPr>
            <w:tcW w:w="22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395,110,000</w:t>
            </w:r>
          </w:p>
        </w:tc>
        <w:tc>
          <w:tcPr>
            <w:tcW w:w="540" w:type="dxa"/>
            <w:vAlign w:val="bottom"/>
          </w:tcPr>
          <w:p>
            <w:pPr>
              <w:spacing w:after="0"/>
              <w:rPr>
                <w:sz w:val="24"/>
                <w:szCs w:val="24"/>
                <w:color w:val="auto"/>
              </w:rPr>
            </w:pPr>
          </w:p>
        </w:tc>
        <w:tc>
          <w:tcPr>
            <w:tcW w:w="17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344,000</w:t>
            </w:r>
          </w:p>
        </w:tc>
      </w:tr>
      <w:tr>
        <w:trPr>
          <w:trHeight w:val="176"/>
        </w:trPr>
        <w:tc>
          <w:tcPr>
            <w:tcW w:w="2240" w:type="dxa"/>
            <w:vAlign w:val="bottom"/>
          </w:tcPr>
          <w:p>
            <w:pPr>
              <w:spacing w:after="0"/>
              <w:rPr>
                <w:sz w:val="15"/>
                <w:szCs w:val="15"/>
                <w:color w:val="auto"/>
              </w:rPr>
            </w:pPr>
          </w:p>
        </w:tc>
        <w:tc>
          <w:tcPr>
            <w:tcW w:w="23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5"/>
                <w:szCs w:val="15"/>
                <w:color w:val="auto"/>
              </w:rPr>
            </w:pPr>
          </w:p>
        </w:tc>
        <w:tc>
          <w:tcPr>
            <w:tcW w:w="22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52"/>
        </w:trPr>
        <w:tc>
          <w:tcPr>
            <w:tcW w:w="22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3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$ 395,110,000</w:t>
            </w:r>
          </w:p>
        </w:tc>
        <w:tc>
          <w:tcPr>
            <w:tcW w:w="17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$ 1,000</w:t>
            </w:r>
          </w:p>
        </w:tc>
        <w:tc>
          <w:tcPr>
            <w:tcW w:w="22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$ 395,110,000</w:t>
            </w:r>
          </w:p>
        </w:tc>
        <w:tc>
          <w:tcPr>
            <w:tcW w:w="5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344,000</w:t>
            </w:r>
          </w:p>
        </w:tc>
      </w:tr>
    </w:tbl>
    <w:p>
      <w:pPr>
        <w:spacing w:after="0" w:line="357" w:lineRule="exact"/>
        <w:rPr>
          <w:sz w:val="20"/>
          <w:szCs w:val="20"/>
          <w:color w:val="auto"/>
        </w:rPr>
      </w:pPr>
    </w:p>
    <w:p>
      <w:pPr>
        <w:ind w:left="826" w:right="3480" w:hanging="826"/>
        <w:spacing w:after="0" w:line="248" w:lineRule="auto"/>
        <w:tabs>
          <w:tab w:leader="none" w:pos="826"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June 1, 2004, the Company completed a cash offer for the 2% Notes. Pursuant to the indenture for the 2% Notes, each holder of the 2% Notes had the right to require the Company to repurchase on June 1, 2004 all or any part of such holder's notes at a price equal to 100% of the principal amount plus accrued and unpaid interest. Under the terms of the 2% Notes, the Company had the option to pay for the 2% Notes with cash, ordinary shares, or a combination of cash and ordinary shares. The Company elected to pay for the 2% Notes solely with cash. The Company accepted for payment $395.1 million principal amount of 2% Notes surrendered for repurchase pursuant to the offer. The untendered 2% Notes remain as the Company's obligations due June 1, 2008, in accordance with their terms. Subsequent to June 30, 2004, the Company purchased an additional $72,000 aggregate principal amount of the 2% Notes for an aggregate purchase price of $71,640.</w:t>
      </w:r>
    </w:p>
    <w:p>
      <w:pPr>
        <w:spacing w:after="0" w:line="185" w:lineRule="exact"/>
        <w:rPr>
          <w:sz w:val="20"/>
          <w:szCs w:val="20"/>
          <w:color w:val="auto"/>
        </w:rPr>
      </w:pPr>
    </w:p>
    <w:p>
      <w:pPr>
        <w:ind w:left="6"/>
        <w:spacing w:after="0"/>
        <w:tabs>
          <w:tab w:leader="none" w:pos="806" w:val="left"/>
        </w:tabs>
        <w:rPr>
          <w:sz w:val="20"/>
          <w:szCs w:val="20"/>
          <w:color w:val="auto"/>
        </w:rPr>
      </w:pPr>
      <w:r>
        <w:rPr>
          <w:rFonts w:ascii="Courier New" w:cs="Courier New" w:eastAsia="Courier New" w:hAnsi="Courier New"/>
          <w:sz w:val="15"/>
          <w:szCs w:val="15"/>
          <w:color w:val="auto"/>
        </w:rPr>
        <w:t>ITEM 2.</w:t>
        <w:tab/>
        <w:t>REPORTS ON FORM 6-K</w:t>
      </w:r>
    </w:p>
    <w:p>
      <w:pPr>
        <w:spacing w:after="0" w:line="182" w:lineRule="exact"/>
        <w:rPr>
          <w:sz w:val="20"/>
          <w:szCs w:val="20"/>
          <w:color w:val="auto"/>
        </w:rPr>
      </w:pPr>
    </w:p>
    <w:p>
      <w:pPr>
        <w:ind w:left="826" w:hanging="826"/>
        <w:spacing w:after="0"/>
        <w:tabs>
          <w:tab w:leader="none" w:pos="826"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6-K</w:t>
      </w:r>
    </w:p>
    <w:p>
      <w:pPr>
        <w:spacing w:after="0" w:line="182" w:lineRule="exact"/>
        <w:rPr>
          <w:sz w:val="20"/>
          <w:szCs w:val="20"/>
          <w:color w:val="auto"/>
        </w:rPr>
      </w:pPr>
    </w:p>
    <w:p>
      <w:pPr>
        <w:ind w:left="826" w:right="3840"/>
        <w:spacing w:after="0" w:line="250" w:lineRule="auto"/>
        <w:rPr>
          <w:sz w:val="20"/>
          <w:szCs w:val="20"/>
          <w:color w:val="auto"/>
        </w:rPr>
      </w:pPr>
      <w:r>
        <w:rPr>
          <w:rFonts w:ascii="Courier New" w:cs="Courier New" w:eastAsia="Courier New" w:hAnsi="Courier New"/>
          <w:sz w:val="15"/>
          <w:szCs w:val="15"/>
          <w:color w:val="auto"/>
        </w:rPr>
        <w:t>The Company filed the following report on Form 6-K during the three months ended June 30, 2004:</w:t>
      </w:r>
    </w:p>
    <w:p>
      <w:pPr>
        <w:spacing w:after="0" w:line="175" w:lineRule="exact"/>
        <w:rPr>
          <w:sz w:val="20"/>
          <w:szCs w:val="20"/>
          <w:color w:val="auto"/>
        </w:rPr>
      </w:pPr>
    </w:p>
    <w:p>
      <w:pPr>
        <w:ind w:left="6"/>
        <w:spacing w:after="0"/>
        <w:tabs>
          <w:tab w:leader="none" w:pos="806"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Form 6-K dated June 10, 2004.</w:t>
      </w:r>
    </w:p>
    <w:p>
      <w:pPr>
        <w:spacing w:after="0" w:line="359"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806"/>
          </w:cols>
          <w:pgMar w:left="234" w:top="470" w:right="859" w:bottom="1440" w:gutter="0" w:footer="0" w:header="0"/>
        </w:sectPr>
      </w:pPr>
    </w:p>
    <w:bookmarkStart w:id="36" w:name="page37"/>
    <w:bookmarkEnd w:id="36"/>
    <w:p>
      <w:pPr>
        <w:ind w:left="3200"/>
        <w:spacing w:after="0"/>
        <w:rPr>
          <w:sz w:val="20"/>
          <w:szCs w:val="20"/>
          <w:color w:val="auto"/>
        </w:rPr>
      </w:pPr>
      <w:r>
        <w:rPr>
          <w:rFonts w:ascii="Courier New" w:cs="Courier New" w:eastAsia="Courier New" w:hAnsi="Courier New"/>
          <w:sz w:val="15"/>
          <w:szCs w:val="15"/>
          <w:color w:val="auto"/>
        </w:rPr>
        <w:t>SIGNATURES</w:t>
      </w:r>
    </w:p>
    <w:p>
      <w:pPr>
        <w:spacing w:after="0" w:line="182" w:lineRule="exact"/>
        <w:rPr>
          <w:sz w:val="20"/>
          <w:szCs w:val="20"/>
          <w:color w:val="auto"/>
        </w:rPr>
      </w:pPr>
    </w:p>
    <w:p>
      <w:pPr>
        <w:jc w:val="both"/>
        <w:ind w:right="3619"/>
        <w:spacing w:after="0" w:line="24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/s/ Thomas G. O'Brien</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Thomas G. O'Brien</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Treasurer and Secretary</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Authorized U.S. Representative</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August 12, 2004</w:t>
      </w:r>
    </w:p>
    <w:p>
      <w:pPr>
        <w:sectPr>
          <w:pgSz w:w="11900" w:h="16838" w:orient="portrait"/>
          <w:cols w:equalWidth="0" w:num="1">
            <w:col w:w="10219"/>
          </w:cols>
          <w:pgMar w:left="240" w:top="823" w:right="1440" w:bottom="1440" w:gutter="0" w:footer="0" w:header="0"/>
        </w:sectPr>
      </w:pPr>
    </w:p>
    <w:bookmarkStart w:id="37" w:name="page38"/>
    <w:bookmarkEnd w:id="37"/>
    <w:p>
      <w:pPr>
        <w:ind w:left="3020"/>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10219"/>
          </w:cols>
          <w:pgMar w:left="240" w:top="823" w:right="1440" w:bottom="1440" w:gutter="0" w:footer="0" w:header="0"/>
        </w:sect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2120" w:space="720"/>
            <w:col w:w="7379"/>
          </w:cols>
          <w:pgMar w:left="240" w:top="823" w:right="1440" w:bottom="1440" w:gutter="0" w:footer="0" w:header="0"/>
          <w:type w:val="continuous"/>
        </w:sectPr>
      </w:pPr>
    </w:p>
    <w:p>
      <w:pPr>
        <w:ind w:left="180"/>
        <w:spacing w:after="0"/>
        <w:tabs>
          <w:tab w:leader="none" w:pos="1260"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Amdocs Limited Press Release dated July 21, 2004.</w:t>
      </w:r>
    </w:p>
    <w:p>
      <w:pPr>
        <w:sectPr>
          <w:pgSz w:w="11900" w:h="16838" w:orient="portrait"/>
          <w:cols w:equalWidth="0" w:num="1">
            <w:col w:w="10219"/>
          </w:cols>
          <w:pgMar w:left="240" w:top="823" w:right="1440" w:bottom="1440" w:gutter="0" w:footer="0" w:header="0"/>
          <w:type w:val="continuous"/>
        </w:sectPr>
      </w:pPr>
    </w:p>
    <w:bookmarkStart w:id="38" w:name="page39"/>
    <w:bookmarkEnd w:id="38"/>
    <w:p>
      <w:pPr>
        <w:ind w:left="6140"/>
        <w:spacing w:after="0"/>
        <w:rPr>
          <w:sz w:val="20"/>
          <w:szCs w:val="20"/>
          <w:color w:val="auto"/>
        </w:rPr>
      </w:pPr>
      <w:r>
        <w:rPr>
          <w:rFonts w:ascii="Courier New" w:cs="Courier New" w:eastAsia="Courier New" w:hAnsi="Courier New"/>
          <w:sz w:val="15"/>
          <w:szCs w:val="15"/>
          <w:color w:val="auto"/>
        </w:rPr>
        <w:t>EXHIBIT 99.1</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AMDOCS LIMITED REPORTS REVENUE GROWTH OF 19.4% IN THIRD QUARTER</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Key highlights: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 Revenue of $450.2 million, in line with guidance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 Sequential revenue growth of 1.7%</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 Proforma EPS increases 30.4% to $0.30, in line with guidance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 Diluted GAAP EPS of $0.28</w:t>
      </w:r>
    </w:p>
    <w:p>
      <w:pPr>
        <w:spacing w:after="0" w:line="182" w:lineRule="exact"/>
        <w:rPr>
          <w:sz w:val="20"/>
          <w:szCs w:val="20"/>
          <w:color w:val="auto"/>
        </w:rPr>
      </w:pPr>
    </w:p>
    <w:p>
      <w:pPr>
        <w:jc w:val="both"/>
        <w:ind w:left="180" w:right="3179" w:hanging="182"/>
        <w:spacing w:after="0" w:line="253" w:lineRule="auto"/>
        <w:rPr>
          <w:sz w:val="20"/>
          <w:szCs w:val="20"/>
          <w:color w:val="auto"/>
        </w:rPr>
      </w:pPr>
      <w:r>
        <w:rPr>
          <w:rFonts w:ascii="Courier New" w:cs="Courier New" w:eastAsia="Courier New" w:hAnsi="Courier New"/>
          <w:sz w:val="15"/>
          <w:szCs w:val="15"/>
          <w:color w:val="auto"/>
        </w:rPr>
        <w:t>o Fourth quarter fiscal 2004 guidance:</w:t>
      </w:r>
      <w:r>
        <w:rPr>
          <w:sz w:val="20"/>
          <w:szCs w:val="20"/>
          <w:color w:val="auto"/>
        </w:rPr>
        <w:t xml:space="preserve"> </w:t>
      </w:r>
      <w:r>
        <w:rPr>
          <w:rFonts w:ascii="Courier New" w:cs="Courier New" w:eastAsia="Courier New" w:hAnsi="Courier New"/>
          <w:sz w:val="15"/>
          <w:szCs w:val="15"/>
          <w:color w:val="auto"/>
        </w:rPr>
        <w:t>Expected revenue of $452 million and proforma EPS of $0.30. Diluted GAAP EPS results expected to be $0.01-$0.02 less than proforma EPS.</w:t>
      </w:r>
    </w:p>
    <w:p>
      <w:pPr>
        <w:spacing w:after="0" w:line="34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ST. LOUIS, MO - July 21, 2004 - Amdocs Limited (NYSE: DOX) today reported that for the third quarter ended June 30, 2004, revenue was $450.2 million, representing sequential growth of 1.7% and an increase of 19.4% from last year's third quarter. Excluding acquisition-related costs and related tax effects, net income was $63.5 million, or $0.30 per diluted share, and increased by $12.6 million, or 24.9%, when compared to net income excluding acquisition-related costs and related tax effects of $50.8 million, or $0.23 per diluted share, in the third quarter of fiscal 2003. The Company's GAAP net income was $59.9 million, or $0.28 per diluted share, compared to net income of $47.4 million, or $0.21 per diluted share, in the third quarter of fiscal 2003.</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Dov Baharav, Chief Executive Officer of Amdocs Management Limited, said, "We are pleased to report solid results this quarter, which was highlighted by the continued strengthening of our relationships with some of our key Tier One customers. While the market has not grown at the rate expected, we continue to produce improved results, driven by our ability to expand market share."</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Baharav added, "There have been some very important developments for Amdocs with key customers. As we recently announced, Amdocs and Vodafone signed a long-term framework agreement positioning Amdocs as a strategic global billing solutions provider for</w:t>
      </w:r>
    </w:p>
    <w:p>
      <w:pPr>
        <w:sectPr>
          <w:pgSz w:w="11900" w:h="16838" w:orient="portrait"/>
          <w:cols w:equalWidth="0" w:num="1">
            <w:col w:w="10219"/>
          </w:cols>
          <w:pgMar w:left="240" w:top="494" w:right="1440" w:bottom="1440" w:gutter="0" w:footer="0" w:header="0"/>
        </w:sectPr>
      </w:pPr>
    </w:p>
    <w:bookmarkStart w:id="39" w:name="page40"/>
    <w:bookmarkEnd w:id="39"/>
    <w:p>
      <w:pPr>
        <w:ind w:left="6" w:right="4279"/>
        <w:spacing w:after="0" w:line="250" w:lineRule="auto"/>
        <w:rPr>
          <w:sz w:val="20"/>
          <w:szCs w:val="20"/>
          <w:color w:val="auto"/>
        </w:rPr>
      </w:pPr>
      <w:r>
        <w:rPr>
          <w:rFonts w:ascii="Courier New" w:cs="Courier New" w:eastAsia="Courier New" w:hAnsi="Courier New"/>
          <w:sz w:val="15"/>
          <w:szCs w:val="15"/>
          <w:color w:val="auto"/>
        </w:rPr>
        <w:t>Vodafone worldwide. At Bell Canada, we converted Bell Mobility to the Amdocs system and completed the project roadmap as planned.</w:t>
      </w:r>
    </w:p>
    <w:p>
      <w:pPr>
        <w:spacing w:after="0" w:line="175"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"Amdocs should achieve very modest growth in the coming quarters," Baharav continued. "Amdocs' ability to offer solutions that enable communications service providers to move toward integrated customer management is becoming a compelling value proposition for our customers. By leveraging our competitive offering, we are confident that we can continue to gain market share. Looking further ahead, our market leadership, together with our expanding relationships with strategic customers, create a firm basis for accelerated quarterly growth in the future."</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Sales Highlights</w:t>
      </w:r>
    </w:p>
    <w:p>
      <w:pPr>
        <w:spacing w:after="0" w:line="182" w:lineRule="exact"/>
        <w:rPr>
          <w:sz w:val="20"/>
          <w:szCs w:val="20"/>
          <w:color w:val="auto"/>
        </w:rPr>
      </w:pPr>
    </w:p>
    <w:p>
      <w:pPr>
        <w:ind w:left="6" w:right="3719"/>
        <w:spacing w:after="0" w:line="250" w:lineRule="auto"/>
        <w:rPr>
          <w:sz w:val="20"/>
          <w:szCs w:val="20"/>
          <w:color w:val="auto"/>
        </w:rPr>
      </w:pPr>
      <w:r>
        <w:rPr>
          <w:rFonts w:ascii="Courier New" w:cs="Courier New" w:eastAsia="Courier New" w:hAnsi="Courier New"/>
          <w:sz w:val="15"/>
          <w:szCs w:val="15"/>
          <w:color w:val="auto"/>
        </w:rPr>
        <w:t>During the third quarter, our new business included eight new key wins, highlighted below.</w:t>
      </w:r>
    </w:p>
    <w:p>
      <w:pPr>
        <w:spacing w:after="0" w:line="175" w:lineRule="exact"/>
        <w:rPr>
          <w:sz w:val="20"/>
          <w:szCs w:val="20"/>
          <w:color w:val="auto"/>
        </w:rPr>
      </w:pPr>
    </w:p>
    <w:p>
      <w:pPr>
        <w:ind w:left="266" w:right="2899" w:hanging="266"/>
        <w:spacing w:after="0" w:line="249" w:lineRule="auto"/>
        <w:tabs>
          <w:tab w:leader="none" w:pos="266"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had two system integration wins as part of its initiative to expand its services activities in this area. First, Vodafone Hungary has selected Amdocs as the system integrator to provide a turnkey billing project implementation based on the Amdocs Enabler billing product and including consulting, program management, product implementation and configuration, migration and conversion, testing, training and business processes integration services. In addition, we have been requested by one of our existing customers in North America to provide an expanded set of system integration services including program management and implementation support.</w:t>
      </w:r>
    </w:p>
    <w:p>
      <w:pPr>
        <w:spacing w:after="0" w:line="175" w:lineRule="exact"/>
        <w:rPr>
          <w:rFonts w:ascii="Courier New" w:cs="Courier New" w:eastAsia="Courier New" w:hAnsi="Courier New"/>
          <w:sz w:val="15"/>
          <w:szCs w:val="15"/>
          <w:color w:val="auto"/>
        </w:rPr>
      </w:pPr>
    </w:p>
    <w:p>
      <w:pPr>
        <w:ind w:left="266" w:right="2899" w:hanging="266"/>
        <w:spacing w:after="0" w:line="249" w:lineRule="auto"/>
        <w:tabs>
          <w:tab w:leader="none" w:pos="266"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ASTRO ALL ASIA NETWORK plc's MEASAT Broadcast Network Systems (Astro), a Malaysian satellite-based PayTV multimedia group, Amdocs will implement its next-generation consolidated Subscriber Management System including billing, customer relationship management (CRM) and order management solution. Using Amdocs Enabler and Amdocs ClarifyCRM will enable Astro to seamlessly link all customer-facing processes to build stronger, more profitable customer relationships and improve service delivery to its more than 1.5 million subscribers, while lowering costs.</w:t>
      </w:r>
    </w:p>
    <w:p>
      <w:pPr>
        <w:spacing w:after="0" w:line="175" w:lineRule="exact"/>
        <w:rPr>
          <w:rFonts w:ascii="Courier New" w:cs="Courier New" w:eastAsia="Courier New" w:hAnsi="Courier New"/>
          <w:sz w:val="15"/>
          <w:szCs w:val="15"/>
          <w:color w:val="auto"/>
        </w:rPr>
      </w:pPr>
    </w:p>
    <w:p>
      <w:pPr>
        <w:ind w:left="266" w:right="2979" w:hanging="266"/>
        <w:spacing w:after="0" w:line="249" w:lineRule="auto"/>
        <w:tabs>
          <w:tab w:leader="none" w:pos="266"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Two communications providers in Europe have selected Amdocs to implement the Amdocs Partner Relationship Management (PRM) product for managing relationships with content and interconnect partners. These wins are a continuation</w:t>
      </w:r>
    </w:p>
    <w:p>
      <w:pPr>
        <w:sectPr>
          <w:pgSz w:w="11900" w:h="16838" w:orient="portrait"/>
          <w:cols w:equalWidth="0" w:num="1">
            <w:col w:w="10225"/>
          </w:cols>
          <w:pgMar w:left="234" w:top="647" w:right="1440" w:bottom="1440" w:gutter="0" w:footer="0" w:header="0"/>
        </w:sectPr>
      </w:pPr>
    </w:p>
    <w:bookmarkStart w:id="40" w:name="page41"/>
    <w:bookmarkEnd w:id="40"/>
    <w:p>
      <w:pPr>
        <w:ind w:left="266" w:right="3259"/>
        <w:spacing w:after="0" w:line="250" w:lineRule="auto"/>
        <w:rPr>
          <w:sz w:val="20"/>
          <w:szCs w:val="20"/>
          <w:color w:val="auto"/>
        </w:rPr>
      </w:pPr>
      <w:r>
        <w:rPr>
          <w:rFonts w:ascii="Courier New" w:cs="Courier New" w:eastAsia="Courier New" w:hAnsi="Courier New"/>
          <w:sz w:val="15"/>
          <w:szCs w:val="15"/>
          <w:color w:val="auto"/>
        </w:rPr>
        <w:t>of our success in the PRM market, driven by the increased utilization of content and data services.</w:t>
      </w:r>
    </w:p>
    <w:p>
      <w:pPr>
        <w:spacing w:after="0" w:line="175" w:lineRule="exact"/>
        <w:rPr>
          <w:sz w:val="20"/>
          <w:szCs w:val="20"/>
          <w:color w:val="auto"/>
        </w:rPr>
      </w:pPr>
    </w:p>
    <w:p>
      <w:pPr>
        <w:ind w:left="266" w:right="2899" w:hanging="266"/>
        <w:spacing w:after="0" w:line="249" w:lineRule="auto"/>
        <w:tabs>
          <w:tab w:leader="none" w:pos="266"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one of our major customers, Amdocs is implementing a billing consolidation solution. The project, which builds on our strong relationship with this customer, is an integrated customer management initiative, designed to reduce system costs, while enabling our customer to offer bundled service packages and an integrated view of its customers' activities across multiple lines of business.</w:t>
      </w:r>
    </w:p>
    <w:p>
      <w:pPr>
        <w:spacing w:after="0" w:line="175" w:lineRule="exact"/>
        <w:rPr>
          <w:rFonts w:ascii="Courier New" w:cs="Courier New" w:eastAsia="Courier New" w:hAnsi="Courier New"/>
          <w:sz w:val="15"/>
          <w:szCs w:val="15"/>
          <w:color w:val="auto"/>
        </w:rPr>
      </w:pPr>
    </w:p>
    <w:p>
      <w:pPr>
        <w:ind w:left="266" w:right="3179" w:hanging="266"/>
        <w:spacing w:after="0" w:line="250" w:lineRule="auto"/>
        <w:tabs>
          <w:tab w:leader="none" w:pos="266"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will be implementing the Amdocs Xacct mediation platform supporting voice mediation for a communications provider in Europe.</w:t>
      </w:r>
    </w:p>
    <w:p>
      <w:pPr>
        <w:spacing w:after="0" w:line="174" w:lineRule="exact"/>
        <w:rPr>
          <w:rFonts w:ascii="Courier New" w:cs="Courier New" w:eastAsia="Courier New" w:hAnsi="Courier New"/>
          <w:sz w:val="15"/>
          <w:szCs w:val="15"/>
          <w:color w:val="auto"/>
        </w:rPr>
      </w:pPr>
    </w:p>
    <w:p>
      <w:pPr>
        <w:ind w:left="266" w:right="2899" w:hanging="266"/>
        <w:spacing w:after="0" w:line="249" w:lineRule="auto"/>
        <w:tabs>
          <w:tab w:leader="none" w:pos="266"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major communications provider in Latin America, Amdocs will be upgrading the existing Amdocs ClarifyCRM platform to ClarifyCRM 12. ClarifyCRM 12 enables businesses to create a more intelligent contact center, helping companies deliver pertinent information at the right time to contact center agents.</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Operating and Financial Highlights</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During the third quarter:</w:t>
      </w:r>
    </w:p>
    <w:p>
      <w:pPr>
        <w:spacing w:after="0" w:line="359" w:lineRule="exact"/>
        <w:rPr>
          <w:sz w:val="20"/>
          <w:szCs w:val="20"/>
          <w:color w:val="auto"/>
        </w:rPr>
      </w:pPr>
    </w:p>
    <w:p>
      <w:pPr>
        <w:ind w:left="266" w:right="2979" w:hanging="266"/>
        <w:spacing w:after="0" w:line="249" w:lineRule="auto"/>
        <w:tabs>
          <w:tab w:leader="none" w:pos="266"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has completed implementation of the final and largest component of Bell Canada's billing modernization project: the conversion of Bell Mobility's more than 4.7 million subscribers and 4,000 system users to the Amdocs billing solution. This was a massive undertaking, completed in a challenging environment of rapid growth, with Bell Mobility more than doubling its customer base since the project began. The project's completion will help Bell Canada simplify its billing operations across multiple lines of business. Amdocs is now working to complete the normalization of the system and will continue to provide Bell Canada with comprehensive managed services under the existing 10-year agreement.</w:t>
      </w:r>
    </w:p>
    <w:p>
      <w:pPr>
        <w:spacing w:after="0" w:line="175" w:lineRule="exact"/>
        <w:rPr>
          <w:rFonts w:ascii="Courier New" w:cs="Courier New" w:eastAsia="Courier New" w:hAnsi="Courier New"/>
          <w:sz w:val="15"/>
          <w:szCs w:val="15"/>
          <w:color w:val="auto"/>
        </w:rPr>
      </w:pPr>
    </w:p>
    <w:p>
      <w:pPr>
        <w:ind w:left="266" w:right="2899" w:hanging="266"/>
        <w:spacing w:after="0" w:line="249" w:lineRule="auto"/>
        <w:tabs>
          <w:tab w:leader="none" w:pos="266"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mobilkom austria, the leading wireless service provider in Austria, Amdocs completed the successful deployment of Amdocs ClarifyCRM ClearSales. The integration of ClarifyCRM sales functionality with its Amdocs billing and CRM solution provides mobilkom austria with complete visibility across its entire sales process. This deployment builds on mobilkom austria's long-term relationship with</w:t>
      </w:r>
    </w:p>
    <w:p>
      <w:pPr>
        <w:sectPr>
          <w:pgSz w:w="11900" w:h="16838" w:orient="portrait"/>
          <w:cols w:equalWidth="0" w:num="1">
            <w:col w:w="10225"/>
          </w:cols>
          <w:pgMar w:left="234" w:top="470" w:right="1440" w:bottom="1440" w:gutter="0" w:footer="0" w:header="0"/>
        </w:sectPr>
      </w:pPr>
    </w:p>
    <w:bookmarkStart w:id="41" w:name="page42"/>
    <w:bookmarkEnd w:id="41"/>
    <w:p>
      <w:pPr>
        <w:ind w:left="266" w:right="3539"/>
        <w:spacing w:after="0" w:line="250" w:lineRule="auto"/>
        <w:rPr>
          <w:sz w:val="20"/>
          <w:szCs w:val="20"/>
          <w:color w:val="auto"/>
        </w:rPr>
      </w:pPr>
      <w:r>
        <w:rPr>
          <w:rFonts w:ascii="Courier New" w:cs="Courier New" w:eastAsia="Courier New" w:hAnsi="Courier New"/>
          <w:sz w:val="15"/>
          <w:szCs w:val="15"/>
          <w:color w:val="auto"/>
        </w:rPr>
        <w:t>Amdocs and marks an important milestone in its move towards a true integrated customer management approach.</w:t>
      </w:r>
    </w:p>
    <w:p>
      <w:pPr>
        <w:spacing w:after="0" w:line="351" w:lineRule="exact"/>
        <w:rPr>
          <w:sz w:val="20"/>
          <w:szCs w:val="20"/>
          <w:color w:val="auto"/>
        </w:rPr>
      </w:pPr>
    </w:p>
    <w:p>
      <w:pPr>
        <w:ind w:left="266" w:right="3179" w:hanging="266"/>
        <w:spacing w:after="0" w:line="249" w:lineRule="auto"/>
        <w:tabs>
          <w:tab w:leader="none" w:pos="266"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June 1, 2004, Amdocs announced that it repurchased substantially all of its outstanding 2% Convertible Notes due June 1, 2008. Payment of $395.1 million for the notes was made with available cash.</w:t>
      </w:r>
    </w:p>
    <w:p>
      <w:pPr>
        <w:spacing w:after="0" w:line="175" w:lineRule="exact"/>
        <w:rPr>
          <w:rFonts w:ascii="Courier New" w:cs="Courier New" w:eastAsia="Courier New" w:hAnsi="Courier New"/>
          <w:sz w:val="15"/>
          <w:szCs w:val="15"/>
          <w:color w:val="auto"/>
        </w:rPr>
      </w:pPr>
    </w:p>
    <w:p>
      <w:pPr>
        <w:jc w:val="both"/>
        <w:ind w:left="266" w:right="3079" w:hanging="266"/>
        <w:spacing w:after="0" w:line="252" w:lineRule="auto"/>
        <w:tabs>
          <w:tab w:leader="none" w:pos="266"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Free cash flow, defined as cash flow from operations less net capital expenditures and payments on capital leases, was $59 million in the quarter.</w:t>
      </w:r>
    </w:p>
    <w:p>
      <w:pPr>
        <w:spacing w:after="0" w:line="348"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Financial Outlook</w:t>
      </w:r>
    </w:p>
    <w:p>
      <w:pPr>
        <w:spacing w:after="0" w:line="182"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Amdocs expects that revenue for the fourth quarter ending September 30, 2004, will be approximately $452 million. Proforma earnings per share for the quarter are expected to be $0.30, excluding acquisition-related costs and related tax effects. Diluted GAAP earnings per share for the quarter are expected to be between $0.01-$0.02 less than proforma EPS.</w:t>
      </w:r>
    </w:p>
    <w:p>
      <w:pPr>
        <w:spacing w:after="0" w:line="176" w:lineRule="exact"/>
        <w:rPr>
          <w:sz w:val="20"/>
          <w:szCs w:val="20"/>
          <w:color w:val="auto"/>
        </w:rPr>
      </w:pPr>
    </w:p>
    <w:p>
      <w:pPr>
        <w:ind w:left="6" w:right="3079"/>
        <w:spacing w:after="0" w:line="249" w:lineRule="auto"/>
        <w:rPr>
          <w:sz w:val="20"/>
          <w:szCs w:val="20"/>
          <w:color w:val="auto"/>
        </w:rPr>
      </w:pPr>
      <w:r>
        <w:rPr>
          <w:rFonts w:ascii="Courier New" w:cs="Courier New" w:eastAsia="Courier New" w:hAnsi="Courier New"/>
          <w:sz w:val="15"/>
          <w:szCs w:val="15"/>
          <w:color w:val="auto"/>
        </w:rPr>
        <w:t>Amdocs will host a conference call on July 21, 2004 at 5 p.m. Eastern Daylight Time to discuss the Company's third quarter results. The call will be carried live on the Internet via www.vcall.com and the Amdocs website, www.amdocs.com.</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About Amdocs</w:t>
      </w:r>
    </w:p>
    <w:p>
      <w:pPr>
        <w:spacing w:after="0" w:line="182"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Amdocs combines innovative software products and services with deep business knowledge to deliver true integrated customer management to the world's leading telecommunications services companies. Our best-in-class billing and CRM products seamlessly link all customer-facing business processes - marketing, sales, ordering, delivery, fulfillment, billing, settlement, service, support, and analytics - resulting in stronger, more profitable customer relationships. Amdocs enables its customers to implement their business strategy with rapid return on investment, lower total cost of ownership and improved operational efficiencies. For more information, visit Amdocs at www.amdocs.com.</w:t>
      </w:r>
    </w:p>
    <w:p>
      <w:pPr>
        <w:spacing w:after="0" w:line="35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Cautionary statements</w:t>
      </w:r>
    </w:p>
    <w:p>
      <w:pPr>
        <w:spacing w:after="0" w:line="182"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Investors are cautioned that this press release contains proforma information that is not prepared in accordance with GAAP. Investors should not construe the proforma financial measures as being superior to GAAP. The Company's management uses proforma financial information in its internal analysis because it enables the management to consistently analyze the critical components and results of operations and to have a meaningful comparison to prior</w:t>
      </w:r>
    </w:p>
    <w:p>
      <w:pPr>
        <w:sectPr>
          <w:pgSz w:w="11900" w:h="16838" w:orient="portrait"/>
          <w:cols w:equalWidth="0" w:num="1">
            <w:col w:w="10225"/>
          </w:cols>
          <w:pgMar w:left="234" w:top="470" w:right="1440" w:bottom="1440" w:gutter="0" w:footer="0" w:header="0"/>
        </w:sectPr>
      </w:pPr>
    </w:p>
    <w:bookmarkStart w:id="42" w:name="page43"/>
    <w:bookmarkEnd w:id="42"/>
    <w:p>
      <w:pPr>
        <w:ind w:right="2899"/>
        <w:spacing w:after="0" w:line="249" w:lineRule="auto"/>
        <w:rPr>
          <w:sz w:val="20"/>
          <w:szCs w:val="20"/>
          <w:color w:val="auto"/>
        </w:rPr>
      </w:pPr>
      <w:r>
        <w:rPr>
          <w:rFonts w:ascii="Courier New" w:cs="Courier New" w:eastAsia="Courier New" w:hAnsi="Courier New"/>
          <w:sz w:val="15"/>
          <w:szCs w:val="15"/>
          <w:color w:val="auto"/>
        </w:rPr>
        <w:t>periods. The Company's management believes that such measures provide useful information to investors for meaningful comparison to prior periods and analysis of the critical components and results of operations.</w:t>
      </w:r>
    </w:p>
    <w:p>
      <w:pPr>
        <w:spacing w:after="0" w:line="176"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mobile, wireline and IP business segments,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These and other risks are discussed at greater length in the Company's filings with the Securities and Exchange Commission, including in our Annual Report on Form 20-F, filed on December 24, 2003 and our Form 6-K filed on June 10, 2004.</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Contact: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G. O'Brien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Treasurer and Vice President of Investor Relations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Amdocs Limited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314-212-8328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E-mail: dox_info@amdocs.com</w:t>
      </w:r>
    </w:p>
    <w:p>
      <w:pPr>
        <w:sectPr>
          <w:pgSz w:w="11900" w:h="16838" w:orient="portrait"/>
          <w:cols w:equalWidth="0" w:num="1">
            <w:col w:w="10219"/>
          </w:cols>
          <w:pgMar w:left="240" w:top="647" w:right="1440" w:bottom="1440" w:gutter="0" w:footer="0" w:header="0"/>
        </w:sectPr>
      </w:pPr>
    </w:p>
    <w:bookmarkStart w:id="43" w:name="page44"/>
    <w:bookmarkEnd w:id="43"/>
    <w:p>
      <w:pPr>
        <w:jc w:val="center"/>
        <w:ind w:right="2893"/>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ind w:left="1746"/>
        <w:spacing w:after="0"/>
        <w:rPr>
          <w:sz w:val="20"/>
          <w:szCs w:val="20"/>
          <w:color w:val="auto"/>
        </w:rPr>
      </w:pPr>
      <w:r>
        <w:rPr>
          <w:rFonts w:ascii="Courier New" w:cs="Courier New" w:eastAsia="Courier New" w:hAnsi="Courier New"/>
          <w:sz w:val="15"/>
          <w:szCs w:val="15"/>
          <w:color w:val="auto"/>
        </w:rPr>
        <w:t>Pro forma Consolidated Statements of Income</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Excluding Restructuring Charges,</w:t>
      </w:r>
    </w:p>
    <w:p>
      <w:pPr>
        <w:spacing w:after="0" w:line="6" w:lineRule="exact"/>
        <w:rPr>
          <w:sz w:val="20"/>
          <w:szCs w:val="20"/>
          <w:color w:val="auto"/>
        </w:rPr>
      </w:pPr>
    </w:p>
    <w:p>
      <w:pPr>
        <w:jc w:val="center"/>
        <w:ind w:right="2793"/>
        <w:spacing w:after="0"/>
        <w:rPr>
          <w:sz w:val="20"/>
          <w:szCs w:val="20"/>
          <w:color w:val="auto"/>
        </w:rPr>
      </w:pPr>
      <w:r>
        <w:rPr>
          <w:rFonts w:ascii="Courier New" w:cs="Courier New" w:eastAsia="Courier New" w:hAnsi="Courier New"/>
          <w:sz w:val="15"/>
          <w:szCs w:val="15"/>
          <w:color w:val="auto"/>
        </w:rPr>
        <w:t>Amortization of Purchased Intangible Assets and Related Tax Effects</w:t>
      </w:r>
    </w:p>
    <w:p>
      <w:pPr>
        <w:spacing w:after="0" w:line="182" w:lineRule="exact"/>
        <w:rPr>
          <w:sz w:val="20"/>
          <w:szCs w:val="20"/>
          <w:color w:val="auto"/>
        </w:rPr>
      </w:pPr>
    </w:p>
    <w:p>
      <w:pPr>
        <w:ind w:left="2006"/>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980" w:type="dxa"/>
            <w:vAlign w:val="bottom"/>
            <w:gridSpan w:val="3"/>
          </w:tcPr>
          <w:p>
            <w:pPr>
              <w:jc w:val="right"/>
              <w:ind w:right="984"/>
              <w:spacing w:after="0"/>
              <w:rPr>
                <w:sz w:val="20"/>
                <w:szCs w:val="20"/>
                <w:color w:val="auto"/>
              </w:rPr>
            </w:pPr>
            <w:r>
              <w:rPr>
                <w:rFonts w:ascii="Courier New" w:cs="Courier New" w:eastAsia="Courier New" w:hAnsi="Courier New"/>
                <w:sz w:val="15"/>
                <w:szCs w:val="15"/>
                <w:color w:val="auto"/>
              </w:rPr>
              <w:t>Three months ended</w:t>
            </w:r>
          </w:p>
        </w:tc>
        <w:tc>
          <w:tcPr>
            <w:tcW w:w="500" w:type="dxa"/>
            <w:vAlign w:val="bottom"/>
          </w:tcPr>
          <w:p>
            <w:pPr>
              <w:spacing w:after="0"/>
              <w:rPr>
                <w:sz w:val="14"/>
                <w:szCs w:val="14"/>
                <w:color w:val="auto"/>
              </w:rPr>
            </w:pPr>
          </w:p>
        </w:tc>
        <w:tc>
          <w:tcPr>
            <w:tcW w:w="2660" w:type="dxa"/>
            <w:vAlign w:val="bottom"/>
            <w:gridSpan w:val="3"/>
          </w:tcPr>
          <w:p>
            <w:pPr>
              <w:jc w:val="right"/>
              <w:ind w:right="644"/>
              <w:spacing w:after="0"/>
              <w:rPr>
                <w:sz w:val="20"/>
                <w:szCs w:val="20"/>
                <w:color w:val="auto"/>
              </w:rPr>
            </w:pPr>
            <w:r>
              <w:rPr>
                <w:rFonts w:ascii="Courier New" w:cs="Courier New" w:eastAsia="Courier New" w:hAnsi="Courier New"/>
                <w:sz w:val="15"/>
                <w:szCs w:val="15"/>
                <w:color w:val="auto"/>
              </w:rPr>
              <w:t>Nine months ended</w:t>
            </w:r>
          </w:p>
        </w:tc>
      </w:tr>
      <w:tr>
        <w:trPr>
          <w:trHeight w:val="176"/>
        </w:trPr>
        <w:tc>
          <w:tcPr>
            <w:tcW w:w="3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7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June 30,</w:t>
            </w:r>
          </w:p>
        </w:tc>
        <w:tc>
          <w:tcPr>
            <w:tcW w:w="1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6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June 30,</w:t>
            </w:r>
          </w:p>
        </w:tc>
        <w:tc>
          <w:tcPr>
            <w:tcW w:w="1000" w:type="dxa"/>
            <w:vAlign w:val="bottom"/>
          </w:tcPr>
          <w:p>
            <w:pPr>
              <w:spacing w:after="0"/>
              <w:rPr>
                <w:sz w:val="15"/>
                <w:szCs w:val="15"/>
                <w:color w:val="auto"/>
              </w:rPr>
            </w:pPr>
          </w:p>
        </w:tc>
      </w:tr>
      <w:tr>
        <w:trPr>
          <w:trHeight w:val="176"/>
        </w:trPr>
        <w:tc>
          <w:tcPr>
            <w:tcW w:w="3240" w:type="dxa"/>
            <w:vAlign w:val="bottom"/>
          </w:tcPr>
          <w:p>
            <w:pPr>
              <w:spacing w:after="0"/>
              <w:rPr>
                <w:sz w:val="15"/>
                <w:szCs w:val="15"/>
                <w:color w:val="auto"/>
              </w:rPr>
            </w:pPr>
          </w:p>
        </w:tc>
        <w:tc>
          <w:tcPr>
            <w:tcW w:w="1980" w:type="dxa"/>
            <w:vAlign w:val="bottom"/>
            <w:gridSpan w:val="2"/>
          </w:tcPr>
          <w:p>
            <w:pPr>
              <w:ind w:left="420"/>
              <w:spacing w:after="0"/>
              <w:rPr>
                <w:sz w:val="20"/>
                <w:szCs w:val="20"/>
                <w:color w:val="auto"/>
              </w:rPr>
            </w:pPr>
            <w:r>
              <w:rPr>
                <w:rFonts w:ascii="Courier New" w:cs="Courier New" w:eastAsia="Courier New" w:hAnsi="Courier New"/>
                <w:sz w:val="10"/>
                <w:szCs w:val="10"/>
                <w:color w:val="auto"/>
                <w:w w:val="75"/>
              </w:rPr>
              <w:t>----------------------------------</w:t>
            </w: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1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9"/>
              </w:rPr>
              <w:t>2004 (1)</w:t>
            </w:r>
          </w:p>
        </w:tc>
        <w:tc>
          <w:tcPr>
            <w:tcW w:w="500" w:type="dxa"/>
            <w:vAlign w:val="bottom"/>
          </w:tcPr>
          <w:p>
            <w:pPr>
              <w:spacing w:after="0"/>
              <w:rPr>
                <w:sz w:val="15"/>
                <w:szCs w:val="15"/>
                <w:color w:val="auto"/>
              </w:rPr>
            </w:pP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2003 (1)</w:t>
            </w:r>
          </w:p>
        </w:tc>
        <w:tc>
          <w:tcPr>
            <w:tcW w:w="500" w:type="dxa"/>
            <w:vAlign w:val="bottom"/>
          </w:tcPr>
          <w:p>
            <w:pPr>
              <w:spacing w:after="0"/>
              <w:rPr>
                <w:sz w:val="15"/>
                <w:szCs w:val="15"/>
                <w:color w:val="auto"/>
              </w:rPr>
            </w:pP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9"/>
              </w:rPr>
              <w:t>2004 (2)</w:t>
            </w:r>
          </w:p>
        </w:tc>
        <w:tc>
          <w:tcPr>
            <w:tcW w:w="14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2003 (2)</w:t>
            </w:r>
          </w:p>
        </w:tc>
      </w:tr>
      <w:tr>
        <w:trPr>
          <w:trHeight w:val="176"/>
        </w:trPr>
        <w:tc>
          <w:tcPr>
            <w:tcW w:w="3240" w:type="dxa"/>
            <w:vAlign w:val="bottom"/>
          </w:tcPr>
          <w:p>
            <w:pPr>
              <w:spacing w:after="0"/>
              <w:rPr>
                <w:sz w:val="15"/>
                <w:szCs w:val="15"/>
                <w:color w:val="auto"/>
              </w:rPr>
            </w:pPr>
          </w:p>
        </w:tc>
        <w:tc>
          <w:tcPr>
            <w:tcW w:w="198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29"/>
        </w:trPr>
        <w:tc>
          <w:tcPr>
            <w:tcW w:w="32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6"/>
        </w:trPr>
        <w:tc>
          <w:tcPr>
            <w:tcW w:w="3240" w:type="dxa"/>
            <w:vAlign w:val="bottom"/>
          </w:tcPr>
          <w:p>
            <w:pPr>
              <w:spacing w:after="0"/>
              <w:rPr>
                <w:sz w:val="20"/>
                <w:szCs w:val="20"/>
                <w:color w:val="auto"/>
              </w:rPr>
            </w:pPr>
            <w:r>
              <w:rPr>
                <w:rFonts w:ascii="Courier New" w:cs="Courier New" w:eastAsia="Courier New" w:hAnsi="Courier New"/>
                <w:sz w:val="15"/>
                <w:szCs w:val="15"/>
                <w:color w:val="auto"/>
              </w:rPr>
              <w:t>License</w:t>
            </w:r>
          </w:p>
        </w:tc>
        <w:tc>
          <w:tcPr>
            <w:tcW w:w="78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17,298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11,491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52,026</w:t>
            </w:r>
          </w:p>
        </w:tc>
        <w:tc>
          <w:tcPr>
            <w:tcW w:w="420" w:type="dxa"/>
            <w:vAlign w:val="bottom"/>
          </w:tcPr>
          <w:p>
            <w:pPr>
              <w:ind w:left="32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51,176</w:t>
            </w:r>
          </w:p>
        </w:tc>
      </w:tr>
      <w:tr>
        <w:trPr>
          <w:trHeight w:val="176"/>
        </w:trPr>
        <w:tc>
          <w:tcPr>
            <w:tcW w:w="3240" w:type="dxa"/>
            <w:vAlign w:val="bottom"/>
          </w:tcPr>
          <w:p>
            <w:pPr>
              <w:spacing w:after="0"/>
              <w:rPr>
                <w:sz w:val="20"/>
                <w:szCs w:val="20"/>
                <w:color w:val="auto"/>
              </w:rPr>
            </w:pPr>
            <w:r>
              <w:rPr>
                <w:rFonts w:ascii="Courier New" w:cs="Courier New" w:eastAsia="Courier New" w:hAnsi="Courier New"/>
                <w:sz w:val="15"/>
                <w:szCs w:val="15"/>
                <w:color w:val="auto"/>
              </w:rPr>
              <w:t>Service</w:t>
            </w:r>
          </w:p>
        </w:tc>
        <w:tc>
          <w:tcPr>
            <w:tcW w:w="78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432,926</w:t>
            </w:r>
          </w:p>
        </w:tc>
        <w:tc>
          <w:tcPr>
            <w:tcW w:w="500" w:type="dxa"/>
            <w:vAlign w:val="bottom"/>
          </w:tcPr>
          <w:p>
            <w:pPr>
              <w:spacing w:after="0"/>
              <w:rPr>
                <w:sz w:val="15"/>
                <w:szCs w:val="15"/>
                <w:color w:val="auto"/>
              </w:rPr>
            </w:pPr>
          </w:p>
        </w:tc>
        <w:tc>
          <w:tcPr>
            <w:tcW w:w="12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365,677</w:t>
            </w:r>
          </w:p>
        </w:tc>
        <w:tc>
          <w:tcPr>
            <w:tcW w:w="500" w:type="dxa"/>
            <w:vAlign w:val="bottom"/>
          </w:tcPr>
          <w:p>
            <w:pPr>
              <w:spacing w:after="0"/>
              <w:rPr>
                <w:sz w:val="15"/>
                <w:szCs w:val="15"/>
                <w:color w:val="auto"/>
              </w:rPr>
            </w:pPr>
          </w:p>
        </w:tc>
        <w:tc>
          <w:tcPr>
            <w:tcW w:w="12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1,269,251</w:t>
            </w:r>
          </w:p>
        </w:tc>
        <w:tc>
          <w:tcPr>
            <w:tcW w:w="4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1,020,392</w:t>
            </w:r>
          </w:p>
        </w:tc>
      </w:tr>
      <w:tr>
        <w:trPr>
          <w:trHeight w:val="176"/>
        </w:trPr>
        <w:tc>
          <w:tcPr>
            <w:tcW w:w="3240" w:type="dxa"/>
            <w:vAlign w:val="bottom"/>
          </w:tcPr>
          <w:p>
            <w:pPr>
              <w:spacing w:after="0"/>
              <w:rPr>
                <w:sz w:val="15"/>
                <w:szCs w:val="15"/>
                <w:color w:val="auto"/>
              </w:rPr>
            </w:pPr>
          </w:p>
        </w:tc>
        <w:tc>
          <w:tcPr>
            <w:tcW w:w="198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450,224</w:t>
            </w:r>
          </w:p>
        </w:tc>
        <w:tc>
          <w:tcPr>
            <w:tcW w:w="500" w:type="dxa"/>
            <w:vAlign w:val="bottom"/>
          </w:tcPr>
          <w:p>
            <w:pPr>
              <w:spacing w:after="0"/>
              <w:rPr>
                <w:sz w:val="15"/>
                <w:szCs w:val="15"/>
                <w:color w:val="auto"/>
              </w:rPr>
            </w:pPr>
          </w:p>
        </w:tc>
        <w:tc>
          <w:tcPr>
            <w:tcW w:w="12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377,168</w:t>
            </w:r>
          </w:p>
        </w:tc>
        <w:tc>
          <w:tcPr>
            <w:tcW w:w="500" w:type="dxa"/>
            <w:vAlign w:val="bottom"/>
          </w:tcPr>
          <w:p>
            <w:pPr>
              <w:spacing w:after="0"/>
              <w:rPr>
                <w:sz w:val="15"/>
                <w:szCs w:val="15"/>
                <w:color w:val="auto"/>
              </w:rPr>
            </w:pPr>
          </w:p>
        </w:tc>
        <w:tc>
          <w:tcPr>
            <w:tcW w:w="12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1,321,277</w:t>
            </w:r>
          </w:p>
        </w:tc>
        <w:tc>
          <w:tcPr>
            <w:tcW w:w="4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1,071,568</w:t>
            </w:r>
          </w:p>
        </w:tc>
      </w:tr>
      <w:tr>
        <w:trPr>
          <w:trHeight w:val="176"/>
        </w:trPr>
        <w:tc>
          <w:tcPr>
            <w:tcW w:w="32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240" w:type="dxa"/>
            <w:vAlign w:val="bottom"/>
          </w:tcPr>
          <w:p>
            <w:pPr>
              <w:spacing w:after="0"/>
              <w:rPr>
                <w:sz w:val="20"/>
                <w:szCs w:val="20"/>
                <w:color w:val="auto"/>
              </w:rPr>
            </w:pPr>
            <w:r>
              <w:rPr>
                <w:rFonts w:ascii="Courier New" w:cs="Courier New" w:eastAsia="Courier New" w:hAnsi="Courier New"/>
                <w:sz w:val="15"/>
                <w:szCs w:val="15"/>
                <w:color w:val="auto"/>
              </w:rPr>
              <w:t>Cost of license</w:t>
            </w:r>
          </w:p>
        </w:tc>
        <w:tc>
          <w:tcPr>
            <w:tcW w:w="78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1,448</w:t>
            </w:r>
          </w:p>
        </w:tc>
        <w:tc>
          <w:tcPr>
            <w:tcW w:w="500" w:type="dxa"/>
            <w:vAlign w:val="bottom"/>
          </w:tcPr>
          <w:p>
            <w:pPr>
              <w:spacing w:after="0"/>
              <w:rPr>
                <w:sz w:val="15"/>
                <w:szCs w:val="15"/>
                <w:color w:val="auto"/>
              </w:rPr>
            </w:pPr>
          </w:p>
        </w:tc>
        <w:tc>
          <w:tcPr>
            <w:tcW w:w="12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1,455</w:t>
            </w:r>
          </w:p>
        </w:tc>
        <w:tc>
          <w:tcPr>
            <w:tcW w:w="500" w:type="dxa"/>
            <w:vAlign w:val="bottom"/>
          </w:tcPr>
          <w:p>
            <w:pPr>
              <w:spacing w:after="0"/>
              <w:rPr>
                <w:sz w:val="15"/>
                <w:szCs w:val="15"/>
                <w:color w:val="auto"/>
              </w:rPr>
            </w:pPr>
          </w:p>
        </w:tc>
        <w:tc>
          <w:tcPr>
            <w:tcW w:w="12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3,807</w:t>
            </w:r>
          </w:p>
        </w:tc>
        <w:tc>
          <w:tcPr>
            <w:tcW w:w="4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4,137</w:t>
            </w:r>
          </w:p>
        </w:tc>
      </w:tr>
      <w:tr>
        <w:trPr>
          <w:trHeight w:val="176"/>
        </w:trPr>
        <w:tc>
          <w:tcPr>
            <w:tcW w:w="3240" w:type="dxa"/>
            <w:vAlign w:val="bottom"/>
          </w:tcPr>
          <w:p>
            <w:pPr>
              <w:spacing w:after="0"/>
              <w:rPr>
                <w:sz w:val="20"/>
                <w:szCs w:val="20"/>
                <w:color w:val="auto"/>
              </w:rPr>
            </w:pPr>
            <w:r>
              <w:rPr>
                <w:rFonts w:ascii="Courier New" w:cs="Courier New" w:eastAsia="Courier New" w:hAnsi="Courier New"/>
                <w:sz w:val="15"/>
                <w:szCs w:val="15"/>
                <w:color w:val="auto"/>
              </w:rPr>
              <w:t>Cost of service</w:t>
            </w:r>
          </w:p>
        </w:tc>
        <w:tc>
          <w:tcPr>
            <w:tcW w:w="78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283,109</w:t>
            </w:r>
          </w:p>
        </w:tc>
        <w:tc>
          <w:tcPr>
            <w:tcW w:w="500" w:type="dxa"/>
            <w:vAlign w:val="bottom"/>
          </w:tcPr>
          <w:p>
            <w:pPr>
              <w:spacing w:after="0"/>
              <w:rPr>
                <w:sz w:val="15"/>
                <w:szCs w:val="15"/>
                <w:color w:val="auto"/>
              </w:rPr>
            </w:pPr>
          </w:p>
        </w:tc>
        <w:tc>
          <w:tcPr>
            <w:tcW w:w="12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230,323</w:t>
            </w:r>
          </w:p>
        </w:tc>
        <w:tc>
          <w:tcPr>
            <w:tcW w:w="500" w:type="dxa"/>
            <w:vAlign w:val="bottom"/>
          </w:tcPr>
          <w:p>
            <w:pPr>
              <w:spacing w:after="0"/>
              <w:rPr>
                <w:sz w:val="15"/>
                <w:szCs w:val="15"/>
                <w:color w:val="auto"/>
              </w:rPr>
            </w:pPr>
          </w:p>
        </w:tc>
        <w:tc>
          <w:tcPr>
            <w:tcW w:w="12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833,470</w:t>
            </w:r>
          </w:p>
        </w:tc>
        <w:tc>
          <w:tcPr>
            <w:tcW w:w="4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646,389</w:t>
            </w:r>
          </w:p>
        </w:tc>
      </w:tr>
      <w:tr>
        <w:trPr>
          <w:trHeight w:val="176"/>
        </w:trPr>
        <w:tc>
          <w:tcPr>
            <w:tcW w:w="3240" w:type="dxa"/>
            <w:vAlign w:val="bottom"/>
          </w:tcPr>
          <w:p>
            <w:pPr>
              <w:spacing w:after="0"/>
              <w:rPr>
                <w:sz w:val="20"/>
                <w:szCs w:val="20"/>
                <w:color w:val="auto"/>
              </w:rPr>
            </w:pPr>
            <w:r>
              <w:rPr>
                <w:rFonts w:ascii="Courier New" w:cs="Courier New" w:eastAsia="Courier New" w:hAnsi="Courier New"/>
                <w:sz w:val="15"/>
                <w:szCs w:val="15"/>
                <w:color w:val="auto"/>
              </w:rPr>
              <w:t>Research and development</w:t>
            </w:r>
          </w:p>
        </w:tc>
        <w:tc>
          <w:tcPr>
            <w:tcW w:w="78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31,665</w:t>
            </w:r>
          </w:p>
        </w:tc>
        <w:tc>
          <w:tcPr>
            <w:tcW w:w="500" w:type="dxa"/>
            <w:vAlign w:val="bottom"/>
          </w:tcPr>
          <w:p>
            <w:pPr>
              <w:spacing w:after="0"/>
              <w:rPr>
                <w:sz w:val="15"/>
                <w:szCs w:val="15"/>
                <w:color w:val="auto"/>
              </w:rPr>
            </w:pPr>
          </w:p>
        </w:tc>
        <w:tc>
          <w:tcPr>
            <w:tcW w:w="12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29,941</w:t>
            </w:r>
          </w:p>
        </w:tc>
        <w:tc>
          <w:tcPr>
            <w:tcW w:w="500" w:type="dxa"/>
            <w:vAlign w:val="bottom"/>
          </w:tcPr>
          <w:p>
            <w:pPr>
              <w:spacing w:after="0"/>
              <w:rPr>
                <w:sz w:val="15"/>
                <w:szCs w:val="15"/>
                <w:color w:val="auto"/>
              </w:rPr>
            </w:pPr>
          </w:p>
        </w:tc>
        <w:tc>
          <w:tcPr>
            <w:tcW w:w="12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92,247</w:t>
            </w:r>
          </w:p>
        </w:tc>
        <w:tc>
          <w:tcPr>
            <w:tcW w:w="4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88,888</w:t>
            </w:r>
          </w:p>
        </w:tc>
      </w:tr>
      <w:tr>
        <w:trPr>
          <w:trHeight w:val="176"/>
        </w:trPr>
        <w:tc>
          <w:tcPr>
            <w:tcW w:w="3240" w:type="dxa"/>
            <w:vAlign w:val="bottom"/>
          </w:tcPr>
          <w:p>
            <w:pPr>
              <w:spacing w:after="0"/>
              <w:rPr>
                <w:sz w:val="20"/>
                <w:szCs w:val="20"/>
                <w:color w:val="auto"/>
              </w:rPr>
            </w:pPr>
            <w:r>
              <w:rPr>
                <w:rFonts w:ascii="Courier New" w:cs="Courier New" w:eastAsia="Courier New" w:hAnsi="Courier New"/>
                <w:sz w:val="15"/>
                <w:szCs w:val="15"/>
                <w:color w:val="auto"/>
              </w:rPr>
              <w:t>Selling, general and</w:t>
            </w: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administrative</w:t>
            </w:r>
          </w:p>
        </w:tc>
        <w:tc>
          <w:tcPr>
            <w:tcW w:w="78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52,745</w:t>
            </w:r>
          </w:p>
        </w:tc>
        <w:tc>
          <w:tcPr>
            <w:tcW w:w="500" w:type="dxa"/>
            <w:vAlign w:val="bottom"/>
          </w:tcPr>
          <w:p>
            <w:pPr>
              <w:spacing w:after="0"/>
              <w:rPr>
                <w:sz w:val="15"/>
                <w:szCs w:val="15"/>
                <w:color w:val="auto"/>
              </w:rPr>
            </w:pPr>
          </w:p>
        </w:tc>
        <w:tc>
          <w:tcPr>
            <w:tcW w:w="12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50,943</w:t>
            </w:r>
          </w:p>
        </w:tc>
        <w:tc>
          <w:tcPr>
            <w:tcW w:w="500" w:type="dxa"/>
            <w:vAlign w:val="bottom"/>
          </w:tcPr>
          <w:p>
            <w:pPr>
              <w:spacing w:after="0"/>
              <w:rPr>
                <w:sz w:val="15"/>
                <w:szCs w:val="15"/>
                <w:color w:val="auto"/>
              </w:rPr>
            </w:pPr>
          </w:p>
        </w:tc>
        <w:tc>
          <w:tcPr>
            <w:tcW w:w="12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159,078</w:t>
            </w:r>
          </w:p>
        </w:tc>
        <w:tc>
          <w:tcPr>
            <w:tcW w:w="4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153,644</w:t>
            </w:r>
          </w:p>
        </w:tc>
      </w:tr>
      <w:tr>
        <w:trPr>
          <w:trHeight w:val="176"/>
        </w:trPr>
        <w:tc>
          <w:tcPr>
            <w:tcW w:w="3240" w:type="dxa"/>
            <w:vAlign w:val="bottom"/>
          </w:tcPr>
          <w:p>
            <w:pPr>
              <w:spacing w:after="0"/>
              <w:rPr>
                <w:sz w:val="15"/>
                <w:szCs w:val="15"/>
                <w:color w:val="auto"/>
              </w:rPr>
            </w:pPr>
          </w:p>
        </w:tc>
        <w:tc>
          <w:tcPr>
            <w:tcW w:w="198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368,967</w:t>
            </w:r>
          </w:p>
        </w:tc>
        <w:tc>
          <w:tcPr>
            <w:tcW w:w="500" w:type="dxa"/>
            <w:vAlign w:val="bottom"/>
          </w:tcPr>
          <w:p>
            <w:pPr>
              <w:spacing w:after="0"/>
              <w:rPr>
                <w:sz w:val="15"/>
                <w:szCs w:val="15"/>
                <w:color w:val="auto"/>
              </w:rPr>
            </w:pPr>
          </w:p>
        </w:tc>
        <w:tc>
          <w:tcPr>
            <w:tcW w:w="12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312,662</w:t>
            </w:r>
          </w:p>
        </w:tc>
        <w:tc>
          <w:tcPr>
            <w:tcW w:w="50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1,088,602</w:t>
            </w:r>
          </w:p>
        </w:tc>
        <w:tc>
          <w:tcPr>
            <w:tcW w:w="4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893,058</w:t>
            </w:r>
          </w:p>
        </w:tc>
      </w:tr>
      <w:tr>
        <w:trPr>
          <w:trHeight w:val="176"/>
        </w:trPr>
        <w:tc>
          <w:tcPr>
            <w:tcW w:w="3240" w:type="dxa"/>
            <w:vAlign w:val="bottom"/>
          </w:tcPr>
          <w:p>
            <w:pPr>
              <w:spacing w:after="0"/>
              <w:rPr>
                <w:sz w:val="15"/>
                <w:szCs w:val="15"/>
                <w:color w:val="auto"/>
              </w:rPr>
            </w:pPr>
          </w:p>
        </w:tc>
        <w:tc>
          <w:tcPr>
            <w:tcW w:w="198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2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78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81,257</w:t>
            </w:r>
          </w:p>
        </w:tc>
        <w:tc>
          <w:tcPr>
            <w:tcW w:w="500" w:type="dxa"/>
            <w:vAlign w:val="bottom"/>
          </w:tcPr>
          <w:p>
            <w:pPr>
              <w:spacing w:after="0"/>
              <w:rPr>
                <w:sz w:val="15"/>
                <w:szCs w:val="15"/>
                <w:color w:val="auto"/>
              </w:rPr>
            </w:pPr>
          </w:p>
        </w:tc>
        <w:tc>
          <w:tcPr>
            <w:tcW w:w="12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64,506</w:t>
            </w:r>
          </w:p>
        </w:tc>
        <w:tc>
          <w:tcPr>
            <w:tcW w:w="50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232,675</w:t>
            </w:r>
          </w:p>
        </w:tc>
        <w:tc>
          <w:tcPr>
            <w:tcW w:w="4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178,510</w:t>
            </w:r>
          </w:p>
        </w:tc>
      </w:tr>
      <w:tr>
        <w:trPr>
          <w:trHeight w:val="352"/>
        </w:trPr>
        <w:tc>
          <w:tcPr>
            <w:tcW w:w="324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w:t>
            </w:r>
          </w:p>
        </w:tc>
        <w:tc>
          <w:tcPr>
            <w:tcW w:w="780" w:type="dxa"/>
            <w:vAlign w:val="bottom"/>
          </w:tcPr>
          <w:p>
            <w:pPr>
              <w:spacing w:after="0"/>
              <w:rPr>
                <w:sz w:val="24"/>
                <w:szCs w:val="24"/>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121</w:t>
            </w:r>
          </w:p>
        </w:tc>
        <w:tc>
          <w:tcPr>
            <w:tcW w:w="500" w:type="dxa"/>
            <w:vAlign w:val="bottom"/>
          </w:tcPr>
          <w:p>
            <w:pPr>
              <w:spacing w:after="0"/>
              <w:rPr>
                <w:sz w:val="24"/>
                <w:szCs w:val="24"/>
                <w:color w:val="auto"/>
              </w:rPr>
            </w:pPr>
          </w:p>
        </w:tc>
        <w:tc>
          <w:tcPr>
            <w:tcW w:w="12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3,269</w:t>
            </w:r>
          </w:p>
        </w:tc>
        <w:tc>
          <w:tcPr>
            <w:tcW w:w="500" w:type="dxa"/>
            <w:vAlign w:val="bottom"/>
          </w:tcPr>
          <w:p>
            <w:pPr>
              <w:spacing w:after="0"/>
              <w:rPr>
                <w:sz w:val="24"/>
                <w:szCs w:val="24"/>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2,899</w:t>
            </w:r>
          </w:p>
        </w:tc>
        <w:tc>
          <w:tcPr>
            <w:tcW w:w="420" w:type="dxa"/>
            <w:vAlign w:val="bottom"/>
          </w:tcPr>
          <w:p>
            <w:pPr>
              <w:spacing w:after="0"/>
              <w:rPr>
                <w:sz w:val="24"/>
                <w:szCs w:val="24"/>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12,432</w:t>
            </w:r>
          </w:p>
        </w:tc>
      </w:tr>
      <w:tr>
        <w:trPr>
          <w:trHeight w:val="176"/>
        </w:trPr>
        <w:tc>
          <w:tcPr>
            <w:tcW w:w="3240" w:type="dxa"/>
            <w:vAlign w:val="bottom"/>
          </w:tcPr>
          <w:p>
            <w:pPr>
              <w:spacing w:after="0"/>
              <w:rPr>
                <w:sz w:val="15"/>
                <w:szCs w:val="15"/>
                <w:color w:val="auto"/>
              </w:rPr>
            </w:pPr>
          </w:p>
        </w:tc>
        <w:tc>
          <w:tcPr>
            <w:tcW w:w="198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24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78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81,378</w:t>
            </w:r>
          </w:p>
        </w:tc>
        <w:tc>
          <w:tcPr>
            <w:tcW w:w="500" w:type="dxa"/>
            <w:vAlign w:val="bottom"/>
          </w:tcPr>
          <w:p>
            <w:pPr>
              <w:spacing w:after="0"/>
              <w:rPr>
                <w:sz w:val="15"/>
                <w:szCs w:val="15"/>
                <w:color w:val="auto"/>
              </w:rPr>
            </w:pPr>
          </w:p>
        </w:tc>
        <w:tc>
          <w:tcPr>
            <w:tcW w:w="12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67,775</w:t>
            </w:r>
          </w:p>
        </w:tc>
        <w:tc>
          <w:tcPr>
            <w:tcW w:w="50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235,574</w:t>
            </w:r>
          </w:p>
        </w:tc>
        <w:tc>
          <w:tcPr>
            <w:tcW w:w="4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190,942</w:t>
            </w:r>
          </w:p>
        </w:tc>
      </w:tr>
      <w:tr>
        <w:trPr>
          <w:trHeight w:val="352"/>
        </w:trPr>
        <w:tc>
          <w:tcPr>
            <w:tcW w:w="324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780" w:type="dxa"/>
            <w:vAlign w:val="bottom"/>
          </w:tcPr>
          <w:p>
            <w:pPr>
              <w:spacing w:after="0"/>
              <w:rPr>
                <w:sz w:val="24"/>
                <w:szCs w:val="24"/>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17,903</w:t>
            </w:r>
          </w:p>
        </w:tc>
        <w:tc>
          <w:tcPr>
            <w:tcW w:w="500" w:type="dxa"/>
            <w:vAlign w:val="bottom"/>
          </w:tcPr>
          <w:p>
            <w:pPr>
              <w:spacing w:after="0"/>
              <w:rPr>
                <w:sz w:val="24"/>
                <w:szCs w:val="24"/>
                <w:color w:val="auto"/>
              </w:rPr>
            </w:pPr>
          </w:p>
        </w:tc>
        <w:tc>
          <w:tcPr>
            <w:tcW w:w="12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16,945</w:t>
            </w:r>
          </w:p>
        </w:tc>
        <w:tc>
          <w:tcPr>
            <w:tcW w:w="500" w:type="dxa"/>
            <w:vAlign w:val="bottom"/>
          </w:tcPr>
          <w:p>
            <w:pPr>
              <w:spacing w:after="0"/>
              <w:rPr>
                <w:sz w:val="24"/>
                <w:szCs w:val="24"/>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51,826</w:t>
            </w:r>
          </w:p>
        </w:tc>
        <w:tc>
          <w:tcPr>
            <w:tcW w:w="420" w:type="dxa"/>
            <w:vAlign w:val="bottom"/>
          </w:tcPr>
          <w:p>
            <w:pPr>
              <w:spacing w:after="0"/>
              <w:rPr>
                <w:sz w:val="24"/>
                <w:szCs w:val="24"/>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47,737</w:t>
            </w:r>
          </w:p>
        </w:tc>
      </w:tr>
      <w:tr>
        <w:trPr>
          <w:trHeight w:val="176"/>
        </w:trPr>
        <w:tc>
          <w:tcPr>
            <w:tcW w:w="3240" w:type="dxa"/>
            <w:vAlign w:val="bottom"/>
          </w:tcPr>
          <w:p>
            <w:pPr>
              <w:spacing w:after="0"/>
              <w:rPr>
                <w:sz w:val="15"/>
                <w:szCs w:val="15"/>
                <w:color w:val="auto"/>
              </w:rPr>
            </w:pPr>
          </w:p>
        </w:tc>
        <w:tc>
          <w:tcPr>
            <w:tcW w:w="198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2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78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63,475</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50,830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183,748</w:t>
            </w:r>
          </w:p>
        </w:tc>
        <w:tc>
          <w:tcPr>
            <w:tcW w:w="420" w:type="dxa"/>
            <w:vAlign w:val="bottom"/>
          </w:tcPr>
          <w:p>
            <w:pPr>
              <w:ind w:left="32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143,205</w:t>
            </w:r>
          </w:p>
        </w:tc>
      </w:tr>
      <w:tr>
        <w:trPr>
          <w:trHeight w:val="176"/>
        </w:trPr>
        <w:tc>
          <w:tcPr>
            <w:tcW w:w="3240" w:type="dxa"/>
            <w:vAlign w:val="bottom"/>
          </w:tcPr>
          <w:p>
            <w:pPr>
              <w:spacing w:after="0"/>
              <w:rPr>
                <w:sz w:val="15"/>
                <w:szCs w:val="15"/>
                <w:color w:val="auto"/>
              </w:rPr>
            </w:pPr>
          </w:p>
        </w:tc>
        <w:tc>
          <w:tcPr>
            <w:tcW w:w="198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24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78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0.30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0.23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0.85</w:t>
            </w:r>
          </w:p>
        </w:tc>
        <w:tc>
          <w:tcPr>
            <w:tcW w:w="420" w:type="dxa"/>
            <w:vAlign w:val="bottom"/>
          </w:tcPr>
          <w:p>
            <w:pPr>
              <w:ind w:left="32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0.65</w:t>
            </w:r>
          </w:p>
        </w:tc>
      </w:tr>
      <w:tr>
        <w:trPr>
          <w:trHeight w:val="176"/>
        </w:trPr>
        <w:tc>
          <w:tcPr>
            <w:tcW w:w="3240" w:type="dxa"/>
            <w:vAlign w:val="bottom"/>
          </w:tcPr>
          <w:p>
            <w:pPr>
              <w:spacing w:after="0"/>
              <w:rPr>
                <w:sz w:val="15"/>
                <w:szCs w:val="15"/>
                <w:color w:val="auto"/>
              </w:rPr>
            </w:pPr>
          </w:p>
        </w:tc>
        <w:tc>
          <w:tcPr>
            <w:tcW w:w="198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24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w:t>
            </w: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of shares outstanding</w:t>
            </w:r>
          </w:p>
        </w:tc>
        <w:tc>
          <w:tcPr>
            <w:tcW w:w="78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211,801</w:t>
            </w:r>
          </w:p>
        </w:tc>
        <w:tc>
          <w:tcPr>
            <w:tcW w:w="500" w:type="dxa"/>
            <w:vAlign w:val="bottom"/>
          </w:tcPr>
          <w:p>
            <w:pPr>
              <w:spacing w:after="0"/>
              <w:rPr>
                <w:sz w:val="15"/>
                <w:szCs w:val="15"/>
                <w:color w:val="auto"/>
              </w:rPr>
            </w:pP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220,792</w:t>
            </w:r>
          </w:p>
        </w:tc>
        <w:tc>
          <w:tcPr>
            <w:tcW w:w="500" w:type="dxa"/>
            <w:vAlign w:val="bottom"/>
          </w:tcPr>
          <w:p>
            <w:pPr>
              <w:spacing w:after="0"/>
              <w:rPr>
                <w:sz w:val="15"/>
                <w:szCs w:val="15"/>
                <w:color w:val="auto"/>
              </w:rPr>
            </w:pPr>
          </w:p>
        </w:tc>
        <w:tc>
          <w:tcPr>
            <w:tcW w:w="12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216,186</w:t>
            </w:r>
          </w:p>
        </w:tc>
        <w:tc>
          <w:tcPr>
            <w:tcW w:w="4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218,953</w:t>
            </w:r>
          </w:p>
        </w:tc>
      </w:tr>
      <w:tr>
        <w:trPr>
          <w:trHeight w:val="176"/>
        </w:trPr>
        <w:tc>
          <w:tcPr>
            <w:tcW w:w="3240" w:type="dxa"/>
            <w:vAlign w:val="bottom"/>
          </w:tcPr>
          <w:p>
            <w:pPr>
              <w:spacing w:after="0"/>
              <w:rPr>
                <w:sz w:val="15"/>
                <w:szCs w:val="15"/>
                <w:color w:val="auto"/>
              </w:rPr>
            </w:pPr>
          </w:p>
        </w:tc>
        <w:tc>
          <w:tcPr>
            <w:tcW w:w="198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ind w:left="466" w:right="2899" w:hanging="466"/>
        <w:spacing w:after="0" w:line="249" w:lineRule="auto"/>
        <w:tabs>
          <w:tab w:leader="none" w:pos="46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$4,558 and $4,524 for amortization of purchased intangible assets and tax effects related to the above of $(1,003) and $(1,132) for the three months ended June 30, 2004 and 2003, respectively. Including the above items, income before income taxes was $76,820 and $63,251, and diluted earnings per share were $0.28 and $0.21 for the three months ended June 30, 2004 and 2003, respectively.</w:t>
      </w:r>
    </w:p>
    <w:p>
      <w:pPr>
        <w:spacing w:after="0" w:line="175" w:lineRule="exact"/>
        <w:rPr>
          <w:rFonts w:ascii="Courier New" w:cs="Courier New" w:eastAsia="Courier New" w:hAnsi="Courier New"/>
          <w:sz w:val="15"/>
          <w:szCs w:val="15"/>
          <w:color w:val="auto"/>
        </w:rPr>
      </w:pPr>
    </w:p>
    <w:p>
      <w:pPr>
        <w:ind w:left="466" w:right="2899" w:hanging="466"/>
        <w:spacing w:after="0" w:line="249" w:lineRule="auto"/>
        <w:tabs>
          <w:tab w:leader="none" w:pos="46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$13,423 and $14,303 for amortization of purchased intangible assets, $0 and $9,956 of restructuring charges related to cost reduction measures, and tax effects related to the above of $(2,953) and $(6,066) for the nine months ended June 30, 2004 and 2003, respectively. Including the above items, income before income taxes was $222,151 and $166,683, and diluted earnings per share were $0.80 and $0.57 for the nine months ended June 30, 2004 and 2003, respectively.</w:t>
      </w:r>
    </w:p>
    <w:p>
      <w:pPr>
        <w:sectPr>
          <w:pgSz w:w="11900" w:h="16838" w:orient="portrait"/>
          <w:cols w:equalWidth="0" w:num="1">
            <w:col w:w="10225"/>
          </w:cols>
          <w:pgMar w:left="234" w:top="647" w:right="1440" w:bottom="1440" w:gutter="0" w:footer="0" w:header="0"/>
        </w:sectPr>
      </w:pPr>
    </w:p>
    <w:bookmarkStart w:id="44" w:name="page45"/>
    <w:bookmarkEnd w:id="44"/>
    <w:p>
      <w:pPr>
        <w:ind w:left="3020"/>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182"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w:t>
            </w: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0" w:type="dxa"/>
            <w:vAlign w:val="bottom"/>
            <w:gridSpan w:val="3"/>
          </w:tcPr>
          <w:p>
            <w:pPr>
              <w:jc w:val="right"/>
              <w:ind w:right="744"/>
              <w:spacing w:after="0"/>
              <w:rPr>
                <w:sz w:val="20"/>
                <w:szCs w:val="20"/>
                <w:color w:val="auto"/>
              </w:rPr>
            </w:pPr>
            <w:r>
              <w:rPr>
                <w:rFonts w:ascii="Courier New" w:cs="Courier New" w:eastAsia="Courier New" w:hAnsi="Courier New"/>
                <w:sz w:val="15"/>
                <w:szCs w:val="15"/>
                <w:color w:val="auto"/>
              </w:rPr>
              <w:t>Nine months ended</w:t>
            </w:r>
          </w:p>
        </w:tc>
      </w:tr>
      <w:tr>
        <w:trPr>
          <w:trHeight w:val="176"/>
        </w:trPr>
        <w:tc>
          <w:tcPr>
            <w:tcW w:w="3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4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June 30,</w:t>
            </w: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June 30,</w:t>
            </w:r>
          </w:p>
        </w:tc>
        <w:tc>
          <w:tcPr>
            <w:tcW w:w="1100" w:type="dxa"/>
            <w:vAlign w:val="bottom"/>
          </w:tcPr>
          <w:p>
            <w:pPr>
              <w:spacing w:after="0"/>
              <w:rPr>
                <w:sz w:val="15"/>
                <w:szCs w:val="15"/>
                <w:color w:val="auto"/>
              </w:rPr>
            </w:pPr>
          </w:p>
        </w:tc>
      </w:tr>
      <w:tr>
        <w:trPr>
          <w:trHeight w:val="176"/>
        </w:trPr>
        <w:tc>
          <w:tcPr>
            <w:tcW w:w="3240" w:type="dxa"/>
            <w:vAlign w:val="bottom"/>
          </w:tcPr>
          <w:p>
            <w:pPr>
              <w:spacing w:after="0"/>
              <w:rPr>
                <w:sz w:val="15"/>
                <w:szCs w:val="15"/>
                <w:color w:val="auto"/>
              </w:rPr>
            </w:pPr>
          </w:p>
        </w:tc>
        <w:tc>
          <w:tcPr>
            <w:tcW w:w="1880" w:type="dxa"/>
            <w:vAlign w:val="bottom"/>
            <w:gridSpan w:val="2"/>
          </w:tcPr>
          <w:p>
            <w:pPr>
              <w:ind w:left="320"/>
              <w:spacing w:after="0"/>
              <w:rPr>
                <w:sz w:val="20"/>
                <w:szCs w:val="20"/>
                <w:color w:val="auto"/>
              </w:rPr>
            </w:pPr>
            <w:r>
              <w:rPr>
                <w:rFonts w:ascii="Courier New" w:cs="Courier New" w:eastAsia="Courier New" w:hAnsi="Courier New"/>
                <w:sz w:val="10"/>
                <w:szCs w:val="10"/>
                <w:color w:val="auto"/>
                <w:w w:val="75"/>
              </w:rPr>
              <w:t>----------------------------------</w:t>
            </w: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3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4"/>
              </w:rPr>
              <w:t>2004</w:t>
            </w:r>
          </w:p>
        </w:tc>
        <w:tc>
          <w:tcPr>
            <w:tcW w:w="740" w:type="dxa"/>
            <w:vAlign w:val="bottom"/>
          </w:tcPr>
          <w:p>
            <w:pPr>
              <w:spacing w:after="0"/>
              <w:rPr>
                <w:sz w:val="15"/>
                <w:szCs w:val="15"/>
                <w:color w:val="auto"/>
              </w:rPr>
            </w:pPr>
          </w:p>
        </w:tc>
        <w:tc>
          <w:tcPr>
            <w:tcW w:w="100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4"/>
              </w:rPr>
              <w:t>2003</w:t>
            </w:r>
          </w:p>
        </w:tc>
        <w:tc>
          <w:tcPr>
            <w:tcW w:w="500" w:type="dxa"/>
            <w:vAlign w:val="bottom"/>
          </w:tcPr>
          <w:p>
            <w:pPr>
              <w:spacing w:after="0"/>
              <w:rPr>
                <w:sz w:val="15"/>
                <w:szCs w:val="15"/>
                <w:color w:val="auto"/>
              </w:rPr>
            </w:pPr>
          </w:p>
        </w:tc>
        <w:tc>
          <w:tcPr>
            <w:tcW w:w="11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2004</w:t>
            </w:r>
          </w:p>
        </w:tc>
        <w:tc>
          <w:tcPr>
            <w:tcW w:w="540" w:type="dxa"/>
            <w:vAlign w:val="bottom"/>
          </w:tcPr>
          <w:p>
            <w:pPr>
              <w:spacing w:after="0"/>
              <w:rPr>
                <w:sz w:val="15"/>
                <w:szCs w:val="15"/>
                <w:color w:val="auto"/>
              </w:rPr>
            </w:pP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2003</w:t>
            </w:r>
          </w:p>
        </w:tc>
      </w:tr>
      <w:tr>
        <w:trPr>
          <w:trHeight w:val="176"/>
        </w:trPr>
        <w:tc>
          <w:tcPr>
            <w:tcW w:w="3240" w:type="dxa"/>
            <w:vAlign w:val="bottom"/>
          </w:tcPr>
          <w:p>
            <w:pPr>
              <w:spacing w:after="0"/>
              <w:rPr>
                <w:sz w:val="15"/>
                <w:szCs w:val="15"/>
                <w:color w:val="auto"/>
              </w:rPr>
            </w:pPr>
          </w:p>
        </w:tc>
        <w:tc>
          <w:tcPr>
            <w:tcW w:w="18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29"/>
        </w:trPr>
        <w:tc>
          <w:tcPr>
            <w:tcW w:w="32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6"/>
        </w:trPr>
        <w:tc>
          <w:tcPr>
            <w:tcW w:w="3240" w:type="dxa"/>
            <w:vAlign w:val="bottom"/>
          </w:tcPr>
          <w:p>
            <w:pPr>
              <w:ind w:left="180"/>
              <w:spacing w:after="0"/>
              <w:rPr>
                <w:sz w:val="20"/>
                <w:szCs w:val="20"/>
                <w:color w:val="auto"/>
              </w:rPr>
            </w:pPr>
            <w:r>
              <w:rPr>
                <w:rFonts w:ascii="Courier New" w:cs="Courier New" w:eastAsia="Courier New" w:hAnsi="Courier New"/>
                <w:sz w:val="15"/>
                <w:szCs w:val="15"/>
                <w:color w:val="auto"/>
              </w:rPr>
              <w:t>License</w:t>
            </w:r>
          </w:p>
        </w:tc>
        <w:tc>
          <w:tcPr>
            <w:tcW w:w="88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17,298</w:t>
            </w: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11,491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52,026</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51,176</w:t>
            </w:r>
          </w:p>
        </w:tc>
      </w:tr>
      <w:tr>
        <w:trPr>
          <w:trHeight w:val="176"/>
        </w:trPr>
        <w:tc>
          <w:tcPr>
            <w:tcW w:w="3240" w:type="dxa"/>
            <w:vAlign w:val="bottom"/>
          </w:tcPr>
          <w:p>
            <w:pPr>
              <w:ind w:left="180"/>
              <w:spacing w:after="0"/>
              <w:rPr>
                <w:sz w:val="20"/>
                <w:szCs w:val="20"/>
                <w:color w:val="auto"/>
              </w:rPr>
            </w:pPr>
            <w:r>
              <w:rPr>
                <w:rFonts w:ascii="Courier New" w:cs="Courier New" w:eastAsia="Courier New" w:hAnsi="Courier New"/>
                <w:sz w:val="15"/>
                <w:szCs w:val="15"/>
                <w:color w:val="auto"/>
              </w:rPr>
              <w:t>Service</w:t>
            </w:r>
          </w:p>
        </w:tc>
        <w:tc>
          <w:tcPr>
            <w:tcW w:w="8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432,926</w:t>
            </w:r>
          </w:p>
        </w:tc>
        <w:tc>
          <w:tcPr>
            <w:tcW w:w="74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365,677</w:t>
            </w:r>
          </w:p>
        </w:tc>
        <w:tc>
          <w:tcPr>
            <w:tcW w:w="500" w:type="dxa"/>
            <w:vAlign w:val="bottom"/>
          </w:tcPr>
          <w:p>
            <w:pPr>
              <w:spacing w:after="0"/>
              <w:rPr>
                <w:sz w:val="15"/>
                <w:szCs w:val="15"/>
                <w:color w:val="auto"/>
              </w:rPr>
            </w:pP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1,269,251</w:t>
            </w:r>
          </w:p>
        </w:tc>
        <w:tc>
          <w:tcPr>
            <w:tcW w:w="5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1,020,392</w:t>
            </w:r>
          </w:p>
        </w:tc>
      </w:tr>
      <w:tr>
        <w:trPr>
          <w:trHeight w:val="176"/>
        </w:trPr>
        <w:tc>
          <w:tcPr>
            <w:tcW w:w="3240" w:type="dxa"/>
            <w:vAlign w:val="bottom"/>
          </w:tcPr>
          <w:p>
            <w:pPr>
              <w:spacing w:after="0"/>
              <w:rPr>
                <w:sz w:val="15"/>
                <w:szCs w:val="15"/>
                <w:color w:val="auto"/>
              </w:rPr>
            </w:pPr>
          </w:p>
        </w:tc>
        <w:tc>
          <w:tcPr>
            <w:tcW w:w="18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450,224</w:t>
            </w:r>
          </w:p>
        </w:tc>
        <w:tc>
          <w:tcPr>
            <w:tcW w:w="74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377,168</w:t>
            </w:r>
          </w:p>
        </w:tc>
        <w:tc>
          <w:tcPr>
            <w:tcW w:w="500" w:type="dxa"/>
            <w:vAlign w:val="bottom"/>
          </w:tcPr>
          <w:p>
            <w:pPr>
              <w:spacing w:after="0"/>
              <w:rPr>
                <w:sz w:val="15"/>
                <w:szCs w:val="15"/>
                <w:color w:val="auto"/>
              </w:rPr>
            </w:pP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1,321,277</w:t>
            </w:r>
          </w:p>
        </w:tc>
        <w:tc>
          <w:tcPr>
            <w:tcW w:w="5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1,071,568</w:t>
            </w:r>
          </w:p>
        </w:tc>
      </w:tr>
      <w:tr>
        <w:trPr>
          <w:trHeight w:val="176"/>
        </w:trPr>
        <w:tc>
          <w:tcPr>
            <w:tcW w:w="32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240" w:type="dxa"/>
            <w:vAlign w:val="bottom"/>
          </w:tcPr>
          <w:p>
            <w:pPr>
              <w:ind w:left="180"/>
              <w:spacing w:after="0"/>
              <w:rPr>
                <w:sz w:val="20"/>
                <w:szCs w:val="20"/>
                <w:color w:val="auto"/>
              </w:rPr>
            </w:pPr>
            <w:r>
              <w:rPr>
                <w:rFonts w:ascii="Courier New" w:cs="Courier New" w:eastAsia="Courier New" w:hAnsi="Courier New"/>
                <w:sz w:val="15"/>
                <w:szCs w:val="15"/>
                <w:color w:val="auto"/>
              </w:rPr>
              <w:t>Cost of license</w:t>
            </w:r>
          </w:p>
        </w:tc>
        <w:tc>
          <w:tcPr>
            <w:tcW w:w="8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1,448</w:t>
            </w:r>
          </w:p>
        </w:tc>
        <w:tc>
          <w:tcPr>
            <w:tcW w:w="74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1,455</w:t>
            </w:r>
          </w:p>
        </w:tc>
        <w:tc>
          <w:tcPr>
            <w:tcW w:w="500" w:type="dxa"/>
            <w:vAlign w:val="bottom"/>
          </w:tcPr>
          <w:p>
            <w:pPr>
              <w:spacing w:after="0"/>
              <w:rPr>
                <w:sz w:val="15"/>
                <w:szCs w:val="15"/>
                <w:color w:val="auto"/>
              </w:rPr>
            </w:pP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3,807</w:t>
            </w:r>
          </w:p>
        </w:tc>
        <w:tc>
          <w:tcPr>
            <w:tcW w:w="5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4,137</w:t>
            </w:r>
          </w:p>
        </w:tc>
      </w:tr>
      <w:tr>
        <w:trPr>
          <w:trHeight w:val="176"/>
        </w:trPr>
        <w:tc>
          <w:tcPr>
            <w:tcW w:w="3240" w:type="dxa"/>
            <w:vAlign w:val="bottom"/>
          </w:tcPr>
          <w:p>
            <w:pPr>
              <w:ind w:left="180"/>
              <w:spacing w:after="0"/>
              <w:rPr>
                <w:sz w:val="20"/>
                <w:szCs w:val="20"/>
                <w:color w:val="auto"/>
              </w:rPr>
            </w:pPr>
            <w:r>
              <w:rPr>
                <w:rFonts w:ascii="Courier New" w:cs="Courier New" w:eastAsia="Courier New" w:hAnsi="Courier New"/>
                <w:sz w:val="15"/>
                <w:szCs w:val="15"/>
                <w:color w:val="auto"/>
              </w:rPr>
              <w:t>Cost of service</w:t>
            </w:r>
          </w:p>
        </w:tc>
        <w:tc>
          <w:tcPr>
            <w:tcW w:w="8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283,109</w:t>
            </w:r>
          </w:p>
        </w:tc>
        <w:tc>
          <w:tcPr>
            <w:tcW w:w="74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230,323</w:t>
            </w:r>
          </w:p>
        </w:tc>
        <w:tc>
          <w:tcPr>
            <w:tcW w:w="500" w:type="dxa"/>
            <w:vAlign w:val="bottom"/>
          </w:tcPr>
          <w:p>
            <w:pPr>
              <w:spacing w:after="0"/>
              <w:rPr>
                <w:sz w:val="15"/>
                <w:szCs w:val="15"/>
                <w:color w:val="auto"/>
              </w:rPr>
            </w:pP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833,470</w:t>
            </w:r>
          </w:p>
        </w:tc>
        <w:tc>
          <w:tcPr>
            <w:tcW w:w="5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646,389</w:t>
            </w:r>
          </w:p>
        </w:tc>
      </w:tr>
      <w:tr>
        <w:trPr>
          <w:trHeight w:val="176"/>
        </w:trPr>
        <w:tc>
          <w:tcPr>
            <w:tcW w:w="324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w:t>
            </w:r>
          </w:p>
        </w:tc>
        <w:tc>
          <w:tcPr>
            <w:tcW w:w="8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31,665</w:t>
            </w:r>
          </w:p>
        </w:tc>
        <w:tc>
          <w:tcPr>
            <w:tcW w:w="74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29,941</w:t>
            </w:r>
          </w:p>
        </w:tc>
        <w:tc>
          <w:tcPr>
            <w:tcW w:w="500" w:type="dxa"/>
            <w:vAlign w:val="bottom"/>
          </w:tcPr>
          <w:p>
            <w:pPr>
              <w:spacing w:after="0"/>
              <w:rPr>
                <w:sz w:val="15"/>
                <w:szCs w:val="15"/>
                <w:color w:val="auto"/>
              </w:rPr>
            </w:pP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92,247</w:t>
            </w:r>
          </w:p>
        </w:tc>
        <w:tc>
          <w:tcPr>
            <w:tcW w:w="5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88,888</w:t>
            </w:r>
          </w:p>
        </w:tc>
      </w:tr>
      <w:tr>
        <w:trPr>
          <w:trHeight w:val="176"/>
        </w:trPr>
        <w:tc>
          <w:tcPr>
            <w:tcW w:w="324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w:t>
            </w: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240" w:type="dxa"/>
            <w:vAlign w:val="bottom"/>
          </w:tcPr>
          <w:p>
            <w:pPr>
              <w:ind w:left="460"/>
              <w:spacing w:after="0"/>
              <w:rPr>
                <w:sz w:val="20"/>
                <w:szCs w:val="20"/>
                <w:color w:val="auto"/>
              </w:rPr>
            </w:pPr>
            <w:r>
              <w:rPr>
                <w:rFonts w:ascii="Courier New" w:cs="Courier New" w:eastAsia="Courier New" w:hAnsi="Courier New"/>
                <w:sz w:val="15"/>
                <w:szCs w:val="15"/>
                <w:color w:val="auto"/>
              </w:rPr>
              <w:t>administrative</w:t>
            </w:r>
          </w:p>
        </w:tc>
        <w:tc>
          <w:tcPr>
            <w:tcW w:w="8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52,745</w:t>
            </w:r>
          </w:p>
        </w:tc>
        <w:tc>
          <w:tcPr>
            <w:tcW w:w="74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50,943</w:t>
            </w:r>
          </w:p>
        </w:tc>
        <w:tc>
          <w:tcPr>
            <w:tcW w:w="500" w:type="dxa"/>
            <w:vAlign w:val="bottom"/>
          </w:tcPr>
          <w:p>
            <w:pPr>
              <w:spacing w:after="0"/>
              <w:rPr>
                <w:sz w:val="15"/>
                <w:szCs w:val="15"/>
                <w:color w:val="auto"/>
              </w:rPr>
            </w:pP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159,078</w:t>
            </w:r>
          </w:p>
        </w:tc>
        <w:tc>
          <w:tcPr>
            <w:tcW w:w="5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153,644</w:t>
            </w:r>
          </w:p>
        </w:tc>
      </w:tr>
      <w:tr>
        <w:trPr>
          <w:trHeight w:val="176"/>
        </w:trPr>
        <w:tc>
          <w:tcPr>
            <w:tcW w:w="324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purchased</w:t>
            </w: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240" w:type="dxa"/>
            <w:vAlign w:val="bottom"/>
          </w:tcPr>
          <w:p>
            <w:pPr>
              <w:ind w:left="460"/>
              <w:spacing w:after="0"/>
              <w:rPr>
                <w:sz w:val="20"/>
                <w:szCs w:val="20"/>
                <w:color w:val="auto"/>
              </w:rPr>
            </w:pPr>
            <w:r>
              <w:rPr>
                <w:rFonts w:ascii="Courier New" w:cs="Courier New" w:eastAsia="Courier New" w:hAnsi="Courier New"/>
                <w:sz w:val="15"/>
                <w:szCs w:val="15"/>
                <w:color w:val="auto"/>
              </w:rPr>
              <w:t>intangible assets</w:t>
            </w:r>
          </w:p>
        </w:tc>
        <w:tc>
          <w:tcPr>
            <w:tcW w:w="8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4,558</w:t>
            </w:r>
          </w:p>
        </w:tc>
        <w:tc>
          <w:tcPr>
            <w:tcW w:w="74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4,524</w:t>
            </w:r>
          </w:p>
        </w:tc>
        <w:tc>
          <w:tcPr>
            <w:tcW w:w="500" w:type="dxa"/>
            <w:vAlign w:val="bottom"/>
          </w:tcPr>
          <w:p>
            <w:pPr>
              <w:spacing w:after="0"/>
              <w:rPr>
                <w:sz w:val="15"/>
                <w:szCs w:val="15"/>
                <w:color w:val="auto"/>
              </w:rPr>
            </w:pP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13,423</w:t>
            </w:r>
          </w:p>
        </w:tc>
        <w:tc>
          <w:tcPr>
            <w:tcW w:w="5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14,303</w:t>
            </w:r>
          </w:p>
        </w:tc>
      </w:tr>
      <w:tr>
        <w:trPr>
          <w:trHeight w:val="176"/>
        </w:trPr>
        <w:tc>
          <w:tcPr>
            <w:tcW w:w="3240" w:type="dxa"/>
            <w:vAlign w:val="bottom"/>
          </w:tcPr>
          <w:p>
            <w:pPr>
              <w:ind w:left="180"/>
              <w:spacing w:after="0"/>
              <w:rPr>
                <w:sz w:val="20"/>
                <w:szCs w:val="20"/>
                <w:color w:val="auto"/>
              </w:rPr>
            </w:pPr>
            <w:r>
              <w:rPr>
                <w:rFonts w:ascii="Courier New" w:cs="Courier New" w:eastAsia="Courier New" w:hAnsi="Courier New"/>
                <w:sz w:val="15"/>
                <w:szCs w:val="15"/>
                <w:color w:val="auto"/>
              </w:rPr>
              <w:t>Restructuring charges</w:t>
            </w:r>
          </w:p>
        </w:tc>
        <w:tc>
          <w:tcPr>
            <w:tcW w:w="8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9,956</w:t>
            </w:r>
          </w:p>
        </w:tc>
      </w:tr>
      <w:tr>
        <w:trPr>
          <w:trHeight w:val="176"/>
        </w:trPr>
        <w:tc>
          <w:tcPr>
            <w:tcW w:w="3240" w:type="dxa"/>
            <w:vAlign w:val="bottom"/>
          </w:tcPr>
          <w:p>
            <w:pPr>
              <w:spacing w:after="0"/>
              <w:rPr>
                <w:sz w:val="15"/>
                <w:szCs w:val="15"/>
                <w:color w:val="auto"/>
              </w:rPr>
            </w:pPr>
          </w:p>
        </w:tc>
        <w:tc>
          <w:tcPr>
            <w:tcW w:w="18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373,525</w:t>
            </w:r>
          </w:p>
        </w:tc>
        <w:tc>
          <w:tcPr>
            <w:tcW w:w="74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317,186</w:t>
            </w:r>
          </w:p>
        </w:tc>
        <w:tc>
          <w:tcPr>
            <w:tcW w:w="500" w:type="dxa"/>
            <w:vAlign w:val="bottom"/>
          </w:tcPr>
          <w:p>
            <w:pPr>
              <w:spacing w:after="0"/>
              <w:rPr>
                <w:sz w:val="15"/>
                <w:szCs w:val="15"/>
                <w:color w:val="auto"/>
              </w:rPr>
            </w:pP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1,102,025</w:t>
            </w:r>
          </w:p>
        </w:tc>
        <w:tc>
          <w:tcPr>
            <w:tcW w:w="5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917,317</w:t>
            </w:r>
          </w:p>
        </w:tc>
      </w:tr>
      <w:tr>
        <w:trPr>
          <w:trHeight w:val="176"/>
        </w:trPr>
        <w:tc>
          <w:tcPr>
            <w:tcW w:w="3240" w:type="dxa"/>
            <w:vAlign w:val="bottom"/>
          </w:tcPr>
          <w:p>
            <w:pPr>
              <w:spacing w:after="0"/>
              <w:rPr>
                <w:sz w:val="15"/>
                <w:szCs w:val="15"/>
                <w:color w:val="auto"/>
              </w:rPr>
            </w:pPr>
          </w:p>
        </w:tc>
        <w:tc>
          <w:tcPr>
            <w:tcW w:w="18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2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8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76,699</w:t>
            </w:r>
          </w:p>
        </w:tc>
        <w:tc>
          <w:tcPr>
            <w:tcW w:w="74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59,982</w:t>
            </w:r>
          </w:p>
        </w:tc>
        <w:tc>
          <w:tcPr>
            <w:tcW w:w="500" w:type="dxa"/>
            <w:vAlign w:val="bottom"/>
          </w:tcPr>
          <w:p>
            <w:pPr>
              <w:spacing w:after="0"/>
              <w:rPr>
                <w:sz w:val="15"/>
                <w:szCs w:val="15"/>
                <w:color w:val="auto"/>
              </w:rPr>
            </w:pP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219,252</w:t>
            </w:r>
          </w:p>
        </w:tc>
        <w:tc>
          <w:tcPr>
            <w:tcW w:w="5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154,251</w:t>
            </w:r>
          </w:p>
        </w:tc>
      </w:tr>
      <w:tr>
        <w:trPr>
          <w:trHeight w:val="352"/>
        </w:trPr>
        <w:tc>
          <w:tcPr>
            <w:tcW w:w="324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w:t>
            </w:r>
          </w:p>
        </w:tc>
        <w:tc>
          <w:tcPr>
            <w:tcW w:w="880" w:type="dxa"/>
            <w:vAlign w:val="bottom"/>
          </w:tcPr>
          <w:p>
            <w:pPr>
              <w:spacing w:after="0"/>
              <w:rPr>
                <w:sz w:val="24"/>
                <w:szCs w:val="24"/>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121</w:t>
            </w:r>
          </w:p>
        </w:tc>
        <w:tc>
          <w:tcPr>
            <w:tcW w:w="740" w:type="dxa"/>
            <w:vAlign w:val="bottom"/>
          </w:tcPr>
          <w:p>
            <w:pPr>
              <w:spacing w:after="0"/>
              <w:rPr>
                <w:sz w:val="24"/>
                <w:szCs w:val="24"/>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3,269</w:t>
            </w:r>
          </w:p>
        </w:tc>
        <w:tc>
          <w:tcPr>
            <w:tcW w:w="500" w:type="dxa"/>
            <w:vAlign w:val="bottom"/>
          </w:tcPr>
          <w:p>
            <w:pPr>
              <w:spacing w:after="0"/>
              <w:rPr>
                <w:sz w:val="24"/>
                <w:szCs w:val="24"/>
                <w:color w:val="auto"/>
              </w:rPr>
            </w:pP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2,899</w:t>
            </w:r>
          </w:p>
        </w:tc>
        <w:tc>
          <w:tcPr>
            <w:tcW w:w="540" w:type="dxa"/>
            <w:vAlign w:val="bottom"/>
          </w:tcPr>
          <w:p>
            <w:pPr>
              <w:spacing w:after="0"/>
              <w:rPr>
                <w:sz w:val="24"/>
                <w:szCs w:val="24"/>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12,432</w:t>
            </w:r>
          </w:p>
        </w:tc>
      </w:tr>
      <w:tr>
        <w:trPr>
          <w:trHeight w:val="176"/>
        </w:trPr>
        <w:tc>
          <w:tcPr>
            <w:tcW w:w="3240" w:type="dxa"/>
            <w:vAlign w:val="bottom"/>
          </w:tcPr>
          <w:p>
            <w:pPr>
              <w:spacing w:after="0"/>
              <w:rPr>
                <w:sz w:val="15"/>
                <w:szCs w:val="15"/>
                <w:color w:val="auto"/>
              </w:rPr>
            </w:pPr>
          </w:p>
        </w:tc>
        <w:tc>
          <w:tcPr>
            <w:tcW w:w="18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24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8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76,820</w:t>
            </w:r>
          </w:p>
        </w:tc>
        <w:tc>
          <w:tcPr>
            <w:tcW w:w="74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63,251</w:t>
            </w:r>
          </w:p>
        </w:tc>
        <w:tc>
          <w:tcPr>
            <w:tcW w:w="500" w:type="dxa"/>
            <w:vAlign w:val="bottom"/>
          </w:tcPr>
          <w:p>
            <w:pPr>
              <w:spacing w:after="0"/>
              <w:rPr>
                <w:sz w:val="15"/>
                <w:szCs w:val="15"/>
                <w:color w:val="auto"/>
              </w:rPr>
            </w:pP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222,151</w:t>
            </w:r>
          </w:p>
        </w:tc>
        <w:tc>
          <w:tcPr>
            <w:tcW w:w="5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166,683</w:t>
            </w:r>
          </w:p>
        </w:tc>
      </w:tr>
      <w:tr>
        <w:trPr>
          <w:trHeight w:val="352"/>
        </w:trPr>
        <w:tc>
          <w:tcPr>
            <w:tcW w:w="324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880" w:type="dxa"/>
            <w:vAlign w:val="bottom"/>
          </w:tcPr>
          <w:p>
            <w:pPr>
              <w:spacing w:after="0"/>
              <w:rPr>
                <w:sz w:val="24"/>
                <w:szCs w:val="24"/>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16,900</w:t>
            </w:r>
          </w:p>
        </w:tc>
        <w:tc>
          <w:tcPr>
            <w:tcW w:w="740" w:type="dxa"/>
            <w:vAlign w:val="bottom"/>
          </w:tcPr>
          <w:p>
            <w:pPr>
              <w:spacing w:after="0"/>
              <w:rPr>
                <w:sz w:val="24"/>
                <w:szCs w:val="24"/>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15,813</w:t>
            </w:r>
          </w:p>
        </w:tc>
        <w:tc>
          <w:tcPr>
            <w:tcW w:w="500" w:type="dxa"/>
            <w:vAlign w:val="bottom"/>
          </w:tcPr>
          <w:p>
            <w:pPr>
              <w:spacing w:after="0"/>
              <w:rPr>
                <w:sz w:val="24"/>
                <w:szCs w:val="24"/>
                <w:color w:val="auto"/>
              </w:rPr>
            </w:pP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48,873</w:t>
            </w:r>
          </w:p>
        </w:tc>
        <w:tc>
          <w:tcPr>
            <w:tcW w:w="540" w:type="dxa"/>
            <w:vAlign w:val="bottom"/>
          </w:tcPr>
          <w:p>
            <w:pPr>
              <w:spacing w:after="0"/>
              <w:rPr>
                <w:sz w:val="24"/>
                <w:szCs w:val="24"/>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41,671</w:t>
            </w:r>
          </w:p>
        </w:tc>
      </w:tr>
      <w:tr>
        <w:trPr>
          <w:trHeight w:val="176"/>
        </w:trPr>
        <w:tc>
          <w:tcPr>
            <w:tcW w:w="3240" w:type="dxa"/>
            <w:vAlign w:val="bottom"/>
          </w:tcPr>
          <w:p>
            <w:pPr>
              <w:spacing w:after="0"/>
              <w:rPr>
                <w:sz w:val="15"/>
                <w:szCs w:val="15"/>
                <w:color w:val="auto"/>
              </w:rPr>
            </w:pPr>
          </w:p>
        </w:tc>
        <w:tc>
          <w:tcPr>
            <w:tcW w:w="18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2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8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59,920</w:t>
            </w: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47,438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173,278</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125,012</w:t>
            </w:r>
          </w:p>
        </w:tc>
      </w:tr>
      <w:tr>
        <w:trPr>
          <w:trHeight w:val="176"/>
        </w:trPr>
        <w:tc>
          <w:tcPr>
            <w:tcW w:w="3240" w:type="dxa"/>
            <w:vAlign w:val="bottom"/>
          </w:tcPr>
          <w:p>
            <w:pPr>
              <w:spacing w:after="0"/>
              <w:rPr>
                <w:sz w:val="15"/>
                <w:szCs w:val="15"/>
                <w:color w:val="auto"/>
              </w:rPr>
            </w:pPr>
          </w:p>
        </w:tc>
        <w:tc>
          <w:tcPr>
            <w:tcW w:w="18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24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88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0.29</w:t>
            </w: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0.22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0.82</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0.58</w:t>
            </w:r>
          </w:p>
        </w:tc>
      </w:tr>
      <w:tr>
        <w:trPr>
          <w:trHeight w:val="176"/>
        </w:trPr>
        <w:tc>
          <w:tcPr>
            <w:tcW w:w="3240" w:type="dxa"/>
            <w:vAlign w:val="bottom"/>
          </w:tcPr>
          <w:p>
            <w:pPr>
              <w:spacing w:after="0"/>
              <w:rPr>
                <w:sz w:val="15"/>
                <w:szCs w:val="15"/>
                <w:color w:val="auto"/>
              </w:rPr>
            </w:pPr>
          </w:p>
        </w:tc>
        <w:tc>
          <w:tcPr>
            <w:tcW w:w="18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24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88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0.28</w:t>
            </w: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0.21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0.80</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0.57</w:t>
            </w:r>
          </w:p>
        </w:tc>
      </w:tr>
      <w:tr>
        <w:trPr>
          <w:trHeight w:val="176"/>
        </w:trPr>
        <w:tc>
          <w:tcPr>
            <w:tcW w:w="3240" w:type="dxa"/>
            <w:vAlign w:val="bottom"/>
          </w:tcPr>
          <w:p>
            <w:pPr>
              <w:spacing w:after="0"/>
              <w:rPr>
                <w:sz w:val="15"/>
                <w:szCs w:val="15"/>
                <w:color w:val="auto"/>
              </w:rPr>
            </w:pPr>
          </w:p>
        </w:tc>
        <w:tc>
          <w:tcPr>
            <w:tcW w:w="18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24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w:t>
            </w:r>
          </w:p>
        </w:tc>
        <w:tc>
          <w:tcPr>
            <w:tcW w:w="8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206,093</w:t>
            </w:r>
          </w:p>
        </w:tc>
        <w:tc>
          <w:tcPr>
            <w:tcW w:w="74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215,938</w:t>
            </w:r>
          </w:p>
        </w:tc>
        <w:tc>
          <w:tcPr>
            <w:tcW w:w="500" w:type="dxa"/>
            <w:vAlign w:val="bottom"/>
          </w:tcPr>
          <w:p>
            <w:pPr>
              <w:spacing w:after="0"/>
              <w:rPr>
                <w:sz w:val="15"/>
                <w:szCs w:val="15"/>
                <w:color w:val="auto"/>
              </w:rPr>
            </w:pP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210,409</w:t>
            </w:r>
          </w:p>
        </w:tc>
        <w:tc>
          <w:tcPr>
            <w:tcW w:w="5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215,786</w:t>
            </w:r>
          </w:p>
        </w:tc>
      </w:tr>
      <w:tr>
        <w:trPr>
          <w:trHeight w:val="176"/>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shares outstanding</w:t>
            </w: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240" w:type="dxa"/>
            <w:vAlign w:val="bottom"/>
          </w:tcPr>
          <w:p>
            <w:pPr>
              <w:spacing w:after="0"/>
              <w:rPr>
                <w:sz w:val="15"/>
                <w:szCs w:val="15"/>
                <w:color w:val="auto"/>
              </w:rPr>
            </w:pPr>
          </w:p>
        </w:tc>
        <w:tc>
          <w:tcPr>
            <w:tcW w:w="18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24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w:t>
            </w:r>
          </w:p>
        </w:tc>
        <w:tc>
          <w:tcPr>
            <w:tcW w:w="8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211,801</w:t>
            </w:r>
          </w:p>
        </w:tc>
        <w:tc>
          <w:tcPr>
            <w:tcW w:w="74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220,792</w:t>
            </w:r>
          </w:p>
        </w:tc>
        <w:tc>
          <w:tcPr>
            <w:tcW w:w="500" w:type="dxa"/>
            <w:vAlign w:val="bottom"/>
          </w:tcPr>
          <w:p>
            <w:pPr>
              <w:spacing w:after="0"/>
              <w:rPr>
                <w:sz w:val="15"/>
                <w:szCs w:val="15"/>
                <w:color w:val="auto"/>
              </w:rPr>
            </w:pP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216,186</w:t>
            </w:r>
          </w:p>
        </w:tc>
        <w:tc>
          <w:tcPr>
            <w:tcW w:w="5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218,953</w:t>
            </w:r>
          </w:p>
        </w:tc>
      </w:tr>
      <w:tr>
        <w:trPr>
          <w:trHeight w:val="176"/>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of shares outstanding</w:t>
            </w: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240" w:type="dxa"/>
            <w:vAlign w:val="bottom"/>
          </w:tcPr>
          <w:p>
            <w:pPr>
              <w:spacing w:after="0"/>
              <w:rPr>
                <w:sz w:val="15"/>
                <w:szCs w:val="15"/>
                <w:color w:val="auto"/>
              </w:rPr>
            </w:pPr>
          </w:p>
        </w:tc>
        <w:tc>
          <w:tcPr>
            <w:tcW w:w="18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47" w:right="1440" w:bottom="1440" w:gutter="0" w:footer="0" w:header="0"/>
        </w:sectPr>
      </w:pPr>
    </w:p>
    <w:bookmarkStart w:id="45" w:name="page46"/>
    <w:bookmarkEnd w:id="45"/>
    <w:p>
      <w:pPr>
        <w:jc w:val="center"/>
        <w:ind w:right="3020"/>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ind w:left="3020"/>
              <w:spacing w:after="0"/>
              <w:rPr>
                <w:sz w:val="20"/>
                <w:szCs w:val="20"/>
                <w:color w:val="auto"/>
              </w:rPr>
            </w:pPr>
            <w:r>
              <w:rPr>
                <w:rFonts w:ascii="Courier New" w:cs="Courier New" w:eastAsia="Courier New" w:hAnsi="Courier New"/>
                <w:sz w:val="15"/>
                <w:szCs w:val="15"/>
                <w:color w:val="auto"/>
              </w:rPr>
              <w:t>(in thousands)</w:t>
            </w:r>
          </w:p>
        </w:tc>
        <w:tc>
          <w:tcPr>
            <w:tcW w:w="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705"/>
        </w:trPr>
        <w:tc>
          <w:tcPr>
            <w:tcW w:w="6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As of</w:t>
            </w: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6"/>
        </w:trPr>
        <w:tc>
          <w:tcPr>
            <w:tcW w:w="6460" w:type="dxa"/>
            <w:vAlign w:val="bottom"/>
          </w:tcPr>
          <w:p>
            <w:pPr>
              <w:spacing w:after="0"/>
              <w:rPr>
                <w:sz w:val="15"/>
                <w:szCs w:val="15"/>
                <w:color w:val="auto"/>
              </w:rPr>
            </w:pPr>
          </w:p>
        </w:tc>
        <w:tc>
          <w:tcPr>
            <w:tcW w:w="38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6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20" w:type="dxa"/>
            <w:vAlign w:val="bottom"/>
          </w:tcPr>
          <w:p>
            <w:pPr>
              <w:jc w:val="right"/>
              <w:ind w:right="704"/>
              <w:spacing w:after="0"/>
              <w:rPr>
                <w:sz w:val="20"/>
                <w:szCs w:val="20"/>
                <w:color w:val="auto"/>
              </w:rPr>
            </w:pPr>
            <w:r>
              <w:rPr>
                <w:rFonts w:ascii="Courier New" w:cs="Courier New" w:eastAsia="Courier New" w:hAnsi="Courier New"/>
                <w:sz w:val="15"/>
                <w:szCs w:val="15"/>
                <w:color w:val="auto"/>
                <w:w w:val="99"/>
              </w:rPr>
              <w:t>June 30,</w:t>
            </w:r>
          </w:p>
        </w:tc>
        <w:tc>
          <w:tcPr>
            <w:tcW w:w="16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September 30,</w:t>
            </w:r>
          </w:p>
        </w:tc>
      </w:tr>
      <w:tr>
        <w:trPr>
          <w:trHeight w:val="176"/>
        </w:trPr>
        <w:tc>
          <w:tcPr>
            <w:tcW w:w="6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20" w:type="dxa"/>
            <w:vAlign w:val="bottom"/>
          </w:tcPr>
          <w:p>
            <w:pPr>
              <w:jc w:val="right"/>
              <w:ind w:right="904"/>
              <w:spacing w:after="0"/>
              <w:rPr>
                <w:sz w:val="20"/>
                <w:szCs w:val="20"/>
                <w:color w:val="auto"/>
              </w:rPr>
            </w:pPr>
            <w:r>
              <w:rPr>
                <w:rFonts w:ascii="Courier New" w:cs="Courier New" w:eastAsia="Courier New" w:hAnsi="Courier New"/>
                <w:sz w:val="15"/>
                <w:szCs w:val="15"/>
                <w:color w:val="auto"/>
              </w:rPr>
              <w:t>2004</w:t>
            </w:r>
          </w:p>
        </w:tc>
        <w:tc>
          <w:tcPr>
            <w:tcW w:w="580" w:type="dxa"/>
            <w:vAlign w:val="bottom"/>
          </w:tcPr>
          <w:p>
            <w:pPr>
              <w:spacing w:after="0"/>
              <w:rPr>
                <w:sz w:val="15"/>
                <w:szCs w:val="15"/>
                <w:color w:val="auto"/>
              </w:rPr>
            </w:pP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2003</w:t>
            </w:r>
          </w:p>
        </w:tc>
      </w:tr>
      <w:tr>
        <w:trPr>
          <w:trHeight w:val="176"/>
        </w:trPr>
        <w:tc>
          <w:tcPr>
            <w:tcW w:w="6460" w:type="dxa"/>
            <w:vAlign w:val="bottom"/>
          </w:tcPr>
          <w:p>
            <w:pPr>
              <w:spacing w:after="0"/>
              <w:rPr>
                <w:sz w:val="15"/>
                <w:szCs w:val="15"/>
                <w:color w:val="auto"/>
              </w:rPr>
            </w:pPr>
          </w:p>
        </w:tc>
        <w:tc>
          <w:tcPr>
            <w:tcW w:w="22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29"/>
        </w:trPr>
        <w:tc>
          <w:tcPr>
            <w:tcW w:w="64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52"/>
        </w:trPr>
        <w:tc>
          <w:tcPr>
            <w:tcW w:w="64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6"/>
        </w:trPr>
        <w:tc>
          <w:tcPr>
            <w:tcW w:w="6460" w:type="dxa"/>
            <w:vAlign w:val="bottom"/>
          </w:tcPr>
          <w:p>
            <w:pPr>
              <w:spacing w:after="0"/>
              <w:rPr>
                <w:sz w:val="20"/>
                <w:szCs w:val="20"/>
                <w:color w:val="auto"/>
              </w:rPr>
            </w:pPr>
            <w:r>
              <w:rPr>
                <w:rFonts w:ascii="Courier New" w:cs="Courier New" w:eastAsia="Courier New" w:hAnsi="Courier New"/>
                <w:sz w:val="15"/>
                <w:szCs w:val="15"/>
                <w:color w:val="auto"/>
              </w:rPr>
              <w:t>Cash, cash equivalents and short-term interest-bearing investments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1,228,225</w:t>
            </w:r>
          </w:p>
        </w:tc>
        <w:tc>
          <w:tcPr>
            <w:tcW w:w="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1,290,892</w:t>
            </w:r>
          </w:p>
        </w:tc>
      </w:tr>
      <w:tr>
        <w:trPr>
          <w:trHeight w:val="176"/>
        </w:trPr>
        <w:tc>
          <w:tcPr>
            <w:tcW w:w="6460" w:type="dxa"/>
            <w:vAlign w:val="bottom"/>
          </w:tcPr>
          <w:p>
            <w:pPr>
              <w:spacing w:after="0"/>
              <w:rPr>
                <w:sz w:val="20"/>
                <w:szCs w:val="20"/>
                <w:color w:val="auto"/>
              </w:rPr>
            </w:pPr>
            <w:r>
              <w:rPr>
                <w:rFonts w:ascii="Courier New" w:cs="Courier New" w:eastAsia="Courier New" w:hAnsi="Courier New"/>
                <w:sz w:val="15"/>
                <w:szCs w:val="15"/>
                <w:color w:val="auto"/>
              </w:rPr>
              <w:t>Accounts receivable, net, including unbilled of $16,086 and</w:t>
            </w:r>
          </w:p>
        </w:tc>
        <w:tc>
          <w:tcPr>
            <w:tcW w:w="6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6460" w:type="dxa"/>
            <w:vAlign w:val="bottom"/>
          </w:tcPr>
          <w:p>
            <w:pPr>
              <w:spacing w:after="0"/>
              <w:rPr>
                <w:sz w:val="20"/>
                <w:szCs w:val="20"/>
                <w:color w:val="auto"/>
              </w:rPr>
            </w:pPr>
            <w:r>
              <w:rPr>
                <w:rFonts w:ascii="Courier New" w:cs="Courier New" w:eastAsia="Courier New" w:hAnsi="Courier New"/>
                <w:sz w:val="15"/>
                <w:szCs w:val="15"/>
                <w:color w:val="auto"/>
              </w:rPr>
              <w:t>$16,072, respectively</w:t>
            </w:r>
          </w:p>
        </w:tc>
        <w:tc>
          <w:tcPr>
            <w:tcW w:w="680" w:type="dxa"/>
            <w:vAlign w:val="bottom"/>
          </w:tcPr>
          <w:p>
            <w:pPr>
              <w:spacing w:after="0"/>
              <w:rPr>
                <w:sz w:val="15"/>
                <w:szCs w:val="15"/>
                <w:color w:val="auto"/>
              </w:rPr>
            </w:pPr>
          </w:p>
        </w:tc>
        <w:tc>
          <w:tcPr>
            <w:tcW w:w="15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270,560</w:t>
            </w:r>
          </w:p>
        </w:tc>
        <w:tc>
          <w:tcPr>
            <w:tcW w:w="5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198,274</w:t>
            </w:r>
          </w:p>
        </w:tc>
      </w:tr>
      <w:tr>
        <w:trPr>
          <w:trHeight w:val="176"/>
        </w:trPr>
        <w:tc>
          <w:tcPr>
            <w:tcW w:w="6460" w:type="dxa"/>
            <w:vAlign w:val="bottom"/>
          </w:tcPr>
          <w:p>
            <w:pPr>
              <w:spacing w:after="0"/>
              <w:rPr>
                <w:sz w:val="20"/>
                <w:szCs w:val="20"/>
                <w:color w:val="auto"/>
              </w:rPr>
            </w:pPr>
            <w:r>
              <w:rPr>
                <w:rFonts w:ascii="Courier New" w:cs="Courier New" w:eastAsia="Courier New" w:hAnsi="Courier New"/>
                <w:sz w:val="15"/>
                <w:szCs w:val="15"/>
                <w:color w:val="auto"/>
              </w:rPr>
              <w:t>Deferred income taxes and taxes receivable</w:t>
            </w:r>
          </w:p>
        </w:tc>
        <w:tc>
          <w:tcPr>
            <w:tcW w:w="680" w:type="dxa"/>
            <w:vAlign w:val="bottom"/>
          </w:tcPr>
          <w:p>
            <w:pPr>
              <w:spacing w:after="0"/>
              <w:rPr>
                <w:sz w:val="15"/>
                <w:szCs w:val="15"/>
                <w:color w:val="auto"/>
              </w:rPr>
            </w:pPr>
          </w:p>
        </w:tc>
        <w:tc>
          <w:tcPr>
            <w:tcW w:w="15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68,180</w:t>
            </w:r>
          </w:p>
        </w:tc>
        <w:tc>
          <w:tcPr>
            <w:tcW w:w="5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60,868</w:t>
            </w:r>
          </w:p>
        </w:tc>
      </w:tr>
      <w:tr>
        <w:trPr>
          <w:trHeight w:val="176"/>
        </w:trPr>
        <w:tc>
          <w:tcPr>
            <w:tcW w:w="6460" w:type="dxa"/>
            <w:vAlign w:val="bottom"/>
          </w:tcPr>
          <w:p>
            <w:pPr>
              <w:spacing w:after="0"/>
              <w:rPr>
                <w:sz w:val="20"/>
                <w:szCs w:val="20"/>
                <w:color w:val="auto"/>
              </w:rPr>
            </w:pPr>
            <w:r>
              <w:rPr>
                <w:rFonts w:ascii="Courier New" w:cs="Courier New" w:eastAsia="Courier New" w:hAnsi="Courier New"/>
                <w:sz w:val="15"/>
                <w:szCs w:val="15"/>
                <w:color w:val="auto"/>
              </w:rPr>
              <w:t>Prepaid expenses and other current assets</w:t>
            </w:r>
          </w:p>
        </w:tc>
        <w:tc>
          <w:tcPr>
            <w:tcW w:w="680" w:type="dxa"/>
            <w:vAlign w:val="bottom"/>
          </w:tcPr>
          <w:p>
            <w:pPr>
              <w:spacing w:after="0"/>
              <w:rPr>
                <w:sz w:val="15"/>
                <w:szCs w:val="15"/>
                <w:color w:val="auto"/>
              </w:rPr>
            </w:pPr>
          </w:p>
        </w:tc>
        <w:tc>
          <w:tcPr>
            <w:tcW w:w="15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66,769</w:t>
            </w:r>
          </w:p>
        </w:tc>
        <w:tc>
          <w:tcPr>
            <w:tcW w:w="5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85,902</w:t>
            </w:r>
          </w:p>
        </w:tc>
      </w:tr>
      <w:tr>
        <w:trPr>
          <w:trHeight w:val="176"/>
        </w:trPr>
        <w:tc>
          <w:tcPr>
            <w:tcW w:w="6460" w:type="dxa"/>
            <w:vAlign w:val="bottom"/>
          </w:tcPr>
          <w:p>
            <w:pPr>
              <w:spacing w:after="0"/>
              <w:rPr>
                <w:sz w:val="15"/>
                <w:szCs w:val="15"/>
                <w:color w:val="auto"/>
              </w:rPr>
            </w:pPr>
          </w:p>
        </w:tc>
        <w:tc>
          <w:tcPr>
            <w:tcW w:w="220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6460" w:type="dxa"/>
            <w:vAlign w:val="bottom"/>
          </w:tcPr>
          <w:p>
            <w:pPr>
              <w:ind w:left="360"/>
              <w:spacing w:after="0"/>
              <w:rPr>
                <w:sz w:val="20"/>
                <w:szCs w:val="20"/>
                <w:color w:val="auto"/>
              </w:rPr>
            </w:pPr>
            <w:r>
              <w:rPr>
                <w:rFonts w:ascii="Courier New" w:cs="Courier New" w:eastAsia="Courier New" w:hAnsi="Courier New"/>
                <w:sz w:val="15"/>
                <w:szCs w:val="15"/>
                <w:color w:val="auto"/>
              </w:rPr>
              <w:t>Total current assets</w:t>
            </w:r>
          </w:p>
        </w:tc>
        <w:tc>
          <w:tcPr>
            <w:tcW w:w="680" w:type="dxa"/>
            <w:vAlign w:val="bottom"/>
          </w:tcPr>
          <w:p>
            <w:pPr>
              <w:spacing w:after="0"/>
              <w:rPr>
                <w:sz w:val="15"/>
                <w:szCs w:val="15"/>
                <w:color w:val="auto"/>
              </w:rPr>
            </w:pPr>
          </w:p>
        </w:tc>
        <w:tc>
          <w:tcPr>
            <w:tcW w:w="15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1,633,734</w:t>
            </w:r>
          </w:p>
        </w:tc>
        <w:tc>
          <w:tcPr>
            <w:tcW w:w="5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1,635,936</w:t>
            </w:r>
          </w:p>
        </w:tc>
      </w:tr>
      <w:tr>
        <w:trPr>
          <w:trHeight w:val="352"/>
        </w:trPr>
        <w:tc>
          <w:tcPr>
            <w:tcW w:w="6460" w:type="dxa"/>
            <w:vAlign w:val="bottom"/>
          </w:tcPr>
          <w:p>
            <w:pPr>
              <w:spacing w:after="0"/>
              <w:rPr>
                <w:sz w:val="20"/>
                <w:szCs w:val="20"/>
                <w:color w:val="auto"/>
              </w:rPr>
            </w:pPr>
            <w:r>
              <w:rPr>
                <w:rFonts w:ascii="Courier New" w:cs="Courier New" w:eastAsia="Courier New" w:hAnsi="Courier New"/>
                <w:sz w:val="15"/>
                <w:szCs w:val="15"/>
                <w:color w:val="auto"/>
              </w:rPr>
              <w:t>Equipment, vehicles and leasehold improvements, net</w:t>
            </w:r>
          </w:p>
        </w:tc>
        <w:tc>
          <w:tcPr>
            <w:tcW w:w="680" w:type="dxa"/>
            <w:vAlign w:val="bottom"/>
          </w:tcPr>
          <w:p>
            <w:pPr>
              <w:spacing w:after="0"/>
              <w:rPr>
                <w:sz w:val="24"/>
                <w:szCs w:val="24"/>
                <w:color w:val="auto"/>
              </w:rPr>
            </w:pPr>
          </w:p>
        </w:tc>
        <w:tc>
          <w:tcPr>
            <w:tcW w:w="15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174,801</w:t>
            </w:r>
          </w:p>
        </w:tc>
        <w:tc>
          <w:tcPr>
            <w:tcW w:w="580" w:type="dxa"/>
            <w:vAlign w:val="bottom"/>
          </w:tcPr>
          <w:p>
            <w:pPr>
              <w:spacing w:after="0"/>
              <w:rPr>
                <w:sz w:val="24"/>
                <w:szCs w:val="24"/>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203,467</w:t>
            </w:r>
          </w:p>
        </w:tc>
      </w:tr>
      <w:tr>
        <w:trPr>
          <w:trHeight w:val="176"/>
        </w:trPr>
        <w:tc>
          <w:tcPr>
            <w:tcW w:w="646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 assets, net</w:t>
            </w:r>
          </w:p>
        </w:tc>
        <w:tc>
          <w:tcPr>
            <w:tcW w:w="680" w:type="dxa"/>
            <w:vAlign w:val="bottom"/>
          </w:tcPr>
          <w:p>
            <w:pPr>
              <w:spacing w:after="0"/>
              <w:rPr>
                <w:sz w:val="15"/>
                <w:szCs w:val="15"/>
                <w:color w:val="auto"/>
              </w:rPr>
            </w:pPr>
          </w:p>
        </w:tc>
        <w:tc>
          <w:tcPr>
            <w:tcW w:w="15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856,259</w:t>
            </w:r>
          </w:p>
        </w:tc>
        <w:tc>
          <w:tcPr>
            <w:tcW w:w="5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855,975</w:t>
            </w:r>
          </w:p>
        </w:tc>
      </w:tr>
      <w:tr>
        <w:trPr>
          <w:trHeight w:val="176"/>
        </w:trPr>
        <w:tc>
          <w:tcPr>
            <w:tcW w:w="6460" w:type="dxa"/>
            <w:vAlign w:val="bottom"/>
          </w:tcPr>
          <w:p>
            <w:pPr>
              <w:spacing w:after="0"/>
              <w:rPr>
                <w:sz w:val="20"/>
                <w:szCs w:val="20"/>
                <w:color w:val="auto"/>
              </w:rPr>
            </w:pPr>
            <w:r>
              <w:rPr>
                <w:rFonts w:ascii="Courier New" w:cs="Courier New" w:eastAsia="Courier New" w:hAnsi="Courier New"/>
                <w:sz w:val="15"/>
                <w:szCs w:val="15"/>
                <w:color w:val="auto"/>
              </w:rPr>
              <w:t>Other noncurrent assets</w:t>
            </w:r>
          </w:p>
        </w:tc>
        <w:tc>
          <w:tcPr>
            <w:tcW w:w="680" w:type="dxa"/>
            <w:vAlign w:val="bottom"/>
          </w:tcPr>
          <w:p>
            <w:pPr>
              <w:spacing w:after="0"/>
              <w:rPr>
                <w:sz w:val="15"/>
                <w:szCs w:val="15"/>
                <w:color w:val="auto"/>
              </w:rPr>
            </w:pPr>
          </w:p>
        </w:tc>
        <w:tc>
          <w:tcPr>
            <w:tcW w:w="15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233,178</w:t>
            </w:r>
          </w:p>
        </w:tc>
        <w:tc>
          <w:tcPr>
            <w:tcW w:w="5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182,139</w:t>
            </w:r>
          </w:p>
        </w:tc>
      </w:tr>
      <w:tr>
        <w:trPr>
          <w:trHeight w:val="176"/>
        </w:trPr>
        <w:tc>
          <w:tcPr>
            <w:tcW w:w="6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2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9"/>
              </w:rPr>
              <w:t>------------</w:t>
            </w:r>
          </w:p>
        </w:tc>
        <w:tc>
          <w:tcPr>
            <w:tcW w:w="16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64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2,897,972</w:t>
            </w:r>
          </w:p>
        </w:tc>
        <w:tc>
          <w:tcPr>
            <w:tcW w:w="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2,877,517</w:t>
            </w:r>
          </w:p>
        </w:tc>
      </w:tr>
      <w:tr>
        <w:trPr>
          <w:trHeight w:val="176"/>
        </w:trPr>
        <w:tc>
          <w:tcPr>
            <w:tcW w:w="6460" w:type="dxa"/>
            <w:vAlign w:val="bottom"/>
          </w:tcPr>
          <w:p>
            <w:pPr>
              <w:spacing w:after="0"/>
              <w:rPr>
                <w:sz w:val="15"/>
                <w:szCs w:val="15"/>
                <w:color w:val="auto"/>
              </w:rPr>
            </w:pPr>
          </w:p>
        </w:tc>
        <w:tc>
          <w:tcPr>
            <w:tcW w:w="220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529"/>
        </w:trPr>
        <w:tc>
          <w:tcPr>
            <w:tcW w:w="646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52"/>
        </w:trPr>
        <w:tc>
          <w:tcPr>
            <w:tcW w:w="64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6"/>
        </w:trPr>
        <w:tc>
          <w:tcPr>
            <w:tcW w:w="6460" w:type="dxa"/>
            <w:vAlign w:val="bottom"/>
          </w:tcPr>
          <w:p>
            <w:pPr>
              <w:spacing w:after="0"/>
              <w:rPr>
                <w:sz w:val="20"/>
                <w:szCs w:val="20"/>
                <w:color w:val="auto"/>
              </w:rPr>
            </w:pPr>
            <w:r>
              <w:rPr>
                <w:rFonts w:ascii="Courier New" w:cs="Courier New" w:eastAsia="Courier New" w:hAnsi="Courier New"/>
                <w:sz w:val="15"/>
                <w:szCs w:val="15"/>
                <w:color w:val="auto"/>
              </w:rPr>
              <w:t>Accounts payable and accruals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361,543</w:t>
            </w:r>
          </w:p>
        </w:tc>
        <w:tc>
          <w:tcPr>
            <w:tcW w:w="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331,196</w:t>
            </w:r>
          </w:p>
        </w:tc>
      </w:tr>
      <w:tr>
        <w:trPr>
          <w:trHeight w:val="176"/>
        </w:trPr>
        <w:tc>
          <w:tcPr>
            <w:tcW w:w="6460" w:type="dxa"/>
            <w:vAlign w:val="bottom"/>
          </w:tcPr>
          <w:p>
            <w:pPr>
              <w:spacing w:after="0"/>
              <w:rPr>
                <w:sz w:val="20"/>
                <w:szCs w:val="20"/>
                <w:color w:val="auto"/>
              </w:rPr>
            </w:pPr>
            <w:r>
              <w:rPr>
                <w:rFonts w:ascii="Courier New" w:cs="Courier New" w:eastAsia="Courier New" w:hAnsi="Courier New"/>
                <w:sz w:val="15"/>
                <w:szCs w:val="15"/>
                <w:color w:val="auto"/>
              </w:rPr>
              <w:t>Short-term portion of capital lease obligations and other financing</w:t>
            </w:r>
          </w:p>
        </w:tc>
        <w:tc>
          <w:tcPr>
            <w:tcW w:w="6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6460" w:type="dxa"/>
            <w:vAlign w:val="bottom"/>
          </w:tcPr>
          <w:p>
            <w:pPr>
              <w:spacing w:after="0"/>
              <w:rPr>
                <w:sz w:val="20"/>
                <w:szCs w:val="20"/>
                <w:color w:val="auto"/>
              </w:rPr>
            </w:pPr>
            <w:r>
              <w:rPr>
                <w:rFonts w:ascii="Courier New" w:cs="Courier New" w:eastAsia="Courier New" w:hAnsi="Courier New"/>
                <w:sz w:val="15"/>
                <w:szCs w:val="15"/>
                <w:color w:val="auto"/>
              </w:rPr>
              <w:t>arrangements</w:t>
            </w:r>
          </w:p>
        </w:tc>
        <w:tc>
          <w:tcPr>
            <w:tcW w:w="680" w:type="dxa"/>
            <w:vAlign w:val="bottom"/>
          </w:tcPr>
          <w:p>
            <w:pPr>
              <w:spacing w:after="0"/>
              <w:rPr>
                <w:sz w:val="15"/>
                <w:szCs w:val="15"/>
                <w:color w:val="auto"/>
              </w:rPr>
            </w:pPr>
          </w:p>
        </w:tc>
        <w:tc>
          <w:tcPr>
            <w:tcW w:w="15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21,939</w:t>
            </w:r>
          </w:p>
        </w:tc>
        <w:tc>
          <w:tcPr>
            <w:tcW w:w="5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29,319</w:t>
            </w:r>
          </w:p>
        </w:tc>
      </w:tr>
      <w:tr>
        <w:trPr>
          <w:trHeight w:val="176"/>
        </w:trPr>
        <w:tc>
          <w:tcPr>
            <w:tcW w:w="6460" w:type="dxa"/>
            <w:vAlign w:val="bottom"/>
          </w:tcPr>
          <w:p>
            <w:pPr>
              <w:spacing w:after="0"/>
              <w:rPr>
                <w:sz w:val="20"/>
                <w:szCs w:val="20"/>
                <w:color w:val="auto"/>
              </w:rPr>
            </w:pPr>
            <w:r>
              <w:rPr>
                <w:rFonts w:ascii="Courier New" w:cs="Courier New" w:eastAsia="Courier New" w:hAnsi="Courier New"/>
                <w:sz w:val="15"/>
                <w:szCs w:val="15"/>
                <w:color w:val="auto"/>
              </w:rPr>
              <w:t>2% Convertible notes</w:t>
            </w:r>
          </w:p>
        </w:tc>
        <w:tc>
          <w:tcPr>
            <w:tcW w:w="680" w:type="dxa"/>
            <w:vAlign w:val="bottom"/>
          </w:tcPr>
          <w:p>
            <w:pPr>
              <w:spacing w:after="0"/>
              <w:rPr>
                <w:sz w:val="15"/>
                <w:szCs w:val="15"/>
                <w:color w:val="auto"/>
              </w:rPr>
            </w:pPr>
          </w:p>
        </w:tc>
        <w:tc>
          <w:tcPr>
            <w:tcW w:w="15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400,454</w:t>
            </w:r>
          </w:p>
        </w:tc>
      </w:tr>
      <w:tr>
        <w:trPr>
          <w:trHeight w:val="176"/>
        </w:trPr>
        <w:tc>
          <w:tcPr>
            <w:tcW w:w="6460" w:type="dxa"/>
            <w:vAlign w:val="bottom"/>
          </w:tcPr>
          <w:p>
            <w:pPr>
              <w:spacing w:after="0"/>
              <w:rPr>
                <w:sz w:val="20"/>
                <w:szCs w:val="20"/>
                <w:color w:val="auto"/>
              </w:rPr>
            </w:pPr>
            <w:r>
              <w:rPr>
                <w:rFonts w:ascii="Courier New" w:cs="Courier New" w:eastAsia="Courier New" w:hAnsi="Courier New"/>
                <w:sz w:val="15"/>
                <w:szCs w:val="15"/>
                <w:color w:val="auto"/>
              </w:rPr>
              <w:t>Deferred revenue</w:t>
            </w:r>
          </w:p>
        </w:tc>
        <w:tc>
          <w:tcPr>
            <w:tcW w:w="680" w:type="dxa"/>
            <w:vAlign w:val="bottom"/>
          </w:tcPr>
          <w:p>
            <w:pPr>
              <w:spacing w:after="0"/>
              <w:rPr>
                <w:sz w:val="15"/>
                <w:szCs w:val="15"/>
                <w:color w:val="auto"/>
              </w:rPr>
            </w:pPr>
          </w:p>
        </w:tc>
        <w:tc>
          <w:tcPr>
            <w:tcW w:w="15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230,952</w:t>
            </w:r>
          </w:p>
        </w:tc>
        <w:tc>
          <w:tcPr>
            <w:tcW w:w="5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174,616</w:t>
            </w:r>
          </w:p>
        </w:tc>
      </w:tr>
      <w:tr>
        <w:trPr>
          <w:trHeight w:val="176"/>
        </w:trPr>
        <w:tc>
          <w:tcPr>
            <w:tcW w:w="6460" w:type="dxa"/>
            <w:vAlign w:val="bottom"/>
          </w:tcPr>
          <w:p>
            <w:pPr>
              <w:spacing w:after="0"/>
              <w:rPr>
                <w:sz w:val="20"/>
                <w:szCs w:val="20"/>
                <w:color w:val="auto"/>
              </w:rPr>
            </w:pPr>
            <w:r>
              <w:rPr>
                <w:rFonts w:ascii="Courier New" w:cs="Courier New" w:eastAsia="Courier New" w:hAnsi="Courier New"/>
                <w:sz w:val="15"/>
                <w:szCs w:val="15"/>
                <w:color w:val="auto"/>
              </w:rPr>
              <w:t>Deferred income taxes and taxes payable</w:t>
            </w:r>
          </w:p>
        </w:tc>
        <w:tc>
          <w:tcPr>
            <w:tcW w:w="680" w:type="dxa"/>
            <w:vAlign w:val="bottom"/>
          </w:tcPr>
          <w:p>
            <w:pPr>
              <w:spacing w:after="0"/>
              <w:rPr>
                <w:sz w:val="15"/>
                <w:szCs w:val="15"/>
                <w:color w:val="auto"/>
              </w:rPr>
            </w:pPr>
          </w:p>
        </w:tc>
        <w:tc>
          <w:tcPr>
            <w:tcW w:w="15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161,376</w:t>
            </w:r>
          </w:p>
        </w:tc>
        <w:tc>
          <w:tcPr>
            <w:tcW w:w="5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133,002</w:t>
            </w:r>
          </w:p>
        </w:tc>
      </w:tr>
      <w:tr>
        <w:trPr>
          <w:trHeight w:val="176"/>
        </w:trPr>
        <w:tc>
          <w:tcPr>
            <w:tcW w:w="6460" w:type="dxa"/>
            <w:vAlign w:val="bottom"/>
          </w:tcPr>
          <w:p>
            <w:pPr>
              <w:spacing w:after="0"/>
              <w:rPr>
                <w:sz w:val="15"/>
                <w:szCs w:val="15"/>
                <w:color w:val="auto"/>
              </w:rPr>
            </w:pPr>
          </w:p>
        </w:tc>
        <w:tc>
          <w:tcPr>
            <w:tcW w:w="220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6460" w:type="dxa"/>
            <w:vAlign w:val="bottom"/>
          </w:tcPr>
          <w:p>
            <w:pPr>
              <w:ind w:left="360"/>
              <w:spacing w:after="0"/>
              <w:rPr>
                <w:sz w:val="20"/>
                <w:szCs w:val="20"/>
                <w:color w:val="auto"/>
              </w:rPr>
            </w:pPr>
            <w:r>
              <w:rPr>
                <w:rFonts w:ascii="Courier New" w:cs="Courier New" w:eastAsia="Courier New" w:hAnsi="Courier New"/>
                <w:sz w:val="15"/>
                <w:szCs w:val="15"/>
                <w:color w:val="auto"/>
              </w:rPr>
              <w:t>Total current liabilities</w:t>
            </w:r>
          </w:p>
        </w:tc>
        <w:tc>
          <w:tcPr>
            <w:tcW w:w="680" w:type="dxa"/>
            <w:vAlign w:val="bottom"/>
          </w:tcPr>
          <w:p>
            <w:pPr>
              <w:spacing w:after="0"/>
              <w:rPr>
                <w:sz w:val="15"/>
                <w:szCs w:val="15"/>
                <w:color w:val="auto"/>
              </w:rPr>
            </w:pPr>
          </w:p>
        </w:tc>
        <w:tc>
          <w:tcPr>
            <w:tcW w:w="15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775,810</w:t>
            </w:r>
          </w:p>
        </w:tc>
        <w:tc>
          <w:tcPr>
            <w:tcW w:w="5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1,068,587</w:t>
            </w:r>
          </w:p>
        </w:tc>
      </w:tr>
      <w:tr>
        <w:trPr>
          <w:trHeight w:val="176"/>
        </w:trPr>
        <w:tc>
          <w:tcPr>
            <w:tcW w:w="6460" w:type="dxa"/>
            <w:vAlign w:val="bottom"/>
          </w:tcPr>
          <w:p>
            <w:pPr>
              <w:spacing w:after="0"/>
              <w:rPr>
                <w:sz w:val="20"/>
                <w:szCs w:val="20"/>
                <w:color w:val="auto"/>
              </w:rPr>
            </w:pPr>
            <w:r>
              <w:rPr>
                <w:rFonts w:ascii="Courier New" w:cs="Courier New" w:eastAsia="Courier New" w:hAnsi="Courier New"/>
                <w:sz w:val="15"/>
                <w:szCs w:val="15"/>
                <w:color w:val="auto"/>
              </w:rPr>
              <w:t>0.50% Convertible notes</w:t>
            </w:r>
          </w:p>
        </w:tc>
        <w:tc>
          <w:tcPr>
            <w:tcW w:w="680" w:type="dxa"/>
            <w:vAlign w:val="bottom"/>
          </w:tcPr>
          <w:p>
            <w:pPr>
              <w:spacing w:after="0"/>
              <w:rPr>
                <w:sz w:val="15"/>
                <w:szCs w:val="15"/>
                <w:color w:val="auto"/>
              </w:rPr>
            </w:pPr>
          </w:p>
        </w:tc>
        <w:tc>
          <w:tcPr>
            <w:tcW w:w="15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450,000</w:t>
            </w:r>
          </w:p>
        </w:tc>
        <w:tc>
          <w:tcPr>
            <w:tcW w:w="5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6460" w:type="dxa"/>
            <w:vAlign w:val="bottom"/>
          </w:tcPr>
          <w:p>
            <w:pPr>
              <w:spacing w:after="0"/>
              <w:rPr>
                <w:sz w:val="20"/>
                <w:szCs w:val="20"/>
                <w:color w:val="auto"/>
              </w:rPr>
            </w:pPr>
            <w:r>
              <w:rPr>
                <w:rFonts w:ascii="Courier New" w:cs="Courier New" w:eastAsia="Courier New" w:hAnsi="Courier New"/>
                <w:sz w:val="15"/>
                <w:szCs w:val="15"/>
                <w:color w:val="auto"/>
              </w:rPr>
              <w:t>Noncurrent liabilities and other</w:t>
            </w:r>
          </w:p>
        </w:tc>
        <w:tc>
          <w:tcPr>
            <w:tcW w:w="680" w:type="dxa"/>
            <w:vAlign w:val="bottom"/>
          </w:tcPr>
          <w:p>
            <w:pPr>
              <w:spacing w:after="0"/>
              <w:rPr>
                <w:sz w:val="15"/>
                <w:szCs w:val="15"/>
                <w:color w:val="auto"/>
              </w:rPr>
            </w:pPr>
          </w:p>
        </w:tc>
        <w:tc>
          <w:tcPr>
            <w:tcW w:w="15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189,201</w:t>
            </w:r>
          </w:p>
        </w:tc>
        <w:tc>
          <w:tcPr>
            <w:tcW w:w="5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217,330</w:t>
            </w:r>
          </w:p>
        </w:tc>
      </w:tr>
      <w:tr>
        <w:trPr>
          <w:trHeight w:val="176"/>
        </w:trPr>
        <w:tc>
          <w:tcPr>
            <w:tcW w:w="646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680" w:type="dxa"/>
            <w:vAlign w:val="bottom"/>
          </w:tcPr>
          <w:p>
            <w:pPr>
              <w:spacing w:after="0"/>
              <w:rPr>
                <w:sz w:val="15"/>
                <w:szCs w:val="15"/>
                <w:color w:val="auto"/>
              </w:rPr>
            </w:pPr>
          </w:p>
        </w:tc>
        <w:tc>
          <w:tcPr>
            <w:tcW w:w="15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1,482,961</w:t>
            </w:r>
          </w:p>
        </w:tc>
        <w:tc>
          <w:tcPr>
            <w:tcW w:w="5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1,591,600</w:t>
            </w:r>
          </w:p>
        </w:tc>
      </w:tr>
      <w:tr>
        <w:trPr>
          <w:trHeight w:val="176"/>
        </w:trPr>
        <w:tc>
          <w:tcPr>
            <w:tcW w:w="6460" w:type="dxa"/>
            <w:vAlign w:val="bottom"/>
          </w:tcPr>
          <w:p>
            <w:pPr>
              <w:spacing w:after="0"/>
              <w:rPr>
                <w:sz w:val="15"/>
                <w:szCs w:val="15"/>
                <w:color w:val="auto"/>
              </w:rPr>
            </w:pPr>
          </w:p>
        </w:tc>
        <w:tc>
          <w:tcPr>
            <w:tcW w:w="220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646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2,897,972</w:t>
            </w:r>
          </w:p>
        </w:tc>
        <w:tc>
          <w:tcPr>
            <w:tcW w:w="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2,877,517</w:t>
            </w:r>
          </w:p>
        </w:tc>
      </w:tr>
      <w:tr>
        <w:trPr>
          <w:trHeight w:val="176"/>
        </w:trPr>
        <w:tc>
          <w:tcPr>
            <w:tcW w:w="6460" w:type="dxa"/>
            <w:vAlign w:val="bottom"/>
          </w:tcPr>
          <w:p>
            <w:pPr>
              <w:spacing w:after="0"/>
              <w:rPr>
                <w:sz w:val="15"/>
                <w:szCs w:val="15"/>
                <w:color w:val="auto"/>
              </w:rPr>
            </w:pPr>
          </w:p>
        </w:tc>
        <w:tc>
          <w:tcPr>
            <w:tcW w:w="220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 # #</w:t>
      </w:r>
    </w:p>
    <w:sectPr>
      <w:pgSz w:w="11900" w:h="16838" w:orient="portrait"/>
      <w:cols w:equalWidth="0" w:num="1">
        <w:col w:w="10340"/>
      </w:cols>
      <w:pgMar w:left="240" w:top="647" w:right="1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1."/>
      <w:numFmt w:val="decimal"/>
      <w:start w:val="2"/>
    </w:lvl>
  </w:abstractNum>
  <w:abstractNum w:abstractNumId="2">
    <w:nsid w:val="436C6125"/>
    <w:multiLevelType w:val="hybridMultilevel"/>
    <w:lvl w:ilvl="0">
      <w:lvlJc w:val="left"/>
      <w:lvlText w:val="%1."/>
      <w:numFmt w:val="decimal"/>
      <w:start w:val="3"/>
    </w:lvl>
  </w:abstractNum>
  <w:abstractNum w:abstractNumId="3">
    <w:nsid w:val="628C895D"/>
    <w:multiLevelType w:val="hybridMultilevel"/>
    <w:lvl w:ilvl="0">
      <w:lvlJc w:val="left"/>
      <w:lvlText w:val="%1."/>
      <w:numFmt w:val="decimal"/>
      <w:start w:val="4"/>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5"/>
    </w:lvl>
  </w:abstractNum>
  <w:abstractNum w:abstractNumId="6">
    <w:nsid w:val="2443A858"/>
    <w:multiLevelType w:val="hybridMultilevel"/>
    <w:lvl w:ilvl="0">
      <w:lvlJc w:val="left"/>
      <w:lvlText w:val="%1."/>
      <w:numFmt w:val="decimal"/>
      <w:start w:val="6"/>
    </w:lvl>
  </w:abstractNum>
  <w:abstractNum w:abstractNumId="7">
    <w:nsid w:val="2D1D5AE9"/>
    <w:multiLevelType w:val="hybridMultilevel"/>
    <w:lvl w:ilvl="0">
      <w:lvlJc w:val="left"/>
      <w:lvlText w:val="%1."/>
      <w:numFmt w:val="decimal"/>
      <w:start w:val="7"/>
    </w:lvl>
  </w:abstractNum>
  <w:abstractNum w:abstractNumId="8">
    <w:nsid w:val="6763845E"/>
    <w:multiLevelType w:val="hybridMultilevel"/>
    <w:lvl w:ilvl="0">
      <w:lvlJc w:val="left"/>
      <w:lvlText w:val="%1."/>
      <w:numFmt w:val="decimal"/>
      <w:start w:val="8"/>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9"/>
    </w:lvl>
  </w:abstractNum>
  <w:abstractNum w:abstractNumId="11">
    <w:nsid w:val="79838CB2"/>
    <w:multiLevelType w:val="hybridMultilevel"/>
    <w:lvl w:ilvl="0">
      <w:lvlJc w:val="left"/>
      <w:lvlText w:val="%1."/>
      <w:numFmt w:val="decimal"/>
      <w:start w:val="10"/>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1."/>
      <w:numFmt w:val="decimal"/>
      <w:start w:val="11"/>
    </w:lvl>
  </w:abstractNum>
  <w:abstractNum w:abstractNumId="17">
    <w:nsid w:val="2CA88611"/>
    <w:multiLevelType w:val="hybridMultilevel"/>
    <w:lvl w:ilvl="0">
      <w:lvlJc w:val="left"/>
      <w:lvlText w:val="%1"/>
      <w:numFmt w:val="decimal"/>
      <w:start w:val="1"/>
    </w:lvl>
    <w:lvl w:ilvl="1">
      <w:lvlJc w:val="left"/>
      <w:lvlText w:val="(%2)"/>
      <w:numFmt w:val="lowerRoman"/>
      <w:start w:val="2"/>
    </w:lvl>
  </w:abstractNum>
  <w:abstractNum w:abstractNumId="18">
    <w:nsid w:val="836C40E"/>
    <w:multiLevelType w:val="hybridMultilevel"/>
    <w:lvl w:ilvl="0">
      <w:lvlJc w:val="left"/>
      <w:lvlText w:val="%1."/>
      <w:numFmt w:val="decimal"/>
      <w:start w:val="12"/>
    </w:lvl>
    <w:lvl w:ilvl="1">
      <w:lvlJc w:val="left"/>
      <w:lvlText w:val="%2"/>
      <w:numFmt w:val="lowerRoman"/>
      <w:start w:val="1"/>
    </w:lvl>
  </w:abstractNum>
  <w:abstractNum w:abstractNumId="19">
    <w:nsid w:val="2901D82"/>
    <w:multiLevelType w:val="hybridMultilevel"/>
    <w:lvl w:ilvl="0">
      <w:lvlJc w:val="left"/>
      <w:lvlText w:val="(%1)"/>
      <w:numFmt w:val="decimal"/>
      <w:start w:val="94"/>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1."/>
      <w:numFmt w:val="decimal"/>
      <w:start w:val="13"/>
    </w:lvl>
  </w:abstractNum>
  <w:abstractNum w:abstractNumId="24">
    <w:nsid w:val="737B8DDC"/>
    <w:multiLevelType w:val="hybridMultilevel"/>
    <w:lvl w:ilvl="0">
      <w:lvlJc w:val="left"/>
      <w:lvlText w:val="%1."/>
      <w:numFmt w:val="decimal"/>
      <w:start w:val="14"/>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1)"/>
      <w:numFmt w:val="lowerLetter"/>
      <w:start w:val="2"/>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o"/>
      <w:numFmt w:val="bullet"/>
      <w:start w:val="1"/>
    </w:lvl>
  </w:abstractNum>
  <w:abstractNum w:abstractNumId="34">
    <w:nsid w:val="3804823E"/>
    <w:multiLevelType w:val="hybridMultilevel"/>
    <w:lvl w:ilvl="0">
      <w:lvlJc w:val="left"/>
      <w:lvlText w:val="o"/>
      <w:numFmt w:val="bullet"/>
      <w:start w:val="1"/>
    </w:lvl>
  </w:abstractNum>
  <w:abstractNum w:abstractNumId="35">
    <w:nsid w:val="77465F01"/>
    <w:multiLevelType w:val="hybridMultilevel"/>
    <w:lvl w:ilvl="0">
      <w:lvlJc w:val="left"/>
      <w:lvlText w:val="o"/>
      <w:numFmt w:val="bullet"/>
      <w:start w:val="1"/>
    </w:lvl>
  </w:abstractNum>
  <w:abstractNum w:abstractNumId="36">
    <w:nsid w:val="7724C67E"/>
    <w:multiLevelType w:val="hybridMultilevel"/>
    <w:lvl w:ilvl="0">
      <w:lvlJc w:val="left"/>
      <w:lvlText w:val="o"/>
      <w:numFmt w:val="bullet"/>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2019-12-14T21:20:10Z</dcterms:created>
  <dcterms:modified xsi:type="dcterms:W3CDTF">2019-12-14T21:20:10Z</dcterms:modified>
</cp:coreProperties>
</file>