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month of May 2021</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by furnishing the information contained in this form is also thereby furnishing the information to the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3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5287645</wp:posOffset>
            </wp:positionH>
            <wp:positionV relativeFrom="paragraph">
              <wp:posOffset>-10160</wp:posOffset>
            </wp:positionV>
            <wp:extent cx="457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May 12, 2021, Amdocs Limited (“Amdocs”) issued a press release announcing financial results for the quarter ended March 31, 2021. A copy of the press release is furnished as Exhibit 99.1 to this Report of Foreign Private Issuer on Form 6-K.</w:t>
      </w:r>
    </w:p>
    <w:p>
      <w:pPr>
        <w:spacing w:after="0" w:line="170"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368" w:right="499" w:bottom="1440" w:gutter="0" w:footer="0" w:header="0"/>
        </w:sectPr>
      </w:pPr>
    </w:p>
    <w:bookmarkStart w:id="1" w:name="page2"/>
    <w:bookmarkEnd w:id="1"/>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ectPr>
          <w:pgSz w:w="11900" w:h="16838" w:orient="portrait"/>
          <w:cols w:equalWidth="0" w:num="1">
            <w:col w:w="10260"/>
          </w:cols>
          <w:pgMar w:left="440" w:top="270" w:right="119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60"/>
        <w:spacing w:after="0"/>
        <w:tabs>
          <w:tab w:leader="none" w:pos="12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68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81" w:lineRule="exact"/>
        <w:rPr>
          <w:sz w:val="20"/>
          <w:szCs w:val="20"/>
          <w:color w:val="auto"/>
        </w:rPr>
      </w:pPr>
    </w:p>
    <w:p>
      <w:pPr>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Amdocs Limited Press Release dated May 12, 2021.</w:t>
        </w:r>
      </w:hyperlink>
    </w:p>
    <w:p>
      <w:pPr>
        <w:sectPr>
          <w:pgSz w:w="11900" w:h="16838" w:orient="portrait"/>
          <w:cols w:equalWidth="0" w:num="1">
            <w:col w:w="10019"/>
          </w:cols>
          <w:pgMar w:left="4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171450</wp:posOffset>
            </wp:positionV>
            <wp:extent cx="6772275" cy="1602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Amdocs Limited Reports Second Quarter Fiscal 2021 Results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Quarterly Revenue of $1.05 Billion, Exceeding Midpoint of Guidance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Raises Outlook for Accelerated Revenue and Earnings per Share Growth</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in Fiscal 2021</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Solidifies Cloud Domain Leadership with Acquisition of Sourced Group</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Second Quarter Fiscal 2021 Highlights</w:t>
      </w:r>
    </w:p>
    <w:p>
      <w:pPr>
        <w:spacing w:after="0" w:line="135" w:lineRule="exact"/>
        <w:rPr>
          <w:sz w:val="20"/>
          <w:szCs w:val="20"/>
          <w:color w:val="auto"/>
        </w:rPr>
      </w:pPr>
    </w:p>
    <w:p>
      <w:pPr>
        <w:ind w:left="964" w:right="34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Revenue of $1,049 million, above the midpoint of the $1,015-$1,055 million guidance range; revenue included a negative impact from foreign currency movements of approximately $1 million compared to our guidance assumptions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Record managed services revenue of $635 million, equivalent to approximately 61% of total revenue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diluted EPS of $0.91, at the midpoint of the $0.87-$0.95 guidance range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diluted EPS of $1.13, above the midpoint of the $1.09-$1.15 guidance range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operating income of $149 million; GAAP operating margin of 14.2%</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operating income of $185 million; increased non-GAAP operating margin of 17.6%</w:t>
      </w:r>
    </w:p>
    <w:p>
      <w:pPr>
        <w:spacing w:after="0" w:line="130" w:lineRule="exact"/>
        <w:rPr>
          <w:rFonts w:ascii="Arial" w:cs="Arial" w:eastAsia="Arial" w:hAnsi="Arial"/>
          <w:sz w:val="18"/>
          <w:szCs w:val="18"/>
          <w:color w:val="auto"/>
        </w:rPr>
      </w:pPr>
    </w:p>
    <w:p>
      <w:pPr>
        <w:ind w:left="964" w:right="14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Returned record quarterly cash amount of $403 million to shareholders through share repurchases and quarterly cash dividends, including net proceeds received from the divestiture of OpenMarket</w:t>
      </w:r>
    </w:p>
    <w:p>
      <w:pPr>
        <w:spacing w:after="0" w:line="75" w:lineRule="exact"/>
        <w:rPr>
          <w:rFonts w:ascii="Arial" w:cs="Arial" w:eastAsia="Arial" w:hAnsi="Arial"/>
          <w:sz w:val="18"/>
          <w:szCs w:val="18"/>
          <w:color w:val="auto"/>
        </w:rPr>
      </w:pPr>
    </w:p>
    <w:p>
      <w:pPr>
        <w:ind w:left="964" w:right="88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Quarterly free cash flow of $70 million, comprised of cash flow from operations of $120 million, less $49 million in net capital expenditures and other</w:t>
      </w:r>
      <w:r>
        <w:rPr>
          <w:rFonts w:ascii="Arial" w:cs="Arial" w:eastAsia="Arial" w:hAnsi="Arial"/>
          <w:sz w:val="15"/>
          <w:szCs w:val="15"/>
          <w:color w:val="auto"/>
        </w:rPr>
        <w:t>(1)</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Normalized free cash flow of $133 million</w:t>
      </w:r>
      <w:r>
        <w:rPr>
          <w:rFonts w:ascii="Arial" w:cs="Arial" w:eastAsia="Arial" w:hAnsi="Arial"/>
          <w:sz w:val="15"/>
          <w:szCs w:val="15"/>
          <w:color w:val="auto"/>
        </w:rPr>
        <w:t>(1)</w:t>
      </w:r>
    </w:p>
    <w:p>
      <w:pPr>
        <w:spacing w:after="0" w:line="130" w:lineRule="exact"/>
        <w:rPr>
          <w:rFonts w:ascii="Arial" w:cs="Arial" w:eastAsia="Arial" w:hAnsi="Arial"/>
          <w:sz w:val="18"/>
          <w:szCs w:val="18"/>
          <w:color w:val="auto"/>
        </w:rPr>
      </w:pPr>
    </w:p>
    <w:p>
      <w:pPr>
        <w:ind w:left="964" w:right="18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Twelve-month backlog of $3.54 billion up approximately $50 million sequentially; on a pro forma</w:t>
      </w:r>
      <w:r>
        <w:rPr>
          <w:rFonts w:ascii="Arial" w:cs="Arial" w:eastAsia="Arial" w:hAnsi="Arial"/>
          <w:sz w:val="15"/>
          <w:szCs w:val="15"/>
          <w:color w:val="auto"/>
        </w:rPr>
        <w:t>(2)</w:t>
      </w:r>
      <w:r>
        <w:rPr>
          <w:rFonts w:ascii="Arial" w:cs="Arial" w:eastAsia="Arial" w:hAnsi="Arial"/>
          <w:sz w:val="18"/>
          <w:szCs w:val="18"/>
          <w:color w:val="auto"/>
        </w:rPr>
        <w:t xml:space="preserve"> basis, record twelve-month backlog was up 9.3% as compared to last year’s second fiscal quarter</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Please refer to the Selected Financial Metrics tables below (figures may not sum because of rounding).</w:t>
      </w:r>
    </w:p>
    <w:p>
      <w:pPr>
        <w:spacing w:after="0" w:line="23" w:lineRule="exact"/>
        <w:rPr>
          <w:rFonts w:ascii="Arial" w:cs="Arial" w:eastAsia="Arial" w:hAnsi="Arial"/>
          <w:sz w:val="18"/>
          <w:szCs w:val="18"/>
          <w:color w:val="auto"/>
        </w:rPr>
      </w:pPr>
    </w:p>
    <w:p>
      <w:pPr>
        <w:ind w:left="424" w:right="140" w:hanging="424"/>
        <w:spacing w:after="0" w:line="26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 forma growth rate excludes the financial impact of OpenMarket (which was divested on December 31, 2020) from the current fiscal year and comparable fiscal year</w:t>
      </w:r>
    </w:p>
    <w:p>
      <w:pPr>
        <w:sectPr>
          <w:pgSz w:w="11900" w:h="16838" w:orient="portrait"/>
          <w:cols w:equalWidth="0" w:num="1">
            <w:col w:w="11024"/>
          </w:cols>
          <w:pgMar w:left="436" w:top="121" w:right="439" w:bottom="1440" w:gutter="0" w:footer="0" w:header="0"/>
        </w:sectPr>
      </w:pPr>
    </w:p>
    <w:bookmarkStart w:id="4" w:name="page5"/>
    <w:bookmarkEnd w:id="4"/>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approved a quarterly cash dividend of $0.36 per share to be paid on July 23, 2021</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 LOUIS – May 12, 2021 </w:t>
      </w:r>
      <w:r>
        <w:rPr>
          <w:rFonts w:ascii="Arial" w:cs="Arial" w:eastAsia="Arial" w:hAnsi="Arial"/>
          <w:sz w:val="17"/>
          <w:szCs w:val="17"/>
          <w:color w:val="auto"/>
        </w:rPr>
        <w:t>– Amdocs Limited (NASDAQ: DOX) today reported operating results for the three months ended March 31, 2021.</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 am pleased to report strong results for the second fiscal quarter. Revenue was well above the midpoint of guidance and driven by our best-ever quarter in North America on a pro forma</w:t>
      </w:r>
      <w:r>
        <w:rPr>
          <w:rFonts w:ascii="Arial" w:cs="Arial" w:eastAsia="Arial" w:hAnsi="Arial"/>
          <w:sz w:val="15"/>
          <w:szCs w:val="15"/>
          <w:color w:val="auto"/>
        </w:rPr>
        <w:t>(2)</w:t>
      </w:r>
      <w:r>
        <w:rPr>
          <w:rFonts w:ascii="Arial" w:cs="Arial" w:eastAsia="Arial" w:hAnsi="Arial"/>
          <w:sz w:val="18"/>
          <w:szCs w:val="18"/>
          <w:color w:val="auto"/>
        </w:rPr>
        <w:t xml:space="preserve"> basis where we are seeing healthy activity levels at AT&amp;T, T-Mobile and various other customers across the region. At the operating level, we maintained our focus on consistent project delivery, which translated to healthy cash collections and robust free cash flow generation. Additionally, we returned a record cash amount of more than $400 million to shareholders this quarter, including the net proceeds received from the divesture of OpenMarket, as we had committed to previously,” said Shuky Sheffer, president and chief executive officer of Amdocs Management Limited.</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Sheffer continued, “Accelerating the communications industry’s journey to the cloud is core to Amdocs’ future growth and this quarter we took some important steps to further solidify our leadership in this domain. We are today pleased to announce the acquisition of Sourced Group, a leading global technology consultancy specializing in large-scale cloud transformations for sophisticated, high-end enterprise customers in different industries such as communications, financial services and others. Sourced’s proven cloud migration platform, deployment framework and trusted design process, alongside its deep partnerships with Amazon Web Services, Microsoft Azure and Google Cloud Platform, complement our portfolio of cloud-native products and services and further expands and diversifies our customer base.”</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Sheffer concluded, “I am pleased to report an improved outlook for revenue and earnings per share growth for the full fiscal year 2021, mainly driven by our expectation for a stronger second half. Our confidence is based on the visibility of our 12-month backlog, which is up more than 9% from a year ago on a pro forma</w:t>
      </w:r>
      <w:r>
        <w:rPr>
          <w:rFonts w:ascii="Arial" w:cs="Arial" w:eastAsia="Arial" w:hAnsi="Arial"/>
          <w:sz w:val="13"/>
          <w:szCs w:val="13"/>
          <w:color w:val="auto"/>
        </w:rPr>
        <w:t>(2)</w:t>
      </w:r>
      <w:r>
        <w:rPr>
          <w:rFonts w:ascii="Arial" w:cs="Arial" w:eastAsia="Arial" w:hAnsi="Arial"/>
          <w:sz w:val="16"/>
          <w:szCs w:val="16"/>
          <w:color w:val="auto"/>
        </w:rPr>
        <w:t xml:space="preserve"> basis. Moreover, we are focused on maintaining our recent sales momentum by executing our growth strategy which we believe is well-aligned with our customer’s multi-year investments in digital modernization, 5G, cloud migration, and next-generation OSS platforms.”</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Revenue</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 for the second fiscal quarter ended March 31, 2021 was $1,049 million, which on a pro forma basis</w:t>
      </w:r>
      <w:r>
        <w:rPr>
          <w:rFonts w:ascii="Arial" w:cs="Arial" w:eastAsia="Arial" w:hAnsi="Arial"/>
          <w:sz w:val="13"/>
          <w:szCs w:val="13"/>
          <w:color w:val="auto"/>
        </w:rPr>
        <w:t>(2)</w:t>
      </w:r>
      <w:r>
        <w:rPr>
          <w:rFonts w:ascii="Arial" w:cs="Arial" w:eastAsia="Arial" w:hAnsi="Arial"/>
          <w:sz w:val="16"/>
          <w:szCs w:val="16"/>
          <w:color w:val="auto"/>
        </w:rPr>
        <w:t xml:space="preserve"> was up 5.7% in constant currency as compared to last year’s second fiscal quarter. Revenue was down $37 million as reported from the first fiscal quarter of 2021, mainly reflecting the divestiture of OpenMarket on December 31, 2020. Revenue was up 0.1% as reported and down 1.4% in constant currency as compared to last year’s second fiscal quarter. Revenue for the second fiscal quarter of 2021 includes a positive impact from foreign currency movements of approximately $3.3 million relative to the first quarter of fiscal 2021. Revenue was above the midpoint of Amdocs’ guidance, and included negative impact from foreign currency movements of approximately $1 million compared to our guidance assumptions and contributions from recently completed acquisitions of less than $2 million which was not included in our guidance assumptions. Revenue for the second fiscal quarter of 2021 includes record managed services revenue of $635 million, up 5.1% as compared to last year’s second fiscal quarter and equivalent to approximately 61% of total revenue.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GAAP net income for the second quarter of fiscal 2021 was $119.1 million, or $0.91 per diluted share, compared to GAAP net income of $127.0 million, or $0.94 per diluted share, in the prior fiscal year’s second quarter. Net income on a non-GAAP basis was $148.1 million, or $1.13 per diluted share, compared to non-GAAP net income of $145.7 million, or $1.08 per diluted share, in the second quarter of fiscal 2020. Non-GAAP net income excludes amortization of purchased intangible assets and other acquisition-related costs, changes in certain acquisitions related liabilities measured at fair value, equity-based compensation expenses, and other, net of related tax effects, in the second quarter of fiscal 2021 as well as in the second quarter of fiscal 2020.</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further details of reconciliation of selected financial metrics from GAAP to Non-GAAP, please refer to the tables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5" w:lineRule="exact"/>
        <w:rPr>
          <w:sz w:val="20"/>
          <w:szCs w:val="20"/>
          <w:color w:val="auto"/>
        </w:rPr>
      </w:pPr>
    </w:p>
    <w:p>
      <w:pPr>
        <w:ind w:left="960" w:right="4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May 12, 2021, the Board approved the Company’s next quarterly cash dividend payment of $0.36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and set June 30, 2021 as the record date for determining the shareholders entitled to receive the dividend, which will be payable on July 23, 2021.</w:t>
      </w:r>
    </w:p>
    <w:p>
      <w:pPr>
        <w:spacing w:after="0" w:line="89" w:lineRule="exact"/>
        <w:rPr>
          <w:rFonts w:ascii="Arial" w:cs="Arial" w:eastAsia="Arial" w:hAnsi="Arial"/>
          <w:sz w:val="18"/>
          <w:szCs w:val="18"/>
          <w:color w:val="auto"/>
        </w:rPr>
      </w:pPr>
    </w:p>
    <w:p>
      <w:pPr>
        <w:ind w:left="960" w:hanging="424"/>
        <w:spacing w:after="0" w:line="275"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Share Repurchase Activity: </w:t>
      </w:r>
      <w:r>
        <w:rPr>
          <w:rFonts w:ascii="Arial" w:cs="Arial" w:eastAsia="Arial" w:hAnsi="Arial"/>
          <w:sz w:val="17"/>
          <w:szCs w:val="17"/>
          <w:color w:val="auto"/>
        </w:rPr>
        <w:t>Repurchased a record $360 million of ordinary shares during the second quarter of fiscal 2021, including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return of the net proceeds from the divestiture of OpenMarket. The board of directors has approved a share repurchase plan authorizing the repurchase of up to $1 billion of ordinary shares at the company’s discretion; this plan has no expiration date and is in addition to the current authorization, which, as of March 31, 2021, provided for up to $228 million of remaining repurchase authorization. Between the two authorizations, we have up to $1.228 billion of remaining repurchase authority.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Twelve-month Backlog</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Twelve-month backlog, which includes anticipated revenue related to contracts, estimated revenue from managed services contracts, letters of intent, maintenance and estimated on-going support activities, was $3.54 billion (excluding OpenMarket) at the end of the second quarter of fiscal 2021. On a pro forma</w:t>
      </w:r>
      <w:r>
        <w:rPr>
          <w:rFonts w:ascii="Arial" w:cs="Arial" w:eastAsia="Arial" w:hAnsi="Arial"/>
          <w:sz w:val="14"/>
          <w:szCs w:val="14"/>
          <w:color w:val="auto"/>
        </w:rPr>
        <w:t>(2)</w:t>
      </w:r>
      <w:r>
        <w:rPr>
          <w:rFonts w:ascii="Arial" w:cs="Arial" w:eastAsia="Arial" w:hAnsi="Arial"/>
          <w:sz w:val="17"/>
          <w:szCs w:val="17"/>
          <w:color w:val="auto"/>
        </w:rPr>
        <w:t xml:space="preserve"> basis, twelve-month backlog was up approximately 9.3% as compared to last year’s second fiscal quarter.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2021 Outlook</w:t>
      </w:r>
    </w:p>
    <w:p>
      <w:pPr>
        <w:spacing w:after="0" w:line="135" w:lineRule="exact"/>
        <w:rPr>
          <w:sz w:val="20"/>
          <w:szCs w:val="20"/>
          <w:color w:val="auto"/>
        </w:rPr>
      </w:pPr>
    </w:p>
    <w:p>
      <w:pPr>
        <w:ind w:left="960" w:right="200" w:hanging="424"/>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of approximately $1,040-$1,080 million, assuming approximately $3 million sequential negative impact from foreign currency fluctuations as compared to the second quarter of fiscal 2021 and contributions from recently completed acquisitions</w:t>
      </w:r>
    </w:p>
    <w:p>
      <w:pPr>
        <w:spacing w:after="0" w:line="51" w:lineRule="exact"/>
        <w:rPr>
          <w:rFonts w:ascii="Arial" w:cs="Arial" w:eastAsia="Arial" w:hAnsi="Arial"/>
          <w:sz w:val="17"/>
          <w:szCs w:val="17"/>
          <w:color w:val="auto"/>
        </w:rPr>
      </w:pPr>
    </w:p>
    <w:p>
      <w:pPr>
        <w:ind w:left="960" w:right="1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diluted EPS of approximately $0.91-$0.99. The impact of recent acquisitions on GAAP diluted EPS will not be known until after Amdocs completes the purchase price allocation</w:t>
      </w:r>
    </w:p>
    <w:p>
      <w:pPr>
        <w:sectPr>
          <w:pgSz w:w="11900" w:h="16838" w:orient="portrait"/>
          <w:cols w:equalWidth="0" w:num="1">
            <w:col w:w="10980"/>
          </w:cols>
          <w:pgMar w:left="440" w:top="274" w:right="479" w:bottom="1440" w:gutter="0" w:footer="0" w:header="0"/>
        </w:sectPr>
      </w:pPr>
    </w:p>
    <w:bookmarkStart w:id="7" w:name="page8"/>
    <w:bookmarkEnd w:id="7"/>
    <w:p>
      <w:pPr>
        <w:ind w:left="960" w:right="2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diluted EPS of approximately $1.14-$1.20, excluding amortization of purchased intangible assets and other acquisition-related costs, changes in certain acquisitions related liabilities measured at fair value, and approximately $0.08-$0.10 per share of equity-based compensation expense, net of related tax effects.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2021 Outlook</w:t>
      </w:r>
    </w:p>
    <w:p>
      <w:pPr>
        <w:spacing w:after="0" w:line="135" w:lineRule="exact"/>
        <w:rPr>
          <w:sz w:val="20"/>
          <w:szCs w:val="20"/>
          <w:color w:val="auto"/>
        </w:rPr>
      </w:pPr>
    </w:p>
    <w:p>
      <w:pPr>
        <w:ind w:left="960" w:right="180" w:hanging="424"/>
        <w:spacing w:after="0" w:line="286"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Full year fiscal 2021 revenue guidance reflects the divestiture of OpenMarket as of December 31, 2020 and incorporates an expected positive impact from foreign currency fluctuations of about 1.0% year-over-year as compared with a positive impact of about 1.2% year-over-year previously and a positive contribution from recently completed acquisitions of about 0.5%</w:t>
      </w:r>
    </w:p>
    <w:p>
      <w:pPr>
        <w:spacing w:after="0" w:line="70" w:lineRule="exact"/>
        <w:rPr>
          <w:rFonts w:ascii="Arial" w:cs="Arial" w:eastAsia="Arial" w:hAnsi="Arial"/>
          <w:sz w:val="17"/>
          <w:szCs w:val="17"/>
          <w:color w:val="auto"/>
        </w:rPr>
      </w:pPr>
    </w:p>
    <w:p>
      <w:pPr>
        <w:ind w:left="960" w:right="18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Expects pro forma</w:t>
      </w:r>
      <w:r>
        <w:rPr>
          <w:rFonts w:ascii="Arial" w:cs="Arial" w:eastAsia="Arial" w:hAnsi="Arial"/>
          <w:sz w:val="15"/>
          <w:szCs w:val="15"/>
          <w:color w:val="auto"/>
        </w:rPr>
        <w:t>(2)</w:t>
      </w:r>
      <w:r>
        <w:rPr>
          <w:rFonts w:ascii="Arial" w:cs="Arial" w:eastAsia="Arial" w:hAnsi="Arial"/>
          <w:sz w:val="18"/>
          <w:szCs w:val="18"/>
          <w:color w:val="auto"/>
        </w:rPr>
        <w:t xml:space="preserve"> revenue growth of 5.0%-8.0% year-over-year on a constant currency basis as compared with 3.5%-7.5% year-over-year on a constant currency basis previously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Expects revenue growth of 1.0%-4.0% year-over-year on a reported basis as compared with (0.3)% -3.7% year-over-year previously</w:t>
      </w:r>
    </w:p>
    <w:p>
      <w:pPr>
        <w:spacing w:after="0" w:line="142" w:lineRule="exact"/>
        <w:rPr>
          <w:rFonts w:ascii="Arial" w:cs="Arial" w:eastAsia="Arial" w:hAnsi="Arial"/>
          <w:sz w:val="17"/>
          <w:szCs w:val="17"/>
          <w:color w:val="auto"/>
        </w:rPr>
      </w:pPr>
    </w:p>
    <w:p>
      <w:pPr>
        <w:ind w:left="960" w:right="6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Expects revenue growth of 0.0%-3.0% year-over-year on a constant currency basis as compared with (1.5)% -2.5% year-over-year previously</w:t>
      </w:r>
    </w:p>
    <w:p>
      <w:pPr>
        <w:spacing w:after="0" w:line="75" w:lineRule="exact"/>
        <w:rPr>
          <w:rFonts w:ascii="Arial" w:cs="Arial" w:eastAsia="Arial" w:hAnsi="Arial"/>
          <w:sz w:val="18"/>
          <w:szCs w:val="18"/>
          <w:color w:val="auto"/>
        </w:rPr>
      </w:pPr>
    </w:p>
    <w:p>
      <w:pPr>
        <w:ind w:left="960" w:right="100" w:hanging="424"/>
        <w:spacing w:after="0" w:line="26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Expects GAAP diluted earnings per share growth of roughly 39.0%-44.0% year-over-year, including gain, net of tax, from divestiture of OpenMarket, as compared with 37.5%-44.5% year-over-year previously. The impact of recent acquisitions on GAAP diluted EPS will not be known until after Amdocs completes the purchase price allocation</w:t>
      </w:r>
    </w:p>
    <w:p>
      <w:pPr>
        <w:spacing w:after="0" w:line="89" w:lineRule="exact"/>
        <w:rPr>
          <w:rFonts w:ascii="Arial" w:cs="Arial" w:eastAsia="Arial" w:hAnsi="Arial"/>
          <w:sz w:val="18"/>
          <w:szCs w:val="18"/>
          <w:color w:val="auto"/>
        </w:rPr>
      </w:pPr>
    </w:p>
    <w:p>
      <w:pPr>
        <w:ind w:left="960" w:hanging="424"/>
        <w:spacing w:after="0" w:line="25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Expects non-GAAP diluted earnings per share growth of roughly 6.0%-9.0% year-over-year as compared with 4.0%-8.0% year-over-year previously, excluding amortization of purchased intangible assets and other acquisition-related costs, changes in certain acquisitions related liabilities measured at fair value, approximately $0.32-$0.36 per share of equity-based compensation expense, and gain from divestiture of OpenMarket, net of related tax effects. The impact of recent acquisitions on Amdocs’ non-GAAP diluted earnings per share is expected to be neutral in the full fiscal year 2021</w:t>
      </w:r>
    </w:p>
    <w:p>
      <w:pPr>
        <w:sectPr>
          <w:pgSz w:w="11900" w:h="16838" w:orient="portrait"/>
          <w:cols w:equalWidth="0" w:num="1">
            <w:col w:w="11000"/>
          </w:cols>
          <w:pgMar w:left="440" w:top="274" w:right="459" w:bottom="1440" w:gutter="0" w:footer="0" w:header="0"/>
        </w:sectPr>
      </w:pPr>
    </w:p>
    <w:bookmarkStart w:id="8" w:name="page9"/>
    <w:bookmarkEnd w:id="8"/>
    <w:p>
      <w:pPr>
        <w:ind w:left="960" w:hanging="424"/>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Expects pro forma</w:t>
      </w:r>
      <w:r>
        <w:rPr>
          <w:rFonts w:ascii="Arial" w:cs="Arial" w:eastAsia="Arial" w:hAnsi="Arial"/>
          <w:sz w:val="15"/>
          <w:szCs w:val="15"/>
          <w:color w:val="auto"/>
        </w:rPr>
        <w:t>(2)</w:t>
      </w:r>
      <w:r>
        <w:rPr>
          <w:rFonts w:ascii="Arial" w:cs="Arial" w:eastAsia="Arial" w:hAnsi="Arial"/>
          <w:sz w:val="18"/>
          <w:szCs w:val="18"/>
          <w:color w:val="auto"/>
        </w:rPr>
        <w:t xml:space="preserve"> non-GAAP diluted earnings per share growth of roughly 7.5%-10.5% year-over-year as compared with 5.5%-9.5% year-over-year previously, excluding amortization of purchased intangible assets and other acquisition-related costs, changes in certain acquisitions related liabilities measured at fair value, approximately $0.32-$0.36 per share of equity-based compensation expense, and gain from divestiture of OpenMarket, net of related tax effects</w:t>
      </w:r>
    </w:p>
    <w:p>
      <w:pPr>
        <w:spacing w:after="0" w:line="92"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Expects free cash flow of approximately $620 million, comprised of cash flow from operations, less net capital expenditures and other, as compared with $600 million previously</w:t>
      </w:r>
    </w:p>
    <w:p>
      <w:pPr>
        <w:spacing w:after="0" w:line="75" w:lineRule="exact"/>
        <w:rPr>
          <w:rFonts w:ascii="Arial" w:cs="Arial" w:eastAsia="Arial" w:hAnsi="Arial"/>
          <w:sz w:val="18"/>
          <w:szCs w:val="18"/>
          <w:color w:val="auto"/>
        </w:rPr>
      </w:pPr>
    </w:p>
    <w:p>
      <w:pPr>
        <w:ind w:left="960" w:right="8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Expects normalized free cash flow of approximately $820 million as compared with $800 million previously; normalized free cash flow excludes expected capital expenditure of $140 million related to the new campus development in Israel, $40 million of capital gains tax in relation to the divestiture of OpenMarket, and other items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third fiscal quarter 2021 and full year fiscal 2021 outlook takes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the COVID-19 pandemic, which has created, and continues to create, a significant amount of uncertainty, or from current and potential customer consolidation or their other strategic corporate activities.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Amdocs will host a conference call on May 12, 2021 at 5:00 p.m. Eastern Time to discuss the Company’s second quarter of fiscal 2021 results. To participate, please dial +1 (844) 513-7152, or +1 (508) 637-5600 outside the United States, approximately 15 minutes before the call and enter passcode 3504547. The call will also be carried live on the Internet via the Amdocs website, www.amdocs.com.</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Financial Measures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This release includes non-GAAP diluted earnings per share and other non-GAAP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non-GAAP measures exclude the following items:</w:t>
      </w:r>
    </w:p>
    <w:p>
      <w:pPr>
        <w:spacing w:after="0" w:line="77"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certain acquisition-related liabilities measured at fair value;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non-recurring and unusual charges or benefits (such as a gain from divestiture of OpenMarket);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in relation to the divestiture of OpenMarket),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ectPr>
          <w:pgSz w:w="11900" w:h="16838" w:orient="portrait"/>
          <w:cols w:equalWidth="0" w:num="1">
            <w:col w:w="10980"/>
          </w:cols>
          <w:pgMar w:left="440" w:top="270" w:right="479" w:bottom="1440" w:gutter="0" w:footer="0" w:header="0"/>
        </w:sectPr>
      </w:pPr>
    </w:p>
    <w:bookmarkStart w:id="10" w:name="page11"/>
    <w:bookmarkEnd w:id="10"/>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ectPr>
          <w:pgSz w:w="11900" w:h="16838" w:orient="portrait"/>
          <w:cols w:equalWidth="0" w:num="1">
            <w:col w:w="10980"/>
          </w:cols>
          <w:pgMar w:left="440" w:top="274"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Supporting Resources</w:t>
      </w:r>
    </w:p>
    <w:p>
      <w:pPr>
        <w:spacing w:after="0" w:line="135"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Amdocs’ purpose is to enrich lives and progress society, using creativity and technology to build a better connected world. Amdocs and its 27,000 employees partner with the leading players in the communications and media industry, enabling next-generation experiences in 85 countries. Our cloud-native, open and dynamic portfolio of digital solutions, platforms and services brings greater choice, faster time to market and flexibility, to better meet the evolving needs of our customers as they drive growth, transform and take their business to the cloud. Listed on the NASDAQ Global Select Market, Amdocs had revenue of $4.2 billion in fiscal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 Amdocs’ ability to grow in the business markets that it serves, Amdocs’ ability to successfully integrate acquired businesses, adverse effects of market competition, rapid technological shifts that</w:t>
      </w:r>
    </w:p>
    <w:p>
      <w:pPr>
        <w:sectPr>
          <w:pgSz w:w="11900" w:h="16838" w:orient="portrait"/>
          <w:cols w:equalWidth="0" w:num="1">
            <w:col w:w="10980"/>
          </w:cols>
          <w:pgMar w:left="440" w:top="270" w:right="479" w:bottom="1440" w:gutter="0" w:footer="0" w:header="0"/>
        </w:sectPr>
      </w:pPr>
    </w:p>
    <w:bookmarkStart w:id="12" w:name="page13"/>
    <w:bookmarkEnd w:id="12"/>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2020 filed on December 14, 2020 and our Form 6-K furnished for the first quarter of fiscal 2021 on February 16,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0840"/>
          </w:cols>
          <w:pgMar w:left="440" w:top="274" w:right="6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1,048,734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1,047,933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2,135,077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2,089,890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685,515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683,970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1,414,231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1,370,282</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75,154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68,795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150,823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136,106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116,951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238,839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242,575</w:t>
            </w: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19,348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41,740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40,638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891,221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1,845,633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1,789,601</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156,712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226,410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505,822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297,647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27,384</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87,123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54,677</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418,699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242,970</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134,288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131,147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135,339</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0.3275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Selected Financial Metrics</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(In thousands, except per share data)</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9"/>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9"/>
          </w:tcPr>
          <w:p>
            <w:pPr>
              <w:ind w:left="4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8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$1,048,734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0"/>
              </w:rPr>
              <w:t>$1,047,933</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$2,135,077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$2,089,890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184,883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jc w:val="right"/>
              <w:ind w:right="170"/>
              <w:spacing w:after="0"/>
              <w:rPr>
                <w:sz w:val="20"/>
                <w:szCs w:val="20"/>
                <w:color w:val="auto"/>
              </w:rPr>
            </w:pPr>
            <w:r>
              <w:rPr>
                <w:rFonts w:ascii="Arial" w:cs="Arial" w:eastAsia="Arial" w:hAnsi="Arial"/>
                <w:sz w:val="18"/>
                <w:szCs w:val="18"/>
                <w:color w:val="auto"/>
                <w:w w:val="92"/>
              </w:rPr>
              <w:t>180,524</w:t>
            </w:r>
          </w:p>
        </w:tc>
        <w:tc>
          <w:tcPr>
            <w:tcW w:w="14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372,864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358,464</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148,095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w w:val="92"/>
              </w:rPr>
              <w:t>145,689</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301,067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289,844</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w w:val="91"/>
              </w:rPr>
              <w:t>1.08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2.14</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130,696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w w:val="92"/>
              </w:rPr>
              <w:t>135,059</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131,147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135,339</w:t>
            </w:r>
          </w:p>
        </w:tc>
      </w:tr>
      <w:tr>
        <w:trPr>
          <w:trHeight w:val="625"/>
        </w:trPr>
        <w:tc>
          <w:tcPr>
            <w:tcW w:w="7780" w:type="dxa"/>
            <w:vAlign w:val="bottom"/>
            <w:gridSpan w:val="6"/>
          </w:tcPr>
          <w:p>
            <w:pPr>
              <w:jc w:val="center"/>
              <w:ind w:left="3130"/>
              <w:spacing w:after="0"/>
              <w:rPr>
                <w:sz w:val="20"/>
                <w:szCs w:val="20"/>
                <w:color w:val="auto"/>
              </w:rPr>
            </w:pPr>
            <w:r>
              <w:rPr>
                <w:rFonts w:ascii="Arial" w:cs="Arial" w:eastAsia="Arial" w:hAnsi="Arial"/>
                <w:sz w:val="18"/>
                <w:szCs w:val="18"/>
                <w:b w:val="1"/>
                <w:bCs w:val="1"/>
                <w:color w:val="auto"/>
                <w:w w:val="90"/>
              </w:rPr>
              <w:t>Free Cash Flows and Normalized Free Cash Flow</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4860" w:type="dxa"/>
            <w:vAlign w:val="bottom"/>
          </w:tcPr>
          <w:p>
            <w:pPr>
              <w:spacing w:after="0"/>
              <w:rPr>
                <w:sz w:val="16"/>
                <w:szCs w:val="16"/>
                <w:color w:val="auto"/>
              </w:rPr>
            </w:pPr>
          </w:p>
        </w:tc>
        <w:tc>
          <w:tcPr>
            <w:tcW w:w="2140" w:type="dxa"/>
            <w:vAlign w:val="bottom"/>
            <w:gridSpan w:val="2"/>
          </w:tcPr>
          <w:p>
            <w:pPr>
              <w:jc w:val="center"/>
              <w:ind w:right="77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54"/>
        </w:trPr>
        <w:tc>
          <w:tcPr>
            <w:tcW w:w="4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gridSpan w:val="9"/>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4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7"/>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486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r>
              <w:rPr>
                <w:rFonts w:ascii="Arial" w:cs="Arial" w:eastAsia="Arial" w:hAnsi="Arial"/>
                <w:sz w:val="15"/>
                <w:szCs w:val="15"/>
                <w:b w:val="1"/>
                <w:bCs w:val="1"/>
                <w:color w:val="auto"/>
              </w:rPr>
              <w:t>(a)</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4"/>
              </w:rPr>
              <w:t>$ 119,736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102,868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$536,221</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266,776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 xml:space="preserve">Purchases of property and equipment, net </w:t>
            </w:r>
            <w:r>
              <w:rPr>
                <w:rFonts w:ascii="Arial" w:cs="Arial" w:eastAsia="Arial" w:hAnsi="Arial"/>
                <w:sz w:val="15"/>
                <w:szCs w:val="15"/>
                <w:color w:val="auto"/>
              </w:rPr>
              <w:t>(c)</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6"/>
          </w:tcPr>
          <w:p>
            <w:pPr>
              <w:jc w:val="right"/>
              <w:ind w:right="75"/>
              <w:spacing w:after="0"/>
              <w:rPr>
                <w:sz w:val="20"/>
                <w:szCs w:val="20"/>
                <w:color w:val="auto"/>
              </w:rPr>
            </w:pPr>
            <w:r>
              <w:rPr>
                <w:rFonts w:ascii="Arial" w:cs="Arial" w:eastAsia="Arial" w:hAnsi="Arial"/>
                <w:sz w:val="18"/>
                <w:szCs w:val="18"/>
                <w:color w:val="auto"/>
              </w:rPr>
              <w:t>(49,245)</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5"/>
              </w:rPr>
              <w:t>(46,170)</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(99,310)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(104,705)</w:t>
            </w:r>
          </w:p>
        </w:tc>
      </w:tr>
      <w:tr>
        <w:trPr>
          <w:trHeight w:val="27"/>
        </w:trPr>
        <w:tc>
          <w:tcPr>
            <w:tcW w:w="48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70,491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436,911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162,071</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Tax payment on sale of business</w:t>
            </w:r>
            <w:r>
              <w:rPr>
                <w:rFonts w:ascii="Arial" w:cs="Arial" w:eastAsia="Arial" w:hAnsi="Arial"/>
                <w:sz w:val="15"/>
                <w:szCs w:val="15"/>
                <w:color w:val="auto"/>
              </w:rPr>
              <w:t>(b)</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6"/>
          </w:tcPr>
          <w:p>
            <w:pPr>
              <w:jc w:val="right"/>
              <w:ind w:right="20"/>
              <w:spacing w:after="0"/>
              <w:rPr>
                <w:sz w:val="20"/>
                <w:szCs w:val="20"/>
                <w:color w:val="auto"/>
              </w:rPr>
            </w:pPr>
            <w:r>
              <w:rPr>
                <w:rFonts w:ascii="Arial" w:cs="Arial" w:eastAsia="Arial" w:hAnsi="Arial"/>
                <w:sz w:val="18"/>
                <w:szCs w:val="18"/>
                <w:color w:val="auto"/>
              </w:rPr>
              <w:t>25,190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25,190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Payments of acquisition related liabilities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13,234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13,234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Payments for previously expensed restructuring charges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1,645</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capital expenditures related to the new campus development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24,221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17,355</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42,555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31,292</w:t>
            </w:r>
          </w:p>
        </w:tc>
        <w:tc>
          <w:tcPr>
            <w:tcW w:w="60" w:type="dxa"/>
            <w:vAlign w:val="bottom"/>
            <w:shd w:val="clear" w:color="auto" w:fill="CCEEFF"/>
          </w:tcPr>
          <w:p>
            <w:pPr>
              <w:spacing w:after="0"/>
              <w:rPr>
                <w:sz w:val="18"/>
                <w:szCs w:val="18"/>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Normalized Free Cash Flow</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133,136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75,932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517,890</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196,758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Since January 1, 2021, OpenMarket results are not included in the Consolidated Statements of Income given its divestiture.</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payment related to capital gain from divesture of OpenMarket, which was completed on December 31, 2020.</w:t>
      </w:r>
    </w:p>
    <w:p>
      <w:pPr>
        <w:spacing w:after="0" w:line="9" w:lineRule="exact"/>
        <w:rPr>
          <w:rFonts w:ascii="Arial" w:cs="Arial" w:eastAsia="Arial" w:hAnsi="Arial"/>
          <w:sz w:val="18"/>
          <w:szCs w:val="18"/>
          <w:color w:val="auto"/>
        </w:rPr>
      </w:pPr>
    </w:p>
    <w:p>
      <w:pPr>
        <w:ind w:left="424" w:right="140" w:hanging="424"/>
        <w:spacing w:after="0" w:line="26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$136 and $82 for the six months ended March 31, 2021 and 2020, respectively.</w:t>
      </w:r>
    </w:p>
    <w:p>
      <w:pPr>
        <w:sectPr>
          <w:pgSz w:w="11900" w:h="16838" w:orient="portrait"/>
          <w:cols w:equalWidth="0" w:num="1">
            <w:col w:w="11024"/>
          </w:cols>
          <w:pgMar w:left="436" w:top="270" w:right="4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9"/>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March 31, 2021</w:t>
            </w:r>
            <w:r>
              <w:rPr>
                <w:rFonts w:ascii="Arial" w:cs="Arial" w:eastAsia="Arial" w:hAnsi="Arial"/>
                <w:sz w:val="12"/>
                <w:szCs w:val="12"/>
                <w:b w:val="1"/>
                <w:bCs w:val="1"/>
                <w:color w:val="auto"/>
              </w:rPr>
              <w:t>(a)</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9"/>
          </w:tcPr>
          <w:p>
            <w:pPr>
              <w:ind w:left="140"/>
              <w:spacing w:after="0" w:line="142" w:lineRule="exact"/>
              <w:rPr>
                <w:sz w:val="20"/>
                <w:szCs w:val="20"/>
                <w:color w:val="auto"/>
              </w:rPr>
            </w:pPr>
            <w:r>
              <w:rPr>
                <w:rFonts w:ascii="Arial" w:cs="Arial" w:eastAsia="Arial" w:hAnsi="Arial"/>
                <w:sz w:val="14"/>
                <w:szCs w:val="14"/>
                <w:b w:val="1"/>
                <w:bCs w:val="1"/>
                <w:color w:val="auto"/>
              </w:rPr>
              <w:t>Reconciliation items</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5"/>
          </w:tcPr>
          <w:p>
            <w:pPr>
              <w:jc w:val="center"/>
              <w:ind w:right="48"/>
              <w:spacing w:after="0" w:line="119" w:lineRule="exact"/>
              <w:rPr>
                <w:sz w:val="20"/>
                <w:szCs w:val="20"/>
                <w:color w:val="auto"/>
              </w:rPr>
            </w:pPr>
            <w:r>
              <w:rPr>
                <w:rFonts w:ascii="Arial" w:cs="Arial" w:eastAsia="Arial" w:hAnsi="Arial"/>
                <w:sz w:val="13"/>
                <w:szCs w:val="13"/>
                <w:b w:val="1"/>
                <w:bCs w:val="1"/>
                <w:color w:val="auto"/>
                <w:w w:val="96"/>
              </w:rPr>
              <w:t>Changes in</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5"/>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certain</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240" w:type="dxa"/>
            <w:vAlign w:val="bottom"/>
          </w:tcPr>
          <w:p>
            <w:pPr>
              <w:spacing w:after="0"/>
              <w:rPr>
                <w:sz w:val="12"/>
                <w:szCs w:val="12"/>
                <w:color w:val="auto"/>
              </w:rPr>
            </w:pPr>
          </w:p>
        </w:tc>
        <w:tc>
          <w:tcPr>
            <w:tcW w:w="940" w:type="dxa"/>
            <w:vAlign w:val="bottom"/>
            <w:gridSpan w:val="6"/>
            <w:vMerge w:val="restart"/>
          </w:tcPr>
          <w:p>
            <w:pPr>
              <w:jc w:val="right"/>
              <w:ind w:right="100"/>
              <w:spacing w:after="0"/>
              <w:rPr>
                <w:sz w:val="20"/>
                <w:szCs w:val="20"/>
                <w:color w:val="auto"/>
              </w:rPr>
            </w:pPr>
            <w:r>
              <w:rPr>
                <w:rFonts w:ascii="Arial" w:cs="Arial" w:eastAsia="Arial" w:hAnsi="Arial"/>
                <w:sz w:val="14"/>
                <w:szCs w:val="14"/>
                <w:b w:val="1"/>
                <w:bCs w:val="1"/>
                <w:color w:val="auto"/>
                <w:w w:val="94"/>
              </w:rPr>
              <w:t>Equity based</w:t>
            </w:r>
          </w:p>
        </w:tc>
        <w:tc>
          <w:tcPr>
            <w:tcW w:w="220" w:type="dxa"/>
            <w:vAlign w:val="bottom"/>
          </w:tcPr>
          <w:p>
            <w:pPr>
              <w:spacing w:after="0"/>
              <w:rPr>
                <w:sz w:val="12"/>
                <w:szCs w:val="12"/>
                <w:color w:val="auto"/>
              </w:rPr>
            </w:pPr>
          </w:p>
        </w:tc>
        <w:tc>
          <w:tcPr>
            <w:tcW w:w="1120" w:type="dxa"/>
            <w:vAlign w:val="bottom"/>
            <w:gridSpan w:val="5"/>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acquisitions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intangible</w:t>
            </w:r>
          </w:p>
        </w:tc>
        <w:tc>
          <w:tcPr>
            <w:tcW w:w="240" w:type="dxa"/>
            <w:vAlign w:val="bottom"/>
          </w:tcPr>
          <w:p>
            <w:pPr>
              <w:spacing w:after="0"/>
              <w:rPr>
                <w:sz w:val="12"/>
                <w:szCs w:val="12"/>
                <w:color w:val="auto"/>
              </w:rPr>
            </w:pPr>
          </w:p>
        </w:tc>
        <w:tc>
          <w:tcPr>
            <w:tcW w:w="94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5"/>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related liabilities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assets and</w:t>
            </w:r>
          </w:p>
        </w:tc>
        <w:tc>
          <w:tcPr>
            <w:tcW w:w="240" w:type="dxa"/>
            <w:vAlign w:val="bottom"/>
          </w:tcPr>
          <w:p>
            <w:pPr>
              <w:spacing w:after="0"/>
              <w:rPr>
                <w:sz w:val="12"/>
                <w:szCs w:val="12"/>
                <w:color w:val="auto"/>
              </w:rPr>
            </w:pPr>
          </w:p>
        </w:tc>
        <w:tc>
          <w:tcPr>
            <w:tcW w:w="9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220" w:type="dxa"/>
            <w:vAlign w:val="bottom"/>
          </w:tcPr>
          <w:p>
            <w:pPr>
              <w:spacing w:after="0"/>
              <w:rPr>
                <w:sz w:val="12"/>
                <w:szCs w:val="12"/>
                <w:color w:val="auto"/>
              </w:rPr>
            </w:pPr>
          </w:p>
        </w:tc>
        <w:tc>
          <w:tcPr>
            <w:tcW w:w="1120" w:type="dxa"/>
            <w:vAlign w:val="bottom"/>
            <w:gridSpan w:val="5"/>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measured at fair</w:t>
            </w:r>
          </w:p>
        </w:tc>
        <w:tc>
          <w:tcPr>
            <w:tcW w:w="200" w:type="dxa"/>
            <w:vAlign w:val="bottom"/>
          </w:tcPr>
          <w:p>
            <w:pPr>
              <w:spacing w:after="0"/>
              <w:rPr>
                <w:sz w:val="12"/>
                <w:szCs w:val="12"/>
                <w:color w:val="auto"/>
              </w:rPr>
            </w:pPr>
          </w:p>
        </w:tc>
        <w:tc>
          <w:tcPr>
            <w:tcW w:w="640" w:type="dxa"/>
            <w:vAlign w:val="bottom"/>
            <w:gridSpan w:val="2"/>
            <w:vMerge w:val="restart"/>
          </w:tcPr>
          <w:p>
            <w:pPr>
              <w:jc w:val="right"/>
              <w:ind w:right="161"/>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other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2"/>
              </w:rPr>
              <w:t>expense</w:t>
            </w:r>
          </w:p>
        </w:tc>
        <w:tc>
          <w:tcPr>
            <w:tcW w:w="220" w:type="dxa"/>
            <w:vAlign w:val="bottom"/>
          </w:tcPr>
          <w:p>
            <w:pPr>
              <w:spacing w:after="0"/>
              <w:rPr>
                <w:sz w:val="14"/>
                <w:szCs w:val="14"/>
                <w:color w:val="auto"/>
              </w:rPr>
            </w:pPr>
          </w:p>
        </w:tc>
        <w:tc>
          <w:tcPr>
            <w:tcW w:w="680" w:type="dxa"/>
            <w:vAlign w:val="bottom"/>
            <w:gridSpan w:val="2"/>
          </w:tcPr>
          <w:p>
            <w:pPr>
              <w:jc w:val="center"/>
              <w:ind w:left="245"/>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effect</w:t>
            </w: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$685,515</w:t>
            </w: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5"/>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5"/>
          </w:tcPr>
          <w:p>
            <w:pPr>
              <w:jc w:val="right"/>
              <w:ind w:right="20"/>
              <w:spacing w:after="0"/>
              <w:rPr>
                <w:sz w:val="20"/>
                <w:szCs w:val="20"/>
                <w:color w:val="auto"/>
              </w:rPr>
            </w:pPr>
            <w:r>
              <w:rPr>
                <w:rFonts w:ascii="Arial" w:cs="Arial" w:eastAsia="Arial" w:hAnsi="Arial"/>
                <w:sz w:val="18"/>
                <w:szCs w:val="18"/>
                <w:color w:val="auto"/>
              </w:rPr>
              <w:t>(5,582)</w:t>
            </w:r>
          </w:p>
        </w:tc>
        <w:tc>
          <w:tcPr>
            <w:tcW w:w="70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gridSpan w:val="3"/>
          </w:tcPr>
          <w:p>
            <w:pPr>
              <w:spacing w:after="0"/>
              <w:rPr>
                <w:sz w:val="20"/>
                <w:szCs w:val="20"/>
                <w:color w:val="auto"/>
              </w:rPr>
            </w:pPr>
            <w:r>
              <w:rPr>
                <w:rFonts w:ascii="Arial" w:cs="Arial" w:eastAsia="Arial" w:hAnsi="Arial"/>
                <w:sz w:val="18"/>
                <w:szCs w:val="18"/>
                <w:color w:val="auto"/>
                <w:w w:val="99"/>
              </w:rPr>
              <w:t>(394)</w:t>
            </w:r>
          </w:p>
        </w:tc>
        <w:tc>
          <w:tcPr>
            <w:tcW w:w="840" w:type="dxa"/>
            <w:vAlign w:val="bottom"/>
            <w:gridSpan w:val="3"/>
          </w:tcPr>
          <w:p>
            <w:pPr>
              <w:jc w:val="right"/>
              <w:ind w:right="221"/>
              <w:spacing w:after="0"/>
              <w:rPr>
                <w:sz w:val="20"/>
                <w:szCs w:val="20"/>
                <w:color w:val="auto"/>
              </w:rPr>
            </w:pPr>
            <w:r>
              <w:rPr>
                <w:rFonts w:ascii="Arial" w:cs="Arial" w:eastAsia="Arial" w:hAnsi="Arial"/>
                <w:sz w:val="18"/>
                <w:szCs w:val="18"/>
                <w:color w:val="auto"/>
              </w:rPr>
              <w:t>$ —</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7"/>
              </w:rPr>
              <w:t>$ 679,539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75,154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116,951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gridSpan w:val="2"/>
          </w:tcPr>
          <w:p>
            <w:pPr>
              <w:jc w:val="right"/>
              <w:ind w:right="75"/>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5"/>
          </w:tcPr>
          <w:p>
            <w:pPr>
              <w:jc w:val="right"/>
              <w:ind w:right="20"/>
              <w:spacing w:after="0"/>
              <w:rPr>
                <w:sz w:val="20"/>
                <w:szCs w:val="20"/>
                <w:color w:val="auto"/>
              </w:rPr>
            </w:pPr>
            <w:r>
              <w:rPr>
                <w:rFonts w:ascii="Arial" w:cs="Arial" w:eastAsia="Arial" w:hAnsi="Arial"/>
                <w:sz w:val="18"/>
                <w:szCs w:val="18"/>
                <w:color w:val="auto"/>
              </w:rPr>
              <w:t>(6,781)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110,170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Amortization of purchased intangible assets and</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21,870</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(21,870)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899,490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(21,870)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(13,375)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6"/>
              </w:rPr>
              <w:t>(394)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863,851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149,244</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21,870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13,375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gridSpan w:val="2"/>
          </w:tcPr>
          <w:p>
            <w:pPr>
              <w:jc w:val="right"/>
              <w:ind w:right="24"/>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6,236</w:t>
            </w:r>
          </w:p>
        </w:tc>
        <w:tc>
          <w:tcPr>
            <w:tcW w:w="200" w:type="dxa"/>
            <w:vAlign w:val="bottom"/>
            <w:tcBorders>
              <w:lef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119,067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7"/>
              </w:rPr>
              <w:t>$   21,870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13,375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w w:val="86"/>
              </w:rPr>
              <w:t>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(6,236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$ 148,095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9"/>
          </w:tcPr>
          <w:p>
            <w:pPr>
              <w:jc w:val="center"/>
              <w:ind w:right="401"/>
              <w:spacing w:after="0"/>
              <w:rPr>
                <w:sz w:val="20"/>
                <w:szCs w:val="20"/>
                <w:color w:val="auto"/>
              </w:rPr>
            </w:pPr>
            <w:r>
              <w:rPr>
                <w:rFonts w:ascii="Arial" w:cs="Arial" w:eastAsia="Arial" w:hAnsi="Arial"/>
                <w:sz w:val="14"/>
                <w:szCs w:val="14"/>
                <w:b w:val="1"/>
                <w:bCs w:val="1"/>
                <w:color w:val="auto"/>
                <w:w w:val="91"/>
              </w:rPr>
              <w:t>Three months ended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center"/>
              <w:ind w:left="45"/>
              <w:spacing w:after="0"/>
              <w:rPr>
                <w:sz w:val="20"/>
                <w:szCs w:val="20"/>
                <w:color w:val="auto"/>
              </w:rPr>
            </w:pPr>
            <w:r>
              <w:rPr>
                <w:rFonts w:ascii="Arial" w:cs="Arial" w:eastAsia="Arial" w:hAnsi="Arial"/>
                <w:sz w:val="14"/>
                <w:szCs w:val="14"/>
                <w:b w:val="1"/>
                <w:bCs w:val="1"/>
                <w:color w:val="auto"/>
                <w:w w:val="96"/>
              </w:rPr>
              <w:t>March 31, 2020</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9"/>
          </w:tcPr>
          <w:p>
            <w:pPr>
              <w:jc w:val="right"/>
              <w:ind w:right="681"/>
              <w:spacing w:after="0" w:line="142" w:lineRule="exact"/>
              <w:rPr>
                <w:sz w:val="20"/>
                <w:szCs w:val="20"/>
                <w:color w:val="auto"/>
              </w:rPr>
            </w:pPr>
            <w:r>
              <w:rPr>
                <w:rFonts w:ascii="Arial" w:cs="Arial" w:eastAsia="Arial" w:hAnsi="Arial"/>
                <w:sz w:val="14"/>
                <w:szCs w:val="14"/>
                <w:b w:val="1"/>
                <w:bCs w:val="1"/>
                <w:color w:val="auto"/>
              </w:rPr>
              <w:t>Reconciliation items</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5"/>
            <w:vMerge w:val="restart"/>
          </w:tcPr>
          <w:p>
            <w:pPr>
              <w:jc w:val="center"/>
              <w:ind w:right="6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5"/>
          </w:tcPr>
          <w:p>
            <w:pPr>
              <w:jc w:val="center"/>
              <w:ind w:right="81"/>
              <w:spacing w:after="0" w:line="119" w:lineRule="exact"/>
              <w:rPr>
                <w:sz w:val="20"/>
                <w:szCs w:val="20"/>
                <w:color w:val="auto"/>
              </w:rPr>
            </w:pPr>
            <w:r>
              <w:rPr>
                <w:rFonts w:ascii="Arial" w:cs="Arial" w:eastAsia="Arial" w:hAnsi="Arial"/>
                <w:sz w:val="13"/>
                <w:szCs w:val="13"/>
                <w:b w:val="1"/>
                <w:bCs w:val="1"/>
                <w:color w:val="auto"/>
                <w:w w:val="99"/>
              </w:rPr>
              <w:t>Changes in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4"/>
          </w:tcPr>
          <w:p>
            <w:pPr>
              <w:jc w:val="center"/>
              <w:ind w:right="321"/>
              <w:spacing w:after="0" w:line="149" w:lineRule="exact"/>
              <w:rPr>
                <w:sz w:val="20"/>
                <w:szCs w:val="20"/>
                <w:color w:val="auto"/>
              </w:rPr>
            </w:pPr>
            <w:r>
              <w:rPr>
                <w:rFonts w:ascii="Arial" w:cs="Arial" w:eastAsia="Arial" w:hAnsi="Arial"/>
                <w:sz w:val="14"/>
                <w:szCs w:val="14"/>
                <w:b w:val="1"/>
                <w:bCs w:val="1"/>
                <w:color w:val="auto"/>
                <w:w w:val="91"/>
              </w:rPr>
              <w:t>certain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purchased</w:t>
            </w:r>
          </w:p>
        </w:tc>
        <w:tc>
          <w:tcPr>
            <w:tcW w:w="220" w:type="dxa"/>
            <w:vAlign w:val="bottom"/>
          </w:tcPr>
          <w:p>
            <w:pPr>
              <w:spacing w:after="0"/>
              <w:rPr>
                <w:sz w:val="12"/>
                <w:szCs w:val="12"/>
                <w:color w:val="auto"/>
              </w:rPr>
            </w:pPr>
          </w:p>
        </w:tc>
        <w:tc>
          <w:tcPr>
            <w:tcW w:w="10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Equity based</w:t>
            </w:r>
          </w:p>
        </w:tc>
        <w:tc>
          <w:tcPr>
            <w:tcW w:w="100" w:type="dxa"/>
            <w:vAlign w:val="bottom"/>
          </w:tcPr>
          <w:p>
            <w:pPr>
              <w:spacing w:after="0"/>
              <w:rPr>
                <w:sz w:val="12"/>
                <w:szCs w:val="12"/>
                <w:color w:val="auto"/>
              </w:rPr>
            </w:pPr>
          </w:p>
        </w:tc>
        <w:tc>
          <w:tcPr>
            <w:tcW w:w="1180" w:type="dxa"/>
            <w:vAlign w:val="bottom"/>
            <w:gridSpan w:val="5"/>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intangible</w:t>
            </w:r>
          </w:p>
        </w:tc>
        <w:tc>
          <w:tcPr>
            <w:tcW w:w="22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5"/>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related liabilities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restart"/>
          </w:tcPr>
          <w:p>
            <w:pPr>
              <w:jc w:val="right"/>
              <w:ind w:right="63"/>
              <w:spacing w:after="0"/>
              <w:rPr>
                <w:sz w:val="20"/>
                <w:szCs w:val="20"/>
                <w:color w:val="auto"/>
              </w:rPr>
            </w:pPr>
            <w:r>
              <w:rPr>
                <w:rFonts w:ascii="Arial" w:cs="Arial" w:eastAsia="Arial" w:hAnsi="Arial"/>
                <w:sz w:val="14"/>
                <w:szCs w:val="14"/>
                <w:b w:val="1"/>
                <w:bCs w:val="1"/>
                <w:color w:val="auto"/>
              </w:rPr>
              <w:t>GAAP</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220" w:type="dxa"/>
            <w:vAlign w:val="bottom"/>
          </w:tcPr>
          <w:p>
            <w:pPr>
              <w:spacing w:after="0"/>
              <w:rPr>
                <w:sz w:val="12"/>
                <w:szCs w:val="12"/>
                <w:color w:val="auto"/>
              </w:rPr>
            </w:pPr>
          </w:p>
        </w:tc>
        <w:tc>
          <w:tcPr>
            <w:tcW w:w="10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1180" w:type="dxa"/>
            <w:vAlign w:val="bottom"/>
            <w:gridSpan w:val="5"/>
          </w:tcPr>
          <w:p>
            <w:pPr>
              <w:jc w:val="center"/>
              <w:ind w:right="81"/>
              <w:spacing w:after="0" w:line="149" w:lineRule="exact"/>
              <w:rPr>
                <w:sz w:val="20"/>
                <w:szCs w:val="20"/>
                <w:color w:val="auto"/>
              </w:rPr>
            </w:pPr>
            <w:r>
              <w:rPr>
                <w:rFonts w:ascii="Arial" w:cs="Arial" w:eastAsia="Arial" w:hAnsi="Arial"/>
                <w:sz w:val="14"/>
                <w:szCs w:val="14"/>
                <w:b w:val="1"/>
                <w:bCs w:val="1"/>
                <w:color w:val="auto"/>
                <w:w w:val="94"/>
              </w:rPr>
              <w:t>measured at fair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421"/>
              <w:spacing w:after="0"/>
              <w:rPr>
                <w:sz w:val="20"/>
                <w:szCs w:val="20"/>
                <w:color w:val="auto"/>
              </w:rPr>
            </w:pPr>
            <w:r>
              <w:rPr>
                <w:rFonts w:ascii="Arial" w:cs="Arial" w:eastAsia="Arial" w:hAnsi="Arial"/>
                <w:sz w:val="14"/>
                <w:szCs w:val="14"/>
                <w:b w:val="1"/>
                <w:bCs w:val="1"/>
                <w:color w:val="auto"/>
                <w:w w:val="94"/>
              </w:rPr>
              <w:t>value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3"/>
              </w:rPr>
              <w:t>$683,970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(4,693)</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3"/>
          </w:tcPr>
          <w:p>
            <w:pPr>
              <w:jc w:val="right"/>
              <w:ind w:right="81"/>
              <w:spacing w:after="0"/>
              <w:rPr>
                <w:sz w:val="20"/>
                <w:szCs w:val="20"/>
                <w:color w:val="auto"/>
              </w:rPr>
            </w:pPr>
            <w:r>
              <w:rPr>
                <w:rFonts w:ascii="Arial" w:cs="Arial" w:eastAsia="Arial" w:hAnsi="Arial"/>
                <w:sz w:val="18"/>
                <w:szCs w:val="18"/>
                <w:color w:val="auto"/>
              </w:rPr>
              <w:t>6,284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$ 685,561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68,795</w:t>
            </w: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68,072</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119,108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113,776</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891,221</w:t>
            </w:r>
          </w:p>
        </w:tc>
        <w:tc>
          <w:tcPr>
            <w:tcW w:w="2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(19,348)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(10,748)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6,284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867,409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156,712</w:t>
            </w: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19,348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10,748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(6,284)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180,524</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27,384</w:t>
            </w:r>
          </w:p>
        </w:tc>
        <w:tc>
          <w:tcPr>
            <w:tcW w:w="2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5,161</w:t>
            </w:r>
          </w:p>
        </w:tc>
        <w:tc>
          <w:tcPr>
            <w:tcW w:w="2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127,038</w:t>
            </w:r>
          </w:p>
        </w:tc>
        <w:tc>
          <w:tcPr>
            <w:tcW w:w="2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19,348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(6,284)</w:t>
            </w:r>
          </w:p>
        </w:tc>
        <w:tc>
          <w:tcPr>
            <w:tcW w:w="860" w:type="dxa"/>
            <w:vAlign w:val="bottom"/>
            <w:gridSpan w:val="5"/>
            <w:shd w:val="clear" w:color="auto" w:fill="CCEEFF"/>
          </w:tcPr>
          <w:p>
            <w:pPr>
              <w:jc w:val="right"/>
              <w:ind w:right="21"/>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(5,161)</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$ 145,689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March 31, 2021</w:t>
      </w: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wp:posOffset>
            </wp:positionV>
            <wp:extent cx="51263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ind w:left="6240"/>
        <w:spacing w:after="0" w:line="232" w:lineRule="auto"/>
        <w:rPr>
          <w:sz w:val="20"/>
          <w:szCs w:val="20"/>
          <w:color w:val="auto"/>
        </w:rPr>
      </w:pPr>
      <w:r>
        <w:rPr>
          <w:rFonts w:ascii="Arial" w:cs="Arial" w:eastAsia="Arial" w:hAnsi="Arial"/>
          <w:sz w:val="14"/>
          <w:szCs w:val="14"/>
          <w:b w:val="1"/>
          <w:bCs w:val="1"/>
          <w:color w:val="auto"/>
        </w:rPr>
        <w:t>Reconciliation items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Amortization</w:t>
            </w: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of</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7"/>
            <w:vMerge w:val="restart"/>
          </w:tcPr>
          <w:p>
            <w:pPr>
              <w:jc w:val="right"/>
              <w:ind w:right="280"/>
              <w:spacing w:after="0"/>
              <w:rPr>
                <w:sz w:val="20"/>
                <w:szCs w:val="20"/>
                <w:color w:val="auto"/>
              </w:rPr>
            </w:pPr>
            <w:r>
              <w:rPr>
                <w:rFonts w:ascii="Arial" w:cs="Arial" w:eastAsia="Arial" w:hAnsi="Arial"/>
                <w:sz w:val="14"/>
                <w:szCs w:val="14"/>
                <w:b w:val="1"/>
                <w:bCs w:val="1"/>
                <w:color w:val="auto"/>
                <w:w w:val="92"/>
              </w:rPr>
              <w:t>Changes in certain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purchased</w:t>
            </w:r>
          </w:p>
        </w:tc>
        <w:tc>
          <w:tcPr>
            <w:tcW w:w="9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60" w:type="dxa"/>
            <w:vAlign w:val="bottom"/>
          </w:tcPr>
          <w:p>
            <w:pPr>
              <w:spacing w:after="0"/>
              <w:rPr>
                <w:sz w:val="12"/>
                <w:szCs w:val="12"/>
                <w:color w:val="auto"/>
              </w:rPr>
            </w:pPr>
          </w:p>
        </w:tc>
        <w:tc>
          <w:tcPr>
            <w:tcW w:w="1460" w:type="dxa"/>
            <w:vAlign w:val="bottom"/>
            <w:gridSpan w:val="7"/>
            <w:vMerge w:val="continue"/>
          </w:tcPr>
          <w:p>
            <w:pPr>
              <w:spacing w:after="0"/>
              <w:rPr>
                <w:sz w:val="12"/>
                <w:szCs w:val="12"/>
                <w:color w:val="auto"/>
              </w:rPr>
            </w:pPr>
          </w:p>
        </w:tc>
        <w:tc>
          <w:tcPr>
            <w:tcW w:w="84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9"/>
              </w:rPr>
              <w:t>Gain from</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intangible</w:t>
            </w:r>
          </w:p>
        </w:tc>
        <w:tc>
          <w:tcPr>
            <w:tcW w:w="9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acquisitions related</w:t>
            </w:r>
          </w:p>
        </w:tc>
        <w:tc>
          <w:tcPr>
            <w:tcW w:w="8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GAAP</w:t>
            </w:r>
          </w:p>
        </w:tc>
        <w:tc>
          <w:tcPr>
            <w:tcW w:w="80" w:type="dxa"/>
            <w:vAlign w:val="bottom"/>
          </w:tcPr>
          <w:p>
            <w:pPr>
              <w:spacing w:after="0"/>
              <w:rPr>
                <w:sz w:val="12"/>
                <w:szCs w:val="12"/>
                <w:color w:val="auto"/>
              </w:rPr>
            </w:pPr>
          </w:p>
        </w:tc>
        <w:tc>
          <w:tcPr>
            <w:tcW w:w="100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assets and</w:t>
            </w:r>
          </w:p>
        </w:tc>
        <w:tc>
          <w:tcPr>
            <w:tcW w:w="9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60" w:type="dxa"/>
            <w:vAlign w:val="bottom"/>
          </w:tcPr>
          <w:p>
            <w:pPr>
              <w:spacing w:after="0"/>
              <w:rPr>
                <w:sz w:val="12"/>
                <w:szCs w:val="12"/>
                <w:color w:val="auto"/>
              </w:rPr>
            </w:pPr>
          </w:p>
        </w:tc>
        <w:tc>
          <w:tcPr>
            <w:tcW w:w="146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liabilities measured</w:t>
            </w:r>
          </w:p>
        </w:tc>
        <w:tc>
          <w:tcPr>
            <w:tcW w:w="80" w:type="dxa"/>
            <w:vAlign w:val="bottom"/>
          </w:tcPr>
          <w:p>
            <w:pPr>
              <w:spacing w:after="0"/>
              <w:rPr>
                <w:sz w:val="12"/>
                <w:szCs w:val="12"/>
                <w:color w:val="auto"/>
              </w:rPr>
            </w:pP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sale of a</w:t>
            </w:r>
          </w:p>
        </w:tc>
        <w:tc>
          <w:tcPr>
            <w:tcW w:w="16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2"/>
              </w:rPr>
              <w:t>expense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at fair value</w:t>
            </w:r>
          </w:p>
        </w:tc>
        <w:tc>
          <w:tcPr>
            <w:tcW w:w="8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business</w:t>
            </w: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effect</w:t>
            </w: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1,414,231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(10,523)</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(15,728)</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$1,387,980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150,823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148,979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238,839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(13,585)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225,254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purchased</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and other</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41,740</w:t>
            </w:r>
          </w:p>
        </w:tc>
        <w:tc>
          <w:tcPr>
            <w:tcW w:w="8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(41,740)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1,845,633</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(41,740)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(25,952)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1,762,213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25,952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372,864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(10,032)</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15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a business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226,410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(226,410)</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87,123</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15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(24,534)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25,952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15,728</w:t>
            </w:r>
          </w:p>
        </w:tc>
        <w:tc>
          <w:tcPr>
            <w:tcW w:w="160" w:type="dxa"/>
            <w:vAlign w:val="bottom"/>
            <w:shd w:val="clear" w:color="auto" w:fill="CCEEFF"/>
          </w:tcPr>
          <w:p>
            <w:pPr>
              <w:spacing w:after="0"/>
              <w:rPr>
                <w:sz w:val="18"/>
                <w:szCs w:val="18"/>
                <w:color w:val="auto"/>
              </w:rPr>
            </w:pPr>
          </w:p>
        </w:tc>
        <w:tc>
          <w:tcPr>
            <w:tcW w:w="150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(226,410)  </w:t>
            </w:r>
            <w:r>
              <w:rPr>
                <w:rFonts w:ascii="Arial" w:cs="Arial" w:eastAsia="Arial" w:hAnsi="Arial"/>
                <w:sz w:val="18"/>
                <w:szCs w:val="18"/>
                <w:u w:val="single" w:color="auto"/>
                <w:color w:val="auto"/>
                <w:w w:val="99"/>
              </w:rPr>
              <w:t>$</w:t>
            </w:r>
            <w:r>
              <w:rPr>
                <w:rFonts w:ascii="Arial" w:cs="Arial" w:eastAsia="Arial" w:hAnsi="Arial"/>
                <w:sz w:val="18"/>
                <w:szCs w:val="18"/>
                <w:color w:val="auto"/>
                <w:w w:val="99"/>
              </w:rPr>
              <w:t>824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24,534</w:t>
            </w:r>
          </w:p>
        </w:tc>
        <w:tc>
          <w:tcPr>
            <w:tcW w:w="16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301,067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7"/>
          </w:tcPr>
          <w:p>
            <w:pPr>
              <w:jc w:val="center"/>
              <w:ind w:left="133"/>
              <w:spacing w:after="0"/>
              <w:rPr>
                <w:sz w:val="20"/>
                <w:szCs w:val="20"/>
                <w:color w:val="auto"/>
              </w:rPr>
            </w:pPr>
            <w:r>
              <w:rPr>
                <w:rFonts w:ascii="Arial" w:cs="Arial" w:eastAsia="Arial" w:hAnsi="Arial"/>
                <w:sz w:val="14"/>
                <w:szCs w:val="14"/>
                <w:b w:val="1"/>
                <w:bCs w:val="1"/>
                <w:color w:val="auto"/>
                <w:w w:val="91"/>
              </w:rPr>
              <w:t>Six months ended</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jc w:val="center"/>
              <w:ind w:left="133"/>
              <w:spacing w:after="0"/>
              <w:rPr>
                <w:sz w:val="20"/>
                <w:szCs w:val="20"/>
                <w:color w:val="auto"/>
              </w:rPr>
            </w:pPr>
            <w:r>
              <w:rPr>
                <w:rFonts w:ascii="Arial" w:cs="Arial" w:eastAsia="Arial" w:hAnsi="Arial"/>
                <w:sz w:val="14"/>
                <w:szCs w:val="14"/>
                <w:b w:val="1"/>
                <w:bCs w:val="1"/>
                <w:color w:val="auto"/>
                <w:w w:val="94"/>
              </w:rPr>
              <w:t>March 31, 2020</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7"/>
          </w:tcPr>
          <w:p>
            <w:pPr>
              <w:jc w:val="center"/>
              <w:ind w:left="93"/>
              <w:spacing w:after="0" w:line="142" w:lineRule="exact"/>
              <w:rPr>
                <w:sz w:val="20"/>
                <w:szCs w:val="20"/>
                <w:color w:val="auto"/>
              </w:rPr>
            </w:pPr>
            <w:r>
              <w:rPr>
                <w:rFonts w:ascii="Arial" w:cs="Arial" w:eastAsia="Arial" w:hAnsi="Arial"/>
                <w:sz w:val="14"/>
                <w:szCs w:val="14"/>
                <w:b w:val="1"/>
                <w:bCs w:val="1"/>
                <w:color w:val="auto"/>
                <w:w w:val="92"/>
              </w:rPr>
              <w:t>Reconciliation items</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6"/>
          </w:tcPr>
          <w:p>
            <w:pPr>
              <w:jc w:val="center"/>
              <w:ind w:right="80"/>
              <w:spacing w:after="0" w:line="119" w:lineRule="exact"/>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ind w:left="137"/>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0"/>
              </w:rPr>
              <w:t>Changes in certain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purchased</w:t>
            </w:r>
          </w:p>
        </w:tc>
        <w:tc>
          <w:tcPr>
            <w:tcW w:w="220" w:type="dxa"/>
            <w:vAlign w:val="bottom"/>
          </w:tcPr>
          <w:p>
            <w:pPr>
              <w:spacing w:after="0"/>
              <w:rPr>
                <w:sz w:val="12"/>
                <w:szCs w:val="12"/>
                <w:color w:val="auto"/>
              </w:rPr>
            </w:pPr>
          </w:p>
        </w:tc>
        <w:tc>
          <w:tcPr>
            <w:tcW w:w="102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4"/>
              </w:rPr>
              <w:t>Equity based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2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acquisitions related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GAAP</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2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liabilities measured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expense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at fair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effect</w:t>
            </w: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1,370,282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(10,039)</w:t>
            </w:r>
          </w:p>
        </w:tc>
        <w:tc>
          <w:tcPr>
            <w:tcW w:w="8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3,972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$1,364,215</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136,106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134,580</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242,575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(9,944)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232,631</w:t>
            </w:r>
          </w:p>
        </w:tc>
        <w:tc>
          <w:tcPr>
            <w:tcW w:w="0" w:type="dxa"/>
            <w:vAlign w:val="bottom"/>
          </w:tcPr>
          <w:p>
            <w:pPr>
              <w:spacing w:after="0"/>
              <w:rPr>
                <w:sz w:val="1"/>
                <w:szCs w:val="1"/>
                <w:color w:val="auto"/>
              </w:rPr>
            </w:pPr>
          </w:p>
        </w:tc>
      </w:tr>
      <w:tr>
        <w:trPr>
          <w:trHeight w:val="216"/>
        </w:trPr>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0"/>
              </w:rPr>
              <w:t>Amortization of purchased intangible assets and other</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40,638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(40,638)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1,789,601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(40,638)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center"/>
              <w:ind w:left="73"/>
              <w:spacing w:after="0"/>
              <w:rPr>
                <w:sz w:val="20"/>
                <w:szCs w:val="20"/>
                <w:color w:val="auto"/>
              </w:rPr>
            </w:pPr>
            <w:r>
              <w:rPr>
                <w:rFonts w:ascii="Arial" w:cs="Arial" w:eastAsia="Arial" w:hAnsi="Arial"/>
                <w:sz w:val="18"/>
                <w:szCs w:val="18"/>
                <w:color w:val="auto"/>
                <w:w w:val="83"/>
              </w:rPr>
              <w:t>(21,509)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1,731,426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300,289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40,638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(3,972)</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358,464</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54,677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11,301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242,970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40,638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21,509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(3,972)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(11,301)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289,844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As of</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8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8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968,988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983,188</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194,684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752</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including unbilled of $172,301 and $175,548, respectively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907,017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861,033</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227,560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229,604</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2,298,249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2,074,577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640,253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607,951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Lease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266,719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295,494</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2,883,646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2,874,979</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513,219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488,620</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6,602,086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6,341,621</w:t>
            </w:r>
          </w:p>
        </w:tc>
        <w:tc>
          <w:tcPr>
            <w:tcW w:w="6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961,670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930,259</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Short-term financing arrangement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58,794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59,100</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219,199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126,841</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1,339,663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1,216,200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209,276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230,076</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unamortized debt issuance costs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644,276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644,023</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762,133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586,167</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Amdocs Limited Shareholders’ equity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3,604,229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3,622,646</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6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3,646,738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3,665,155</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6,602,086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6,341,621</w:t>
            </w:r>
          </w:p>
        </w:tc>
        <w:tc>
          <w:tcPr>
            <w:tcW w:w="6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Six months ended</w:t>
      </w:r>
    </w:p>
    <w:p>
      <w:pPr>
        <w:jc w:val="center"/>
        <w:ind w:left="89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100" w:type="dxa"/>
            <w:vAlign w:val="bottom"/>
          </w:tcPr>
          <w:p>
            <w:pPr>
              <w:spacing w:after="0"/>
              <w:rPr>
                <w:sz w:val="12"/>
                <w:szCs w:val="12"/>
                <w:color w:val="auto"/>
              </w:rPr>
            </w:pPr>
          </w:p>
        </w:tc>
        <w:tc>
          <w:tcPr>
            <w:tcW w:w="7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96"/>
        </w:trPr>
        <w:tc>
          <w:tcPr>
            <w:tcW w:w="9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Net income</w:t>
            </w:r>
            <w:r>
              <w:rPr>
                <w:rFonts w:ascii="Arial" w:cs="Arial" w:eastAsia="Arial" w:hAnsi="Arial"/>
                <w:sz w:val="15"/>
                <w:szCs w:val="15"/>
                <w:b w:val="1"/>
                <w:bCs w:val="1"/>
                <w:color w:val="auto"/>
              </w:rPr>
              <w:t>(a)</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$ 418,699</w:t>
            </w:r>
          </w:p>
        </w:tc>
        <w:tc>
          <w:tcPr>
            <w:tcW w:w="1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$ 242,970</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101,298</w:t>
            </w:r>
          </w:p>
        </w:tc>
        <w:tc>
          <w:tcPr>
            <w:tcW w:w="1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98,107</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25,952</w:t>
            </w:r>
          </w:p>
        </w:tc>
        <w:tc>
          <w:tcPr>
            <w:tcW w:w="1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21,509</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sale of a business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(226,410)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(27,778)</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9,150</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(108,799)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19,957</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(11,906)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(22,637)</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(10,763)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(1,653)</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Lease assets and liabilities, net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7,522</w:t>
            </w:r>
          </w:p>
        </w:tc>
        <w:tc>
          <w:tcPr>
            <w:tcW w:w="1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(11,947)</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76,427</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(96,647)</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226,904</w:t>
            </w:r>
          </w:p>
        </w:tc>
        <w:tc>
          <w:tcPr>
            <w:tcW w:w="1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17,616</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41,629</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7,853</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740" w:type="dxa"/>
            <w:vAlign w:val="bottom"/>
          </w:tcPr>
          <w:p>
            <w:pPr>
              <w:jc w:val="right"/>
              <w:spacing w:after="0"/>
              <w:rPr>
                <w:sz w:val="20"/>
                <w:szCs w:val="20"/>
                <w:color w:val="auto"/>
              </w:rPr>
            </w:pPr>
            <w:r>
              <w:rPr>
                <w:rFonts w:ascii="Arial" w:cs="Arial" w:eastAsia="Arial" w:hAnsi="Arial"/>
                <w:sz w:val="18"/>
                <w:szCs w:val="18"/>
                <w:color w:val="auto"/>
              </w:rPr>
              <w:t>22,953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(17,502)</w:t>
            </w:r>
          </w:p>
        </w:tc>
      </w:tr>
      <w:tr>
        <w:trPr>
          <w:trHeight w:val="27"/>
        </w:trPr>
        <w:tc>
          <w:tcPr>
            <w:tcW w:w="9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266,776</w:t>
            </w:r>
          </w:p>
        </w:tc>
      </w:tr>
      <w:tr>
        <w:trPr>
          <w:trHeight w:val="223"/>
        </w:trPr>
        <w:tc>
          <w:tcPr>
            <w:tcW w:w="910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 of property and equipment, net </w:t>
            </w:r>
            <w:r>
              <w:rPr>
                <w:rFonts w:ascii="Arial" w:cs="Arial" w:eastAsia="Arial" w:hAnsi="Arial"/>
                <w:sz w:val="15"/>
                <w:szCs w:val="15"/>
                <w:b w:val="1"/>
                <w:bCs w:val="1"/>
                <w:color w:val="auto"/>
              </w:rPr>
              <w:t>(c)</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(99,310)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(104,705)</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(200,088)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(87,600)</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 of a business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290,789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jc w:val="right"/>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(3,273)</w:t>
            </w:r>
          </w:p>
        </w:tc>
      </w:tr>
      <w:tr>
        <w:trPr>
          <w:trHeight w:val="27"/>
        </w:trPr>
        <w:tc>
          <w:tcPr>
            <w:tcW w:w="9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(91,389)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(107,978)</w:t>
            </w:r>
          </w:p>
        </w:tc>
      </w:tr>
      <w:tr>
        <w:trPr>
          <w:trHeight w:val="223"/>
        </w:trPr>
        <w:tc>
          <w:tcPr>
            <w:tcW w:w="910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350,000</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Repurchase of shares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(450,074)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(210,048)</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78,438</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70,639</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Payments of dividends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(85,934)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(76,770)</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(1,411)</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r>
      <w:tr>
        <w:trPr>
          <w:trHeight w:val="27"/>
        </w:trPr>
        <w:tc>
          <w:tcPr>
            <w:tcW w:w="9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(459,032)</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132,172</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290,970</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983,188</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471,632</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$ 968,988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$ 762,602</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9" w:name="page20"/>
    <w:bookmarkEnd w:id="1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Supplementary Information</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(In millions)</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9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0"/>
                <w:szCs w:val="10"/>
                <w:color w:val="auto"/>
              </w:rPr>
            </w:pPr>
          </w:p>
        </w:tc>
        <w:tc>
          <w:tcPr>
            <w:tcW w:w="11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 w:type="dxa"/>
            <w:vAlign w:val="bottom"/>
          </w:tcPr>
          <w:p>
            <w:pPr>
              <w:spacing w:after="0"/>
              <w:rPr>
                <w:sz w:val="10"/>
                <w:szCs w:val="10"/>
                <w:color w:val="auto"/>
              </w:rPr>
            </w:pPr>
          </w:p>
        </w:tc>
        <w:tc>
          <w:tcPr>
            <w:tcW w:w="76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3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5"/>
          </w:tcPr>
          <w:p>
            <w:pPr>
              <w:ind w:left="100"/>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2"/>
                <w:szCs w:val="12"/>
                <w:b w:val="1"/>
                <w:bCs w:val="1"/>
                <w:color w:val="auto"/>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679.1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w w:val="84"/>
              </w:rPr>
              <w:t>681.6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685.9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Europe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148.8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360"/>
              <w:spacing w:after="0"/>
              <w:rPr>
                <w:sz w:val="20"/>
                <w:szCs w:val="20"/>
                <w:color w:val="auto"/>
              </w:rPr>
            </w:pPr>
            <w:r>
              <w:rPr>
                <w:rFonts w:ascii="Arial" w:cs="Arial" w:eastAsia="Arial" w:hAnsi="Arial"/>
                <w:sz w:val="18"/>
                <w:szCs w:val="18"/>
                <w:color w:val="auto"/>
              </w:rPr>
              <w:t>165.3</w:t>
            </w:r>
          </w:p>
        </w:tc>
        <w:tc>
          <w:tcPr>
            <w:tcW w:w="780" w:type="dxa"/>
            <w:vAlign w:val="bottom"/>
            <w:gridSpan w:val="4"/>
          </w:tcPr>
          <w:p>
            <w:pPr>
              <w:jc w:val="right"/>
              <w:ind w:right="120"/>
              <w:spacing w:after="0"/>
              <w:rPr>
                <w:sz w:val="20"/>
                <w:szCs w:val="20"/>
                <w:color w:val="auto"/>
              </w:rPr>
            </w:pPr>
            <w:r>
              <w:rPr>
                <w:rFonts w:ascii="Arial" w:cs="Arial" w:eastAsia="Arial" w:hAnsi="Arial"/>
                <w:sz w:val="18"/>
                <w:szCs w:val="18"/>
                <w:color w:val="auto"/>
              </w:rPr>
              <w:t>145.4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148.3</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220.8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206.0</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208.3</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Revenue</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1,048.7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1,086.3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w w:val="86"/>
              </w:rPr>
              <w:t>1,052.9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1,026.2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1,047.9</w:t>
            </w:r>
          </w:p>
        </w:tc>
        <w:tc>
          <w:tcPr>
            <w:tcW w:w="6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3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0"/>
                <w:szCs w:val="10"/>
                <w:color w:val="auto"/>
              </w:rPr>
            </w:pPr>
          </w:p>
        </w:tc>
        <w:tc>
          <w:tcPr>
            <w:tcW w:w="1260" w:type="dxa"/>
            <w:vAlign w:val="bottom"/>
            <w:gridSpan w:val="7"/>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3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39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610.5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604.5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60" w:type="dxa"/>
            <w:vAlign w:val="bottom"/>
            <w:shd w:val="clear" w:color="auto" w:fill="CCEEFF"/>
          </w:tcPr>
          <w:p>
            <w:pPr>
              <w:spacing w:after="0"/>
              <w:rPr>
                <w:sz w:val="18"/>
                <w:szCs w:val="18"/>
                <w:color w:val="auto"/>
              </w:rPr>
            </w:pPr>
          </w:p>
        </w:tc>
      </w:tr>
      <w:tr>
        <w:trPr>
          <w:trHeight w:val="398"/>
        </w:trPr>
        <w:tc>
          <w:tcPr>
            <w:tcW w:w="3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0"/>
                <w:szCs w:val="10"/>
                <w:color w:val="auto"/>
              </w:rPr>
            </w:pPr>
          </w:p>
        </w:tc>
        <w:tc>
          <w:tcPr>
            <w:tcW w:w="1260" w:type="dxa"/>
            <w:vAlign w:val="bottom"/>
            <w:gridSpan w:val="7"/>
          </w:tcPr>
          <w:p>
            <w:pPr>
              <w:jc w:val="right"/>
              <w:ind w:right="4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3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r>
      <w:tr>
        <w:trPr>
          <w:trHeight w:val="171"/>
        </w:trPr>
        <w:tc>
          <w:tcPr>
            <w:tcW w:w="3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2021</w:t>
            </w:r>
            <w:r>
              <w:rPr>
                <w:rFonts w:ascii="Arial" w:cs="Arial" w:eastAsia="Arial" w:hAnsi="Arial"/>
                <w:sz w:val="12"/>
                <w:szCs w:val="12"/>
                <w:b w:val="1"/>
                <w:bCs w:val="1"/>
                <w:color w:val="auto"/>
                <w:w w:val="94"/>
              </w:rPr>
              <w:t>(d)</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2"/>
                <w:szCs w:val="12"/>
                <w:b w:val="1"/>
                <w:bCs w:val="1"/>
                <w:color w:val="auto"/>
              </w:rPr>
              <w:t>(d)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3,490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3,620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OpenMarket</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 #</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2021-05-13T05:03:11Z</dcterms:created>
  <dcterms:modified xsi:type="dcterms:W3CDTF">2021-05-13T05:03:11Z</dcterms:modified>
</cp:coreProperties>
</file>