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Room 4561</w:t>
      </w:r>
    </w:p>
    <w:p>
      <w:pPr>
        <w:ind w:left="5060"/>
        <w:spacing w:after="0" w:line="238" w:lineRule="auto"/>
        <w:rPr>
          <w:sz w:val="20"/>
          <w:szCs w:val="20"/>
          <w:color w:val="auto"/>
        </w:rPr>
      </w:pPr>
      <w:r>
        <w:rPr>
          <w:rFonts w:ascii="Courier New" w:cs="Courier New" w:eastAsia="Courier New" w:hAnsi="Courier New"/>
          <w:sz w:val="18"/>
          <w:szCs w:val="18"/>
          <w:color w:val="auto"/>
        </w:rPr>
        <w:t>April 20, 2006</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Dov Baharav</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Amdocs Limited</w:t>
      </w:r>
    </w:p>
    <w:p>
      <w:pPr>
        <w:spacing w:after="0" w:line="237" w:lineRule="auto"/>
        <w:rPr>
          <w:sz w:val="20"/>
          <w:szCs w:val="20"/>
          <w:color w:val="auto"/>
        </w:rPr>
      </w:pPr>
      <w:r>
        <w:rPr>
          <w:rFonts w:ascii="Courier New" w:cs="Courier New" w:eastAsia="Courier New" w:hAnsi="Courier New"/>
          <w:sz w:val="18"/>
          <w:szCs w:val="18"/>
          <w:color w:val="auto"/>
        </w:rPr>
        <w:t>1390 Timberlake Manor Parkway</w:t>
      </w:r>
    </w:p>
    <w:p>
      <w:pPr>
        <w:spacing w:after="0" w:line="238" w:lineRule="auto"/>
        <w:rPr>
          <w:sz w:val="20"/>
          <w:szCs w:val="20"/>
          <w:color w:val="auto"/>
        </w:rPr>
      </w:pPr>
      <w:r>
        <w:rPr>
          <w:rFonts w:ascii="Courier New" w:cs="Courier New" w:eastAsia="Courier New" w:hAnsi="Courier New"/>
          <w:sz w:val="18"/>
          <w:szCs w:val="18"/>
          <w:color w:val="auto"/>
        </w:rPr>
        <w:t>Chesterfield, MO 63017</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860" w:right="4099"/>
        <w:spacing w:after="0" w:line="235" w:lineRule="auto"/>
        <w:rPr>
          <w:sz w:val="20"/>
          <w:szCs w:val="20"/>
          <w:color w:val="auto"/>
        </w:rPr>
      </w:pPr>
      <w:r>
        <w:rPr>
          <w:rFonts w:ascii="Courier New" w:cs="Courier New" w:eastAsia="Courier New" w:hAnsi="Courier New"/>
          <w:sz w:val="18"/>
          <w:szCs w:val="18"/>
          <w:color w:val="auto"/>
        </w:rPr>
        <w:t>Form 20-F for Fiscal Year Ended September 30, 2005 Filed December 28, 2005</w:t>
      </w:r>
    </w:p>
    <w:p>
      <w:pPr>
        <w:ind w:left="860"/>
        <w:spacing w:after="0"/>
        <w:rPr>
          <w:sz w:val="20"/>
          <w:szCs w:val="20"/>
          <w:color w:val="auto"/>
        </w:rPr>
      </w:pPr>
      <w:r>
        <w:rPr>
          <w:rFonts w:ascii="Courier New" w:cs="Courier New" w:eastAsia="Courier New" w:hAnsi="Courier New"/>
          <w:sz w:val="18"/>
          <w:szCs w:val="18"/>
          <w:color w:val="auto"/>
        </w:rPr>
        <w:t>Form 6-K filed January 19, 2006</w:t>
      </w:r>
    </w:p>
    <w:p>
      <w:pPr>
        <w:ind w:left="860"/>
        <w:spacing w:after="0" w:line="238" w:lineRule="auto"/>
        <w:rPr>
          <w:sz w:val="20"/>
          <w:szCs w:val="20"/>
          <w:color w:val="auto"/>
        </w:rPr>
      </w:pPr>
      <w:r>
        <w:rPr>
          <w:rFonts w:ascii="Courier New" w:cs="Courier New" w:eastAsia="Courier New" w:hAnsi="Courier New"/>
          <w:sz w:val="18"/>
          <w:szCs w:val="18"/>
          <w:color w:val="auto"/>
        </w:rPr>
        <w:t>File No. 001-14840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Baharav:</w:t>
      </w:r>
    </w:p>
    <w:p>
      <w:pPr>
        <w:spacing w:after="0" w:line="207" w:lineRule="exact"/>
        <w:rPr>
          <w:sz w:val="24"/>
          <w:szCs w:val="24"/>
          <w:color w:val="auto"/>
        </w:rPr>
      </w:pPr>
    </w:p>
    <w:p>
      <w:pPr>
        <w:jc w:val="both"/>
        <w:ind w:right="3479" w:firstLine="632"/>
        <w:spacing w:after="0" w:line="236" w:lineRule="auto"/>
        <w:rPr>
          <w:sz w:val="20"/>
          <w:szCs w:val="20"/>
          <w:color w:val="auto"/>
        </w:rPr>
      </w:pPr>
      <w:r>
        <w:rPr>
          <w:rFonts w:ascii="Courier New" w:cs="Courier New" w:eastAsia="Courier New" w:hAnsi="Courier New"/>
          <w:sz w:val="18"/>
          <w:szCs w:val="18"/>
          <w:color w:val="auto"/>
        </w:rPr>
        <w:t>We have reviewed the above referenced filings and have the following comments. Please note that we have limited our review to</w:t>
      </w:r>
    </w:p>
    <w:p>
      <w:pPr>
        <w:spacing w:after="0" w:line="6" w:lineRule="exact"/>
        <w:rPr>
          <w:sz w:val="24"/>
          <w:szCs w:val="24"/>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the matters addressed in the comments below. We may ask you to provide us with supplemental information so we may better understand</w:t>
      </w:r>
    </w:p>
    <w:p>
      <w:pPr>
        <w:spacing w:after="0" w:line="6" w:lineRule="exact"/>
        <w:rPr>
          <w:sz w:val="24"/>
          <w:szCs w:val="24"/>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your disclosure. Please be as detailed as necessary in your explanation. After reviewing this information, we may raise additional comments.</w:t>
      </w:r>
    </w:p>
    <w:p>
      <w:pPr>
        <w:spacing w:after="0" w:line="203"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20-F for the Fiscal Year Ended September 30,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 3 - Acquisitions, page F-17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Certen</w:t>
      </w:r>
    </w:p>
    <w:p>
      <w:pPr>
        <w:spacing w:after="0" w:line="207" w:lineRule="exact"/>
        <w:rPr>
          <w:sz w:val="24"/>
          <w:szCs w:val="24"/>
          <w:color w:val="auto"/>
        </w:rPr>
      </w:pPr>
    </w:p>
    <w:p>
      <w:pPr>
        <w:ind w:right="357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regarding a revision to the purchase price</w:t>
      </w:r>
    </w:p>
    <w:p>
      <w:pPr>
        <w:spacing w:after="0" w:line="5"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recorded during 2005 that resulted in a decrease in goodwill. Describe for us the facts and circumstances that led you</w:t>
      </w:r>
    </w:p>
    <w:p>
      <w:pPr>
        <w:spacing w:after="0" w:line="6"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purchase price adjustment. As part of your response,</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describe, in reasonable detail, the nature and amount of the items underlying this revision. Additionally, explain your basis for concluding that it was appropriate to revise the purchase price allocation for the identified items. Explain how you considered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guidance of SFAS 141, pars. 40 and 41.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DST Innovis</w:t>
      </w:r>
    </w:p>
    <w:p>
      <w:pPr>
        <w:spacing w:after="0" w:line="207" w:lineRule="exact"/>
        <w:rPr>
          <w:sz w:val="24"/>
          <w:szCs w:val="24"/>
          <w:color w:val="auto"/>
        </w:rPr>
      </w:pPr>
    </w:p>
    <w:p>
      <w:pPr>
        <w:ind w:right="325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acquisition of DST Innovis on July 1, 2005 and the related purchase price allocation. Describe for us, in reasonable detail, the nature and terms of the "Printing and mailing obligation". Tell us how this amount was determined. Explain when,</w:t>
      </w:r>
    </w:p>
    <w:p>
      <w:pPr>
        <w:spacing w:after="0" w:line="6"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under what circumstances, the liability associated with this obligation will be reversed. Explain why this obligation was considered to be part of the purchase price allocation.</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Explain to us your basis for your conclusion that 15 years 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appropriate amortization period for the acquired customer</w:t>
      </w:r>
    </w:p>
    <w:p>
      <w:pPr>
        <w:sectPr>
          <w:pgSz w:w="11900" w:h="16855" w:orient="portrait"/>
          <w:cols w:equalWidth="0" w:num="1">
            <w:col w:w="10219"/>
          </w:cols>
          <w:pgMar w:left="240" w:top="1055" w:right="1440" w:bottom="0" w:gutter="0" w:footer="0" w:header="0"/>
        </w:sectPr>
      </w:pPr>
    </w:p>
    <w:bookmarkStart w:id="1" w:name="page2"/>
    <w:bookmarkEnd w:id="1"/>
    <w:p>
      <w:pPr>
        <w:ind w:right="3579"/>
        <w:spacing w:after="0" w:line="235" w:lineRule="auto"/>
        <w:rPr>
          <w:sz w:val="20"/>
          <w:szCs w:val="20"/>
          <w:color w:val="auto"/>
        </w:rPr>
      </w:pPr>
      <w:r>
        <w:rPr>
          <w:rFonts w:ascii="Courier New" w:cs="Courier New" w:eastAsia="Courier New" w:hAnsi="Courier New"/>
          <w:sz w:val="18"/>
          <w:szCs w:val="18"/>
          <w:color w:val="auto"/>
        </w:rPr>
        <w:t>arrangements. Describe for us any objective, reliable evidence that</w:t>
      </w:r>
    </w:p>
    <w:p>
      <w:pPr>
        <w:spacing w:after="0"/>
        <w:rPr>
          <w:sz w:val="20"/>
          <w:szCs w:val="20"/>
          <w:color w:val="auto"/>
        </w:rPr>
      </w:pPr>
      <w:r>
        <w:rPr>
          <w:rFonts w:ascii="Courier New" w:cs="Courier New" w:eastAsia="Courier New" w:hAnsi="Courier New"/>
          <w:sz w:val="18"/>
          <w:szCs w:val="18"/>
          <w:color w:val="auto"/>
        </w:rPr>
        <w:t>supports your conclusion.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Longshine</w:t>
      </w:r>
    </w:p>
    <w:p>
      <w:pPr>
        <w:spacing w:after="0" w:line="207"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Tell us whether you acquired a direct, 100% ownership interest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6"/>
          <w:szCs w:val="16"/>
          <w:color w:val="auto"/>
        </w:rPr>
      </w:pPr>
    </w:p>
    <w:p>
      <w:pPr>
        <w:jc w:val="both"/>
        <w:ind w:right="32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Longshine Information Technology as a result of the August 3, 2005 purchase transaction. If not, explain the structure and extent of your ownership interest.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Goodwill and Intangible Assets, Net, page F-25</w:t>
      </w:r>
    </w:p>
    <w:p>
      <w:pPr>
        <w:spacing w:after="0" w:line="207" w:lineRule="exact"/>
        <w:rPr>
          <w:sz w:val="20"/>
          <w:szCs w:val="20"/>
          <w:color w:val="auto"/>
        </w:rPr>
      </w:pPr>
    </w:p>
    <w:p>
      <w:pPr>
        <w:ind w:right="389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disclosure relating to where the amortization expense</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identified intangible assets is included within the statement of</w:t>
      </w:r>
    </w:p>
    <w:p>
      <w:pPr>
        <w:spacing w:after="0" w:line="5" w:lineRule="exact"/>
        <w:rPr>
          <w:rFonts w:ascii="Courier New" w:cs="Courier New" w:eastAsia="Courier New" w:hAnsi="Courier New"/>
          <w:sz w:val="18"/>
          <w:szCs w:val="18"/>
          <w:color w:val="auto"/>
        </w:rPr>
      </w:pPr>
    </w:p>
    <w:p>
      <w:pPr>
        <w:ind w:right="3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operations. Tell us where the amortization expense of each of the identified intangible assets recorded in conjunction with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XACCT,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Innovis and the Longshine acquisitions is reflected.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Convertible Notes, page F-29</w:t>
      </w:r>
    </w:p>
    <w:p>
      <w:pPr>
        <w:spacing w:after="0" w:line="201"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explain to us in thorough detail how you have applied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guidance in EITF Issue 00-19 in evaluating whether the conversion features of the Convertible Senior Notes issued in March 2004 include</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embedded derivatives that you should account for at fair value under</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SFAS 133. For further guidance see pages 30 through 32 in the Division of Corporation Finance Current Accounting and Disclosure Issues Guide at http://www.sec.gov/divisions/corpfin/acctdis120105.pdfin.</w:t>
      </w:r>
    </w:p>
    <w:p>
      <w:pPr>
        <w:spacing w:after="0" w:line="207" w:lineRule="exact"/>
        <w:rPr>
          <w:rFonts w:ascii="Courier New" w:cs="Courier New" w:eastAsia="Courier New" w:hAnsi="Courier New"/>
          <w:sz w:val="18"/>
          <w:szCs w:val="18"/>
          <w:color w:val="auto"/>
        </w:rPr>
      </w:pPr>
    </w:p>
    <w:p>
      <w:pPr>
        <w:ind w:right="419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explain to us in greater detail the nature of negotiated</w:t>
      </w:r>
    </w:p>
    <w:p>
      <w:pPr>
        <w:spacing w:after="0" w:line="5" w:lineRule="exact"/>
        <w:rPr>
          <w:rFonts w:ascii="Courier New" w:cs="Courier New" w:eastAsia="Courier New" w:hAnsi="Courier New"/>
          <w:sz w:val="18"/>
          <w:szCs w:val="18"/>
          <w:color w:val="auto"/>
        </w:rPr>
      </w:pPr>
    </w:p>
    <w:p>
      <w:pPr>
        <w:ind w:right="33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agreements whereby the Board of Directors gave approval for the repurchase of Ordinary Shares sold short by the purchasers of the Notes (i.e. these agreements appear to have been entered into concurrently with the sale of the Notes) in order to offset the dilutive effect of the potential shares issuable upon conversion.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6-K filed January 19, 2006</w:t>
      </w:r>
    </w:p>
    <w:p>
      <w:pPr>
        <w:spacing w:after="0" w:line="207" w:lineRule="exact"/>
        <w:rPr>
          <w:sz w:val="20"/>
          <w:szCs w:val="20"/>
          <w:color w:val="auto"/>
        </w:rPr>
      </w:pPr>
    </w:p>
    <w:p>
      <w:pPr>
        <w:ind w:right="3259" w:firstLine="8"/>
        <w:spacing w:after="0" w:line="237"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the non-GAAP information included in your press release furnished in the Form 6-K filed January 19, 2006. Your non-GAAP presentation does not appear consistent with our guidance and requirements on such presentation. Following are such inconsistencies in greater detail:</w:t>
      </w:r>
    </w:p>
    <w:p>
      <w:pPr>
        <w:spacing w:after="0" w:line="209" w:lineRule="exact"/>
        <w:rPr>
          <w:sz w:val="20"/>
          <w:szCs w:val="20"/>
          <w:color w:val="auto"/>
        </w:rPr>
      </w:pPr>
    </w:p>
    <w:p>
      <w:pPr>
        <w:ind w:right="347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disclosure does not clearly identify those measures which have</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been presented on a non-GAAP basis. However, the presentation includes numerous non-GAAP measures including, but not limited to, non-GAAP cost of services, various non-GAAP operating expense items,</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non-GAAP operating income, non-GAAP income before income taxes, non-</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GAAP net income and non-GAP earnings per share. Note that each line</w:t>
      </w:r>
    </w:p>
    <w:p>
      <w:pPr>
        <w:spacing w:after="0" w:line="5"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sub-total or total, for which an adjustment has been made represents a separate non-GAAP measure that must be separately identified and addressed in the accompanying disclosure. See Items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10(e)(1)(i)(C), 10(e)(1)(i)(D) and 10(e)(2) of Regulation S-K.</w:t>
      </w:r>
    </w:p>
    <w:p>
      <w:pPr>
        <w:spacing w:after="0" w:line="207" w:lineRule="exact"/>
        <w:rPr>
          <w:rFonts w:ascii="Courier New" w:cs="Courier New" w:eastAsia="Courier New" w:hAnsi="Courier New"/>
          <w:sz w:val="18"/>
          <w:szCs w:val="18"/>
          <w:color w:val="auto"/>
        </w:rPr>
      </w:pPr>
    </w:p>
    <w:p>
      <w:pPr>
        <w:ind w:right="409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each of the non-GAAP measures excludes items that are considered</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recurring in nature, you must meet the burden of demonstrating the usefulness of each measure and clearly disclose why each non-GAAP measures is useful when these items are excluded. See Question 8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June 13, 2003 FAQs.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no substantive disclosure that addresses the disclosures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6"/>
          <w:szCs w:val="16"/>
          <w:color w:val="auto"/>
        </w:rPr>
      </w:pPr>
    </w:p>
    <w:p>
      <w:pPr>
        <w:ind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Question 8 of the FAQ. For example, the disclosure does not explain</w:t>
      </w:r>
    </w:p>
    <w:p>
      <w:pPr>
        <w:sectPr>
          <w:pgSz w:w="11900" w:h="16838" w:orient="portrait"/>
          <w:cols w:equalWidth="0" w:num="1">
            <w:col w:w="10219"/>
          </w:cols>
          <w:pgMar w:left="240" w:top="142" w:right="1440" w:bottom="0" w:gutter="0" w:footer="0" w:header="0"/>
        </w:sectPr>
      </w:pPr>
    </w:p>
    <w:bookmarkStart w:id="2" w:name="page3"/>
    <w:bookmarkEnd w:id="2"/>
    <w:p>
      <w:pPr>
        <w:ind w:right="3259"/>
        <w:spacing w:after="0" w:line="237" w:lineRule="auto"/>
        <w:rPr>
          <w:sz w:val="20"/>
          <w:szCs w:val="20"/>
          <w:color w:val="auto"/>
        </w:rPr>
      </w:pPr>
      <w:r>
        <w:rPr>
          <w:rFonts w:ascii="Courier New" w:cs="Courier New" w:eastAsia="Courier New" w:hAnsi="Courier New"/>
          <w:sz w:val="18"/>
          <w:szCs w:val="18"/>
          <w:color w:val="auto"/>
        </w:rPr>
        <w:t>the manner in which management uses each measure and the economic substance behind that decision, why it is useful to an investor to segregate business combination accounting and acquisition related expenses from GAAP results, or how your presentation enables an investor to compare results to periods prior to acquisitions. Further, you do not describe the material limitations associated with</w:t>
      </w:r>
    </w:p>
    <w:p>
      <w:pPr>
        <w:spacing w:after="0" w:line="9"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each measure or the manner in which you compensate for such limitations.</w:t>
      </w:r>
    </w:p>
    <w:p>
      <w:pPr>
        <w:spacing w:after="0" w:line="208" w:lineRule="exact"/>
        <w:rPr>
          <w:sz w:val="20"/>
          <w:szCs w:val="20"/>
          <w:color w:val="auto"/>
        </w:rPr>
      </w:pPr>
    </w:p>
    <w:p>
      <w:pPr>
        <w:ind w:right="335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presentation of consolidated statements of income excluding certain charges. In view of the nature, content and format</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presentation, we question whether it complies with Item 100(b)</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Regulation G.  In this regard we note the following:</w:t>
      </w:r>
    </w:p>
    <w:p>
      <w:pPr>
        <w:spacing w:after="0" w:line="207" w:lineRule="exact"/>
        <w:rPr>
          <w:sz w:val="20"/>
          <w:szCs w:val="20"/>
          <w:color w:val="auto"/>
        </w:rPr>
      </w:pPr>
    </w:p>
    <w:p>
      <w:pPr>
        <w:ind w:right="3779" w:firstLine="8"/>
        <w:spacing w:after="0" w:line="235"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 of a full non-GAAP Statement of Operations may create</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unwarranted impression that the presentation is based on a comprehensive set of accounting rules or principles; and,</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presentation includes the revenue streams from acquired</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but excludes material costs of acquiring those revenue streams.</w:t>
      </w:r>
    </w:p>
    <w:p>
      <w:pPr>
        <w:spacing w:after="0" w:line="208" w:lineRule="exact"/>
        <w:rPr>
          <w:sz w:val="20"/>
          <w:szCs w:val="20"/>
          <w:color w:val="auto"/>
        </w:rPr>
      </w:pPr>
    </w:p>
    <w:p>
      <w:pPr>
        <w:ind w:right="2939" w:firstLine="843"/>
        <w:spacing w:after="0" w:line="236" w:lineRule="auto"/>
        <w:rPr>
          <w:sz w:val="20"/>
          <w:szCs w:val="20"/>
          <w:color w:val="auto"/>
        </w:rPr>
      </w:pPr>
      <w:r>
        <w:rPr>
          <w:rFonts w:ascii="Courier New" w:cs="Courier New" w:eastAsia="Courier New" w:hAnsi="Courier New"/>
          <w:sz w:val="18"/>
          <w:szCs w:val="18"/>
          <w:color w:val="auto"/>
        </w:rPr>
        <w:t>As appropriate, please amend your filing and respond to these comments within 10 business days or tell us when you will provide us</w:t>
      </w:r>
    </w:p>
    <w:p>
      <w:pPr>
        <w:spacing w:after="0" w:line="6"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with a response. Please submit all correspondence and supplemental</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materials on EDGAR as required by Rule 101 of Regulation S-T. You may wish to provide us with marked copies of any amendment to expedite our review. Please furnish a cover letter with any amendment that keys your responses to our comments and provides any</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requested information. Detailed cover letters greatly facilitate our</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review. Please understand that we may have additional comments after</w:t>
      </w:r>
    </w:p>
    <w:p>
      <w:pPr>
        <w:spacing w:after="0"/>
        <w:rPr>
          <w:sz w:val="20"/>
          <w:szCs w:val="20"/>
          <w:color w:val="auto"/>
        </w:rPr>
      </w:pPr>
      <w:r>
        <w:rPr>
          <w:rFonts w:ascii="Courier New" w:cs="Courier New" w:eastAsia="Courier New" w:hAnsi="Courier New"/>
          <w:sz w:val="18"/>
          <w:szCs w:val="18"/>
          <w:color w:val="auto"/>
        </w:rPr>
        <w:t>reviewing any amendment and your responses to our comments.</w:t>
      </w:r>
    </w:p>
    <w:p>
      <w:pPr>
        <w:spacing w:after="0" w:line="207" w:lineRule="exact"/>
        <w:rPr>
          <w:sz w:val="20"/>
          <w:szCs w:val="20"/>
          <w:color w:val="auto"/>
        </w:rPr>
      </w:pPr>
    </w:p>
    <w:p>
      <w:pPr>
        <w:ind w:right="2939" w:firstLine="948"/>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reviewed by the staff to be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certain that they have provided all information investors require for</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an informed decision. Since the company and its management are in possession of all facts relating to a company`s disclosure, they are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responsible for the accuracy and adequacy of the disclosures they have made.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206" w:lineRule="exact"/>
        <w:rPr>
          <w:sz w:val="20"/>
          <w:szCs w:val="20"/>
          <w:color w:val="auto"/>
        </w:rPr>
      </w:pPr>
    </w:p>
    <w:p>
      <w:pPr>
        <w:ind w:right="3359" w:firstLine="8"/>
        <w:spacing w:after="0" w:line="235"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w:t>
      </w:r>
    </w:p>
    <w:p>
      <w:pPr>
        <w:spacing w:after="0" w:line="208"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207"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209" w:lineRule="exact"/>
        <w:rPr>
          <w:sz w:val="20"/>
          <w:szCs w:val="20"/>
          <w:color w:val="auto"/>
        </w:rPr>
      </w:pPr>
    </w:p>
    <w:p>
      <w:pPr>
        <w:ind w:right="2939" w:firstLine="843"/>
        <w:spacing w:after="0" w:line="236" w:lineRule="auto"/>
        <w:rPr>
          <w:sz w:val="20"/>
          <w:szCs w:val="20"/>
          <w:color w:val="auto"/>
        </w:rPr>
      </w:pPr>
      <w:r>
        <w:rPr>
          <w:rFonts w:ascii="Courier New" w:cs="Courier New" w:eastAsia="Courier New" w:hAnsi="Courier New"/>
          <w:sz w:val="18"/>
          <w:szCs w:val="18"/>
          <w:color w:val="auto"/>
        </w:rPr>
        <w:t>You may contact Marc Thomas, Senior Staff Accountant at (202) 551-3452 or me at (202) 551-3489 if you have questions regarding these comments.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ectPr>
          <w:pgSz w:w="11900" w:h="16838" w:orient="portrait"/>
          <w:cols w:equalWidth="0" w:num="1">
            <w:col w:w="10219"/>
          </w:cols>
          <w:pgMar w:left="240" w:top="142" w:right="1440" w:bottom="0" w:gutter="0" w:footer="0" w:header="0"/>
        </w:sectPr>
      </w:pPr>
    </w:p>
    <w:bookmarkStart w:id="3" w:name="page4"/>
    <w:bookmarkEnd w:id="3"/>
    <w:p>
      <w:pPr>
        <w:ind w:left="640"/>
        <w:spacing w:after="0"/>
        <w:rPr>
          <w:sz w:val="20"/>
          <w:szCs w:val="20"/>
          <w:color w:val="auto"/>
        </w:rPr>
      </w:pPr>
      <w:r>
        <w:rPr>
          <w:rFonts w:ascii="Courier New" w:cs="Courier New" w:eastAsia="Courier New" w:hAnsi="Courier New"/>
          <w:sz w:val="18"/>
          <w:szCs w:val="18"/>
          <w:color w:val="auto"/>
        </w:rPr>
        <w:t>Brad Skinner</w:t>
      </w:r>
    </w:p>
    <w:p>
      <w:pPr>
        <w:jc w:val="right"/>
        <w:ind w:right="1879"/>
        <w:spacing w:after="0" w:line="238" w:lineRule="auto"/>
        <w:rPr>
          <w:sz w:val="20"/>
          <w:szCs w:val="20"/>
          <w:color w:val="auto"/>
        </w:rPr>
      </w:pPr>
      <w:r>
        <w:rPr>
          <w:rFonts w:ascii="Courier New" w:cs="Courier New" w:eastAsia="Courier New" w:hAnsi="Courier New"/>
          <w:sz w:val="18"/>
          <w:szCs w:val="18"/>
          <w:color w:val="auto"/>
        </w:rPr>
        <w:t>Accounting Branch Chief</w:t>
      </w:r>
    </w:p>
    <w:p>
      <w:pPr>
        <w:spacing w:after="0"/>
        <w:rPr>
          <w:sz w:val="20"/>
          <w:szCs w:val="20"/>
          <w:color w:val="auto"/>
        </w:rPr>
      </w:pPr>
      <w:r>
        <w:rPr>
          <w:rFonts w:ascii="Courier New" w:cs="Courier New" w:eastAsia="Courier New" w:hAnsi="Courier New"/>
          <w:sz w:val="18"/>
          <w:szCs w:val="18"/>
          <w:color w:val="auto"/>
        </w:rPr>
        <w:t>Mr. Dov Baharav</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April 20, 2006</w:t>
      </w:r>
    </w:p>
    <w:p>
      <w:pPr>
        <w:spacing w:after="0"/>
        <w:rPr>
          <w:sz w:val="20"/>
          <w:szCs w:val="20"/>
          <w:color w:val="auto"/>
        </w:rPr>
      </w:pPr>
      <w:r>
        <w:rPr>
          <w:rFonts w:ascii="Courier New" w:cs="Courier New" w:eastAsia="Courier New" w:hAnsi="Courier New"/>
          <w:sz w:val="18"/>
          <w:szCs w:val="18"/>
          <w:color w:val="auto"/>
        </w:rPr>
        <w:t>Page 5</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6"/>
    </w:lvl>
  </w:abstractNum>
  <w:abstractNum w:abstractNumId="5">
    <w:nsid w:val="7545E146"/>
    <w:multiLevelType w:val="hybridMultilevel"/>
    <w:lvl w:ilvl="0">
      <w:lvlJc w:val="left"/>
      <w:lvlText w:val="%1."/>
      <w:numFmt w:val="decimal"/>
      <w:start w:val="8"/>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2019-12-14T20:53:54Z</dcterms:created>
  <dcterms:modified xsi:type="dcterms:W3CDTF">2019-12-14T20:53:54Z</dcterms:modified>
</cp:coreProperties>
</file>