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13G</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Amdocs Ltd</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Par Value £ .01 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34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G02602103</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34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12/31/2011</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1" w:lineRule="exact"/>
        <w:rPr>
          <w:rFonts w:ascii="MS PGothic" w:cs="MS PGothic" w:eastAsia="MS PGothic" w:hAnsi="MS PGothic"/>
          <w:sz w:val="18"/>
          <w:szCs w:val="18"/>
          <w:color w:val="auto"/>
        </w:rPr>
      </w:pPr>
    </w:p>
    <w:p>
      <w:pPr>
        <w:ind w:left="220" w:hanging="21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9" w:lineRule="exact"/>
        <w:rPr>
          <w:sz w:val="24"/>
          <w:szCs w:val="24"/>
          <w:color w:val="auto"/>
        </w:rPr>
      </w:pPr>
    </w:p>
    <w:p>
      <w:pPr>
        <w:spacing w:after="0" w:line="275"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422"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G02602103</w:t>
      </w:r>
    </w:p>
    <w:p>
      <w:pPr>
        <w:spacing w:after="0" w:line="78"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20"/>
                <w:szCs w:val="20"/>
                <w:color w:val="auto"/>
              </w:rPr>
            </w:pPr>
          </w:p>
        </w:tc>
        <w:tc>
          <w:tcPr>
            <w:tcW w:w="1102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49"/>
        </w:trPr>
        <w:tc>
          <w:tcPr>
            <w:tcW w:w="36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11020" w:type="dxa"/>
            <w:vAlign w:val="bottom"/>
            <w:tcBorders>
              <w:right w:val="single" w:sz="8" w:color="auto"/>
            </w:tcBorders>
            <w:gridSpan w:val="4"/>
          </w:tcPr>
          <w:p>
            <w:pPr>
              <w:ind w:left="80"/>
              <w:spacing w:after="0"/>
              <w:rPr>
                <w:sz w:val="20"/>
                <w:szCs w:val="20"/>
                <w:color w:val="auto"/>
              </w:rPr>
            </w:pPr>
            <w:r>
              <w:rPr>
                <w:rFonts w:ascii="Arial" w:cs="Arial" w:eastAsia="Arial" w:hAnsi="Arial"/>
                <w:sz w:val="22"/>
                <w:szCs w:val="22"/>
                <w:color w:val="auto"/>
              </w:rPr>
              <w:t>Manning &amp; Napier Advisors, LLC</w:t>
            </w:r>
          </w:p>
        </w:tc>
        <w:tc>
          <w:tcPr>
            <w:tcW w:w="0" w:type="dxa"/>
            <w:vAlign w:val="bottom"/>
          </w:tcPr>
          <w:p>
            <w:pPr>
              <w:spacing w:after="0"/>
              <w:rPr>
                <w:sz w:val="1"/>
                <w:szCs w:val="1"/>
                <w:color w:val="auto"/>
              </w:rPr>
            </w:pPr>
          </w:p>
        </w:tc>
      </w:tr>
      <w:tr>
        <w:trPr>
          <w:trHeight w:val="407"/>
        </w:trPr>
        <w:tc>
          <w:tcPr>
            <w:tcW w:w="36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110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5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22"/>
                <w:szCs w:val="22"/>
                <w:color w:val="auto"/>
              </w:rPr>
              <w:t>45-3240790</w:t>
            </w:r>
          </w:p>
        </w:tc>
        <w:tc>
          <w:tcPr>
            <w:tcW w:w="0" w:type="dxa"/>
            <w:vAlign w:val="bottom"/>
          </w:tcPr>
          <w:p>
            <w:pPr>
              <w:spacing w:after="0"/>
              <w:rPr>
                <w:sz w:val="1"/>
                <w:szCs w:val="1"/>
                <w:color w:val="auto"/>
              </w:rPr>
            </w:pPr>
          </w:p>
        </w:tc>
      </w:tr>
      <w:tr>
        <w:trPr>
          <w:trHeight w:val="170"/>
        </w:trPr>
        <w:tc>
          <w:tcPr>
            <w:tcW w:w="36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4"/>
                <w:szCs w:val="14"/>
                <w:color w:val="auto"/>
              </w:rPr>
            </w:pPr>
          </w:p>
        </w:tc>
        <w:tc>
          <w:tcPr>
            <w:tcW w:w="11020" w:type="dxa"/>
            <w:vAlign w:val="bottom"/>
            <w:tcBorders>
              <w:right w:val="single" w:sz="8" w:color="auto"/>
            </w:tcBorders>
            <w:gridSpan w:val="4"/>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360" w:type="dxa"/>
            <w:vAlign w:val="bottom"/>
            <w:tcBorders>
              <w:left w:val="single" w:sz="8" w:color="auto"/>
            </w:tcBorders>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20" w:type="dxa"/>
            <w:vAlign w:val="bottom"/>
          </w:tcPr>
          <w:p>
            <w:pPr>
              <w:spacing w:after="0"/>
              <w:rPr>
                <w:sz w:val="23"/>
                <w:szCs w:val="23"/>
                <w:color w:val="auto"/>
              </w:rPr>
            </w:pPr>
          </w:p>
        </w:tc>
        <w:tc>
          <w:tcPr>
            <w:tcW w:w="10140" w:type="dxa"/>
            <w:vAlign w:val="bottom"/>
            <w:tcBorders>
              <w:right w:val="single" w:sz="8" w:color="auto"/>
            </w:tcBorders>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60" w:type="dxa"/>
            <w:vAlign w:val="bottom"/>
            <w:tcBorders>
              <w:left w:val="single" w:sz="8" w:color="auto"/>
              <w:bottom w:val="single" w:sz="8" w:color="auto"/>
            </w:tcBorders>
          </w:tcPr>
          <w:p>
            <w:pPr>
              <w:spacing w:after="0"/>
              <w:rPr>
                <w:sz w:val="12"/>
                <w:szCs w:val="12"/>
                <w:color w:val="auto"/>
              </w:rPr>
            </w:pPr>
          </w:p>
        </w:tc>
        <w:tc>
          <w:tcPr>
            <w:tcW w:w="60" w:type="dxa"/>
            <w:vAlign w:val="bottom"/>
            <w:tcBorders>
              <w:bottom w:val="single" w:sz="8" w:color="auto"/>
              <w:right w:val="single" w:sz="8" w:color="auto"/>
            </w:tcBorders>
          </w:tcPr>
          <w:p>
            <w:pPr>
              <w:spacing w:after="0"/>
              <w:rPr>
                <w:sz w:val="12"/>
                <w:szCs w:val="12"/>
                <w:color w:val="auto"/>
              </w:rPr>
            </w:pPr>
          </w:p>
        </w:tc>
        <w:tc>
          <w:tcPr>
            <w:tcW w:w="11020" w:type="dxa"/>
            <w:vAlign w:val="bottom"/>
            <w:tcBorders>
              <w:bottom w:val="single" w:sz="8" w:color="auto"/>
              <w:right w:val="single" w:sz="8" w:color="auto"/>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8"/>
                <w:szCs w:val="18"/>
                <w:color w:val="auto"/>
              </w:rPr>
            </w:pPr>
          </w:p>
        </w:tc>
        <w:tc>
          <w:tcPr>
            <w:tcW w:w="110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60" w:type="dxa"/>
            <w:vAlign w:val="bottom"/>
            <w:tcBorders>
              <w:left w:val="single" w:sz="8" w:color="auto"/>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1020" w:type="dxa"/>
            <w:vAlign w:val="bottom"/>
            <w:tcBorders>
              <w:bottom w:val="single" w:sz="8" w:color="auto"/>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8"/>
                <w:szCs w:val="18"/>
                <w:color w:val="auto"/>
              </w:rPr>
            </w:pPr>
          </w:p>
        </w:tc>
        <w:tc>
          <w:tcPr>
            <w:tcW w:w="110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22"/>
                <w:szCs w:val="22"/>
                <w:color w:val="auto"/>
              </w:rPr>
              <w:t>New York</w:t>
            </w:r>
          </w:p>
        </w:tc>
        <w:tc>
          <w:tcPr>
            <w:tcW w:w="0" w:type="dxa"/>
            <w:vAlign w:val="bottom"/>
          </w:tcPr>
          <w:p>
            <w:pPr>
              <w:spacing w:after="0"/>
              <w:rPr>
                <w:sz w:val="1"/>
                <w:szCs w:val="1"/>
                <w:color w:val="auto"/>
              </w:rPr>
            </w:pPr>
          </w:p>
        </w:tc>
      </w:tr>
      <w:tr>
        <w:trPr>
          <w:trHeight w:val="218"/>
        </w:trPr>
        <w:tc>
          <w:tcPr>
            <w:tcW w:w="360" w:type="dxa"/>
            <w:vAlign w:val="bottom"/>
            <w:tcBorders>
              <w:lef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18"/>
                <w:szCs w:val="18"/>
                <w:color w:val="auto"/>
              </w:rPr>
            </w:pPr>
          </w:p>
        </w:tc>
        <w:tc>
          <w:tcPr>
            <w:tcW w:w="10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08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0"/>
              </w:rPr>
              <w:t>Number of</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14,809,643</w:t>
            </w:r>
          </w:p>
        </w:tc>
        <w:tc>
          <w:tcPr>
            <w:tcW w:w="0" w:type="dxa"/>
            <w:vAlign w:val="bottom"/>
          </w:tcPr>
          <w:p>
            <w:pPr>
              <w:spacing w:after="0"/>
              <w:rPr>
                <w:sz w:val="1"/>
                <w:szCs w:val="1"/>
                <w:color w:val="auto"/>
              </w:rPr>
            </w:pPr>
          </w:p>
        </w:tc>
      </w:tr>
      <w:tr>
        <w:trPr>
          <w:trHeight w:val="228"/>
        </w:trPr>
        <w:tc>
          <w:tcPr>
            <w:tcW w:w="360" w:type="dxa"/>
            <w:vAlign w:val="bottom"/>
            <w:tcBorders>
              <w:left w:val="single" w:sz="8" w:color="auto"/>
            </w:tcBorders>
          </w:tcPr>
          <w:p>
            <w:pPr>
              <w:spacing w:after="0"/>
              <w:rPr>
                <w:sz w:val="19"/>
                <w:szCs w:val="19"/>
                <w:color w:val="auto"/>
              </w:rPr>
            </w:pPr>
          </w:p>
        </w:tc>
        <w:tc>
          <w:tcPr>
            <w:tcW w:w="720" w:type="dxa"/>
            <w:vAlign w:val="bottom"/>
            <w:tcBorders>
              <w:right w:val="single" w:sz="8" w:color="auto"/>
            </w:tcBorders>
            <w:gridSpan w:val="2"/>
          </w:tcPr>
          <w:p>
            <w:pPr>
              <w:jc w:val="center"/>
              <w:ind w:right="165"/>
              <w:spacing w:after="0"/>
              <w:rPr>
                <w:sz w:val="20"/>
                <w:szCs w:val="20"/>
                <w:color w:val="auto"/>
              </w:rPr>
            </w:pPr>
            <w:r>
              <w:rPr>
                <w:rFonts w:ascii="Arial" w:cs="Arial" w:eastAsia="Arial" w:hAnsi="Arial"/>
                <w:sz w:val="18"/>
                <w:szCs w:val="18"/>
                <w:color w:val="auto"/>
                <w:w w:val="80"/>
              </w:rPr>
              <w:t>Shares</w:t>
            </w: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19"/>
                <w:szCs w:val="19"/>
                <w:color w:val="auto"/>
              </w:rPr>
            </w:pPr>
          </w:p>
        </w:tc>
        <w:tc>
          <w:tcPr>
            <w:tcW w:w="10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4"/>
              </w:rPr>
              <w:t>Beneficially</w:t>
            </w: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8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8"/>
              </w:rPr>
              <w:t>Owned by</w:t>
            </w: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1008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Borders>
              <w:lef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Borders>
              <w:right w:val="single" w:sz="8" w:color="auto"/>
            </w:tcBorders>
          </w:tcPr>
          <w:p>
            <w:pPr>
              <w:jc w:val="center"/>
              <w:ind w:right="205"/>
              <w:spacing w:after="0" w:line="190" w:lineRule="exact"/>
              <w:rPr>
                <w:sz w:val="20"/>
                <w:szCs w:val="20"/>
                <w:color w:val="auto"/>
              </w:rPr>
            </w:pPr>
            <w:r>
              <w:rPr>
                <w:rFonts w:ascii="Arial" w:cs="Arial" w:eastAsia="Arial" w:hAnsi="Arial"/>
                <w:sz w:val="18"/>
                <w:szCs w:val="18"/>
                <w:color w:val="auto"/>
                <w:w w:val="87"/>
              </w:rPr>
              <w:t>Each</w:t>
            </w:r>
          </w:p>
        </w:tc>
        <w:tc>
          <w:tcPr>
            <w:tcW w:w="22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60" w:type="dxa"/>
            <w:vAlign w:val="bottom"/>
            <w:tcBorders>
              <w:right w:val="single" w:sz="8" w:color="auto"/>
            </w:tcBorders>
          </w:tcPr>
          <w:p>
            <w:pPr>
              <w:spacing w:after="0"/>
              <w:rPr>
                <w:sz w:val="16"/>
                <w:szCs w:val="16"/>
                <w:color w:val="auto"/>
              </w:rPr>
            </w:pPr>
          </w:p>
        </w:tc>
        <w:tc>
          <w:tcPr>
            <w:tcW w:w="10080" w:type="dxa"/>
            <w:vAlign w:val="bottom"/>
            <w:tcBorders>
              <w:right w:val="single" w:sz="8" w:color="auto"/>
            </w:tcBorders>
          </w:tcPr>
          <w:p>
            <w:pPr>
              <w:ind w:left="10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89"/>
              </w:rPr>
              <w:t>Reporting</w:t>
            </w: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16,730,588</w:t>
            </w: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720" w:type="dxa"/>
            <w:vAlign w:val="bottom"/>
            <w:tcBorders>
              <w:right w:val="single" w:sz="8" w:color="auto"/>
            </w:tcBorders>
            <w:gridSpan w:val="2"/>
          </w:tcPr>
          <w:p>
            <w:pPr>
              <w:jc w:val="center"/>
              <w:ind w:right="145"/>
              <w:spacing w:after="0"/>
              <w:rPr>
                <w:sz w:val="20"/>
                <w:szCs w:val="20"/>
                <w:color w:val="auto"/>
              </w:rPr>
            </w:pPr>
            <w:r>
              <w:rPr>
                <w:rFonts w:ascii="Arial" w:cs="Arial" w:eastAsia="Arial" w:hAnsi="Arial"/>
                <w:sz w:val="18"/>
                <w:szCs w:val="18"/>
                <w:color w:val="auto"/>
                <w:w w:val="84"/>
              </w:rPr>
              <w:t>Person</w:t>
            </w: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tcBorders>
          </w:tcPr>
          <w:p>
            <w:pPr>
              <w:spacing w:after="0"/>
              <w:rPr>
                <w:sz w:val="4"/>
                <w:szCs w:val="4"/>
                <w:color w:val="auto"/>
              </w:rPr>
            </w:pPr>
          </w:p>
        </w:tc>
        <w:tc>
          <w:tcPr>
            <w:tcW w:w="720" w:type="dxa"/>
            <w:vAlign w:val="bottom"/>
            <w:tcBorders>
              <w:right w:val="single" w:sz="8" w:color="auto"/>
            </w:tcBorders>
            <w:gridSpan w:val="2"/>
            <w:vMerge w:val="restart"/>
          </w:tcPr>
          <w:p>
            <w:pPr>
              <w:jc w:val="center"/>
              <w:ind w:right="145"/>
              <w:spacing w:after="0"/>
              <w:rPr>
                <w:sz w:val="20"/>
                <w:szCs w:val="20"/>
                <w:color w:val="auto"/>
              </w:rPr>
            </w:pPr>
            <w:r>
              <w:rPr>
                <w:rFonts w:ascii="Arial" w:cs="Arial" w:eastAsia="Arial" w:hAnsi="Arial"/>
                <w:sz w:val="18"/>
                <w:szCs w:val="18"/>
                <w:color w:val="auto"/>
                <w:w w:val="97"/>
              </w:rPr>
              <w:t>With:</w:t>
            </w: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0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720" w:type="dxa"/>
            <w:vAlign w:val="bottom"/>
            <w:tcBorders>
              <w:right w:val="single" w:sz="8" w:color="auto"/>
            </w:tcBorders>
            <w:gridSpan w:val="2"/>
            <w:vMerge w:val="continue"/>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right w:val="single" w:sz="8" w:color="auto"/>
            </w:tcBorders>
          </w:tcPr>
          <w:p>
            <w:pPr>
              <w:spacing w:after="0"/>
              <w:rPr>
                <w:sz w:val="18"/>
                <w:szCs w:val="18"/>
                <w:color w:val="auto"/>
              </w:rPr>
            </w:pPr>
          </w:p>
        </w:tc>
        <w:tc>
          <w:tcPr>
            <w:tcW w:w="10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8"/>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8"/>
                <w:szCs w:val="18"/>
                <w:color w:val="auto"/>
              </w:rPr>
            </w:pPr>
          </w:p>
        </w:tc>
        <w:tc>
          <w:tcPr>
            <w:tcW w:w="940" w:type="dxa"/>
            <w:vAlign w:val="bottom"/>
            <w:gridSpan w:val="3"/>
          </w:tcPr>
          <w:p>
            <w:pPr>
              <w:ind w:left="80"/>
              <w:spacing w:after="0"/>
              <w:rPr>
                <w:sz w:val="20"/>
                <w:szCs w:val="20"/>
                <w:color w:val="auto"/>
              </w:rPr>
            </w:pPr>
            <w:r>
              <w:rPr>
                <w:rFonts w:ascii="Arial" w:cs="Arial" w:eastAsia="Arial" w:hAnsi="Arial"/>
                <w:sz w:val="18"/>
                <w:szCs w:val="18"/>
                <w:color w:val="auto"/>
                <w:w w:val="98"/>
              </w:rPr>
              <w:t>Aggregate</w:t>
            </w:r>
          </w:p>
        </w:tc>
        <w:tc>
          <w:tcPr>
            <w:tcW w:w="10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1"/>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22"/>
                <w:szCs w:val="22"/>
                <w:color w:val="auto"/>
              </w:rPr>
              <w:t>16,730,588</w:t>
            </w:r>
          </w:p>
        </w:tc>
        <w:tc>
          <w:tcPr>
            <w:tcW w:w="0" w:type="dxa"/>
            <w:vAlign w:val="bottom"/>
          </w:tcPr>
          <w:p>
            <w:pPr>
              <w:spacing w:after="0"/>
              <w:rPr>
                <w:sz w:val="1"/>
                <w:szCs w:val="1"/>
                <w:color w:val="auto"/>
              </w:rPr>
            </w:pPr>
          </w:p>
        </w:tc>
      </w:tr>
      <w:tr>
        <w:trPr>
          <w:trHeight w:val="218"/>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18"/>
                <w:szCs w:val="18"/>
                <w:color w:val="auto"/>
              </w:rPr>
            </w:pPr>
          </w:p>
        </w:tc>
        <w:tc>
          <w:tcPr>
            <w:tcW w:w="110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10"/>
        </w:trPr>
        <w:tc>
          <w:tcPr>
            <w:tcW w:w="420" w:type="dxa"/>
            <w:vAlign w:val="bottom"/>
            <w:tcBorders>
              <w:left w:val="single" w:sz="8" w:color="auto"/>
              <w:bottom w:val="single" w:sz="8" w:color="auto"/>
              <w:right w:val="single" w:sz="8" w:color="auto"/>
            </w:tcBorders>
            <w:gridSpan w:val="2"/>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2"/>
          </w:tcPr>
          <w:p>
            <w:pPr>
              <w:spacing w:after="0"/>
              <w:rPr>
                <w:sz w:val="18"/>
                <w:szCs w:val="18"/>
                <w:color w:val="auto"/>
              </w:rPr>
            </w:pPr>
          </w:p>
        </w:tc>
        <w:tc>
          <w:tcPr>
            <w:tcW w:w="10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10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w w:val="86"/>
              </w:rPr>
              <w:t>9.58%</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8"/>
                <w:szCs w:val="18"/>
                <w:color w:val="auto"/>
              </w:rPr>
            </w:pPr>
          </w:p>
        </w:tc>
        <w:tc>
          <w:tcPr>
            <w:tcW w:w="110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1"/>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IA</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80"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 Name of Issuer:</w:t>
      </w:r>
    </w:p>
    <w:p>
      <w:pPr>
        <w:spacing w:after="0" w:line="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Amdocs Ltd.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1(b): Address of Issuer’s Principal Executive Offices:</w:t>
      </w:r>
    </w:p>
    <w:p>
      <w:pPr>
        <w:spacing w:after="0" w:line="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1390 Timberlake Manor Parkway</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Chesterfield, Missouri 63017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Item 2(a): Name of Person Filing:</w:t>
      </w:r>
    </w:p>
    <w:p>
      <w:pPr>
        <w:spacing w:after="0" w:line="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Manning &amp; Napier Advisors,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2(b): Address of Principal Business Office, or, if none, Residence:</w:t>
      </w:r>
    </w:p>
    <w:p>
      <w:pPr>
        <w:spacing w:after="0" w:line="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290 Woodcliff Drive</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Fairport, NY 14450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Item 2(c): Citizenship:</w:t>
      </w:r>
    </w:p>
    <w:p>
      <w:pPr>
        <w:spacing w:after="0" w:line="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New York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2(d): Title of Class of Securities:</w:t>
      </w:r>
    </w:p>
    <w:p>
      <w:pPr>
        <w:spacing w:after="0" w:line="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Common Stock, Par Value </w:t>
      </w:r>
      <w:r>
        <w:rPr>
          <w:rFonts w:ascii="Arial" w:cs="Arial" w:eastAsia="Arial" w:hAnsi="Arial"/>
          <w:sz w:val="18"/>
          <w:szCs w:val="18"/>
          <w:b w:val="1"/>
          <w:bCs w:val="1"/>
          <w:color w:val="auto"/>
        </w:rPr>
        <w:t>£0 .01</w:t>
      </w:r>
      <w:r>
        <w:rPr>
          <w:rFonts w:ascii="Arial" w:cs="Arial" w:eastAsia="Arial" w:hAnsi="Arial"/>
          <w:sz w:val="18"/>
          <w:szCs w:val="18"/>
          <w:color w:val="auto"/>
        </w:rPr>
        <w:t xml:space="preserve"> per share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Item 2(e): CUSIP Number:</w:t>
      </w:r>
    </w:p>
    <w:p>
      <w:pPr>
        <w:spacing w:after="0" w:line="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G02602103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3: If this statement is filed pursuant to 240.13d-1(b) or 240.13d-2(b) or (c), check whether the person filing is a:</w:t>
      </w:r>
    </w:p>
    <w:p>
      <w:pPr>
        <w:spacing w:after="0" w:line="5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 </w:t>
      </w: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Item 4: Ownership: Provide the following information regarding the aggregate number and percentage of the class of securities of the issuer identified in Item 1.</w:t>
      </w:r>
    </w:p>
    <w:p>
      <w:pPr>
        <w:spacing w:after="0" w:line="113"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 16,730,588</w:t>
      </w:r>
    </w:p>
    <w:p>
      <w:pPr>
        <w:spacing w:after="0" w:line="15"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9.58%</w:t>
      </w:r>
    </w:p>
    <w:p>
      <w:pPr>
        <w:spacing w:after="0" w:line="164"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vote or to direct the vote: 14,809,643</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16,730,588</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Item 5: Ownership of Five Percent or Less of a Class: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6: Ownership of More than Five Percent on Behalf of Another Person: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ectPr>
          <w:pgSz w:w="11900" w:h="16838" w:orient="portrait"/>
          <w:cols w:equalWidth="0" w:num="1">
            <w:col w:w="11280"/>
          </w:cols>
          <w:pgMar w:left="240" w:top="280"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 Identification and Classification of the Subsidiary Which Acquired the Security Being Reported on By the Parent Holding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8: Identification and Classification of Members of the Group: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9: Notice of Dissolution of a Group: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10: Certification:</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1/27/2012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wp:posOffset>
            </wp:positionV>
            <wp:extent cx="786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8676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Date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 /s/ Michelle Thomas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Michelle Thomas, Corporate Secretary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Name/Title</w:t>
      </w:r>
    </w:p>
    <w:sectPr>
      <w:pgSz w:w="11900" w:h="16838" w:orient="portrait"/>
      <w:cols w:equalWidth="0" w:num="1">
        <w:col w:w="11360"/>
      </w:cols>
      <w:pgMar w:left="24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2019-12-09T13:22:15Z</dcterms:created>
  <dcterms:modified xsi:type="dcterms:W3CDTF">2019-12-09T13:22:15Z</dcterms:modified>
</cp:coreProperties>
</file>