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8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For the month of February, 2016</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February 2, 2016, Amdocs Limited (“Amdocs”) issued a press release announcing financial results for the quarter ended December 31, 2015. A copy of the press release is furnished as Exhibit 99.1 to this Report of Foreign Private Issuer on Form 6-K.</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100"/>
          </w:cols>
          <w:pgMar w:left="240" w:top="274" w:right="5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2016</w:t>
      </w:r>
    </w:p>
    <w:p>
      <w:pPr>
        <w:sectPr>
          <w:pgSz w:w="11900" w:h="16838" w:orient="portrait"/>
          <w:cols w:equalWidth="0" w:num="1">
            <w:col w:w="11260"/>
          </w:cols>
          <w:pgMar w:left="240" w:top="270" w:right="39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80"/>
        <w:spacing w:after="0"/>
        <w:tabs>
          <w:tab w:leader="none" w:pos="12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8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8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February 2, 2016.</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172085</wp:posOffset>
            </wp:positionV>
            <wp:extent cx="1329055" cy="351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9055" cy="3517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520"/>
        <w:spacing w:after="0"/>
        <w:rPr>
          <w:sz w:val="20"/>
          <w:szCs w:val="20"/>
          <w:color w:val="auto"/>
        </w:rPr>
      </w:pPr>
      <w:r>
        <w:rPr>
          <w:rFonts w:ascii="Arial" w:cs="Arial" w:eastAsia="Arial" w:hAnsi="Arial"/>
          <w:sz w:val="25"/>
          <w:szCs w:val="25"/>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0" w:lineRule="exact"/>
        <w:rPr>
          <w:sz w:val="20"/>
          <w:szCs w:val="20"/>
          <w:color w:val="auto"/>
        </w:rPr>
      </w:pPr>
    </w:p>
    <w:p>
      <w:pPr>
        <w:jc w:val="center"/>
        <w:spacing w:after="0" w:line="252" w:lineRule="auto"/>
        <w:rPr>
          <w:sz w:val="20"/>
          <w:szCs w:val="20"/>
          <w:color w:val="auto"/>
        </w:rPr>
      </w:pPr>
      <w:r>
        <w:rPr>
          <w:rFonts w:ascii="Arial" w:cs="Arial" w:eastAsia="Arial" w:hAnsi="Arial"/>
          <w:sz w:val="21"/>
          <w:szCs w:val="21"/>
          <w:b w:val="1"/>
          <w:bCs w:val="1"/>
          <w:i w:val="1"/>
          <w:iCs w:val="1"/>
          <w:color w:val="auto"/>
        </w:rPr>
        <w:t>Amdocs Limited Reports Quarterly Revenue of $922M, Above the Midpoint of Guidance on a Constant Currency Basis Reiterates FY16 Revenue Growth of 2.0-6.0% YoY in Constant Currency Reiterates FY16 Non-GAAP Diluted EPS Growth Outlook of 3.5%-7.5% YoY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31" w:lineRule="exact"/>
        <w:rPr>
          <w:sz w:val="20"/>
          <w:szCs w:val="20"/>
          <w:color w:val="auto"/>
        </w:rPr>
      </w:pPr>
    </w:p>
    <w:p>
      <w:pPr>
        <w:ind w:left="900" w:right="8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fiscal quarter revenue of $922 million, within the $905-$945 million guidance range, including foreign currency movements that negatively affected revenue by approximately $5 million relative to the fourth quarter of fiscal 2015. Revenue was slightly above the midpoint of Amdocs’ guidance, excluding foreign currency movements</w:t>
      </w:r>
    </w:p>
    <w:p>
      <w:pPr>
        <w:spacing w:after="0" w:line="86"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has approved a share repurchase plan authorizing the repurchase of up to $750 million of ordinary shares at the company’s discretion; this plan has no expiration date and is in addition to the current authorization, which, as of December 31, 2015, provided for up to $160 million of remaining repurchase authority</w:t>
      </w:r>
    </w:p>
    <w:p>
      <w:pPr>
        <w:spacing w:after="0" w:line="86" w:lineRule="exact"/>
        <w:rPr>
          <w:rFonts w:ascii="Arial" w:cs="Arial" w:eastAsia="Arial" w:hAnsi="Arial"/>
          <w:sz w:val="18"/>
          <w:szCs w:val="18"/>
          <w:color w:val="auto"/>
        </w:rPr>
      </w:pPr>
    </w:p>
    <w:p>
      <w:pPr>
        <w:ind w:left="900" w:right="80" w:hanging="325"/>
        <w:spacing w:after="0" w:line="308"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First fiscal quarter diluted non-GAAP EPS of $0.86, above the midpoint of the $0.82-$0.88 guidance range, excluding amortization of purchased intangible assets and other acquisition-related costs, and equity-based compensation expense, net of related tax effects</w:t>
      </w:r>
    </w:p>
    <w:p>
      <w:pPr>
        <w:spacing w:after="0" w:line="51" w:lineRule="exact"/>
        <w:rPr>
          <w:rFonts w:ascii="Arial" w:cs="Arial" w:eastAsia="Arial" w:hAnsi="Arial"/>
          <w:sz w:val="17"/>
          <w:szCs w:val="17"/>
          <w:color w:val="auto"/>
        </w:rPr>
      </w:pPr>
    </w:p>
    <w:p>
      <w:pPr>
        <w:ind w:left="900" w:right="5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fiscal quarter non-GAAP operating income of $157 million; non-GAAP operating margin of 17.0%; GAAP operating income of $120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$0.66 for the first fiscal quarter, in line with the high-end of the $0.59-$0.67 guidance range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$163 million for the first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$100 million of ordinary shares during the first fiscal quarter</w:t>
      </w:r>
    </w:p>
    <w:p>
      <w:pPr>
        <w:sectPr>
          <w:pgSz w:w="11900" w:h="16838" w:orient="portrait"/>
          <w:cols w:equalWidth="0" w:num="1">
            <w:col w:w="11420"/>
          </w:cols>
          <w:pgMar w:left="240" w:top="121" w:right="239" w:bottom="1440" w:gutter="0" w:footer="0" w:header="0"/>
        </w:sectPr>
      </w:pPr>
    </w:p>
    <w:bookmarkStart w:id="5" w:name="page6"/>
    <w:bookmarkEnd w:id="5"/>
    <w:p>
      <w:pPr>
        <w:ind w:left="900" w:hanging="325"/>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Twelve-month backlog of $3.09 billion at the end of the first fiscal quarter, up $10 million from the end of the fourth quarter of fiscal 2015</w:t>
      </w:r>
    </w:p>
    <w:p>
      <w:pPr>
        <w:spacing w:after="0" w:line="142" w:lineRule="exact"/>
        <w:rPr>
          <w:rFonts w:ascii="Arial" w:cs="Arial" w:eastAsia="Arial" w:hAnsi="Arial"/>
          <w:sz w:val="17"/>
          <w:szCs w:val="17"/>
          <w:color w:val="auto"/>
        </w:rPr>
      </w:pPr>
    </w:p>
    <w:p>
      <w:pPr>
        <w:ind w:left="900" w:right="1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board of directors approved a $0.195 per share quarterly cash dividend to be paid on April 15, 2016, subject to shareholders’ approval at the February 2016 annual general meeting</w:t>
      </w:r>
    </w:p>
    <w:p>
      <w:pPr>
        <w:spacing w:after="0" w:line="75" w:lineRule="exact"/>
        <w:rPr>
          <w:rFonts w:ascii="Arial" w:cs="Arial" w:eastAsia="Arial" w:hAnsi="Arial"/>
          <w:sz w:val="18"/>
          <w:szCs w:val="18"/>
          <w:color w:val="auto"/>
        </w:rPr>
      </w:pPr>
    </w:p>
    <w:p>
      <w:pPr>
        <w:ind w:left="900" w:right="40" w:hanging="325"/>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Second quarter fiscal 2016 guidance: Expected revenue of approximately $905-$945 million. Expected diluted non-GAAP EPS of approximately $0.84-$0.90, excluding amortization of purchased intangible assets and other acquisition-related costs and approximately $0.05-$0.06 per share of equity-based compensation expense, net of related tax effects. Expected diluted GAAP EPS of approximately $0.63-$0.71</w:t>
      </w:r>
    </w:p>
    <w:p>
      <w:pPr>
        <w:spacing w:after="0" w:line="52" w:lineRule="exact"/>
        <w:rPr>
          <w:rFonts w:ascii="Arial" w:cs="Arial" w:eastAsia="Arial" w:hAnsi="Arial"/>
          <w:sz w:val="16"/>
          <w:szCs w:val="16"/>
          <w:color w:val="auto"/>
        </w:rPr>
      </w:pPr>
    </w:p>
    <w:p>
      <w:pPr>
        <w:ind w:left="900" w:right="14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year fiscal 2016 guidance: Reiterates fiscal 2016 revenue growth of 2.0-6.0% year-over-year excluding the effects of foreign currency movements. Expects fiscal 2016 revenue growth of 0.5-4.5% year-over-year, including a negative impact from foreign currency movements of approximately 1.5% year-over-year, and non-GAAP diluted earnings per share growth of roughly 3.5-7.5% year-over-year, including the impact of share repurchase activity anticipated over the course of the fiscal year</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ST. LOUIS – February 2, 2016 </w:t>
      </w:r>
      <w:r>
        <w:rPr>
          <w:rFonts w:ascii="Arial" w:cs="Arial" w:eastAsia="Arial" w:hAnsi="Arial"/>
          <w:sz w:val="17"/>
          <w:szCs w:val="17"/>
          <w:color w:val="auto"/>
        </w:rPr>
        <w:t>– Amdocs Limited (NASDAQ: DOX) today reported that for its first fiscal quarter ended December 31, 2015, revenue was</w:t>
      </w:r>
      <w:r>
        <w:rPr>
          <w:rFonts w:ascii="Arial" w:cs="Arial" w:eastAsia="Arial" w:hAnsi="Arial"/>
          <w:sz w:val="17"/>
          <w:szCs w:val="17"/>
          <w:b w:val="1"/>
          <w:bCs w:val="1"/>
          <w:color w:val="auto"/>
        </w:rPr>
        <w:t xml:space="preserve"> </w:t>
      </w:r>
      <w:r>
        <w:rPr>
          <w:rFonts w:ascii="Arial" w:cs="Arial" w:eastAsia="Arial" w:hAnsi="Arial"/>
          <w:sz w:val="17"/>
          <w:szCs w:val="17"/>
          <w:color w:val="auto"/>
        </w:rPr>
        <w:t>$921.5 million, down 0.6% or $5.3 million sequentially from the fourth fiscal quarter of 2015 and up 1.7% as compared to last year’s first fiscal quarter. Revenue for the first fiscal quarter of 2016 includes a negative impact from foreign currency movements of approximately $5 million relative to the fourth quarter of fiscal 2015. Net income on a non-GAAP basis was $132.0 million, or $0.86 per diluted share, compared to non-GAAP net income of $139.5 million, or $0.88 per diluted share, in the first quarter of fiscal 2015. Non-GAAP net income excludes amortization of purchased intangible assets and other acquisition-related costs and equity-based compensation expenses of $31.2 million, net of related tax effects, in the first quarter of fiscal 2016, and excludes such amortization and other acquisition-related costs, changes in fair value of certain acquisition-related liabilities and equity-based compensation expenses of $8.5 million, net of related tax effects, in the first quarter of fiscal 2015. The Company’s</w:t>
      </w:r>
    </w:p>
    <w:p>
      <w:pPr>
        <w:sectPr>
          <w:pgSz w:w="11900" w:h="16838" w:orient="portrait"/>
          <w:cols w:equalWidth="0" w:num="1">
            <w:col w:w="11420"/>
          </w:cols>
          <w:pgMar w:left="240" w:top="274" w:right="239" w:bottom="1440" w:gutter="0" w:footer="0" w:header="0"/>
        </w:sectPr>
      </w:pPr>
    </w:p>
    <w:bookmarkStart w:id="6" w:name="page7"/>
    <w:bookmarkEnd w:id="6"/>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GAAP net income for the first quarter of fiscal 2016 was $100.8 million, or $0.66 per diluted share, compared to GAAP net income of $131.0 million, or $0.83 per diluted share, in the prior fiscal year’s first quarter.</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started fiscal year 2016 with solid results. Revenue, non-GAAP operating margin and diluted non-GAAP earnings per share were in line with our expectations and reflected an acceleration of our activities outside North America. We achieved record Rest of World revenue as we focused on the deployment of several highly complex projects, and we believe we are on track to sustain double-digit growth in this region in fiscal 2016. Europe revenue was healthy as we continued to expand with subsidiaries and affiliates of some of the region’s leading service providers, including new business with Vodafone Ireland, for which Amdocs was selected as managing systems integrator to lead a major quad-play transformation project. Overall, we are proud of our growth in Europe and Rest of World, which we have achieved while maintaining operating margin at the higher end of our long-term target range of 16.2% to 17.2%,” said Eli Gelman, president and chief executive officer of Amdocs Management Limited.</w:t>
      </w:r>
    </w:p>
    <w:p>
      <w:pPr>
        <w:spacing w:after="0" w:line="17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Gelman continued, “During the first quarter we also focused on developing the many new customer relationships we acquired through our purchase of the Comverse BSS assets in fiscal 2015. Along these lines, we are today pleased to announce new projects for Amdocs Kenan and Amdocs C1 solutions with a number of service providers. These include projects at Liberty Global in Switzerland and at Telefônica Brasil, following its acquisition of GVT. We believe activities such as these highlight sustained business momentum with former Comverse customers and demonstrate Amdocs’ commitment to providing additional value, innovation, and a broader range of products and services for these customers.”</w:t>
      </w:r>
    </w:p>
    <w:p>
      <w:pPr>
        <w:spacing w:after="0" w:line="17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Gelman concluded, “As we enter our second quarter, we believe we are on track to deliver full year fiscal 2016 revenue growth within our previously guided range of 2% to 6% on a constant currency basis. We still expect potential opportunities such as those at AT&amp;T and the former Comverse customers to result in a stronger second half, although our outlook continues to reflect many moving parts, including with respect to consolidation activity</w:t>
      </w:r>
    </w:p>
    <w:p>
      <w:pPr>
        <w:sectPr>
          <w:pgSz w:w="11900" w:h="16838" w:orient="portrait"/>
          <w:cols w:equalWidth="0" w:num="1">
            <w:col w:w="11420"/>
          </w:cols>
          <w:pgMar w:left="240" w:top="274" w:right="239" w:bottom="1440" w:gutter="0" w:footer="0" w:header="0"/>
        </w:sectPr>
      </w:pPr>
    </w:p>
    <w:bookmarkStart w:id="7" w:name="page8"/>
    <w:bookmarkEnd w:id="7"/>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amongst wireless and Pay TV operators. We are focused on delivering consistent execution and we remain comfortable with our diluted non-GAAP earnings per share growth outlook of 3.5% to 7.5% for the full 2016 fiscal year. Furthermore, we remain committed to the disciplined and proactive allocation of cash to shareholders over the short and long term. Accordingly, our board has authorized an additional $750 million share repurchase plan. This is in addition to the $160 million that remained as of December 31, 2015 under the previous $750 million authorization, and will be executed at the company’s discretion going forward, whether in open market or privately negotiated transactions.”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First Fiscal Quarter Results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Free cash flow was $163 million for the first quarter of fiscal 2016, comprised of cash flow from operations of $199 million, less $36 million in net capital expenditures and other.</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$3.09 billion at the end of the first quarter of fiscal 2016, up $10 million from the end of the prior quarter.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Amdocs expects that revenue for the second quarter of fiscal 2016 will be approximately $905-$945 million. This outlook takes into consideration the company’s expectations regarding macro and industry specific risks and various uncertainties resulting from current and potential customer consolidation activity in North America. However, Amdocs notes that it cannot predict all possible outcomes.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Diluted earnings per share on a non-GAAP basis for the second quarter of fiscal 2016 is expected to be $0.84-$0.90, excluding amortization of purchased intangible assets and other acquisition-related costs and approximately $0.05-$0.06 per share of equity-based compensation expense, net of related tax effects. Amdocs estimates GAAP diluted earnings per share for the second fiscal quarter of 2016 will be $0.63-$0.71.</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Quarterly Cash Dividend Program</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 2016, the Board approved the Company’s next quarterly cash dividend payment of $0.195 per share and set March 31, 2016 as the record date for determining the shareholders entitled to receive the dividend, which will be payable on April 15, 2016. The increased dividend is subject to shareholders’ approval at the Company’s Annual General Meeting to be held on February 3,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Amdocs will host a conference call on February 2, 2016 at 5:00 p.m. Eastern Time to discuss the Company’s first quarter of fiscal 2016. To participate, please dial +1 (330) 863-3318, or +1 (855) 870-4313 outside the United States, approximately 15 minutes before the call and enter passcode 10014702. The call will also be carried live on the Internet via the Amdocs website, www.amdocs.com.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interest and other expense, net, non-GAAP income taxes, non-GAAP net income and non-GAAP diluted earnings per share growth. These non-GAAP measures exclude the following items:</w:t>
      </w:r>
    </w:p>
    <w:p>
      <w:pPr>
        <w:spacing w:after="0" w:line="9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fair value of certain acquisition-related liabilities;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w:t>
      </w:r>
    </w:p>
    <w:p>
      <w:pPr>
        <w:sectPr>
          <w:pgSz w:w="11900" w:h="16838" w:orient="portrait"/>
          <w:cols w:equalWidth="0" w:num="1">
            <w:col w:w="11380"/>
          </w:cols>
          <w:pgMar w:left="240" w:top="270" w:right="279" w:bottom="1440" w:gutter="0" w:footer="0" w:header="0"/>
        </w:sectPr>
      </w:pPr>
    </w:p>
    <w:bookmarkStart w:id="9" w:name="page10"/>
    <w:bookmarkEnd w:id="9"/>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associated with Amdocs’ results of operations as determined in accordance with GAAP and that these measures should only be used to evaluate Amdocs’ results of operations in conjunction with the corresponding GAAP measures.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interest and other expense, net, non-GAAP income taxes,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acquisition-related costs, changes in fair value of certain acquisition-related liabilities,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9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 net, income taxes and net income), it is useful to investors to understand how</w:t>
      </w:r>
    </w:p>
    <w:p>
      <w:pPr>
        <w:sectPr>
          <w:pgSz w:w="11900" w:h="16838" w:orient="portrait"/>
          <w:cols w:equalWidth="0" w:num="1">
            <w:col w:w="11320"/>
          </w:cols>
          <w:pgMar w:left="240" w:top="274" w:right="339" w:bottom="1440" w:gutter="0" w:footer="0" w:header="0"/>
        </w:sectPr>
      </w:pPr>
    </w:p>
    <w:bookmarkStart w:id="10" w:name="page11"/>
    <w:bookmarkEnd w:id="10"/>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specific line items in the Consolidated Statements of Income are affected by these adjustments. Please refer to the Reconciliation of Selected Financial Metrics from GAAP to Non-GAAP tables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Amdocs is the market-leader in customer experience software solutions and services for the world’s largest communications, entertainment and media service providers. Our portfolio powers The New World of Customer Experience™, where a wide array of innovative and personalized services are delivered seamlessly to end users, regardless of device or network.</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more than 30 years, Amdocs solutions, which include BSS, OSS, network control and optimization, coupled with our professional and managed services, have accelerated business value for our customers by streamlining complex operating environments, reducing costs and speeding time to market for new products and services.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Amdocs and our more than 24,000 employees serve customers in over 90 countries. Listed on the NASDAQ Global Select Market, Amdocs had revenue of $3.6 billion in fiscal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Amdocs at www.amdocs.com.</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w:t>
      </w:r>
    </w:p>
    <w:p>
      <w:pPr>
        <w:sectPr>
          <w:pgSz w:w="11900" w:h="16838" w:orient="portrait"/>
          <w:cols w:equalWidth="0" w:num="1">
            <w:col w:w="11380"/>
          </w:cols>
          <w:pgMar w:left="240" w:top="274" w:right="279" w:bottom="1440" w:gutter="0" w:footer="0" w:header="0"/>
        </w:sectPr>
      </w:pPr>
    </w:p>
    <w:bookmarkStart w:id="11" w:name="page12"/>
    <w:bookmarkEnd w:id="1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2015 filed on December 10, 2015.</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180"/>
          </w:cols>
          <w:pgMar w:left="240" w:top="274" w:right="4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w:t>
      </w:r>
    </w:p>
    <w:p>
      <w:pPr>
        <w:jc w:val="center"/>
        <w:ind w:left="95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921,505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906,287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595,568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573,446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62,487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63,641</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119,548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113,580</w:t>
            </w:r>
          </w:p>
        </w:tc>
        <w:tc>
          <w:tcPr>
            <w:tcW w:w="0" w:type="dxa"/>
            <w:vAlign w:val="bottom"/>
          </w:tcPr>
          <w:p>
            <w:pPr>
              <w:spacing w:after="0"/>
              <w:rPr>
                <w:sz w:val="1"/>
                <w:szCs w:val="1"/>
                <w:color w:val="auto"/>
              </w:rPr>
            </w:pPr>
          </w:p>
        </w:tc>
      </w:tr>
      <w:tr>
        <w:trPr>
          <w:trHeight w:val="223"/>
        </w:trPr>
        <w:tc>
          <w:tcPr>
            <w:tcW w:w="962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14,099</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801,970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764,766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119,535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117,870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143,065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12,075</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100,842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130,990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150,631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155,897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153,053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158,110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40"/>
        <w:spacing w:after="0"/>
        <w:rPr>
          <w:sz w:val="20"/>
          <w:szCs w:val="20"/>
          <w:color w:val="auto"/>
        </w:rPr>
      </w:pPr>
      <w:r>
        <w:rPr>
          <w:rFonts w:ascii="Arial" w:cs="Arial" w:eastAsia="Arial" w:hAnsi="Arial"/>
          <w:sz w:val="14"/>
          <w:szCs w:val="14"/>
          <w:b w:val="1"/>
          <w:bCs w:val="1"/>
          <w:color w:val="auto"/>
        </w:rPr>
        <w:t>Three months ended</w:t>
      </w:r>
    </w:p>
    <w:p>
      <w:pPr>
        <w:jc w:val="center"/>
        <w:ind w:left="95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4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921,505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906,287</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156,872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152,962</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132,020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139,485</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153,053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158,110</w:t>
            </w: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8080"/>
        <w:spacing w:after="0" w:line="233" w:lineRule="auto"/>
        <w:rPr>
          <w:sz w:val="20"/>
          <w:szCs w:val="20"/>
          <w:color w:val="auto"/>
        </w:rPr>
      </w:pPr>
      <w:r>
        <w:rPr>
          <w:rFonts w:ascii="Arial" w:cs="Arial" w:eastAsia="Arial" w:hAnsi="Arial"/>
          <w:sz w:val="14"/>
          <w:szCs w:val="14"/>
          <w:b w:val="1"/>
          <w:bCs w:val="1"/>
          <w:color w:val="auto"/>
        </w:rPr>
        <w:t>Reconciliation items</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Borders>
              <w:top w:val="single" w:sz="8" w:color="auto"/>
            </w:tcBorders>
            <w:gridSpan w:val="5"/>
          </w:tcPr>
          <w:p>
            <w:pPr>
              <w:jc w:val="center"/>
              <w:ind w:right="20"/>
              <w:spacing w:after="0" w:line="119" w:lineRule="exact"/>
              <w:rPr>
                <w:sz w:val="20"/>
                <w:szCs w:val="20"/>
                <w:color w:val="auto"/>
              </w:rPr>
            </w:pPr>
            <w:r>
              <w:rPr>
                <w:rFonts w:ascii="Arial" w:cs="Arial" w:eastAsia="Arial" w:hAnsi="Arial"/>
                <w:sz w:val="13"/>
                <w:szCs w:val="13"/>
                <w:b w:val="1"/>
                <w:bCs w:val="1"/>
                <w:color w:val="auto"/>
              </w:rPr>
              <w:t>Amortization</w:t>
            </w: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of purchased</w:t>
            </w:r>
          </w:p>
        </w:tc>
        <w:tc>
          <w:tcPr>
            <w:tcW w:w="380" w:type="dxa"/>
            <w:vAlign w:val="bottom"/>
          </w:tcPr>
          <w:p>
            <w:pPr>
              <w:spacing w:after="0"/>
              <w:rPr>
                <w:sz w:val="12"/>
                <w:szCs w:val="12"/>
                <w:color w:val="auto"/>
              </w:rPr>
            </w:pPr>
          </w:p>
        </w:tc>
        <w:tc>
          <w:tcPr>
            <w:tcW w:w="1260" w:type="dxa"/>
            <w:vAlign w:val="bottom"/>
            <w:gridSpan w:val="7"/>
            <w:vMerge w:val="restart"/>
          </w:tcPr>
          <w:p>
            <w:pPr>
              <w:jc w:val="center"/>
              <w:ind w:right="300"/>
              <w:spacing w:after="0"/>
              <w:rPr>
                <w:sz w:val="20"/>
                <w:szCs w:val="20"/>
                <w:color w:val="auto"/>
              </w:rPr>
            </w:pPr>
            <w:r>
              <w:rPr>
                <w:rFonts w:ascii="Arial" w:cs="Arial" w:eastAsia="Arial" w:hAnsi="Arial"/>
                <w:sz w:val="14"/>
                <w:szCs w:val="14"/>
                <w:b w:val="1"/>
                <w:bCs w:val="1"/>
                <w:color w:val="auto"/>
                <w:w w:val="91"/>
              </w:rPr>
              <w:t>Equity based</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intangible</w:t>
            </w:r>
          </w:p>
        </w:tc>
        <w:tc>
          <w:tcPr>
            <w:tcW w:w="380" w:type="dxa"/>
            <w:vAlign w:val="bottom"/>
          </w:tcPr>
          <w:p>
            <w:pPr>
              <w:spacing w:after="0"/>
              <w:rPr>
                <w:sz w:val="12"/>
                <w:szCs w:val="12"/>
                <w:color w:val="auto"/>
              </w:rPr>
            </w:pPr>
          </w:p>
        </w:tc>
        <w:tc>
          <w:tcPr>
            <w:tcW w:w="1260" w:type="dxa"/>
            <w:vAlign w:val="bottom"/>
            <w:gridSpan w:val="7"/>
            <w:vMerge w:val="continue"/>
          </w:tcPr>
          <w:p>
            <w:pPr>
              <w:spacing w:after="0"/>
              <w:rPr>
                <w:sz w:val="12"/>
                <w:szCs w:val="12"/>
                <w:color w:val="auto"/>
              </w:rPr>
            </w:pPr>
          </w:p>
        </w:tc>
        <w:tc>
          <w:tcPr>
            <w:tcW w:w="86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380" w:type="dxa"/>
            <w:vAlign w:val="bottom"/>
          </w:tcPr>
          <w:p>
            <w:pPr>
              <w:spacing w:after="0"/>
              <w:rPr>
                <w:sz w:val="12"/>
                <w:szCs w:val="12"/>
                <w:color w:val="auto"/>
              </w:rPr>
            </w:pPr>
          </w:p>
        </w:tc>
        <w:tc>
          <w:tcPr>
            <w:tcW w:w="84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assets and</w:t>
            </w:r>
          </w:p>
        </w:tc>
        <w:tc>
          <w:tcPr>
            <w:tcW w:w="380" w:type="dxa"/>
            <w:vAlign w:val="bottom"/>
          </w:tcPr>
          <w:p>
            <w:pPr>
              <w:spacing w:after="0"/>
              <w:rPr>
                <w:sz w:val="12"/>
                <w:szCs w:val="12"/>
                <w:color w:val="auto"/>
              </w:rPr>
            </w:pPr>
          </w:p>
        </w:tc>
        <w:tc>
          <w:tcPr>
            <w:tcW w:w="126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8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7"/>
              </w:rPr>
              <w:t>other</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5"/>
              </w:rPr>
              <w:t>expense</w:t>
            </w:r>
          </w:p>
        </w:tc>
        <w:tc>
          <w:tcPr>
            <w:tcW w:w="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effect</w:t>
            </w:r>
          </w:p>
        </w:tc>
        <w:tc>
          <w:tcPr>
            <w:tcW w:w="1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240" w:type="dxa"/>
            <w:vAlign w:val="bottom"/>
            <w:gridSpan w:val="7"/>
          </w:tcPr>
          <w:p>
            <w:pPr>
              <w:jc w:val="right"/>
              <w:ind w:right="20"/>
              <w:spacing w:after="0"/>
              <w:rPr>
                <w:sz w:val="20"/>
                <w:szCs w:val="20"/>
                <w:color w:val="auto"/>
              </w:rPr>
            </w:pPr>
            <w:r>
              <w:rPr>
                <w:rFonts w:ascii="Arial" w:cs="Arial" w:eastAsia="Arial" w:hAnsi="Arial"/>
                <w:sz w:val="18"/>
                <w:szCs w:val="18"/>
                <w:color w:val="auto"/>
              </w:rPr>
              <w:t>$595,568</w:t>
            </w:r>
          </w:p>
        </w:tc>
        <w:tc>
          <w:tcPr>
            <w:tcW w:w="58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920" w:type="dxa"/>
            <w:vAlign w:val="bottom"/>
            <w:gridSpan w:val="4"/>
          </w:tcPr>
          <w:p>
            <w:pPr>
              <w:jc w:val="right"/>
              <w:ind w:right="170"/>
              <w:spacing w:after="0"/>
              <w:rPr>
                <w:sz w:val="20"/>
                <w:szCs w:val="20"/>
                <w:color w:val="auto"/>
              </w:rPr>
            </w:pPr>
            <w:r>
              <w:rPr>
                <w:rFonts w:ascii="Arial" w:cs="Arial" w:eastAsia="Arial" w:hAnsi="Arial"/>
                <w:sz w:val="18"/>
                <w:szCs w:val="18"/>
                <w:color w:val="auto"/>
              </w:rPr>
              <w:t>(4,124)</w:t>
            </w:r>
          </w:p>
        </w:tc>
        <w:tc>
          <w:tcPr>
            <w:tcW w:w="80" w:type="dxa"/>
            <w:vAlign w:val="bottom"/>
          </w:tcPr>
          <w:p>
            <w:pPr>
              <w:spacing w:after="0"/>
              <w:rPr>
                <w:sz w:val="18"/>
                <w:szCs w:val="18"/>
                <w:color w:val="auto"/>
              </w:rPr>
            </w:pPr>
          </w:p>
        </w:tc>
        <w:tc>
          <w:tcPr>
            <w:tcW w:w="860" w:type="dxa"/>
            <w:vAlign w:val="bottom"/>
            <w:gridSpan w:val="4"/>
          </w:tcPr>
          <w:p>
            <w:pPr>
              <w:jc w:val="right"/>
              <w:ind w:right="38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$591,444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62,487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(842)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gridSpan w:val="7"/>
          </w:tcPr>
          <w:p>
            <w:pPr>
              <w:jc w:val="right"/>
              <w:ind w:right="20"/>
              <w:spacing w:after="0"/>
              <w:rPr>
                <w:sz w:val="20"/>
                <w:szCs w:val="20"/>
                <w:color w:val="auto"/>
              </w:rPr>
            </w:pPr>
            <w:r>
              <w:rPr>
                <w:rFonts w:ascii="Arial" w:cs="Arial" w:eastAsia="Arial" w:hAnsi="Arial"/>
                <w:sz w:val="18"/>
                <w:szCs w:val="18"/>
                <w:color w:val="auto"/>
              </w:rPr>
              <w:t>119,548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170"/>
              <w:spacing w:after="0"/>
              <w:rPr>
                <w:sz w:val="20"/>
                <w:szCs w:val="20"/>
                <w:color w:val="auto"/>
              </w:rPr>
            </w:pPr>
            <w:r>
              <w:rPr>
                <w:rFonts w:ascii="Arial" w:cs="Arial" w:eastAsia="Arial" w:hAnsi="Arial"/>
                <w:sz w:val="18"/>
                <w:szCs w:val="18"/>
                <w:color w:val="auto"/>
              </w:rPr>
              <w:t>(8,004)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24,367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w w:val="89"/>
              </w:rPr>
              <w:t>(24,367)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801,970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0"/>
              </w:rPr>
              <w:t>(24,367)</w:t>
            </w:r>
          </w:p>
        </w:tc>
        <w:tc>
          <w:tcPr>
            <w:tcW w:w="400" w:type="dxa"/>
            <w:vAlign w:val="bottom"/>
            <w:gridSpan w:val="2"/>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(12,970)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764,633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4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119,535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24,367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color w:val="auto"/>
              </w:rPr>
              <w:t>12,970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17,028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6,159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100,842</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24,367</w:t>
            </w:r>
          </w:p>
        </w:tc>
        <w:tc>
          <w:tcPr>
            <w:tcW w:w="5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color w:val="auto"/>
              </w:rPr>
              <w:t>12,970</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(6,159)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gridSpan w:val="10"/>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10"/>
          </w:tcPr>
          <w:p>
            <w:pPr>
              <w:jc w:val="center"/>
              <w:ind w:right="400"/>
              <w:spacing w:after="0"/>
              <w:rPr>
                <w:sz w:val="20"/>
                <w:szCs w:val="20"/>
                <w:color w:val="auto"/>
              </w:rPr>
            </w:pPr>
            <w:r>
              <w:rPr>
                <w:rFonts w:ascii="Arial" w:cs="Arial" w:eastAsia="Arial" w:hAnsi="Arial"/>
                <w:sz w:val="14"/>
                <w:szCs w:val="14"/>
                <w:b w:val="1"/>
                <w:bCs w:val="1"/>
                <w:color w:val="auto"/>
                <w:w w:val="91"/>
              </w:rPr>
              <w:t>December 31, 2014</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10"/>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6"/>
              </w:rPr>
              <w:t>Changes in</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of purchased</w:t>
            </w:r>
          </w:p>
        </w:tc>
        <w:tc>
          <w:tcPr>
            <w:tcW w:w="260" w:type="dxa"/>
            <w:vAlign w:val="bottom"/>
          </w:tcPr>
          <w:p>
            <w:pPr>
              <w:spacing w:after="0"/>
              <w:rPr>
                <w:sz w:val="12"/>
                <w:szCs w:val="12"/>
                <w:color w:val="auto"/>
              </w:rPr>
            </w:pPr>
          </w:p>
        </w:tc>
        <w:tc>
          <w:tcPr>
            <w:tcW w:w="9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200" w:type="dxa"/>
            <w:vAlign w:val="bottom"/>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of certain</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intangible</w:t>
            </w:r>
          </w:p>
        </w:tc>
        <w:tc>
          <w:tcPr>
            <w:tcW w:w="260" w:type="dxa"/>
            <w:vAlign w:val="bottom"/>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40" w:type="dxa"/>
            <w:vAlign w:val="bottom"/>
          </w:tcPr>
          <w:p>
            <w:pPr>
              <w:spacing w:after="0"/>
              <w:rPr>
                <w:sz w:val="12"/>
                <w:szCs w:val="12"/>
                <w:color w:val="auto"/>
              </w:rPr>
            </w:pPr>
          </w:p>
        </w:tc>
        <w:tc>
          <w:tcPr>
            <w:tcW w:w="6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GAAP</w:t>
            </w:r>
          </w:p>
        </w:tc>
        <w:tc>
          <w:tcPr>
            <w:tcW w:w="300" w:type="dxa"/>
            <w:vAlign w:val="bottom"/>
          </w:tcPr>
          <w:p>
            <w:pPr>
              <w:spacing w:after="0"/>
              <w:rPr>
                <w:sz w:val="12"/>
                <w:szCs w:val="12"/>
                <w:color w:val="auto"/>
              </w:rPr>
            </w:pPr>
          </w:p>
        </w:tc>
        <w:tc>
          <w:tcPr>
            <w:tcW w:w="8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5"/>
              </w:rPr>
              <w:t>assets and</w:t>
            </w:r>
          </w:p>
        </w:tc>
        <w:tc>
          <w:tcPr>
            <w:tcW w:w="260" w:type="dxa"/>
            <w:vAlign w:val="bottom"/>
          </w:tcPr>
          <w:p>
            <w:pPr>
              <w:spacing w:after="0"/>
              <w:rPr>
                <w:sz w:val="12"/>
                <w:szCs w:val="12"/>
                <w:color w:val="auto"/>
              </w:rPr>
            </w:pPr>
          </w:p>
        </w:tc>
        <w:tc>
          <w:tcPr>
            <w:tcW w:w="9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8"/>
              </w:rPr>
              <w:t>compensation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related</w:t>
            </w:r>
          </w:p>
        </w:tc>
        <w:tc>
          <w:tcPr>
            <w:tcW w:w="24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w w:val="97"/>
              </w:rPr>
              <w:t>other</w:t>
            </w:r>
          </w:p>
        </w:tc>
        <w:tc>
          <w:tcPr>
            <w:tcW w:w="260" w:type="dxa"/>
            <w:vAlign w:val="bottom"/>
          </w:tcPr>
          <w:p>
            <w:pPr>
              <w:spacing w:after="0"/>
              <w:rPr>
                <w:sz w:val="14"/>
                <w:szCs w:val="14"/>
                <w:color w:val="auto"/>
              </w:rPr>
            </w:pPr>
          </w:p>
        </w:tc>
        <w:tc>
          <w:tcPr>
            <w:tcW w:w="960" w:type="dxa"/>
            <w:vAlign w:val="bottom"/>
            <w:gridSpan w:val="5"/>
          </w:tcPr>
          <w:p>
            <w:pPr>
              <w:ind w:left="180"/>
              <w:spacing w:after="0"/>
              <w:rPr>
                <w:sz w:val="20"/>
                <w:szCs w:val="20"/>
                <w:color w:val="auto"/>
              </w:rPr>
            </w:pPr>
            <w:r>
              <w:rPr>
                <w:rFonts w:ascii="Arial" w:cs="Arial" w:eastAsia="Arial" w:hAnsi="Arial"/>
                <w:sz w:val="14"/>
                <w:szCs w:val="14"/>
                <w:b w:val="1"/>
                <w:bCs w:val="1"/>
                <w:color w:val="auto"/>
              </w:rPr>
              <w:t>expense</w:t>
            </w:r>
          </w:p>
        </w:tc>
        <w:tc>
          <w:tcPr>
            <w:tcW w:w="20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liabilities</w:t>
            </w:r>
          </w:p>
        </w:tc>
        <w:tc>
          <w:tcPr>
            <w:tcW w:w="240" w:type="dxa"/>
            <w:vAlign w:val="bottom"/>
          </w:tcPr>
          <w:p>
            <w:pPr>
              <w:spacing w:after="0"/>
              <w:rPr>
                <w:sz w:val="14"/>
                <w:szCs w:val="14"/>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effect</w:t>
            </w:r>
          </w:p>
        </w:tc>
        <w:tc>
          <w:tcPr>
            <w:tcW w:w="1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$573,446</w:t>
            </w:r>
          </w:p>
        </w:tc>
        <w:tc>
          <w:tcPr>
            <w:tcW w:w="5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4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8"/>
              </w:rPr>
              <w:t>(4,244)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16,556</w:t>
            </w:r>
          </w:p>
        </w:tc>
        <w:tc>
          <w:tcPr>
            <w:tcW w:w="86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$585,758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63,641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113,580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8"/>
              </w:rPr>
              <w:t>(8,717)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14,099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(14,099)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764,766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(14,099)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(13,898)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16,556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753,325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141,521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14,099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90"/>
              </w:rPr>
              <w:t>13,898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(16,556)</w:t>
            </w: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(1,544)</w:t>
            </w:r>
          </w:p>
        </w:tc>
        <w:tc>
          <w:tcPr>
            <w:tcW w:w="320" w:type="dxa"/>
            <w:vAlign w:val="bottom"/>
            <w:gridSpan w:val="2"/>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ind w:right="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3,921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12,075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130,990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14,099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13,898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(20,477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$ 975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139,485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42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1,185,856</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1,354,012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Accounts receivable, net, including unbilled of $82,251 and $80,197,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728,059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714,784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183,847</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2,097,762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2,378,162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305,218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2,269,297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2,301,610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381,328</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5,053,605</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5,324,652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Accounts payable, accruals and other</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978,461</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945,033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190,344</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1,168,805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1,363,503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458,216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554,307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3,426,584</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3,406,842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gridSpan w:val="3"/>
          </w:tcPr>
          <w:p>
            <w:pPr>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5,053,605</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5,324,652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Due to the early adoption of Accounting Standard Update 2015-17, starting the first quarter of fiscal 2016, all deferred tax assets and liabilities are classified as noncurrent on the balance sheet. Prior balance sheets were not retrospectively adjusted.</w:t>
      </w:r>
    </w:p>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100,842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130,990</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51,127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39,709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13,898</w:t>
            </w: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(10,597)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(23,761)</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(1,126)</w:t>
            </w: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Loss (gain) from short-term interest-bearing investments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(7,783)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32,848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7,603</w:t>
            </w: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4,518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10,594</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59,354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9,602</w:t>
            </w: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(9,304)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(9,049)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15,263</w:t>
            </w: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(18,117)</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208,413</w:t>
            </w:r>
          </w:p>
        </w:tc>
        <w:tc>
          <w:tcPr>
            <w:tcW w:w="100" w:type="dxa"/>
            <w:vAlign w:val="bottom"/>
            <w:shd w:val="clear" w:color="auto" w:fill="CCEEFF"/>
          </w:tcPr>
          <w:p>
            <w:pPr>
              <w:spacing w:after="0"/>
              <w:rPr>
                <w:sz w:val="18"/>
                <w:szCs w:val="18"/>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(36,732)</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100,910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53,153</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(103,599)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(49,255)</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(8,099)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(41,274)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(210,000)</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(99,964)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(101,632)</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15,546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14,497</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(24,291)</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2,868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(327,249)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(320,303)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(169,680)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(151,830)</w:t>
            </w: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1,035,573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1,103,269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865,893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951,439</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center"/>
              <w:ind w:left="439"/>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4"/>
                <w:szCs w:val="14"/>
                <w:color w:val="auto"/>
              </w:rPr>
            </w:pPr>
          </w:p>
        </w:tc>
        <w:tc>
          <w:tcPr>
            <w:tcW w:w="7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9"/>
              </w:rPr>
              <w:t>2015</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$623.1</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646.7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Europe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115.3</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97.6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182.5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158.3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921.5</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907.9</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4"/>
              </w:rPr>
              <w:t>902.6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left="439"/>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4"/>
                <w:szCs w:val="14"/>
                <w:color w:val="auto"/>
              </w:rPr>
            </w:pPr>
          </w:p>
        </w:tc>
        <w:tc>
          <w:tcPr>
            <w:tcW w:w="7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9"/>
              </w:rPr>
              <w:t>2015</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460.6</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448.8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left="439"/>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10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8"/>
              </w:rPr>
              <w:t>September</w:t>
            </w:r>
          </w:p>
        </w:tc>
        <w:tc>
          <w:tcPr>
            <w:tcW w:w="24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4"/>
                <w:szCs w:val="14"/>
                <w:color w:val="auto"/>
              </w:rPr>
            </w:pPr>
          </w:p>
        </w:tc>
        <w:tc>
          <w:tcPr>
            <w:tcW w:w="7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9"/>
              </w:rPr>
              <w:t>2015</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Experience Solutions</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$883.7</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877.1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Directory</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907.9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902.6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4"/>
                <w:szCs w:val="14"/>
                <w:color w:val="auto"/>
              </w:rPr>
            </w:pPr>
          </w:p>
        </w:tc>
        <w:tc>
          <w:tcPr>
            <w:tcW w:w="7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9"/>
              </w:rPr>
              <w:t>2015</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3,010</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3,000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2019-12-06T22:40:52Z</dcterms:created>
  <dcterms:modified xsi:type="dcterms:W3CDTF">2019-12-06T22:40:52Z</dcterms:modified>
</cp:coreProperties>
</file>