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414655</wp:posOffset>
            </wp:positionV>
            <wp:extent cx="1166495" cy="1115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66495"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April 9,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Via EDGAR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4561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Kronforst</w:t>
      </w:r>
    </w:p>
    <w:p>
      <w:pPr>
        <w:spacing w:after="0" w:line="211" w:lineRule="exact"/>
        <w:rPr>
          <w:sz w:val="20"/>
          <w:szCs w:val="20"/>
          <w:color w:val="auto"/>
        </w:rPr>
      </w:pPr>
    </w:p>
    <w:p>
      <w:pPr>
        <w:ind w:left="580"/>
        <w:spacing w:after="0"/>
        <w:tabs>
          <w:tab w:leader="none" w:pos="1020" w:val="left"/>
        </w:tabs>
        <w:rPr>
          <w:sz w:val="20"/>
          <w:szCs w:val="20"/>
          <w:color w:val="auto"/>
        </w:rPr>
      </w:pPr>
      <w:r>
        <w:rPr>
          <w:rFonts w:ascii="Arial" w:cs="Arial" w:eastAsia="Arial" w:hAnsi="Arial"/>
          <w:sz w:val="18"/>
          <w:szCs w:val="18"/>
          <w:color w:val="auto"/>
        </w:rPr>
        <w:t>Re:</w:t>
        <w:tab/>
        <w:t>Amdocs Limited</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Form 20-F for the Fiscal Year Ended Spetember 30, 2007</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Filed December 3, 2007</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File No. 1-14840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wp:posOffset>
            </wp:positionV>
            <wp:extent cx="2632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behalf of our client Amdocs Limited (“Amdocs” or the “Company”), we are submitting the following response of the Company to the comment of the staff (the “Staff”) of the Securities and Exchange Commission (the “Commission”) set forth in a letter dated March 26, 2008, from Mr. Mark Kronforst, Accounting Branch Chief of the Commission.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18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Acquisitions Dates F-18 to F-23</w:t>
      </w:r>
    </w:p>
    <w:p>
      <w:pPr>
        <w:spacing w:after="0" w:line="103" w:lineRule="exact"/>
        <w:rPr>
          <w:sz w:val="20"/>
          <w:szCs w:val="20"/>
          <w:color w:val="auto"/>
        </w:rPr>
      </w:pPr>
    </w:p>
    <w:p>
      <w:pPr>
        <w:jc w:val="both"/>
        <w:ind w:right="20" w:firstLine="8"/>
        <w:spacing w:after="0" w:line="312" w:lineRule="auto"/>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note your references to the use of independent valuations to value the intangible assets acquired in the acquisitions disclosed in Note 3. Please note that when you refer to an independent valuation specialist you need to disclose the name of the expert and, if your annual report is incorporated by reference into a Securities Act registration statement, include the expert’s consent. Refer to Rule 436(b) of Regulation C and file the consent, if necessary.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gridSpan w:val="2"/>
          </w:tcPr>
          <w:p>
            <w:pPr>
              <w:spacing w:after="0"/>
              <w:rPr>
                <w:sz w:val="20"/>
                <w:szCs w:val="20"/>
                <w:color w:val="auto"/>
              </w:rPr>
            </w:pPr>
            <w:r>
              <w:rPr>
                <w:rFonts w:ascii="Arial" w:cs="Arial" w:eastAsia="Arial" w:hAnsi="Arial"/>
                <w:sz w:val="18"/>
                <w:szCs w:val="18"/>
                <w:color w:val="auto"/>
              </w:rPr>
              <w:t>Response:</w:t>
            </w:r>
          </w:p>
        </w:tc>
        <w:tc>
          <w:tcPr>
            <w:tcW w:w="10460" w:type="dxa"/>
            <w:vAlign w:val="bottom"/>
          </w:tcPr>
          <w:p>
            <w:pPr>
              <w:ind w:left="200"/>
              <w:spacing w:after="0"/>
              <w:rPr>
                <w:sz w:val="20"/>
                <w:szCs w:val="20"/>
                <w:color w:val="auto"/>
              </w:rPr>
            </w:pPr>
            <w:r>
              <w:rPr>
                <w:rFonts w:ascii="Arial" w:cs="Arial" w:eastAsia="Arial" w:hAnsi="Arial"/>
                <w:sz w:val="18"/>
                <w:szCs w:val="18"/>
                <w:color w:val="auto"/>
                <w:w w:val="97"/>
              </w:rPr>
              <w:t>The Company acknowledges the Staff’s comment and proposes to file on EDGAR a Report of Foreign Private Issuer on Form 6-K in</w:t>
            </w:r>
          </w:p>
        </w:tc>
      </w:tr>
      <w:tr>
        <w:trPr>
          <w:trHeight w:val="222"/>
        </w:trPr>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w w:val="96"/>
              </w:rPr>
              <w:t>substantially the form attached hereto as Exhibit A, such that the expert’s consent will be incorporated by reference in the Company’s</w:t>
            </w:r>
          </w:p>
        </w:tc>
      </w:tr>
      <w:tr>
        <w:trPr>
          <w:trHeight w:val="230"/>
        </w:trPr>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registration statements.</w:t>
            </w:r>
          </w:p>
        </w:tc>
      </w:tr>
      <w:tr>
        <w:trPr>
          <w:trHeight w:val="2117"/>
        </w:trPr>
        <w:tc>
          <w:tcPr>
            <w:tcW w:w="7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-1150620</wp:posOffset>
            </wp:positionV>
            <wp:extent cx="5171440" cy="737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71440" cy="73723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6374765</wp:posOffset>
            </wp:positionH>
            <wp:positionV relativeFrom="page">
              <wp:posOffset>603250</wp:posOffset>
            </wp:positionV>
            <wp:extent cx="102933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29335" cy="13716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9,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do not hesitate to contact the undersigned (212-937-7276) or Jason Kropp (617-526-6421) of this firm with any questions regarding this response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A. Schwed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A. Schwed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368" w:right="679" w:bottom="1440" w:gutter="0" w:footer="0" w:header="0"/>
        </w:sectPr>
      </w:pPr>
    </w:p>
    <w:bookmarkStart w:id="3" w:name="page4"/>
    <w:bookmarkEnd w:id="3"/>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For the month of April, 2008</w:t>
      </w:r>
    </w:p>
    <w:p>
      <w:pPr>
        <w:spacing w:after="0" w:line="225"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Commission File Number 1-14840</w:t>
      </w:r>
    </w:p>
    <w:p>
      <w:pPr>
        <w:spacing w:after="0" w:line="196" w:lineRule="exact"/>
        <w:rPr>
          <w:sz w:val="20"/>
          <w:szCs w:val="20"/>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211"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0"/>
          <w:szCs w:val="20"/>
          <w:color w:val="auto"/>
        </w:rPr>
      </w:pPr>
    </w:p>
    <w:p>
      <w:pPr>
        <w:ind w:left="4060"/>
        <w:spacing w:after="0" w:line="207" w:lineRule="exact"/>
        <w:tabs>
          <w:tab w:leader="none" w:pos="62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0"/>
          <w:szCs w:val="20"/>
          <w:color w:val="auto"/>
        </w:rPr>
      </w:pPr>
    </w:p>
    <w:p>
      <w:pPr>
        <w:ind w:left="4680"/>
        <w:spacing w:after="0" w:line="207" w:lineRule="exact"/>
        <w:tabs>
          <w:tab w:leader="none" w:pos="62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4" w:right="1039" w:bottom="1440" w:gutter="0" w:footer="0" w:header="0"/>
        </w:sectPr>
      </w:pPr>
    </w:p>
    <w:bookmarkStart w:id="4" w:name="page5"/>
    <w:bookmarkEnd w:id="4"/>
    <w:p>
      <w:pPr>
        <w:ind w:right="20" w:firstLine="215"/>
        <w:spacing w:after="0" w:line="257" w:lineRule="auto"/>
        <w:rPr>
          <w:sz w:val="20"/>
          <w:szCs w:val="20"/>
          <w:color w:val="auto"/>
        </w:rPr>
      </w:pPr>
      <w:r>
        <w:rPr>
          <w:rFonts w:ascii="Arial" w:cs="Arial" w:eastAsia="Arial" w:hAnsi="Arial"/>
          <w:sz w:val="18"/>
          <w:szCs w:val="18"/>
          <w:color w:val="auto"/>
        </w:rPr>
        <w:t>Amdocs Limited (“Amdocs”) is filing this Report of Foreign Private Issuer on Form 6-K for the purpose of filing with the Securities and Exchange Commission (the “SEC”) the consent of Empire Valuation Consultants, LLC (“Empire”). Empire performed the independent valuations referred to in Note 3 to the consolidated financial statements contained in Amdocs’ Annual Report on Form 20-F for the fiscal year ended September 30, 2007, filed with the SEC on December 3, 2007 (the “Form 20-F”). Empire’s consent was inadvertently omitted as an exhibit to the Form 20-F, and accordingly, it is attached as Exhibit 14.1 to this Report of Foreign Private Issuer on Form 6-K.</w:t>
      </w:r>
    </w:p>
    <w:p>
      <w:pPr>
        <w:spacing w:after="0" w:line="80" w:lineRule="exact"/>
        <w:rPr>
          <w:sz w:val="20"/>
          <w:szCs w:val="20"/>
          <w:color w:val="auto"/>
        </w:rPr>
      </w:pPr>
    </w:p>
    <w:p>
      <w:pPr>
        <w:ind w:firstLine="222"/>
        <w:spacing w:after="0" w:line="308" w:lineRule="auto"/>
        <w:rPr>
          <w:sz w:val="20"/>
          <w:szCs w:val="20"/>
          <w:color w:val="auto"/>
        </w:rPr>
      </w:pPr>
      <w:r>
        <w:rPr>
          <w:rFonts w:ascii="Arial" w:cs="Arial" w:eastAsia="Arial" w:hAnsi="Arial"/>
          <w:sz w:val="17"/>
          <w:szCs w:val="17"/>
          <w:color w:val="auto"/>
        </w:rPr>
        <w:t>This Form 6-K shall be incorporated by reference into any Registration Statement filed by the Registrant which by its terms automatically incorporates the Registrant’s filings and submissions with the SEC under Sections 13(a), 13(c)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AMDOCS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426720</wp:posOffset>
            </wp:positionV>
            <wp:extent cx="21780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G. O’Brien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U.S.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__,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58" w:right="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60" w:type="dxa"/>
            <w:vAlign w:val="bottom"/>
          </w:tcPr>
          <w:p>
            <w:pPr>
              <w:ind w:left="3100"/>
              <w:spacing w:after="0"/>
              <w:rPr>
                <w:sz w:val="20"/>
                <w:szCs w:val="20"/>
                <w:color w:val="auto"/>
              </w:rPr>
            </w:pPr>
            <w:r>
              <w:rPr>
                <w:rFonts w:ascii="Arial" w:cs="Arial" w:eastAsia="Arial" w:hAnsi="Arial"/>
                <w:sz w:val="18"/>
                <w:szCs w:val="18"/>
                <w:color w:val="auto"/>
              </w:rPr>
              <w:t>EXHIBIT INDEX</w:t>
            </w:r>
          </w:p>
        </w:tc>
      </w:tr>
      <w:tr>
        <w:trPr>
          <w:trHeight w:val="365"/>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1080" w:type="dxa"/>
            <w:vAlign w:val="bottom"/>
          </w:tcPr>
          <w:p>
            <w:pPr>
              <w:spacing w:after="0"/>
              <w:rPr>
                <w:sz w:val="24"/>
                <w:szCs w:val="24"/>
                <w:color w:val="auto"/>
              </w:rPr>
            </w:pPr>
          </w:p>
        </w:tc>
        <w:tc>
          <w:tcPr>
            <w:tcW w:w="9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14.1</w:t>
            </w:r>
          </w:p>
        </w:tc>
        <w:tc>
          <w:tcPr>
            <w:tcW w:w="10540" w:type="dxa"/>
            <w:vAlign w:val="bottom"/>
            <w:gridSpan w:val="2"/>
          </w:tcPr>
          <w:p>
            <w:pPr>
              <w:ind w:left="1080"/>
              <w:spacing w:after="0"/>
              <w:rPr>
                <w:sz w:val="20"/>
                <w:szCs w:val="20"/>
                <w:color w:val="auto"/>
              </w:rPr>
            </w:pPr>
            <w:r>
              <w:rPr>
                <w:rFonts w:ascii="Arial" w:cs="Arial" w:eastAsia="Arial" w:hAnsi="Arial"/>
                <w:sz w:val="18"/>
                <w:szCs w:val="18"/>
                <w:color w:val="auto"/>
              </w:rPr>
              <w:t>Consent of Empire Valuation Consultants, LLC</w:t>
            </w:r>
          </w:p>
        </w:tc>
      </w:tr>
      <w:tr>
        <w:trPr>
          <w:trHeight w:val="632"/>
        </w:trPr>
        <w:tc>
          <w:tcPr>
            <w:tcW w:w="8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9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14.1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Empire Valuation Consultants, LLC</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hereby consent to the inclusion in the Annual Report on Form 20-F of Amdocs Limited (“Amdocs”) for the fiscal year ended September 30, 2007 (the “Form 20-F”) of the reference to our reports relating to the independent valuations referred to in Note 3 to the consolidated financial statements contained in the Form 20-F and to references to our firm’s name therein, and the incorporation by reference in the following registration statements of Amdocs: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333-91847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333-92705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333-31506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333-34104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333-58454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333-114077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333-132968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333-135320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333-137617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333-139310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333-140728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F-3 (and related Prospectus), No. 333-39278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F-3 (and related Prospectus), No. 333-44994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F-3 (and related Prospectus), No. 333-57036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F-3 (and related Prospectus), No. 333-67572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F-3 (and related Prospectus), No. 333-114079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F-3 (and related Prospectus), No. 333-114344</w:t>
      </w:r>
    </w:p>
    <w:p>
      <w:pPr>
        <w:spacing w:after="0" w:line="103"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In giving such consent to this specific text, we do not hereby admit that we come within the category of person whose consent is required under Section 7 or Section 11 of the Securities Act of 1933, as amended, or the rules and regulations adopted by the Securities and Exchange Commission thereunder, nor do we admit that we are experts with respect to any part of any such Registration Statement within the meaning of the term “experts” as used in the Securities Act of 1933, as amended, or the rules and regulations of the Securities and Exchange Commission thereunder.</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Empire Valuation Consultants,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___, 2008</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2019-12-11T15:29:47Z</dcterms:created>
  <dcterms:modified xsi:type="dcterms:W3CDTF">2019-12-11T15:29:47Z</dcterms:modified>
</cp:coreProperties>
</file>