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179"/>
        <w:spacing w:after="0"/>
        <w:rPr>
          <w:sz w:val="20"/>
          <w:szCs w:val="20"/>
          <w:color w:val="auto"/>
        </w:rPr>
      </w:pPr>
      <w:r>
        <w:rPr>
          <w:rFonts w:ascii="Courier New" w:cs="Courier New" w:eastAsia="Courier New" w:hAnsi="Courier New"/>
          <w:sz w:val="15"/>
          <w:szCs w:val="15"/>
          <w:color w:val="auto"/>
        </w:rPr>
        <w:t>PURSUANT TO RULE 13A-16 OR 15D-16 OF</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 the Quarter Ended December 31, 2001</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0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Inc.</w:t>
      </w:r>
    </w:p>
    <w:p>
      <w:pPr>
        <w:jc w:val="center"/>
        <w:ind w:right="30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ectPr>
          <w:pgSz w:w="11900" w:h="16838" w:orient="portrait"/>
          <w:cols w:equalWidth="0" w:num="1">
            <w:col w:w="10219"/>
          </w:cols>
          <w:pgMar w:left="240" w:top="226" w:right="1440" w:bottom="1440" w:gutter="0" w:footer="0" w:header="0"/>
        </w:sectPr>
      </w:pPr>
    </w:p>
    <w:p>
      <w:pPr>
        <w:spacing w:after="0" w:line="176"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Form 20-F</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40-F</w:t>
      </w:r>
    </w:p>
    <w:p>
      <w:pPr>
        <w:spacing w:after="0" w:line="10" w:lineRule="exact"/>
        <w:rPr>
          <w:sz w:val="24"/>
          <w:szCs w:val="24"/>
          <w:color w:val="auto"/>
        </w:rPr>
      </w:pPr>
    </w:p>
    <w:p>
      <w:pPr>
        <w:sectPr>
          <w:pgSz w:w="11900" w:h="16838" w:orient="portrait"/>
          <w:cols w:equalWidth="0" w:num="3">
            <w:col w:w="2540" w:space="180"/>
            <w:col w:w="700" w:space="720"/>
            <w:col w:w="6079"/>
          </w:cols>
          <w:pgMar w:left="240" w:top="226"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300" w:space="720"/>
            <w:col w:w="5199"/>
          </w:cols>
          <w:pgMar w:left="240" w:top="226" w:right="1440" w:bottom="1440" w:gutter="0" w:footer="0" w:header="0"/>
          <w:type w:val="continuous"/>
        </w:sect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26" w:right="1440" w:bottom="1440" w:gutter="0" w:footer="0" w:header="0"/>
          <w:type w:val="continuous"/>
        </w:sectPr>
      </w:pPr>
    </w:p>
    <w:p>
      <w:pPr>
        <w:spacing w:after="0" w:line="163" w:lineRule="exact"/>
        <w:rPr>
          <w:sz w:val="24"/>
          <w:szCs w:val="24"/>
          <w:color w:val="auto"/>
        </w:rPr>
      </w:pPr>
    </w:p>
    <w:p>
      <w:pPr>
        <w:ind w:left="22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5299"/>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5299"/>
        <w:spacing w:after="0"/>
        <w:rPr>
          <w:sz w:val="20"/>
          <w:szCs w:val="20"/>
          <w:color w:val="auto"/>
        </w:rPr>
      </w:pPr>
      <w:r>
        <w:rPr>
          <w:rFonts w:ascii="Courier New" w:cs="Courier New" w:eastAsia="Courier New" w:hAnsi="Courier New"/>
          <w:sz w:val="14"/>
          <w:szCs w:val="14"/>
          <w:color w:val="auto"/>
        </w:rPr>
        <w:t>---</w:t>
      </w:r>
    </w:p>
    <w:p>
      <w:pPr>
        <w:spacing w:after="0" w:line="205" w:lineRule="exact"/>
        <w:rPr>
          <w:sz w:val="24"/>
          <w:szCs w:val="24"/>
          <w:color w:val="auto"/>
        </w:rPr>
      </w:pPr>
    </w:p>
    <w:p>
      <w:pPr>
        <w:sectPr>
          <w:pgSz w:w="11900" w:h="16838" w:orient="portrait"/>
          <w:cols w:equalWidth="0" w:num="4">
            <w:col w:w="2460" w:space="80"/>
            <w:col w:w="1140" w:space="720"/>
            <w:col w:w="180" w:space="80"/>
            <w:col w:w="5559"/>
          </w:cols>
          <w:pgMar w:left="240" w:top="226" w:right="1440" w:bottom="1440" w:gutter="0" w:footer="0" w:header="0"/>
          <w:type w:val="continuous"/>
        </w:sectPr>
      </w:pPr>
    </w:p>
    <w:p>
      <w:pPr>
        <w:spacing w:after="0" w:line="28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 THE QUARTER ENDED DECEMBER 31, 2001</w:t>
      </w:r>
    </w:p>
    <w:p>
      <w:pPr>
        <w:spacing w:after="0" w:line="169"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4"/>
          <w:szCs w:val="24"/>
          <w:color w:val="auto"/>
        </w:rPr>
      </w:pPr>
    </w:p>
    <w:p>
      <w:pPr>
        <w:ind w:left="1320"/>
        <w:spacing w:after="0"/>
        <w:tabs>
          <w:tab w:leader="none" w:pos="20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75" w:lineRule="exact"/>
        <w:rPr>
          <w:sz w:val="24"/>
          <w:szCs w:val="24"/>
          <w:color w:val="auto"/>
        </w:rPr>
      </w:pPr>
    </w:p>
    <w:p>
      <w:pPr>
        <w:ind w:left="2280"/>
        <w:spacing w:after="0"/>
        <w:rPr>
          <w:sz w:val="20"/>
          <w:szCs w:val="20"/>
          <w:color w:val="auto"/>
        </w:rPr>
      </w:pPr>
      <w:r>
        <w:rPr>
          <w:rFonts w:ascii="Courier New" w:cs="Courier New" w:eastAsia="Courier New" w:hAnsi="Courier New"/>
          <w:sz w:val="14"/>
          <w:szCs w:val="14"/>
          <w:color w:val="auto"/>
        </w:rPr>
        <w:t>Consolidated Statement of Changes in Shareholders'</w:t>
      </w:r>
    </w:p>
    <w:p>
      <w:pPr>
        <w:spacing w:after="0" w:line="5"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Equity</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Notes to Unaudited Consolidated Financial</w:t>
      </w:r>
    </w:p>
    <w:p>
      <w:pPr>
        <w:ind w:left="2460"/>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4"/>
          <w:szCs w:val="24"/>
          <w:color w:val="auto"/>
        </w:rPr>
      </w:pPr>
    </w:p>
    <w:p>
      <w:pPr>
        <w:ind w:left="1480"/>
        <w:spacing w:after="0"/>
        <w:tabs>
          <w:tab w:leader="none" w:pos="22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69"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4"/>
          <w:szCs w:val="24"/>
          <w:color w:val="auto"/>
        </w:rPr>
      </w:pPr>
    </w:p>
    <w:p>
      <w:pPr>
        <w:ind w:left="1480"/>
        <w:spacing w:after="0"/>
        <w:tabs>
          <w:tab w:leader="none" w:pos="22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9"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4"/>
          <w:szCs w:val="24"/>
          <w:color w:val="auto"/>
        </w:rPr>
      </w:pPr>
    </w:p>
    <w:p>
      <w:pPr>
        <w:ind w:left="1480"/>
        <w:spacing w:after="0"/>
        <w:rPr>
          <w:sz w:val="20"/>
          <w:szCs w:val="20"/>
          <w:color w:val="auto"/>
        </w:rPr>
      </w:pPr>
      <w:r>
        <w:rPr>
          <w:rFonts w:ascii="Courier New" w:cs="Courier New" w:eastAsia="Courier New" w:hAnsi="Courier New"/>
          <w:sz w:val="15"/>
          <w:szCs w:val="15"/>
          <w:color w:val="auto"/>
        </w:rPr>
        <w:t>EXHIBIT INDEX</w:t>
      </w:r>
    </w:p>
    <w:p>
      <w:pPr>
        <w:spacing w:after="0" w:line="33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26" w:right="1440" w:bottom="1440" w:gutter="0" w:footer="0" w:header="0"/>
          <w:type w:val="continuous"/>
        </w:sectPr>
      </w:pPr>
    </w:p>
    <w:bookmarkStart w:id="1" w:name="page2"/>
    <w:bookmarkEnd w:id="1"/>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660"/>
        <w:spacing w:after="0"/>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69"/>
        </w:trPr>
        <w:tc>
          <w:tcPr>
            <w:tcW w:w="7000" w:type="dxa"/>
            <w:vAlign w:val="bottom"/>
          </w:tcPr>
          <w:p>
            <w:pPr>
              <w:ind w:left="1920"/>
              <w:spacing w:after="0"/>
              <w:rPr>
                <w:sz w:val="20"/>
                <w:szCs w:val="20"/>
                <w:color w:val="auto"/>
              </w:rPr>
            </w:pPr>
            <w:r>
              <w:rPr>
                <w:rFonts w:ascii="Courier New" w:cs="Courier New" w:eastAsia="Courier New" w:hAnsi="Courier New"/>
                <w:sz w:val="15"/>
                <w:szCs w:val="15"/>
                <w:color w:val="auto"/>
              </w:rPr>
              <w:t>(in thousands, except per share data)</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7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AS OF</w:t>
            </w:r>
          </w:p>
        </w:tc>
        <w:tc>
          <w:tcPr>
            <w:tcW w:w="1020" w:type="dxa"/>
            <w:vAlign w:val="bottom"/>
          </w:tcPr>
          <w:p>
            <w:pPr>
              <w:spacing w:after="0"/>
              <w:rPr>
                <w:sz w:val="24"/>
                <w:szCs w:val="24"/>
                <w:color w:val="auto"/>
              </w:rPr>
            </w:pPr>
          </w:p>
        </w:tc>
      </w:tr>
      <w:tr>
        <w:trPr>
          <w:trHeight w:val="170"/>
        </w:trPr>
        <w:tc>
          <w:tcPr>
            <w:tcW w:w="7000" w:type="dxa"/>
            <w:vAlign w:val="bottom"/>
          </w:tcPr>
          <w:p>
            <w:pPr>
              <w:spacing w:after="0"/>
              <w:rPr>
                <w:sz w:val="14"/>
                <w:szCs w:val="14"/>
                <w:color w:val="auto"/>
              </w:rPr>
            </w:pPr>
          </w:p>
        </w:tc>
        <w:tc>
          <w:tcPr>
            <w:tcW w:w="3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DECEMBER 31,</w:t>
            </w:r>
          </w:p>
        </w:tc>
        <w:tc>
          <w:tcPr>
            <w:tcW w:w="1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2001</w:t>
            </w:r>
          </w:p>
        </w:tc>
        <w:tc>
          <w:tcPr>
            <w:tcW w:w="60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(UNAUDITED)</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9"/>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452,862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872,998</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526,602</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237,069</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$22,911 and $23,272, less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allowances of $15,031 and $3,219, respectively (*)</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423,458</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384,851</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41,503</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38,916</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51,546</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38,045</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0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1,495,971</w:t>
            </w:r>
          </w:p>
        </w:tc>
        <w:tc>
          <w:tcPr>
            <w:tcW w:w="600" w:type="dxa"/>
            <w:vAlign w:val="bottom"/>
          </w:tcPr>
          <w:p>
            <w:pPr>
              <w:spacing w:after="0"/>
              <w:rPr>
                <w:sz w:val="24"/>
                <w:szCs w:val="2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1,571,879</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6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173,847</w:t>
            </w:r>
          </w:p>
        </w:tc>
        <w:tc>
          <w:tcPr>
            <w:tcW w:w="600" w:type="dxa"/>
            <w:vAlign w:val="bottom"/>
          </w:tcPr>
          <w:p>
            <w:pPr>
              <w:spacing w:after="0"/>
              <w:rPr>
                <w:sz w:val="24"/>
                <w:szCs w:val="2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173,695</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25,759</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19,722</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938,363</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788,187</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86,421</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70,953</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780"/>
              <w:spacing w:after="0"/>
              <w:rPr>
                <w:sz w:val="20"/>
                <w:szCs w:val="20"/>
                <w:color w:val="auto"/>
              </w:rPr>
            </w:pPr>
            <w:r>
              <w:rPr>
                <w:rFonts w:ascii="Courier New" w:cs="Courier New" w:eastAsia="Courier New" w:hAnsi="Courier New"/>
                <w:sz w:val="15"/>
                <w:szCs w:val="15"/>
                <w:color w:val="auto"/>
              </w:rPr>
              <w:t>Total assets</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$ 2,720,361</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226,675</w:t>
            </w:r>
          </w:p>
        </w:tc>
        <w:tc>
          <w:tcPr>
            <w:tcW w:w="6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166,527</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108,568</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103,990</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148,572</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140,033</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10,180</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10,400</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99,662</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91,026</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593,657</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511,976</w:t>
            </w:r>
          </w:p>
        </w:tc>
      </w:tr>
      <w:tr>
        <w:trPr>
          <w:trHeight w:val="339"/>
        </w:trPr>
        <w:tc>
          <w:tcPr>
            <w:tcW w:w="7000" w:type="dxa"/>
            <w:vAlign w:val="bottom"/>
          </w:tcPr>
          <w:p>
            <w:pPr>
              <w:spacing w:after="0"/>
              <w:rPr>
                <w:sz w:val="20"/>
                <w:szCs w:val="20"/>
                <w:color w:val="auto"/>
              </w:rPr>
            </w:pPr>
            <w:r>
              <w:rPr>
                <w:rFonts w:ascii="Courier New" w:cs="Courier New" w:eastAsia="Courier New" w:hAnsi="Courier New"/>
                <w:sz w:val="15"/>
                <w:szCs w:val="15"/>
                <w:color w:val="auto"/>
              </w:rPr>
              <w:t>Convertible notes and long-term portion of capital lease obligations</w:t>
            </w:r>
          </w:p>
        </w:tc>
        <w:tc>
          <w:tcPr>
            <w:tcW w:w="6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522,595</w:t>
            </w:r>
          </w:p>
        </w:tc>
        <w:tc>
          <w:tcPr>
            <w:tcW w:w="600" w:type="dxa"/>
            <w:vAlign w:val="bottom"/>
          </w:tcPr>
          <w:p>
            <w:pPr>
              <w:spacing w:after="0"/>
              <w:rPr>
                <w:sz w:val="24"/>
                <w:szCs w:val="2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524,779</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5,351</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7,410</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78,891</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68,180</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1,200,494</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1,112,345</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w w:val="99"/>
              </w:rPr>
              <w:t>Preferred Shares - Authorized 25,000 shares;(pound)0.01 par value; 0 shares</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 222,823</w:t>
            </w: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7000" w:type="dxa"/>
            <w:vAlign w:val="bottom"/>
          </w:tcPr>
          <w:p>
            <w:pPr>
              <w:ind w:left="440"/>
              <w:spacing w:after="0"/>
              <w:rPr>
                <w:sz w:val="20"/>
                <w:szCs w:val="20"/>
                <w:color w:val="auto"/>
              </w:rPr>
            </w:pPr>
            <w:r>
              <w:rPr>
                <w:rFonts w:ascii="Courier New" w:cs="Courier New" w:eastAsia="Courier New" w:hAnsi="Courier New"/>
                <w:sz w:val="15"/>
                <w:szCs w:val="15"/>
                <w:color w:val="auto"/>
              </w:rPr>
              <w:t>and 222,628 outstanding, respectively</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3,563</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1,808,620</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1,806,290</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6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(5,458)</w:t>
            </w: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0"/>
        </w:trPr>
        <w:tc>
          <w:tcPr>
            <w:tcW w:w="700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6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(286,858)</w:t>
            </w: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780"/>
              <w:spacing w:after="0"/>
              <w:rPr>
                <w:sz w:val="20"/>
                <w:szCs w:val="20"/>
                <w:color w:val="auto"/>
              </w:rPr>
            </w:pPr>
            <w:r>
              <w:rPr>
                <w:rFonts w:ascii="Courier New" w:cs="Courier New" w:eastAsia="Courier New" w:hAnsi="Courier New"/>
                <w:sz w:val="15"/>
                <w:szCs w:val="15"/>
                <w:color w:val="auto"/>
              </w:rPr>
              <w:t>Total shareholders' equity</w:t>
            </w:r>
          </w:p>
        </w:tc>
        <w:tc>
          <w:tcPr>
            <w:tcW w:w="6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1,519,867</w:t>
            </w:r>
          </w:p>
        </w:tc>
        <w:tc>
          <w:tcPr>
            <w:tcW w:w="600" w:type="dxa"/>
            <w:vAlign w:val="bottom"/>
          </w:tcPr>
          <w:p>
            <w:pPr>
              <w:spacing w:after="0"/>
              <w:rPr>
                <w:sz w:val="14"/>
                <w:szCs w:val="14"/>
                <w:color w:val="auto"/>
              </w:rPr>
            </w:pP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1,512,091</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00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2,720,361</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7000" w:type="dxa"/>
            <w:vAlign w:val="bottom"/>
          </w:tcPr>
          <w:p>
            <w:pPr>
              <w:spacing w:after="0"/>
              <w:rPr>
                <w:sz w:val="14"/>
                <w:szCs w:val="14"/>
                <w:color w:val="auto"/>
              </w:rPr>
            </w:pP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2.</w:t>
      </w:r>
    </w:p>
    <w:p>
      <w:pPr>
        <w:jc w:val="center"/>
        <w:ind w:right="326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300"/>
          </w:cols>
          <w:pgMar w:left="240" w:top="452" w:right="1359" w:bottom="1440" w:gutter="0" w:footer="0" w:header="0"/>
        </w:sectPr>
      </w:pPr>
    </w:p>
    <w:bookmarkStart w:id="2" w:name="page3"/>
    <w:bookmarkEnd w:id="2"/>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INCOME (UNAUDITED)</w:t>
      </w:r>
    </w:p>
    <w:p>
      <w:pPr>
        <w:jc w:val="center"/>
        <w:ind w:right="309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7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40" w:type="dxa"/>
            <w:vAlign w:val="bottom"/>
            <w:gridSpan w:val="4"/>
          </w:tcPr>
          <w:p>
            <w:pPr>
              <w:ind w:left="3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339"/>
        </w:trPr>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9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License (*)</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42,290</w:t>
            </w:r>
          </w:p>
        </w:tc>
        <w:tc>
          <w:tcPr>
            <w:tcW w:w="110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38,076</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Service (*)</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380,351</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304,091</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422,641</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342,167</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980</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1,658</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Cost of service (*)</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230,603</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191,788</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28,557</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23,579</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Selling, general and administrative (*)</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53,779</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43,450</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goodwill and purchased</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intangible assets</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56,782</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54,160</w:t>
            </w:r>
          </w:p>
        </w:tc>
      </w:tr>
      <w:tr>
        <w:trPr>
          <w:trHeight w:val="170"/>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In-process research and development and</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nonrecurring charge</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30,711</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401,412</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314,635</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21,229</w:t>
            </w:r>
          </w:p>
        </w:tc>
        <w:tc>
          <w:tcPr>
            <w:tcW w:w="11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27,532</w:t>
            </w:r>
          </w:p>
        </w:tc>
      </w:tr>
      <w:tr>
        <w:trPr>
          <w:trHeight w:val="339"/>
        </w:trPr>
        <w:tc>
          <w:tcPr>
            <w:tcW w:w="3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Interest income and other, net</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3,327</w:t>
            </w:r>
          </w:p>
        </w:tc>
        <w:tc>
          <w:tcPr>
            <w:tcW w:w="1100" w:type="dxa"/>
            <w:vAlign w:val="bottom"/>
          </w:tcPr>
          <w:p>
            <w:pPr>
              <w:spacing w:after="0"/>
              <w:rPr>
                <w:sz w:val="24"/>
                <w:szCs w:val="2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5,562</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Income before income taxes</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24,556</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33,094</w:t>
            </w:r>
          </w:p>
        </w:tc>
      </w:tr>
      <w:tr>
        <w:trPr>
          <w:trHeight w:val="170"/>
        </w:trPr>
        <w:tc>
          <w:tcPr>
            <w:tcW w:w="300" w:type="dxa"/>
            <w:vAlign w:val="bottom"/>
          </w:tcPr>
          <w:p>
            <w:pPr>
              <w:spacing w:after="0"/>
              <w:rPr>
                <w:sz w:val="14"/>
                <w:szCs w:val="1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20,222</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20,518</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0" w:type="dxa"/>
            <w:vAlign w:val="bottom"/>
          </w:tcPr>
          <w:p>
            <w:pPr>
              <w:spacing w:after="0"/>
              <w:rPr>
                <w:sz w:val="14"/>
                <w:szCs w:val="1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12,576</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Basic weighted average number of</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Courier New" w:cs="Courier New" w:eastAsia="Courier New" w:hAnsi="Courier New"/>
                <w:sz w:val="15"/>
                <w:szCs w:val="15"/>
                <w:color w:val="auto"/>
              </w:rPr>
              <w:t>shares outstanding</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222,696</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221,217</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Diluted weighted average number of</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00" w:type="dxa"/>
            <w:vAlign w:val="bottom"/>
          </w:tcPr>
          <w:p>
            <w:pPr>
              <w:spacing w:after="0"/>
              <w:rPr>
                <w:sz w:val="14"/>
                <w:szCs w:val="14"/>
                <w:color w:val="auto"/>
              </w:rPr>
            </w:pPr>
          </w:p>
        </w:tc>
        <w:tc>
          <w:tcPr>
            <w:tcW w:w="3620" w:type="dxa"/>
            <w:vAlign w:val="bottom"/>
          </w:tcPr>
          <w:p>
            <w:pPr>
              <w:ind w:left="220"/>
              <w:spacing w:after="0"/>
              <w:rPr>
                <w:sz w:val="20"/>
                <w:szCs w:val="20"/>
                <w:color w:val="auto"/>
              </w:rPr>
            </w:pPr>
            <w:r>
              <w:rPr>
                <w:rFonts w:ascii="Courier New" w:cs="Courier New" w:eastAsia="Courier New" w:hAnsi="Courier New"/>
                <w:sz w:val="15"/>
                <w:szCs w:val="15"/>
                <w:color w:val="auto"/>
              </w:rPr>
              <w:t>shares outstanding</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225,090</w:t>
            </w:r>
          </w:p>
        </w:tc>
        <w:tc>
          <w:tcPr>
            <w:tcW w:w="110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226,361</w:t>
            </w:r>
          </w:p>
        </w:tc>
      </w:tr>
      <w:tr>
        <w:trPr>
          <w:trHeight w:val="170"/>
        </w:trPr>
        <w:tc>
          <w:tcPr>
            <w:tcW w:w="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620" w:type="dxa"/>
            <w:vAlign w:val="bottom"/>
          </w:tcPr>
          <w:p>
            <w:pPr>
              <w:ind w:left="300"/>
              <w:spacing w:after="0"/>
              <w:rPr>
                <w:sz w:val="20"/>
                <w:szCs w:val="20"/>
                <w:color w:val="auto"/>
              </w:rPr>
            </w:pPr>
            <w:r>
              <w:rPr>
                <w:rFonts w:ascii="Courier New" w:cs="Courier New" w:eastAsia="Courier New" w:hAnsi="Courier New"/>
                <w:sz w:val="15"/>
                <w:szCs w:val="15"/>
                <w:color w:val="auto"/>
              </w:rPr>
              <w:t>See Note 2.</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3" w:name="page4"/>
    <w:bookmarkEnd w:id="3"/>
    <w:p>
      <w:pPr>
        <w:jc w:val="center"/>
        <w:ind w:right="44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jc w:val="center"/>
        <w:ind w:right="44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6"/>
              </w:rPr>
              <w:t>ACCUMULATED</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ORDINARY SHARES</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620" w:type="dxa"/>
            <w:vAlign w:val="bottom"/>
          </w:tcPr>
          <w:p>
            <w:pPr>
              <w:spacing w:after="0"/>
              <w:rPr>
                <w:sz w:val="14"/>
                <w:szCs w:val="14"/>
                <w:color w:val="auto"/>
              </w:rPr>
            </w:pPr>
          </w:p>
        </w:tc>
        <w:tc>
          <w:tcPr>
            <w:tcW w:w="10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OTHER</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8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PAID-IN</w:t>
            </w:r>
          </w:p>
        </w:tc>
        <w:tc>
          <w:tcPr>
            <w:tcW w:w="16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9"/>
              </w:rPr>
              <w:t>COMPREHENSIVE</w:t>
            </w:r>
          </w:p>
        </w:tc>
        <w:tc>
          <w:tcPr>
            <w:tcW w:w="1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UNEARNED</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ACCUMULATED</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SHAREHOLDERS'</w:t>
            </w:r>
          </w:p>
        </w:tc>
      </w:tr>
      <w:tr>
        <w:trPr>
          <w:trHeight w:val="170"/>
        </w:trPr>
        <w:tc>
          <w:tcPr>
            <w:tcW w:w="238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620" w:type="dxa"/>
            <w:vAlign w:val="bottom"/>
          </w:tcPr>
          <w:p>
            <w:pPr>
              <w:spacing w:after="0"/>
              <w:rPr>
                <w:sz w:val="14"/>
                <w:szCs w:val="1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LOSS</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COMPENSATION</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DEFICIT</w:t>
            </w:r>
          </w:p>
        </w:tc>
        <w:tc>
          <w:tcPr>
            <w:tcW w:w="1180" w:type="dxa"/>
            <w:vAlign w:val="bottom"/>
          </w:tcPr>
          <w:p>
            <w:pPr>
              <w:ind w:left="320"/>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2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400" w:type="dxa"/>
            <w:vAlign w:val="bottom"/>
            <w:gridSpan w:val="5"/>
          </w:tcPr>
          <w:p>
            <w:pPr>
              <w:jc w:val="right"/>
              <w:ind w:right="1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SEPTEMBER 30, 2001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222,628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$1,806,290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(6,382)</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(291,192)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$ 1,512,091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4,334</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Decrease in unrealized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loss on derivatives,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net of $441 tax</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1,135</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1,135</w:t>
            </w: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Increase in unrealized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loss on cash</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equivalents and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short-term interest-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bearing investments,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340"/>
              <w:spacing w:after="0"/>
              <w:rPr>
                <w:sz w:val="20"/>
                <w:szCs w:val="20"/>
                <w:color w:val="auto"/>
              </w:rPr>
            </w:pPr>
            <w:r>
              <w:rPr>
                <w:rFonts w:ascii="Courier New" w:cs="Courier New" w:eastAsia="Courier New" w:hAnsi="Courier New"/>
                <w:sz w:val="15"/>
                <w:szCs w:val="15"/>
                <w:color w:val="auto"/>
              </w:rPr>
              <w:t>net of $82 tax benefit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0"/>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5,258</w:t>
            </w:r>
          </w:p>
        </w:tc>
      </w:tr>
      <w:tr>
        <w:trPr>
          <w:trHeight w:val="170"/>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2,035</w:t>
            </w:r>
          </w:p>
        </w:tc>
        <w:tc>
          <w:tcPr>
            <w:tcW w:w="62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2,038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options exercised</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w:t>
            </w:r>
          </w:p>
        </w:tc>
        <w:tc>
          <w:tcPr>
            <w:tcW w:w="62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23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4400" w:type="dxa"/>
            <w:vAlign w:val="bottom"/>
            <w:gridSpan w:val="5"/>
          </w:tcPr>
          <w:p>
            <w:pPr>
              <w:jc w:val="right"/>
              <w:ind w:right="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DECEMBER 31, 2001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222,823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$3,563</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$ 1,808,620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(5,458)</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(286,858)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$1,519,867</w:t>
            </w:r>
          </w:p>
        </w:tc>
      </w:tr>
      <w:tr>
        <w:trPr>
          <w:trHeight w:val="170"/>
        </w:trPr>
        <w:tc>
          <w:tcPr>
            <w:tcW w:w="238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4400" w:type="dxa"/>
            <w:vAlign w:val="bottom"/>
            <w:gridSpan w:val="5"/>
          </w:tcPr>
          <w:p>
            <w:pPr>
              <w:jc w:val="right"/>
              <w:ind w:right="47"/>
              <w:spacing w:after="0"/>
              <w:rPr>
                <w:sz w:val="20"/>
                <w:szCs w:val="20"/>
                <w:color w:val="auto"/>
              </w:rPr>
            </w:pPr>
            <w:r>
              <w:rPr>
                <w:rFonts w:ascii="Courier New" w:cs="Courier New" w:eastAsia="Courier New" w:hAnsi="Courier New"/>
                <w:sz w:val="15"/>
                <w:szCs w:val="15"/>
                <w:color w:val="auto"/>
              </w:rPr>
              <w:t>================ ==============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480"/>
        <w:spacing w:after="0" w:line="259" w:lineRule="auto"/>
        <w:rPr>
          <w:sz w:val="20"/>
          <w:szCs w:val="20"/>
          <w:color w:val="auto"/>
        </w:rPr>
      </w:pPr>
      <w:r>
        <w:rPr>
          <w:rFonts w:ascii="Courier New" w:cs="Courier New" w:eastAsia="Courier New" w:hAnsi="Courier New"/>
          <w:sz w:val="14"/>
          <w:szCs w:val="14"/>
          <w:color w:val="auto"/>
        </w:rPr>
        <w:t>As of December 31, 2001 and September 30, 2001, accumulated other comprehensive loss is comprised of unrealized loss on derivatives, net of tax, of $(6,767) and $(7,902), respectively, and unrealized gain on cash equivalents and short-term interest-bearing investments, net of tax, of $1,309 and $1,520,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22" w:right="139" w:bottom="1440" w:gutter="0" w:footer="0" w:header="0"/>
        </w:sectPr>
      </w:pPr>
    </w:p>
    <w:bookmarkStart w:id="4" w:name="page5"/>
    <w:bookmarkEnd w:id="4"/>
    <w:p>
      <w:pPr>
        <w:jc w:val="center"/>
        <w:ind w:right="325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 (UNAUDITED)</w:t>
      </w:r>
    </w:p>
    <w:p>
      <w:pPr>
        <w:jc w:val="center"/>
        <w:ind w:right="325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3360" w:type="dxa"/>
            <w:vAlign w:val="bottom"/>
            <w:gridSpan w:val="3"/>
          </w:tcPr>
          <w:p>
            <w:pPr>
              <w:ind w:left="620"/>
              <w:spacing w:after="0"/>
              <w:rPr>
                <w:sz w:val="20"/>
                <w:szCs w:val="20"/>
                <w:color w:val="auto"/>
              </w:rPr>
            </w:pPr>
            <w:r>
              <w:rPr>
                <w:rFonts w:ascii="Courier New" w:cs="Courier New" w:eastAsia="Courier New" w:hAnsi="Courier New"/>
                <w:sz w:val="15"/>
                <w:szCs w:val="15"/>
                <w:color w:val="auto"/>
                <w:w w:val="97"/>
              </w:rPr>
              <w:t>THREE MONTHS ENDED DECEMBER 31,</w:t>
            </w:r>
          </w:p>
        </w:tc>
      </w:tr>
      <w:tr>
        <w:trPr>
          <w:trHeight w:val="170"/>
        </w:trPr>
        <w:tc>
          <w:tcPr>
            <w:tcW w:w="528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4,334</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12,576</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77,587</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68,979</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Loss (income) on sale of equipment</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(5,267)</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(7,012)</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253</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810</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on other comprehensive income</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1,536</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(14,542)</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(34,125)</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(2,239)</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(3,890)</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(2,925)</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47,763</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1,046</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(22,271)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7,973</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13,884</w:t>
            </w:r>
          </w:p>
        </w:tc>
      </w:tr>
      <w:tr>
        <w:trPr>
          <w:trHeight w:val="170"/>
        </w:trPr>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6,044</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2,986</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108,071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63,455</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368</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improvements and other</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(13,740)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(14,028)</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 bearing investments,</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net</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(289,533)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(73,836)</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(13,543)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paid for acquisition</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(210,900)</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(527,348)</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(88,389)</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2,038</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814</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(2,897)</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(2,653)</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76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(859)</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(21,839)</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760" w:type="dxa"/>
            <w:vAlign w:val="bottom"/>
          </w:tcPr>
          <w:p>
            <w:pPr>
              <w:spacing w:after="0"/>
              <w:rPr>
                <w:sz w:val="24"/>
                <w:szCs w:val="2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(420,136)</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(46,773)</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76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872,998</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402,300</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452,862</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$ 355,527</w:t>
            </w:r>
          </w:p>
        </w:tc>
      </w:tr>
      <w:tr>
        <w:trPr>
          <w:trHeight w:val="170"/>
        </w:trPr>
        <w:tc>
          <w:tcPr>
            <w:tcW w:w="5280" w:type="dxa"/>
            <w:vAlign w:val="bottom"/>
          </w:tcPr>
          <w:p>
            <w:pPr>
              <w:spacing w:after="0"/>
              <w:rPr>
                <w:sz w:val="14"/>
                <w:szCs w:val="14"/>
                <w:color w:val="auto"/>
              </w:rPr>
            </w:pPr>
          </w:p>
        </w:tc>
        <w:tc>
          <w:tcPr>
            <w:tcW w:w="19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452" w:right="1440"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CASH FLOWS (UNAUDITED) - CONTINUED</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4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4440" w:type="dxa"/>
            <w:vAlign w:val="bottom"/>
          </w:tcPr>
          <w:p>
            <w:pPr>
              <w:spacing w:after="0"/>
              <w:rPr>
                <w:sz w:val="14"/>
                <w:szCs w:val="14"/>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28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440" w:type="dxa"/>
            <w:vAlign w:val="bottom"/>
          </w:tcPr>
          <w:p>
            <w:pPr>
              <w:spacing w:after="0"/>
              <w:rPr>
                <w:sz w:val="14"/>
                <w:szCs w:val="14"/>
                <w:color w:val="auto"/>
              </w:rPr>
            </w:pPr>
          </w:p>
        </w:tc>
        <w:tc>
          <w:tcPr>
            <w:tcW w:w="2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Cash paid for:</w:t>
            </w:r>
          </w:p>
        </w:tc>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Income taxes, net of refunds</w:t>
            </w:r>
          </w:p>
        </w:tc>
        <w:tc>
          <w:tcPr>
            <w:tcW w:w="2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22,998</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10,878</w:t>
            </w:r>
          </w:p>
        </w:tc>
      </w:tr>
      <w:tr>
        <w:trPr>
          <w:trHeight w:val="170"/>
        </w:trPr>
        <w:tc>
          <w:tcPr>
            <w:tcW w:w="4440" w:type="dxa"/>
            <w:vAlign w:val="bottom"/>
          </w:tcPr>
          <w:p>
            <w:pPr>
              <w:ind w:left="340"/>
              <w:spacing w:after="0"/>
              <w:rPr>
                <w:sz w:val="20"/>
                <w:szCs w:val="20"/>
                <w:color w:val="auto"/>
              </w:rPr>
            </w:pPr>
            <w:r>
              <w:rPr>
                <w:rFonts w:ascii="Courier New" w:cs="Courier New" w:eastAsia="Courier New" w:hAnsi="Courier New"/>
                <w:sz w:val="15"/>
                <w:szCs w:val="15"/>
                <w:color w:val="auto"/>
              </w:rPr>
              <w:t>Interest</w:t>
            </w:r>
          </w:p>
        </w:tc>
        <w:tc>
          <w:tcPr>
            <w:tcW w:w="2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5,429</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813</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5" w:lineRule="exact"/>
        <w:rPr>
          <w:sz w:val="20"/>
          <w:szCs w:val="20"/>
          <w:color w:val="auto"/>
        </w:rPr>
      </w:pPr>
    </w:p>
    <w:p>
      <w:pPr>
        <w:ind w:left="80" w:right="3699"/>
        <w:spacing w:after="0" w:line="237" w:lineRule="auto"/>
        <w:rPr>
          <w:sz w:val="20"/>
          <w:szCs w:val="20"/>
          <w:color w:val="auto"/>
        </w:rPr>
      </w:pPr>
      <w:r>
        <w:rPr>
          <w:rFonts w:ascii="Courier New" w:cs="Courier New" w:eastAsia="Courier New" w:hAnsi="Courier New"/>
          <w:sz w:val="15"/>
          <w:szCs w:val="15"/>
          <w:color w:val="auto"/>
        </w:rPr>
        <w:t>Capital lease obligations of $493 and $5,819 were incurred during the three months ended December 31, 2001 and 2000, respectively, when the Company (as defined below) entered into lease agreements for the purchase of fixed assets.</w:t>
      </w:r>
    </w:p>
    <w:p>
      <w:pPr>
        <w:spacing w:after="0" w:line="200" w:lineRule="exact"/>
        <w:rPr>
          <w:sz w:val="20"/>
          <w:szCs w:val="20"/>
          <w:color w:val="auto"/>
        </w:rPr>
      </w:pPr>
    </w:p>
    <w:p>
      <w:pPr>
        <w:spacing w:after="0" w:line="31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6" w:name="page7"/>
    <w:bookmarkEnd w:id="6"/>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339" w:lineRule="exact"/>
        <w:rPr>
          <w:sz w:val="20"/>
          <w:szCs w:val="20"/>
          <w:color w:val="auto"/>
        </w:rPr>
      </w:pPr>
    </w:p>
    <w:p>
      <w:pPr>
        <w:ind w:left="450" w:hanging="450"/>
        <w:spacing w:after="0"/>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350" w:right="3179" w:firstLine="441"/>
        <w:spacing w:after="0" w:line="238" w:lineRule="auto"/>
        <w:rPr>
          <w:sz w:val="20"/>
          <w:szCs w:val="20"/>
          <w:color w:val="auto"/>
        </w:rPr>
      </w:pPr>
      <w:r>
        <w:rPr>
          <w:rFonts w:ascii="Courier New" w:cs="Courier New" w:eastAsia="Courier New" w:hAnsi="Courier New"/>
          <w:sz w:val="15"/>
          <w:szCs w:val="15"/>
          <w:color w:val="auto"/>
        </w:rPr>
        <w:t>Amdocs Limited ("Amdocs" or the "Company") is a leading provider of software products and services to the communications industry. The Company and its subsidiaries operate in one business segment, the provision of business support systems and related services. Focused on the communications industry, the Company designs, develops, markets, supports and operates information system solutions primarily to leading communications companies throughout the world.</w:t>
      </w:r>
    </w:p>
    <w:p>
      <w:pPr>
        <w:spacing w:after="0" w:line="177" w:lineRule="exact"/>
        <w:rPr>
          <w:sz w:val="20"/>
          <w:szCs w:val="20"/>
          <w:color w:val="auto"/>
        </w:rPr>
      </w:pPr>
    </w:p>
    <w:p>
      <w:pPr>
        <w:ind w:left="350" w:right="3179" w:firstLine="441"/>
        <w:spacing w:after="0" w:line="238"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350" w:right="317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350" w:right="3259" w:firstLine="441"/>
        <w:spacing w:after="0" w:line="257" w:lineRule="auto"/>
        <w:rPr>
          <w:sz w:val="20"/>
          <w:szCs w:val="20"/>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2001 set forth in the Company's Annual Report on Form 20-F filed with the Securities and Exchange Commission.</w:t>
      </w:r>
    </w:p>
    <w:p>
      <w:pPr>
        <w:spacing w:after="0" w:line="161" w:lineRule="exact"/>
        <w:rPr>
          <w:sz w:val="20"/>
          <w:szCs w:val="20"/>
          <w:color w:val="auto"/>
        </w:rPr>
      </w:pPr>
    </w:p>
    <w:p>
      <w:pPr>
        <w:ind w:left="350" w:hanging="350"/>
        <w:spacing w:after="0"/>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The following related party balances are included in the balance sheet:</w:t>
      </w:r>
    </w:p>
    <w:p>
      <w:pPr>
        <w:spacing w:after="0" w:line="200" w:lineRule="exact"/>
        <w:rPr>
          <w:sz w:val="20"/>
          <w:szCs w:val="20"/>
          <w:color w:val="auto"/>
        </w:rPr>
      </w:pPr>
    </w:p>
    <w:p>
      <w:pPr>
        <w:spacing w:after="0" w:line="308"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4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3"/>
              </w:rPr>
              <w:t>AS OF</w:t>
            </w:r>
          </w:p>
        </w:tc>
      </w:tr>
      <w:tr>
        <w:trPr>
          <w:trHeight w:val="170"/>
        </w:trPr>
        <w:tc>
          <w:tcPr>
            <w:tcW w:w="50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5020" w:type="dxa"/>
            <w:vAlign w:val="bottom"/>
          </w:tcPr>
          <w:p>
            <w:pPr>
              <w:spacing w:after="0"/>
              <w:rPr>
                <w:sz w:val="14"/>
                <w:szCs w:val="14"/>
                <w:color w:val="auto"/>
              </w:rPr>
            </w:pPr>
          </w:p>
        </w:tc>
        <w:tc>
          <w:tcPr>
            <w:tcW w:w="1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1"/>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2001</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020" w:type="dxa"/>
            <w:vAlign w:val="bottom"/>
          </w:tcPr>
          <w:p>
            <w:pPr>
              <w:spacing w:after="0"/>
              <w:rPr>
                <w:sz w:val="14"/>
                <w:szCs w:val="14"/>
                <w:color w:val="auto"/>
              </w:rPr>
            </w:pPr>
          </w:p>
        </w:tc>
        <w:tc>
          <w:tcPr>
            <w:tcW w:w="160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1"/>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Accounts receivable, including unbilled of $3,278 and</w:t>
            </w:r>
          </w:p>
        </w:tc>
        <w:tc>
          <w:tcPr>
            <w:tcW w:w="1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0"/>
        </w:trPr>
        <w:tc>
          <w:tcPr>
            <w:tcW w:w="5020" w:type="dxa"/>
            <w:vAlign w:val="bottom"/>
          </w:tcPr>
          <w:p>
            <w:pPr>
              <w:ind w:left="180"/>
              <w:spacing w:after="0"/>
              <w:rPr>
                <w:sz w:val="20"/>
                <w:szCs w:val="20"/>
                <w:color w:val="auto"/>
              </w:rPr>
            </w:pPr>
            <w:r>
              <w:rPr>
                <w:rFonts w:ascii="Courier New" w:cs="Courier New" w:eastAsia="Courier New" w:hAnsi="Courier New"/>
                <w:sz w:val="15"/>
                <w:szCs w:val="15"/>
                <w:color w:val="auto"/>
              </w:rPr>
              <w:t>$4,479, respectively</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$91,433</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$104,096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noncurrent assets (*)</w:t>
            </w:r>
          </w:p>
        </w:tc>
        <w:tc>
          <w:tcPr>
            <w:tcW w:w="1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19,449</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7,827</w:t>
            </w:r>
          </w:p>
        </w:tc>
      </w:tr>
    </w:tbl>
    <w:p>
      <w:pPr>
        <w:spacing w:after="0" w:line="200" w:lineRule="exact"/>
        <w:rPr>
          <w:sz w:val="20"/>
          <w:szCs w:val="20"/>
          <w:color w:val="auto"/>
        </w:rPr>
      </w:pPr>
    </w:p>
    <w:p>
      <w:pPr>
        <w:spacing w:after="0" w:line="314" w:lineRule="exact"/>
        <w:rPr>
          <w:sz w:val="20"/>
          <w:szCs w:val="20"/>
          <w:color w:val="auto"/>
        </w:rPr>
      </w:pPr>
    </w:p>
    <w:p>
      <w:pPr>
        <w:ind w:left="710" w:right="3439" w:hanging="357"/>
        <w:spacing w:after="0" w:line="237" w:lineRule="auto"/>
        <w:tabs>
          <w:tab w:leader="none" w:pos="7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convertible debentures issued to the Company by Certen Inc., a company formed by Bell Canada and the Company in January 2001 (the "Convertible Debentures").</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2" w:right="1440" w:bottom="1440" w:gutter="0" w:footer="0" w:header="0"/>
        </w:sectPr>
      </w:pPr>
    </w:p>
    <w:bookmarkStart w:id="7" w:name="page8"/>
    <w:bookmarkEnd w:id="7"/>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5" w:lineRule="exact"/>
        <w:rPr>
          <w:sz w:val="20"/>
          <w:szCs w:val="20"/>
          <w:color w:val="auto"/>
        </w:rPr>
      </w:pPr>
    </w:p>
    <w:p>
      <w:pPr>
        <w:ind w:left="450" w:right="3179" w:firstLine="352"/>
        <w:spacing w:after="0" w:line="237"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following related party revenue is included in the statements of income for the following periods:</w:t>
      </w:r>
    </w:p>
    <w:p>
      <w:pPr>
        <w:spacing w:after="0" w:line="34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0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THREE MONTHS ENDED DECEMBER 31,</w:t>
            </w:r>
          </w:p>
        </w:tc>
      </w:tr>
      <w:tr>
        <w:trPr>
          <w:trHeight w:val="170"/>
        </w:trPr>
        <w:tc>
          <w:tcPr>
            <w:tcW w:w="3140" w:type="dxa"/>
            <w:vAlign w:val="bottom"/>
          </w:tcPr>
          <w:p>
            <w:pPr>
              <w:spacing w:after="0"/>
              <w:rPr>
                <w:sz w:val="14"/>
                <w:szCs w:val="14"/>
                <w:color w:val="auto"/>
              </w:rPr>
            </w:pPr>
          </w:p>
        </w:tc>
        <w:tc>
          <w:tcPr>
            <w:tcW w:w="5680" w:type="dxa"/>
            <w:vAlign w:val="bottom"/>
            <w:gridSpan w:val="4"/>
          </w:tcPr>
          <w:p>
            <w:pPr>
              <w:ind w:left="25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140" w:type="dxa"/>
            <w:vAlign w:val="bottom"/>
          </w:tcPr>
          <w:p>
            <w:pPr>
              <w:spacing w:after="0"/>
              <w:rPr>
                <w:sz w:val="14"/>
                <w:szCs w:val="14"/>
                <w:color w:val="auto"/>
              </w:rPr>
            </w:pPr>
          </w:p>
        </w:tc>
        <w:tc>
          <w:tcPr>
            <w:tcW w:w="3960" w:type="dxa"/>
            <w:vAlign w:val="bottom"/>
            <w:gridSpan w:val="2"/>
          </w:tcPr>
          <w:p>
            <w:pPr>
              <w:ind w:left="25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678"/>
        </w:trPr>
        <w:tc>
          <w:tcPr>
            <w:tcW w:w="3140" w:type="dxa"/>
            <w:vAlign w:val="bottom"/>
          </w:tcPr>
          <w:p>
            <w:pPr>
              <w:spacing w:after="0"/>
              <w:rPr>
                <w:sz w:val="20"/>
                <w:szCs w:val="20"/>
                <w:color w:val="auto"/>
              </w:rPr>
            </w:pPr>
            <w:r>
              <w:rPr>
                <w:rFonts w:ascii="Courier New" w:cs="Courier New" w:eastAsia="Courier New" w:hAnsi="Courier New"/>
                <w:sz w:val="15"/>
                <w:szCs w:val="15"/>
                <w:color w:val="auto"/>
              </w:rPr>
              <w:t>License</w:t>
            </w:r>
          </w:p>
        </w:tc>
        <w:tc>
          <w:tcPr>
            <w:tcW w:w="2680" w:type="dxa"/>
            <w:vAlign w:val="bottom"/>
          </w:tcPr>
          <w:p>
            <w:pPr>
              <w:ind w:left="25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2,930</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3,583</w:t>
            </w:r>
          </w:p>
        </w:tc>
      </w:t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Service</w:t>
            </w:r>
          </w:p>
        </w:tc>
        <w:tc>
          <w:tcPr>
            <w:tcW w:w="2680" w:type="dxa"/>
            <w:vAlign w:val="bottom"/>
          </w:tcPr>
          <w:p>
            <w:pPr>
              <w:spacing w:after="0"/>
              <w:rPr>
                <w:sz w:val="14"/>
                <w:szCs w:val="1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95,664</w:t>
            </w:r>
          </w:p>
        </w:tc>
        <w:tc>
          <w:tcPr>
            <w:tcW w:w="54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42,667</w:t>
            </w:r>
          </w:p>
        </w:tc>
      </w:tr>
    </w:tbl>
    <w:p>
      <w:pPr>
        <w:spacing w:after="0" w:line="33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following related party expenses are included in the statements of</w:t>
      </w:r>
    </w:p>
    <w:tbl>
      <w:tblPr>
        <w:tblLayout w:type="fixed"/>
        <w:tblInd w:w="1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for the following periods:</w:t>
            </w:r>
          </w:p>
        </w:tc>
        <w:tc>
          <w:tcPr>
            <w:tcW w:w="16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09"/>
        </w:trPr>
        <w:tc>
          <w:tcPr>
            <w:tcW w:w="3560" w:type="dxa"/>
            <w:vAlign w:val="bottom"/>
          </w:tcPr>
          <w:p>
            <w:pPr>
              <w:spacing w:after="0"/>
              <w:rPr>
                <w:sz w:val="24"/>
                <w:szCs w:val="24"/>
                <w:color w:val="auto"/>
              </w:rPr>
            </w:pPr>
          </w:p>
        </w:tc>
        <w:tc>
          <w:tcPr>
            <w:tcW w:w="3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356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tcPr>
          <w:p>
            <w:pPr>
              <w:spacing w:after="0"/>
              <w:rPr>
                <w:sz w:val="14"/>
                <w:szCs w:val="14"/>
                <w:color w:val="auto"/>
              </w:rPr>
            </w:pPr>
          </w:p>
        </w:tc>
        <w:tc>
          <w:tcPr>
            <w:tcW w:w="16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2001</w:t>
            </w:r>
          </w:p>
        </w:tc>
        <w:tc>
          <w:tcPr>
            <w:tcW w:w="1660" w:type="dxa"/>
            <w:vAlign w:val="bottom"/>
          </w:tcPr>
          <w:p>
            <w:pPr>
              <w:ind w:left="700"/>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56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509"/>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Operating expenses (1):</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0"/>
        </w:trPr>
        <w:tc>
          <w:tcPr>
            <w:tcW w:w="3560" w:type="dxa"/>
            <w:vAlign w:val="bottom"/>
          </w:tcPr>
          <w:p>
            <w:pPr>
              <w:ind w:left="340"/>
              <w:spacing w:after="0"/>
              <w:rPr>
                <w:sz w:val="20"/>
                <w:szCs w:val="20"/>
                <w:color w:val="auto"/>
              </w:rPr>
            </w:pPr>
            <w:r>
              <w:rPr>
                <w:rFonts w:ascii="Courier New" w:cs="Courier New" w:eastAsia="Courier New" w:hAnsi="Courier New"/>
                <w:sz w:val="15"/>
                <w:szCs w:val="15"/>
                <w:color w:val="auto"/>
              </w:rPr>
              <w:t>Cost of service</w:t>
            </w:r>
          </w:p>
        </w:tc>
        <w:tc>
          <w:tcPr>
            <w:tcW w:w="16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461</w:t>
            </w:r>
          </w:p>
        </w:tc>
        <w:tc>
          <w:tcPr>
            <w:tcW w:w="1660" w:type="dxa"/>
            <w:vAlign w:val="bottom"/>
          </w:tcPr>
          <w:p>
            <w:pPr>
              <w:ind w:left="700"/>
              <w:spacing w:after="0"/>
              <w:rPr>
                <w:sz w:val="20"/>
                <w:szCs w:val="20"/>
                <w:color w:val="auto"/>
              </w:rPr>
            </w:pPr>
            <w:r>
              <w:rPr>
                <w:rFonts w:ascii="Courier New" w:cs="Courier New" w:eastAsia="Courier New" w:hAnsi="Courier New"/>
                <w:sz w:val="15"/>
                <w:szCs w:val="15"/>
                <w:color w:val="auto"/>
              </w:rPr>
              <w:t>387</w:t>
            </w:r>
          </w:p>
        </w:tc>
      </w:tr>
      <w:tr>
        <w:trPr>
          <w:trHeight w:val="170"/>
        </w:trPr>
        <w:tc>
          <w:tcPr>
            <w:tcW w:w="356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16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98</w:t>
            </w:r>
          </w:p>
        </w:tc>
        <w:tc>
          <w:tcPr>
            <w:tcW w:w="1660" w:type="dxa"/>
            <w:vAlign w:val="bottom"/>
          </w:tcPr>
          <w:p>
            <w:pPr>
              <w:ind w:left="700"/>
              <w:spacing w:after="0"/>
              <w:rPr>
                <w:sz w:val="20"/>
                <w:szCs w:val="20"/>
                <w:color w:val="auto"/>
              </w:rPr>
            </w:pPr>
            <w:r>
              <w:rPr>
                <w:rFonts w:ascii="Courier New" w:cs="Courier New" w:eastAsia="Courier New" w:hAnsi="Courier New"/>
                <w:sz w:val="15"/>
                <w:szCs w:val="15"/>
                <w:color w:val="auto"/>
              </w:rPr>
              <w:t>127</w:t>
            </w:r>
          </w:p>
        </w:tc>
      </w:tr>
      <w:tr>
        <w:trPr>
          <w:trHeight w:val="339"/>
        </w:trPr>
        <w:tc>
          <w:tcPr>
            <w:tcW w:w="3560" w:type="dxa"/>
            <w:vAlign w:val="bottom"/>
          </w:tcPr>
          <w:p>
            <w:pPr>
              <w:ind w:left="160"/>
              <w:spacing w:after="0"/>
              <w:rPr>
                <w:sz w:val="20"/>
                <w:szCs w:val="20"/>
                <w:color w:val="auto"/>
              </w:rPr>
            </w:pPr>
            <w:r>
              <w:rPr>
                <w:rFonts w:ascii="Courier New" w:cs="Courier New" w:eastAsia="Courier New" w:hAnsi="Courier New"/>
                <w:sz w:val="15"/>
                <w:szCs w:val="15"/>
                <w:color w:val="auto"/>
              </w:rPr>
              <w:t>Interest income and other, net (2):</w:t>
            </w: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(123)</w:t>
            </w:r>
          </w:p>
        </w:tc>
        <w:tc>
          <w:tcPr>
            <w:tcW w:w="166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610" w:right="4139" w:hanging="433"/>
        <w:spacing w:after="0" w:line="237"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office space on a month-to-month basis and purchases other miscellaneous support services from affiliates of a certain shareholder.</w:t>
      </w:r>
    </w:p>
    <w:p>
      <w:pPr>
        <w:spacing w:after="0" w:line="5" w:lineRule="exact"/>
        <w:rPr>
          <w:rFonts w:ascii="Courier New" w:cs="Courier New" w:eastAsia="Courier New" w:hAnsi="Courier New"/>
          <w:sz w:val="15"/>
          <w:szCs w:val="15"/>
          <w:color w:val="auto"/>
        </w:rPr>
      </w:pPr>
    </w:p>
    <w:p>
      <w:pPr>
        <w:ind w:left="610" w:right="3619" w:hanging="433"/>
        <w:spacing w:after="0" w:line="235" w:lineRule="auto"/>
        <w:tabs>
          <w:tab w:leader="none" w:pos="61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on the Convertible Debentures.</w:t>
      </w:r>
    </w:p>
    <w:p>
      <w:pPr>
        <w:spacing w:after="0" w:line="170"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left="450" w:right="3259" w:firstLine="441"/>
        <w:spacing w:after="0" w:line="237"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450" w:right="335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34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542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4,334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12,576</w:t>
            </w:r>
          </w:p>
        </w:tc>
      </w:tr>
      <w:tr>
        <w:trPr>
          <w:trHeight w:val="170"/>
        </w:trPr>
        <w:tc>
          <w:tcPr>
            <w:tcW w:w="542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Unrealized income on derivative instruments, net of tax</w:t>
            </w:r>
          </w:p>
        </w:tc>
        <w:tc>
          <w:tcPr>
            <w:tcW w:w="48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1,135</w:t>
            </w:r>
          </w:p>
        </w:tc>
        <w:tc>
          <w:tcPr>
            <w:tcW w:w="2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Unrealized income (loss) on short-term interest-bearing</w:t>
            </w:r>
          </w:p>
        </w:tc>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5420" w:type="dxa"/>
            <w:vAlign w:val="bottom"/>
          </w:tcPr>
          <w:p>
            <w:pPr>
              <w:ind w:left="340"/>
              <w:spacing w:after="0"/>
              <w:rPr>
                <w:sz w:val="20"/>
                <w:szCs w:val="20"/>
                <w:color w:val="auto"/>
              </w:rPr>
            </w:pPr>
            <w:r>
              <w:rPr>
                <w:rFonts w:ascii="Courier New" w:cs="Courier New" w:eastAsia="Courier New" w:hAnsi="Courier New"/>
                <w:sz w:val="15"/>
                <w:szCs w:val="15"/>
                <w:color w:val="auto"/>
              </w:rPr>
              <w:t>investments, net of tax</w:t>
            </w:r>
          </w:p>
        </w:tc>
        <w:tc>
          <w:tcPr>
            <w:tcW w:w="48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w:t>
            </w:r>
          </w:p>
        </w:tc>
        <w:tc>
          <w:tcPr>
            <w:tcW w:w="2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542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480" w:type="dxa"/>
            <w:vAlign w:val="bottom"/>
          </w:tcPr>
          <w:p>
            <w:pPr>
              <w:ind w:left="380"/>
              <w:spacing w:after="0"/>
              <w:rPr>
                <w:sz w:val="20"/>
                <w:szCs w:val="20"/>
                <w:color w:val="auto"/>
              </w:rPr>
            </w:pPr>
            <w:r>
              <w:rPr>
                <w:rFonts w:ascii="Courier New" w:cs="Courier New" w:eastAsia="Courier New" w:hAnsi="Courier New"/>
                <w:sz w:val="15"/>
                <w:szCs w:val="15"/>
                <w:color w:val="auto"/>
                <w:w w:val="88"/>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5,258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12,777</w:t>
            </w:r>
          </w:p>
        </w:tc>
      </w:tr>
      <w:tr>
        <w:trPr>
          <w:trHeight w:val="170"/>
        </w:trPr>
        <w:tc>
          <w:tcPr>
            <w:tcW w:w="542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509"/>
        </w:trPr>
        <w:tc>
          <w:tcPr>
            <w:tcW w:w="5420" w:type="dxa"/>
            <w:vAlign w:val="bottom"/>
          </w:tcPr>
          <w:p>
            <w:pPr>
              <w:ind w:left="2980"/>
              <w:spacing w:after="0"/>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8" w:name="page9"/>
    <w:bookmarkEnd w:id="8"/>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350" w:hanging="350"/>
        <w:spacing w:after="0"/>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9"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0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0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3220" w:type="dxa"/>
            <w:vAlign w:val="bottom"/>
          </w:tcPr>
          <w:p>
            <w:pPr>
              <w:spacing w:after="0"/>
              <w:rPr>
                <w:sz w:val="14"/>
                <w:szCs w:val="14"/>
                <w:color w:val="auto"/>
              </w:rPr>
            </w:pPr>
          </w:p>
        </w:tc>
        <w:tc>
          <w:tcPr>
            <w:tcW w:w="5600" w:type="dxa"/>
            <w:vAlign w:val="bottom"/>
            <w:gridSpan w:val="4"/>
          </w:tcPr>
          <w:p>
            <w:pPr>
              <w:ind w:left="25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spacing w:after="0"/>
              <w:rPr>
                <w:sz w:val="14"/>
                <w:szCs w:val="1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220" w:type="dxa"/>
            <w:vAlign w:val="bottom"/>
          </w:tcPr>
          <w:p>
            <w:pPr>
              <w:spacing w:after="0"/>
              <w:rPr>
                <w:sz w:val="14"/>
                <w:szCs w:val="14"/>
                <w:color w:val="auto"/>
              </w:rPr>
            </w:pPr>
          </w:p>
        </w:tc>
        <w:tc>
          <w:tcPr>
            <w:tcW w:w="3920" w:type="dxa"/>
            <w:vAlign w:val="bottom"/>
            <w:gridSpan w:val="2"/>
          </w:tcPr>
          <w:p>
            <w:pPr>
              <w:ind w:left="252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32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600" w:type="dxa"/>
            <w:vAlign w:val="bottom"/>
          </w:tcPr>
          <w:p>
            <w:pPr>
              <w:ind w:left="2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25,489</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27,530</w:t>
            </w: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600" w:type="dxa"/>
            <w:vAlign w:val="bottom"/>
          </w:tcPr>
          <w:p>
            <w:pPr>
              <w:spacing w:after="0"/>
              <w:rPr>
                <w:sz w:val="14"/>
                <w:szCs w:val="14"/>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(5,267)</w:t>
            </w:r>
          </w:p>
        </w:tc>
        <w:tc>
          <w:tcPr>
            <w:tcW w:w="5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(7,012)</w:t>
            </w:r>
          </w:p>
        </w:tc>
      </w:tr>
      <w:tr>
        <w:trPr>
          <w:trHeight w:val="170"/>
        </w:trPr>
        <w:tc>
          <w:tcPr>
            <w:tcW w:w="3220" w:type="dxa"/>
            <w:vAlign w:val="bottom"/>
          </w:tcPr>
          <w:p>
            <w:pPr>
              <w:spacing w:after="0"/>
              <w:rPr>
                <w:sz w:val="14"/>
                <w:szCs w:val="14"/>
                <w:color w:val="auto"/>
              </w:rPr>
            </w:pPr>
          </w:p>
        </w:tc>
        <w:tc>
          <w:tcPr>
            <w:tcW w:w="3920" w:type="dxa"/>
            <w:vAlign w:val="bottom"/>
            <w:gridSpan w:val="2"/>
          </w:tcPr>
          <w:p>
            <w:pPr>
              <w:ind w:left="252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170"/>
        </w:trPr>
        <w:tc>
          <w:tcPr>
            <w:tcW w:w="3220" w:type="dxa"/>
            <w:vAlign w:val="bottom"/>
          </w:tcPr>
          <w:p>
            <w:pPr>
              <w:spacing w:after="0"/>
              <w:rPr>
                <w:sz w:val="14"/>
                <w:szCs w:val="14"/>
                <w:color w:val="auto"/>
              </w:rPr>
            </w:pPr>
          </w:p>
        </w:tc>
        <w:tc>
          <w:tcPr>
            <w:tcW w:w="2600" w:type="dxa"/>
            <w:vAlign w:val="bottom"/>
          </w:tcPr>
          <w:p>
            <w:pPr>
              <w:ind w:left="2520"/>
              <w:spacing w:after="0"/>
              <w:rPr>
                <w:sz w:val="20"/>
                <w:szCs w:val="20"/>
                <w:color w:val="auto"/>
              </w:rPr>
            </w:pPr>
            <w:r>
              <w:rPr>
                <w:rFonts w:ascii="Courier New" w:cs="Courier New" w:eastAsia="Courier New" w:hAnsi="Courier New"/>
                <w:sz w:val="14"/>
                <w:szCs w:val="14"/>
                <w:color w:val="auto"/>
                <w:w w:val="70"/>
              </w:rPr>
              <w:t>$</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20,222</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20,518</w:t>
            </w:r>
          </w:p>
        </w:tc>
      </w:tr>
      <w:tr>
        <w:trPr>
          <w:trHeight w:val="170"/>
        </w:trPr>
        <w:tc>
          <w:tcPr>
            <w:tcW w:w="3220" w:type="dxa"/>
            <w:vAlign w:val="bottom"/>
          </w:tcPr>
          <w:p>
            <w:pPr>
              <w:spacing w:after="0"/>
              <w:rPr>
                <w:sz w:val="14"/>
                <w:szCs w:val="14"/>
                <w:color w:val="auto"/>
              </w:rPr>
            </w:pPr>
          </w:p>
        </w:tc>
        <w:tc>
          <w:tcPr>
            <w:tcW w:w="3920" w:type="dxa"/>
            <w:vAlign w:val="bottom"/>
            <w:gridSpan w:val="2"/>
          </w:tcPr>
          <w:p>
            <w:pPr>
              <w:ind w:left="252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439" w:firstLine="352"/>
        <w:spacing w:after="0" w:line="265" w:lineRule="auto"/>
        <w:rPr>
          <w:sz w:val="20"/>
          <w:szCs w:val="20"/>
          <w:color w:val="auto"/>
        </w:rPr>
      </w:pPr>
      <w:r>
        <w:rPr>
          <w:rFonts w:ascii="Courier New" w:cs="Courier New" w:eastAsia="Courier New" w:hAnsi="Courier New"/>
          <w:sz w:val="14"/>
          <w:szCs w:val="14"/>
          <w:color w:val="auto"/>
        </w:rPr>
        <w:t>The effective income tax rate from continuing operations varied from the statutory Guernsey tax rate as follows for the following periods:</w:t>
      </w:r>
    </w:p>
    <w:p>
      <w:pPr>
        <w:spacing w:after="0" w:line="200" w:lineRule="exact"/>
        <w:rPr>
          <w:sz w:val="20"/>
          <w:szCs w:val="20"/>
          <w:color w:val="auto"/>
        </w:rPr>
      </w:pPr>
    </w:p>
    <w:p>
      <w:pPr>
        <w:spacing w:after="0" w:line="292"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5420" w:type="dxa"/>
            <w:vAlign w:val="bottom"/>
          </w:tcPr>
          <w:p>
            <w:pPr>
              <w:spacing w:after="0"/>
              <w:rPr>
                <w:sz w:val="14"/>
                <w:szCs w:val="14"/>
                <w:color w:val="auto"/>
              </w:rPr>
            </w:pPr>
          </w:p>
        </w:tc>
        <w:tc>
          <w:tcPr>
            <w:tcW w:w="3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1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420" w:type="dxa"/>
            <w:vAlign w:val="bottom"/>
          </w:tcPr>
          <w:p>
            <w:pPr>
              <w:spacing w:after="0"/>
              <w:rPr>
                <w:sz w:val="14"/>
                <w:szCs w:val="14"/>
                <w:color w:val="auto"/>
              </w:rPr>
            </w:pP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4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28</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5420" w:type="dxa"/>
            <w:vAlign w:val="bottom"/>
          </w:tcPr>
          <w:p>
            <w:pPr>
              <w:spacing w:after="0"/>
              <w:rPr>
                <w:sz w:val="14"/>
                <w:szCs w:val="14"/>
                <w:color w:val="auto"/>
              </w:rPr>
            </w:pP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 acquisition-related costs</w:t>
            </w:r>
          </w:p>
        </w:tc>
        <w:tc>
          <w:tcPr>
            <w:tcW w:w="1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28</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Effect of acquisition-related costs</w:t>
            </w:r>
          </w:p>
        </w:tc>
        <w:tc>
          <w:tcPr>
            <w:tcW w:w="1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21</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w:t>
            </w:r>
          </w:p>
        </w:tc>
      </w:tr>
      <w:tr>
        <w:trPr>
          <w:trHeight w:val="339"/>
        </w:trPr>
        <w:tc>
          <w:tcPr>
            <w:tcW w:w="5420" w:type="dxa"/>
            <w:vAlign w:val="bottom"/>
          </w:tcPr>
          <w:p>
            <w:pPr>
              <w:spacing w:after="0"/>
              <w:rPr>
                <w:sz w:val="24"/>
                <w:szCs w:val="24"/>
                <w:color w:val="auto"/>
              </w:rPr>
            </w:pP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49%</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w:t>
            </w:r>
          </w:p>
        </w:tc>
      </w:tr>
      <w:tr>
        <w:trPr>
          <w:trHeight w:val="170"/>
        </w:trPr>
        <w:tc>
          <w:tcPr>
            <w:tcW w:w="5420" w:type="dxa"/>
            <w:vAlign w:val="bottom"/>
          </w:tcPr>
          <w:p>
            <w:pPr>
              <w:spacing w:after="0"/>
              <w:rPr>
                <w:sz w:val="14"/>
                <w:szCs w:val="14"/>
                <w:color w:val="auto"/>
              </w:rPr>
            </w:pP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5420" w:type="dxa"/>
            <w:vAlign w:val="bottom"/>
          </w:tcPr>
          <w:p>
            <w:pPr>
              <w:ind w:left="2920"/>
              <w:spacing w:after="0"/>
              <w:rPr>
                <w:sz w:val="20"/>
                <w:szCs w:val="20"/>
                <w:color w:val="auto"/>
              </w:rPr>
            </w:pPr>
            <w:r>
              <w:rPr>
                <w:rFonts w:ascii="Courier New" w:cs="Courier New" w:eastAsia="Courier New" w:hAnsi="Courier New"/>
                <w:sz w:val="15"/>
                <w:szCs w:val="15"/>
                <w:color w:val="auto"/>
              </w:rPr>
              <w:t>9</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9" w:name="page10"/>
    <w:bookmarkEnd w:id="9"/>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5" w:lineRule="exact"/>
        <w:rPr>
          <w:sz w:val="20"/>
          <w:szCs w:val="20"/>
          <w:color w:val="auto"/>
        </w:rPr>
      </w:pPr>
    </w:p>
    <w:p>
      <w:pPr>
        <w:ind w:left="450" w:right="3179" w:firstLine="441"/>
        <w:spacing w:after="0" w:line="257"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and for fiscal year 2002 is expected to be approximately 28%, compared to our historical effective tax rate of approximately 30%. In connection with acquisitions, the Company has incurred non-cash charges related to the amortization of purchased intangible assets, in-process research and development and a nonrecurring charge resulting from the closing of one of the Company's facilities - see Note 7 below. Since a significant portion of such costs and charges are not deductible for tax purposes, the effective tax rate is adversely affected during the period such charges are recorded. For the three-month period ended December 31, 2001, the Company's blended effective tax rate from continuing operations, calculated based on income before income taxes, excluding the impact of one-time charges for in-process research and development and the nonrecurring charge, was 49%, and for the three-month period ended December 31, 2000 was 62%. If the impact of the one-time charges had been included, the effective tax rate for the three-month period ended December 31, 2001 would have been 82%. Excluding the impact of these items, the Company's overall effective tax rate would have remained approximately 28% and 30% for the three-month periods ended December 31, 2001 and 2000, respectively.</w:t>
      </w:r>
    </w:p>
    <w:p>
      <w:pPr>
        <w:spacing w:after="0" w:line="327" w:lineRule="exact"/>
        <w:rPr>
          <w:sz w:val="20"/>
          <w:szCs w:val="20"/>
          <w:color w:val="auto"/>
        </w:rPr>
      </w:pP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450" w:right="343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7"/>
              </w:rPr>
              <w:t>THREE MONTHS ENDED DECEMBER 31,</w:t>
            </w:r>
          </w:p>
        </w:tc>
      </w:tr>
      <w:tr>
        <w:trPr>
          <w:trHeight w:val="170"/>
        </w:trPr>
        <w:tc>
          <w:tcPr>
            <w:tcW w:w="5420" w:type="dxa"/>
            <w:vAlign w:val="bottom"/>
          </w:tcPr>
          <w:p>
            <w:pPr>
              <w:spacing w:after="0"/>
              <w:rPr>
                <w:sz w:val="14"/>
                <w:szCs w:val="14"/>
                <w:color w:val="auto"/>
              </w:rPr>
            </w:pPr>
          </w:p>
        </w:tc>
        <w:tc>
          <w:tcPr>
            <w:tcW w:w="364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4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54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4,334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12,576</w:t>
            </w:r>
          </w:p>
        </w:tc>
      </w:tr>
      <w:tr>
        <w:trPr>
          <w:trHeight w:val="170"/>
        </w:trPr>
        <w:tc>
          <w:tcPr>
            <w:tcW w:w="54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4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number of shares outstanding (*)</w:t>
            </w:r>
          </w:p>
        </w:tc>
        <w:tc>
          <w:tcPr>
            <w:tcW w:w="7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222,696</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221,217</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Effect of dilutive stock options granted</w:t>
            </w:r>
          </w:p>
        </w:tc>
        <w:tc>
          <w:tcPr>
            <w:tcW w:w="7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2,394</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5,144</w:t>
            </w:r>
          </w:p>
        </w:tc>
      </w:tr>
      <w:tr>
        <w:trPr>
          <w:trHeight w:val="170"/>
        </w:trPr>
        <w:tc>
          <w:tcPr>
            <w:tcW w:w="54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420" w:type="dxa"/>
            <w:vAlign w:val="bottom"/>
          </w:tcPr>
          <w:p>
            <w:pPr>
              <w:ind w:left="600"/>
              <w:spacing w:after="0"/>
              <w:rPr>
                <w:sz w:val="20"/>
                <w:szCs w:val="20"/>
                <w:color w:val="auto"/>
              </w:rPr>
            </w:pPr>
            <w:r>
              <w:rPr>
                <w:rFonts w:ascii="Courier New" w:cs="Courier New" w:eastAsia="Courier New" w:hAnsi="Courier New"/>
                <w:sz w:val="15"/>
                <w:szCs w:val="15"/>
                <w:color w:val="auto"/>
              </w:rPr>
              <w:t>adjusted weighted average shares and assumed</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5420" w:type="dxa"/>
            <w:vAlign w:val="bottom"/>
          </w:tcPr>
          <w:p>
            <w:pPr>
              <w:ind w:left="600"/>
              <w:spacing w:after="0"/>
              <w:rPr>
                <w:sz w:val="20"/>
                <w:szCs w:val="20"/>
                <w:color w:val="auto"/>
              </w:rPr>
            </w:pPr>
            <w:r>
              <w:rPr>
                <w:rFonts w:ascii="Courier New" w:cs="Courier New" w:eastAsia="Courier New" w:hAnsi="Courier New"/>
                <w:sz w:val="15"/>
                <w:szCs w:val="15"/>
                <w:color w:val="auto"/>
              </w:rPr>
              <w:t>conversions(*)</w:t>
            </w:r>
          </w:p>
        </w:tc>
        <w:tc>
          <w:tcPr>
            <w:tcW w:w="740" w:type="dxa"/>
            <w:vAlign w:val="bottom"/>
          </w:tcPr>
          <w:p>
            <w:pPr>
              <w:spacing w:after="0"/>
              <w:rPr>
                <w:sz w:val="14"/>
                <w:szCs w:val="1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5"/>
              </w:rPr>
              <w:t>225,090</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226,361</w:t>
            </w:r>
          </w:p>
        </w:tc>
      </w:tr>
      <w:tr>
        <w:trPr>
          <w:trHeight w:val="170"/>
        </w:trPr>
        <w:tc>
          <w:tcPr>
            <w:tcW w:w="54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per share</w:t>
            </w:r>
          </w:p>
        </w:tc>
        <w:tc>
          <w:tcPr>
            <w:tcW w:w="740" w:type="dxa"/>
            <w:vAlign w:val="bottom"/>
          </w:tcPr>
          <w:p>
            <w:pPr>
              <w:spacing w:after="0"/>
              <w:rPr>
                <w:sz w:val="24"/>
                <w:szCs w:val="2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$0.02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54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per share</w:t>
            </w:r>
          </w:p>
        </w:tc>
        <w:tc>
          <w:tcPr>
            <w:tcW w:w="740" w:type="dxa"/>
            <w:vAlign w:val="bottom"/>
          </w:tcPr>
          <w:p>
            <w:pPr>
              <w:spacing w:after="0"/>
              <w:rPr>
                <w:sz w:val="24"/>
                <w:szCs w:val="24"/>
                <w:color w:val="auto"/>
              </w:rPr>
            </w:pPr>
          </w:p>
        </w:tc>
        <w:tc>
          <w:tcPr>
            <w:tcW w:w="12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$0.02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5420" w:type="dxa"/>
            <w:vAlign w:val="bottom"/>
          </w:tcPr>
          <w:p>
            <w:pPr>
              <w:spacing w:after="0"/>
              <w:rPr>
                <w:sz w:val="14"/>
                <w:szCs w:val="14"/>
                <w:color w:val="auto"/>
              </w:rPr>
            </w:pPr>
          </w:p>
        </w:tc>
        <w:tc>
          <w:tcPr>
            <w:tcW w:w="20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left="890" w:right="3439" w:hanging="449"/>
        <w:spacing w:after="0" w:line="237" w:lineRule="auto"/>
        <w:tabs>
          <w:tab w:leader="none" w:pos="8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includes exchangeable shares held by shareholders of Amdocs Canada, Inc (formerly Solect Technology Group Inc. ("Solect")) pursuant to our acquisition of Solect in April 2000, which are exchangeable for our Ordinary Shares on a one-for-one basis.</w:t>
      </w:r>
    </w:p>
    <w:p>
      <w:pPr>
        <w:spacing w:after="0" w:line="178" w:lineRule="exact"/>
        <w:rPr>
          <w:sz w:val="20"/>
          <w:szCs w:val="20"/>
          <w:color w:val="auto"/>
        </w:rPr>
      </w:pPr>
    </w:p>
    <w:p>
      <w:pPr>
        <w:ind w:left="450" w:right="3259" w:firstLine="441"/>
        <w:spacing w:after="0" w:line="237"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per share was anti-dilutive for the three months ended December 31, 2001, and therefore was not included in the calculation above.</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2" w:right="1440" w:bottom="1440" w:gutter="0" w:footer="0" w:header="0"/>
        </w:sectPr>
      </w:pPr>
    </w:p>
    <w:bookmarkStart w:id="10" w:name="page11"/>
    <w:bookmarkEnd w:id="10"/>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5" w:lineRule="exact"/>
        <w:rPr>
          <w:sz w:val="20"/>
          <w:szCs w:val="20"/>
          <w:color w:val="auto"/>
        </w:rPr>
      </w:pPr>
    </w:p>
    <w:p>
      <w:pPr>
        <w:ind w:left="450" w:right="3359" w:firstLine="441"/>
        <w:spacing w:after="0" w:line="238" w:lineRule="auto"/>
        <w:rPr>
          <w:sz w:val="20"/>
          <w:szCs w:val="20"/>
          <w:color w:val="auto"/>
        </w:rPr>
      </w:pPr>
      <w:r>
        <w:rPr>
          <w:rFonts w:ascii="Courier New" w:cs="Courier New" w:eastAsia="Courier New" w:hAnsi="Courier New"/>
          <w:sz w:val="15"/>
          <w:szCs w:val="15"/>
          <w:color w:val="auto"/>
        </w:rPr>
        <w:t>On November 28, 2001, the Company completed its acquisition from Nortel Networks Corporation of substantially all of the assets of its Clarify business ("Clarify"), a leading provider of Customer Relationship Management ("CRM") software to communications companies and other enterprise sectors. This acquisition positions the Company as a leading provider of CRM to the communications industry and reinforces its leadership in delivering a comprehensive portfolio of business software applications.</w:t>
      </w:r>
    </w:p>
    <w:p>
      <w:pPr>
        <w:spacing w:after="0" w:line="178" w:lineRule="exact"/>
        <w:rPr>
          <w:sz w:val="20"/>
          <w:szCs w:val="20"/>
          <w:color w:val="auto"/>
        </w:rPr>
      </w:pPr>
    </w:p>
    <w:p>
      <w:pPr>
        <w:ind w:left="450" w:right="3259" w:firstLine="441"/>
        <w:spacing w:after="0" w:line="238" w:lineRule="auto"/>
        <w:rPr>
          <w:sz w:val="20"/>
          <w:szCs w:val="20"/>
          <w:color w:val="auto"/>
        </w:rPr>
      </w:pPr>
      <w:r>
        <w:rPr>
          <w:rFonts w:ascii="Courier New" w:cs="Courier New" w:eastAsia="Courier New" w:hAnsi="Courier New"/>
          <w:sz w:val="15"/>
          <w:szCs w:val="15"/>
          <w:color w:val="auto"/>
        </w:rPr>
        <w:t>The aggregate purchase price for Clarify was $203,750 in cash. The purchase price is subject to final price adjustments that may result in a reduction. In addition, transaction costs were $7,150. The acquisition was accounted for as a business combination using the purchase method of accounting, as required by Statements of Financial Accounting Standards ("SFAS") No. 141, "Business Combinations" ("SFAS 141"). The fair market value of Clarify's assets and liabilities has been included in the Company's balance sheet and the results of Clarify's operations are included in the Company's consolidated statement of income, as of the closing date of the acquisition.</w:t>
      </w:r>
    </w:p>
    <w:p>
      <w:pPr>
        <w:spacing w:after="0" w:line="180" w:lineRule="exact"/>
        <w:rPr>
          <w:sz w:val="20"/>
          <w:szCs w:val="20"/>
          <w:color w:val="auto"/>
        </w:rPr>
      </w:pPr>
    </w:p>
    <w:p>
      <w:pPr>
        <w:ind w:left="450" w:right="3179" w:firstLine="441"/>
        <w:spacing w:after="0" w:line="257" w:lineRule="auto"/>
        <w:rPr>
          <w:sz w:val="20"/>
          <w:szCs w:val="20"/>
          <w:color w:val="auto"/>
        </w:rPr>
      </w:pPr>
      <w:r>
        <w:rPr>
          <w:rFonts w:ascii="Courier New" w:cs="Courier New" w:eastAsia="Courier New" w:hAnsi="Courier New"/>
          <w:sz w:val="14"/>
          <w:szCs w:val="14"/>
          <w:color w:val="auto"/>
        </w:rPr>
        <w:t>The Company is in the process of obtaining a final valuation of the intangible assets acquired in the Clarify transaction. The value of acquired technology will include both existing technology and in-process research and development. The valuation of these technologies is being made by applying the income forecast method, which considers the present value of cash flows by product lines. Of the $65,600 of acquired identifiable intangible assets based on a preliminary valuation, $17,400 is being assigned to in-process research and development and is being written off as of the closing date of the acquisition, in accordance with FASB No. 4, "Applicability of FASB Statement No. 2 to Business Combinations Accounted for by the Purchase Method". This write-off is being included in "in-process research and development and nonrecurring charge". The fair value preliminarily assigned to core technology is $13,400 and is being amortized over two years commencing on November 28, 2001. The fair value preliminarily assigned to customer backlog is $34,800 and is being amortized over three years commencing on November 28, 2001.</w:t>
      </w:r>
    </w:p>
    <w:p>
      <w:pPr>
        <w:spacing w:after="0" w:line="334" w:lineRule="exact"/>
        <w:rPr>
          <w:sz w:val="20"/>
          <w:szCs w:val="20"/>
          <w:color w:val="auto"/>
        </w:rPr>
      </w:pPr>
    </w:p>
    <w:p>
      <w:pPr>
        <w:ind w:left="450" w:right="3179" w:firstLine="441"/>
        <w:spacing w:after="0" w:line="257" w:lineRule="auto"/>
        <w:rPr>
          <w:sz w:val="20"/>
          <w:szCs w:val="20"/>
          <w:color w:val="auto"/>
        </w:rPr>
      </w:pPr>
      <w:r>
        <w:rPr>
          <w:rFonts w:ascii="Courier New" w:cs="Courier New" w:eastAsia="Courier New" w:hAnsi="Courier New"/>
          <w:sz w:val="14"/>
          <w:szCs w:val="14"/>
          <w:color w:val="auto"/>
        </w:rPr>
        <w:t>The excess of the purchase price over the fair value of the net assets acquired, or goodwill, is $159,917. The amount assigned to goodwill is subject to certain price adjustments and contingencies. The goodwill is accounted for under SFAS No. 142, "Goodwill and Other Intangible Assets" ("SFAS 142"). In accordance with SFAS 142, goodwill is no longer amortized and will be subject to impairment tests. Under the transition provisions of SFAS 142, goodwill for acquisitions prior to July 1, 2001, will continue to be amortized until full adoption of the standard, which will occur on October 1, 2002. Therefore, goodwill associated with previous acquisitions will be amortized throughout this fiscal year.</w:t>
      </w:r>
    </w:p>
    <w:p>
      <w:pPr>
        <w:spacing w:after="0" w:line="166" w:lineRule="exact"/>
        <w:rPr>
          <w:sz w:val="20"/>
          <w:szCs w:val="20"/>
          <w:color w:val="auto"/>
        </w:rPr>
      </w:pPr>
    </w:p>
    <w:p>
      <w:pPr>
        <w:ind w:left="450" w:right="3259" w:firstLine="441"/>
        <w:spacing w:after="0" w:line="259" w:lineRule="auto"/>
        <w:rPr>
          <w:sz w:val="20"/>
          <w:szCs w:val="20"/>
          <w:color w:val="auto"/>
        </w:rPr>
      </w:pPr>
      <w:r>
        <w:rPr>
          <w:rFonts w:ascii="Courier New" w:cs="Courier New" w:eastAsia="Courier New" w:hAnsi="Courier New"/>
          <w:sz w:val="14"/>
          <w:szCs w:val="14"/>
          <w:color w:val="auto"/>
        </w:rPr>
        <w:t>Set forth below is the unaudited pro forma revenue, operating income, net income (loss) and earnings (loss) per share as if Clarify had been acquired as of the beginning of the respective periods, excluding the write-off of purchased in-process research and development:</w:t>
      </w:r>
    </w:p>
    <w:p>
      <w:pPr>
        <w:spacing w:after="0" w:line="157"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33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3100" w:type="dxa"/>
            <w:vAlign w:val="bottom"/>
          </w:tcPr>
          <w:p>
            <w:pPr>
              <w:spacing w:after="0"/>
              <w:rPr>
                <w:sz w:val="14"/>
                <w:szCs w:val="14"/>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00" w:type="dxa"/>
            <w:vAlign w:val="bottom"/>
          </w:tcPr>
          <w:p>
            <w:pPr>
              <w:spacing w:after="0"/>
              <w:rPr>
                <w:sz w:val="14"/>
                <w:szCs w:val="1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2001</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100" w:type="dxa"/>
            <w:vAlign w:val="bottom"/>
          </w:tcPr>
          <w:p>
            <w:pPr>
              <w:spacing w:after="0"/>
              <w:rPr>
                <w:sz w:val="14"/>
                <w:szCs w:val="14"/>
                <w:color w:val="auto"/>
              </w:rPr>
            </w:pPr>
          </w:p>
        </w:tc>
        <w:tc>
          <w:tcPr>
            <w:tcW w:w="1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$ 442,641</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$ 424,585</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27,030</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11,072</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11,783</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(3,566)</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0.05</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0.05</w:t>
            </w: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(0.02)</w:t>
            </w:r>
          </w:p>
        </w:tc>
      </w:tr>
      <w:tr>
        <w:trPr>
          <w:trHeight w:val="509"/>
        </w:trPr>
        <w:tc>
          <w:tcPr>
            <w:tcW w:w="3100" w:type="dxa"/>
            <w:vAlign w:val="bottom"/>
          </w:tcPr>
          <w:p>
            <w:pPr>
              <w:ind w:left="2820"/>
              <w:spacing w:after="0"/>
              <w:rPr>
                <w:sz w:val="20"/>
                <w:szCs w:val="20"/>
                <w:color w:val="auto"/>
              </w:rPr>
            </w:pPr>
            <w:r>
              <w:rPr>
                <w:rFonts w:ascii="Courier New" w:cs="Courier New" w:eastAsia="Courier New" w:hAnsi="Courier New"/>
                <w:sz w:val="15"/>
                <w:szCs w:val="15"/>
                <w:color w:val="auto"/>
              </w:rPr>
              <w:t>11</w:t>
            </w: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11" w:name="page12"/>
    <w:bookmarkEnd w:id="11"/>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339" w:lineRule="exact"/>
        <w:rPr>
          <w:sz w:val="20"/>
          <w:szCs w:val="20"/>
          <w:color w:val="auto"/>
        </w:rPr>
      </w:pP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w:t>
      </w:r>
    </w:p>
    <w:p>
      <w:pPr>
        <w:spacing w:after="0" w:line="175" w:lineRule="exact"/>
        <w:rPr>
          <w:sz w:val="20"/>
          <w:szCs w:val="20"/>
          <w:color w:val="auto"/>
        </w:rPr>
      </w:pPr>
    </w:p>
    <w:p>
      <w:pPr>
        <w:ind w:left="450" w:right="3259" w:firstLine="441"/>
        <w:spacing w:after="0" w:line="238" w:lineRule="auto"/>
        <w:rPr>
          <w:sz w:val="20"/>
          <w:szCs w:val="20"/>
          <w:color w:val="auto"/>
        </w:rPr>
      </w:pPr>
      <w:r>
        <w:rPr>
          <w:rFonts w:ascii="Courier New" w:cs="Courier New" w:eastAsia="Courier New" w:hAnsi="Courier New"/>
          <w:sz w:val="15"/>
          <w:szCs w:val="15"/>
          <w:color w:val="auto"/>
        </w:rPr>
        <w:t>As part of a plan to achieve increased operational efficiency and to reduce costs, the Company consolidated its Stamford, Connecticut data center into its Champaign, Illinois facility, and is closing the Stamford facility. As a direct result of this closure, the Company incurred a nonrecurring charge of $13,311, primarily for the write-off of leasehold improvements and rent obligations, with the remainder for severance payments. This nonrecurring charge is included in "in-process research and development and nonrecurring charge". In addition, as part of its ongoing efforts to reduce costs, the Company recently has decreased its overall commitments for employee compensation.</w:t>
      </w:r>
    </w:p>
    <w:p>
      <w:pPr>
        <w:spacing w:after="0" w:line="343" w:lineRule="exact"/>
        <w:rPr>
          <w:sz w:val="20"/>
          <w:szCs w:val="20"/>
          <w:color w:val="auto"/>
        </w:rPr>
      </w:pPr>
    </w:p>
    <w:p>
      <w:pPr>
        <w:ind w:left="350" w:hanging="350"/>
        <w:spacing w:after="0"/>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REPURCHASE PROGRAM</w:t>
      </w:r>
    </w:p>
    <w:p>
      <w:pPr>
        <w:spacing w:after="0" w:line="175" w:lineRule="exact"/>
        <w:rPr>
          <w:sz w:val="20"/>
          <w:szCs w:val="20"/>
          <w:color w:val="auto"/>
        </w:rPr>
      </w:pPr>
    </w:p>
    <w:p>
      <w:pPr>
        <w:ind w:left="450" w:right="3179" w:firstLine="441"/>
        <w:spacing w:after="0" w:line="257" w:lineRule="auto"/>
        <w:rPr>
          <w:sz w:val="20"/>
          <w:szCs w:val="20"/>
          <w:color w:val="auto"/>
        </w:rPr>
      </w:pPr>
      <w:r>
        <w:rPr>
          <w:rFonts w:ascii="Courier New" w:cs="Courier New" w:eastAsia="Courier New" w:hAnsi="Courier New"/>
          <w:sz w:val="14"/>
          <w:szCs w:val="14"/>
          <w:color w:val="auto"/>
        </w:rPr>
        <w:t>On November 6, 2001, the Company announced that its board of directors had approved a share repurchase program authorizing the repurchase of up to 11,000 Ordinary Shares, or approximately 5% of the Company's outstanding Ordinary Shares as of that date. Under the program, from time to time over the twelve-month period commencing November 6, 2001, shares may be repurchased on the open market, in privately negotiated transactions or otherwise, in accordance with any applicable laws, and at prices per share as the Company deems appropriate. If any repurchases are made, the Company intends to fund the repurchases with available funds. During the three months ended December 31, 2001, the Company made no repurchases.</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622" w:right="1440" w:bottom="1440" w:gutter="0" w:footer="0" w:header="0"/>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Some of the information in this section contains forward looking statements (within the meaning of the Private Securities Litigation Reform Act of 1995) that involve substantial risks and uncertainties. You can identify these statements by forward looking words such as "expect", "anticipate", "believe", "seek", "estimate", "project", "forecast", "continue", "potential" and similar words. Statements that we make in this section that are not statements of historical fact also may be forward looking statements. Forward looking statements are not guarantees of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0" w:lineRule="exact"/>
        <w:rPr>
          <w:sz w:val="20"/>
          <w:szCs w:val="20"/>
          <w:color w:val="auto"/>
        </w:rPr>
      </w:pPr>
    </w:p>
    <w:p>
      <w:pPr>
        <w:ind w:left="780" w:hanging="437"/>
        <w:spacing w:after="0"/>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4" w:lineRule="exact"/>
        <w:rPr>
          <w:rFonts w:ascii="Courier New" w:cs="Courier New" w:eastAsia="Courier New" w:hAnsi="Courier New"/>
          <w:sz w:val="15"/>
          <w:szCs w:val="15"/>
          <w:color w:val="auto"/>
        </w:rPr>
      </w:pPr>
    </w:p>
    <w:p>
      <w:pPr>
        <w:ind w:left="780" w:right="3259" w:hanging="437"/>
        <w:spacing w:after="0" w:line="235" w:lineRule="auto"/>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three months ended December 31, 2001 and 2000,</w:t>
      </w:r>
    </w:p>
    <w:p>
      <w:pPr>
        <w:spacing w:after="0" w:line="170"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780" w:right="3259" w:hanging="437"/>
        <w:spacing w:after="0" w:line="235" w:lineRule="auto"/>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three months ended December 31, 2001 and 2000, and</w:t>
      </w:r>
    </w:p>
    <w:p>
      <w:pPr>
        <w:spacing w:after="0" w:line="170"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In this section, we also analyze and explain the three months to three months changes in the specific line items in our consolidated statements of income. This section should be read in conjunction with our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are a leading provider of software products and services to the communications industry. Our Business Support Systems ("BSS") consist primarily of Customer Care and Billing, CRM and Order Management Systems (collectively, "CC&amp;B Systems"). Our market focus is the communications industry. Our products are designed to meet the mission-critical needs of leading communications service providers. Our systems support a wide range of communications services, including wireline, wireless, broadband, electronic and mobile commerce and Internet Protocol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1440" w:gutter="0" w:footer="0" w:header="0"/>
        </w:sectPr>
      </w:pPr>
    </w:p>
    <w:bookmarkStart w:id="13" w:name="page14"/>
    <w:bookmarkEnd w:id="13"/>
    <w:p>
      <w:pPr>
        <w:ind w:right="3359" w:firstLine="441"/>
        <w:spacing w:after="0" w:line="237" w:lineRule="auto"/>
        <w:rPr>
          <w:sz w:val="20"/>
          <w:szCs w:val="20"/>
          <w:color w:val="auto"/>
        </w:rPr>
      </w:pPr>
      <w:r>
        <w:rPr>
          <w:rFonts w:ascii="Courier New" w:cs="Courier New" w:eastAsia="Courier New" w:hAnsi="Courier New"/>
          <w:sz w:val="15"/>
          <w:szCs w:val="15"/>
          <w:color w:val="auto"/>
        </w:rPr>
        <w:t>In the future, we may consider, as part of our strategy, acquisitions and other initiatives in order to offer new products or services or otherwise enhance our market position or strategic strengths. See discussion below -- "Acquisition".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5" w:lineRule="exact"/>
        <w:rPr>
          <w:sz w:val="20"/>
          <w:szCs w:val="20"/>
          <w:color w:val="auto"/>
        </w:rPr>
      </w:pPr>
    </w:p>
    <w:p>
      <w:pPr>
        <w:ind w:left="1320" w:right="3259" w:hanging="624"/>
        <w:spacing w:after="0" w:line="237" w:lineRule="auto"/>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174" w:lineRule="exact"/>
        <w:rPr>
          <w:rFonts w:ascii="Courier New" w:cs="Courier New" w:eastAsia="Courier New" w:hAnsi="Courier New"/>
          <w:sz w:val="15"/>
          <w:szCs w:val="15"/>
          <w:color w:val="auto"/>
        </w:rPr>
      </w:pPr>
    </w:p>
    <w:p>
      <w:pPr>
        <w:ind w:left="1320" w:right="3259" w:hanging="624"/>
        <w:spacing w:after="0" w:line="259"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support, maintenance, outsourcing and other related services provided to our customers and, to a lesser degree, from incremental license fees resulting from increases in the number of a customer's subscribers.</w:t>
      </w:r>
    </w:p>
    <w:p>
      <w:pPr>
        <w:spacing w:after="0" w:line="163"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We usually sell our software as part of an overall solution offered to a customer, in which significant customization and modification to our software generally is required. As a result, revenue generally is recognized over the course of these long-term projects. Initial license revenue is recognized as work is performed, using the percentage of completion method of accounting. Subsequent license fee revenue is recognized upon completion of the specified conditions in each contract. Service revenue that involves significant ongoing obligations, including fees for customization, implementation and modification, is also recognized as work is performed, under the percentage of completion method of accounting. Revenue from software solutions that do not require significant customization and modification is recognized upon delivery. In outsourcing contracts, revenue from the operation and maintenance of customers' billing systems is recognized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a substantial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Recently, these conditions have reduced the high growth that the communications industry had experienced over the past several years. As a result, the market value, financial results and prospects, and capital spending levels of many communications companies have declined or degraded.</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During 2001, our sales cycle lengthened and currently ranges between six to twelve months for the majority of our new sales. We believe that the current length of our sales cycle and the impact of the current general economic downturn on the communications industry may result in slower revenue growth rates for us than have been achieved in recent years.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License and service fees from the sale of CC&amp;B Systems amounted to $380.5 million and $306.7 million in the three months ended December 31, 2001 and 2000, respectively, representing 90.0% and 89.6%, respectively, of our revenue for such periods.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We believe that the demand for our CC&amp;B Systems will continue to increase due to, among other key factors:</w:t>
      </w:r>
    </w:p>
    <w:p>
      <w:pPr>
        <w:spacing w:after="0" w:line="176" w:lineRule="exact"/>
        <w:rPr>
          <w:sz w:val="20"/>
          <w:szCs w:val="20"/>
          <w:color w:val="auto"/>
        </w:rPr>
      </w:pPr>
    </w:p>
    <w:p>
      <w:pPr>
        <w:ind w:left="3420" w:right="4319" w:hanging="2989"/>
        <w:spacing w:after="0" w:line="471" w:lineRule="auto"/>
        <w:tabs>
          <w:tab w:leader="none" w:pos="8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and deregulation of the communications market, 14</w:t>
      </w:r>
    </w:p>
    <w:p>
      <w:pPr>
        <w:sectPr>
          <w:pgSz w:w="11900" w:h="16838" w:orient="portrait"/>
          <w:cols w:equalWidth="0" w:num="1">
            <w:col w:w="10219"/>
          </w:cols>
          <w:pgMar w:left="240" w:top="627" w:right="1440" w:bottom="1440" w:gutter="0" w:footer="0" w:header="0"/>
        </w:sectPr>
      </w:pPr>
    </w:p>
    <w:bookmarkStart w:id="14" w:name="page15"/>
    <w:bookmarkEnd w:id="14"/>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and expansion of communications services,</w:t>
      </w:r>
    </w:p>
    <w:p>
      <w:pPr>
        <w:spacing w:after="0" w:line="174" w:lineRule="exact"/>
        <w:rPr>
          <w:rFonts w:ascii="Courier New" w:cs="Courier New" w:eastAsia="Courier New" w:hAnsi="Courier New"/>
          <w:sz w:val="15"/>
          <w:szCs w:val="15"/>
          <w:color w:val="auto"/>
        </w:rPr>
      </w:pPr>
    </w:p>
    <w:p>
      <w:pPr>
        <w:ind w:left="880" w:right="3879" w:hanging="449"/>
        <w:spacing w:after="0" w:line="235"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proliferation of new communications products and services, especially IP and data services,</w:t>
      </w:r>
    </w:p>
    <w:p>
      <w:pPr>
        <w:spacing w:after="0" w:line="175" w:lineRule="exact"/>
        <w:rPr>
          <w:rFonts w:ascii="Courier New" w:cs="Courier New" w:eastAsia="Courier New" w:hAnsi="Courier New"/>
          <w:sz w:val="15"/>
          <w:szCs w:val="15"/>
          <w:color w:val="auto"/>
        </w:rPr>
      </w:pPr>
    </w:p>
    <w:p>
      <w:pPr>
        <w:ind w:left="880" w:right="3439" w:hanging="449"/>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changes, such as the introduction of wireless Internet services via GPRS (General Packet Radio Services) and UMTS (Universal Mobile Telecommunications System) technology,</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intensifying competition among communications carriers, and</w:t>
      </w:r>
    </w:p>
    <w:p>
      <w:pPr>
        <w:spacing w:after="0" w:line="174"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 and outsourcing.</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also believe that a key driver of demand is the continuing trend for communications service providers to offer to their subscribers multiple service packages, commonly referred to as convergent services (combinations of voice, broadband, electronic and mobile commerce and IP services).</w:t>
      </w:r>
    </w:p>
    <w:p>
      <w:pPr>
        <w:spacing w:after="0" w:line="176"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In addition, we believe that our CC&amp;B solutions enable communications providers to improve productivity and reduce costs.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License and service fee revenue from the sale of Directory Systems totaled $42.1 million and $35.5 million in the three months ended December 31, 2001 and 2000, respectively, accounting for 10.0% and 10.4%, respectively, of our revenue for such periods.</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We expect that the demand for our Directory Systems will remain relatively stable in future periods.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and IP markets. Research and development expenditures amounted to $28.6 million and $23.6 million in the three months ended December 31, 2001 and 2000, respectively, representing 6.8% and 6.9%, respectively, of our revenue in these periods. In the next several years we intend to continue to make substantial investments in our research and development activities.</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November 28, 2001, we completed our acquisition from Nortel Networks Corporation of substantially all of the assets of Clarify, a leading provider of CRM software to communications companies and other enterprise sectors. This acquisition positions us as a leading provider of CRM to the communications industry and reinforces our leadership in delivering a comprehensive portfolio of business software applications.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5" w:name="page16"/>
    <w:bookmarkEnd w:id="15"/>
    <w:p>
      <w:pPr>
        <w:ind w:right="3179" w:firstLine="441"/>
        <w:spacing w:after="0" w:line="238" w:lineRule="auto"/>
        <w:rPr>
          <w:sz w:val="20"/>
          <w:szCs w:val="20"/>
          <w:color w:val="auto"/>
        </w:rPr>
      </w:pPr>
      <w:r>
        <w:rPr>
          <w:rFonts w:ascii="Courier New" w:cs="Courier New" w:eastAsia="Courier New" w:hAnsi="Courier New"/>
          <w:sz w:val="15"/>
          <w:szCs w:val="15"/>
          <w:color w:val="auto"/>
        </w:rPr>
        <w:t>The aggregate purchase price for Clarify was $203.8 million in cash. The purchase price is subject to final price adjustments that may result in a reduction. In addition, transaction costs were $7.2 million. The acquisition was accounted for as a business combination using the purchase method of accounting, as required by SFAS 141. The fair market value of Clarify's assets and liabilities has been included in our balance sheet and the results of Clarify's operations are included in our consolidated statement of income, as of the closing date of the acquisition.</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are in the process of obtaining a final valuation of the intangible assets acquired in the Clarify transaction. The value of acquired technology will include both existing technology and in-process research and development. The valuation of these technologies is being made by applying the income forecast method, which considers the present value of cash flows by product lines. Of the $65.6 million of acquired identifiable intangible assets based on a preliminary valuation, $17.4 million is being assigned to in-process research and development and is being written off as of the closing date of the acquisition, in accordance with FASB No. 4, "Applicability of FASB Statement No. 2 to Business Combinations Accounted for by the Purchase Method". This write-off is being included in "in-process research and development and nonrecurring charge". The fair value preliminarily assigned to core technology is $13.4 million and is being amortized over two years commencing on November 28, 2001. The fair value preliminarily assigned to customer backlog is $34.8 million and is being amortized over three years commencing on November 28, 2001.</w:t>
      </w:r>
    </w:p>
    <w:p>
      <w:pPr>
        <w:spacing w:after="0" w:line="16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or goodwill, is $159.9 million. The amount assigned to goodwill is subject to certain price adjustments and contingencies. The goodwill is accounted for under SFAS 142. In accordance with SFAS 142, goodwill is no longer amortized and will be subject to impairment tests. Under the transition provisions of SFAS 142, goodwill for acquisitions prior to July 1, 2001, will continue to be amortized until full adoption of the standard, which will occur on October 1, 2002. Therefore, goodwill associated with previous acquisitions will be amortized throughout this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a plan to achieve increased operational efficiency and to reduce costs, we consolidated our Stamford, Connecticut data center into our Champaign, Illinois facility, and we are closing the Stamford facility. As a direct result of this closure, we incurred a nonrecurring charge of $13.3 million, primarily for the write-off of leasehold improvements and rent obligations, with the remainder for severance payments. This nonrecurring charge is included in "in-process research and development and nonrecurring charge". In addition, as part of our ongoing efforts to reduce costs, we recently have decreased our overall commitments for employee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On November 6, 2001, we announced that our board of directors had approved a share repurchase program authorizing the repurchase of up to 11.0 million of our ordinary shares, or approximately 5% of our outstanding ordinary shares as of that date. Under the program, from time to time over the twelve-month period commencing November 6, 2001, shares may be repurchased on the open market, in privately negotiated transactions or otherwise, in accordance with any applicable laws, and at prices per share as we deem appropriate. If any repurchases are made, we intend to fund the repurchases with available funds. During the three months ended December 31, 2001 we made no repurchases.</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sets forth for the three months ended December 31, 2001 and 2000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 DECEMBER 31,</w:t>
            </w:r>
          </w:p>
        </w:tc>
        <w:tc>
          <w:tcPr>
            <w:tcW w:w="7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26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PRO FORMA (*)</w:t>
            </w: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AS REPORTED</w:t>
            </w:r>
          </w:p>
        </w:tc>
      </w:tr>
      <w:tr>
        <w:trPr>
          <w:trHeight w:val="170"/>
        </w:trPr>
        <w:tc>
          <w:tcPr>
            <w:tcW w:w="3300" w:type="dxa"/>
            <w:vAlign w:val="bottom"/>
          </w:tcPr>
          <w:p>
            <w:pPr>
              <w:spacing w:after="0"/>
              <w:rPr>
                <w:sz w:val="14"/>
                <w:szCs w:val="14"/>
                <w:color w:val="auto"/>
              </w:rPr>
            </w:pPr>
          </w:p>
        </w:tc>
        <w:tc>
          <w:tcPr>
            <w:tcW w:w="26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88.9</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88.9</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Cost of license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0.5</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Cost of service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56.0</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54.6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56.0</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00" w:type="dxa"/>
            <w:vAlign w:val="bottom"/>
          </w:tcPr>
          <w:p>
            <w:pPr>
              <w:ind w:left="520"/>
              <w:spacing w:after="0"/>
              <w:rPr>
                <w:sz w:val="20"/>
                <w:szCs w:val="20"/>
                <w:color w:val="auto"/>
              </w:rPr>
            </w:pPr>
            <w:r>
              <w:rPr>
                <w:rFonts w:ascii="Courier New" w:cs="Courier New" w:eastAsia="Courier New" w:hAnsi="Courier New"/>
                <w:sz w:val="15"/>
                <w:szCs w:val="15"/>
                <w:color w:val="auto"/>
              </w:rPr>
              <w:t>administrative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w:t>
            </w:r>
          </w:p>
        </w:tc>
      </w:tr>
      <w:tr>
        <w:trPr>
          <w:trHeight w:val="170"/>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goodwill and</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00" w:type="dxa"/>
            <w:vAlign w:val="bottom"/>
          </w:tcPr>
          <w:p>
            <w:pPr>
              <w:ind w:left="600"/>
              <w:spacing w:after="0"/>
              <w:rPr>
                <w:sz w:val="20"/>
                <w:szCs w:val="20"/>
                <w:color w:val="auto"/>
              </w:rPr>
            </w:pPr>
            <w:r>
              <w:rPr>
                <w:rFonts w:ascii="Courier New" w:cs="Courier New" w:eastAsia="Courier New" w:hAnsi="Courier New"/>
                <w:sz w:val="15"/>
                <w:szCs w:val="15"/>
                <w:color w:val="auto"/>
              </w:rPr>
              <w:t>purchased intangible assets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w:t>
            </w:r>
          </w:p>
        </w:tc>
      </w:tr>
      <w:tr>
        <w:trPr>
          <w:trHeight w:val="339"/>
        </w:trPr>
        <w:tc>
          <w:tcPr>
            <w:tcW w:w="3300" w:type="dxa"/>
            <w:vAlign w:val="bottom"/>
          </w:tcPr>
          <w:p>
            <w:pPr>
              <w:ind w:left="440"/>
              <w:spacing w:after="0"/>
              <w:rPr>
                <w:sz w:val="20"/>
                <w:szCs w:val="20"/>
                <w:color w:val="auto"/>
              </w:rPr>
            </w:pPr>
            <w:r>
              <w:rPr>
                <w:rFonts w:ascii="Courier New" w:cs="Courier New" w:eastAsia="Courier New" w:hAnsi="Courier New"/>
                <w:sz w:val="15"/>
                <w:szCs w:val="15"/>
                <w:color w:val="auto"/>
              </w:rPr>
              <w:t>In-process research and</w:t>
            </w: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300" w:type="dxa"/>
            <w:vAlign w:val="bottom"/>
          </w:tcPr>
          <w:p>
            <w:pPr>
              <w:ind w:left="520"/>
              <w:spacing w:after="0"/>
              <w:rPr>
                <w:sz w:val="20"/>
                <w:szCs w:val="20"/>
                <w:color w:val="auto"/>
              </w:rPr>
            </w:pPr>
            <w:r>
              <w:rPr>
                <w:rFonts w:ascii="Courier New" w:cs="Courier New" w:eastAsia="Courier New" w:hAnsi="Courier New"/>
                <w:sz w:val="15"/>
                <w:szCs w:val="15"/>
                <w:color w:val="auto"/>
              </w:rPr>
              <w:t>development and nonrecurring</w:t>
            </w: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300" w:type="dxa"/>
            <w:vAlign w:val="bottom"/>
          </w:tcPr>
          <w:p>
            <w:pPr>
              <w:ind w:left="520"/>
              <w:spacing w:after="0"/>
              <w:rPr>
                <w:sz w:val="20"/>
                <w:szCs w:val="20"/>
                <w:color w:val="auto"/>
              </w:rPr>
            </w:pPr>
            <w:r>
              <w:rPr>
                <w:rFonts w:ascii="Courier New" w:cs="Courier New" w:eastAsia="Courier New" w:hAnsi="Courier New"/>
                <w:sz w:val="15"/>
                <w:szCs w:val="15"/>
                <w:color w:val="auto"/>
              </w:rPr>
              <w:t>charge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30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76.1</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95.0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25.5</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3300" w:type="dxa"/>
            <w:vAlign w:val="bottom"/>
          </w:tcPr>
          <w:p>
            <w:pPr>
              <w:spacing w:after="0"/>
              <w:rPr>
                <w:sz w:val="14"/>
                <w:szCs w:val="1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880" w:right="3179" w:hanging="449"/>
        <w:spacing w:after="0" w:line="257"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financial information regarding our operating results is provided as a complement to results reported in accordance with GAAP. The pro forma financial information excludes (i) amortization of goodwill and purchased intangible assets and all related tax effects attributable to acquisitions and (ii) for the three months ended December 31, 2001 only, purchased in-process research and development attributable to the acquisition of Clarify and a nonrecurring charge related to the consolidation of data centers and the resulting closure of our Stamford, Connecticut facility, and all related tax effects.</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sectPr>
      </w:pPr>
    </w:p>
    <w:bookmarkStart w:id="17" w:name="page18"/>
    <w:bookmarkEnd w:id="17"/>
    <w:p>
      <w:pPr>
        <w:ind w:left="440"/>
        <w:spacing w:after="0"/>
        <w:rPr>
          <w:sz w:val="20"/>
          <w:szCs w:val="20"/>
          <w:color w:val="auto"/>
        </w:rPr>
      </w:pPr>
      <w:r>
        <w:rPr>
          <w:rFonts w:ascii="Courier New" w:cs="Courier New" w:eastAsia="Courier New" w:hAnsi="Courier New"/>
          <w:sz w:val="15"/>
          <w:szCs w:val="15"/>
          <w:color w:val="auto"/>
        </w:rPr>
        <w:t>THREE MONTHS ENDED DECEMBER 31, 2001 AND 2000</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REVENUE. Revenue for the three months ended December 31, 2001 was $422.6 million, an increase of $80.5 million, or 23.5%, over the three months ended December 31, 2000. The increase in revenue was due to the continued growth in the demand for our CC&amp;B Systems solutions in our traditional target markets of high-end and mid-tier communications companies. License revenue increased from $38.1 million in the three months ended December 31, 2000 to $42.3 million during the three months ended December 31, 2001, an increase of 11.1%, and service revenue increased 25.1% from $304.1 million in the three months ended December 31, 2000 to $380.4 million in the three months ended December 31, 2001.</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Total CC&amp;B Systems revenue for the three months ended December 31, 2001 was $380.5 million, an increase of $73.8 million, or 24.1%, over the three months ended December 31, 2000. In the three months ended December 31, 2001, the demand for our CC&amp;B Systems was primarily driven by the need for communications companies to upgrade their customer care and billing, CRM and order management systems in response to competition in the subscriber markets, the need to offer convergent and IP services, and the need to improve productivity and operational efficiency.</w:t>
      </w:r>
    </w:p>
    <w:p>
      <w:pPr>
        <w:spacing w:after="0" w:line="178"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Revenue from Directory Systems was $42.1 million for the three months ended December 31, 2001, an increase of $6.6 million, or 18.6%, over the three months ended December 31, 2000. The increase is attributable primarily to extensions of agreements with and additional services rendered to existing customers.</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the three months ended December 31, 2001, revenue from customers in North America, Europe and the rest of the world accounted for 61.3%, 28.3% and 10.4%, respectively, compared to 54.0%, 36.4% and 9.6%, respectively, for the three months ended December 31, 2000. The growth in North America was attributable primarily to revenue we gained from forming or expanding relationships with new or existing customers in the three months ended December 31, 2001.</w:t>
      </w:r>
    </w:p>
    <w:p>
      <w:pPr>
        <w:spacing w:after="0" w:line="177" w:lineRule="exact"/>
        <w:rPr>
          <w:sz w:val="20"/>
          <w:szCs w:val="20"/>
          <w:color w:val="auto"/>
        </w:rPr>
      </w:pPr>
    </w:p>
    <w:p>
      <w:pPr>
        <w:jc w:val="both"/>
        <w:ind w:right="3359" w:firstLine="441"/>
        <w:spacing w:after="0" w:line="259" w:lineRule="auto"/>
        <w:rPr>
          <w:sz w:val="20"/>
          <w:szCs w:val="20"/>
          <w:color w:val="auto"/>
        </w:rPr>
      </w:pPr>
      <w:r>
        <w:rPr>
          <w:rFonts w:ascii="Courier New" w:cs="Courier New" w:eastAsia="Courier New" w:hAnsi="Courier New"/>
          <w:sz w:val="14"/>
          <w:szCs w:val="14"/>
          <w:color w:val="auto"/>
        </w:rPr>
        <w:t>COST OF LICENSE. Cost of license for the three months ended December 31, 2001 was $1.0 million, a decrease of $0.7 million, or 40.9%, over the cost of license for the three months ended December 31, 2000. Cost of license includes amortization of purchased computer software and intellectual property rights.</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COST OF SERVICE. Cost of service for the three months ended December 31, 2001 was $230.6 million, an increase of $38.8 million, or 20.2%, over the cost of service of $191.8 million for the three months ended December 31, 2000. As a percentage of revenue, cost of service decreased to 54.6% in the three months ended December 31, 2001 from 56.0% in the three months ended December 31, 2000. The decrease in cost of service as a percentage of revenue is primarily due to increases in our operational efficiency in the three months ended December 31, 2001.</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three months ended December 31, 2001, research and development expense was $28.6 million, or 6.8% of revenue, compared with $23.6 million, or 6.9% of revenue, in the three months ended December 31, 2000. The increase represents ongoing expenditures primarily for CC&amp;B Systems.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23.8% to $53.8 million, or 12.7% of revenue, in the three months ended December 31, 2001 from $43.5 million, or 12.7% of revenue, in the three months ended December 31, 2000. The increase is attributable to the increase in our revenue for the three months ended December 31, 2001.</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three months ended December 31, 2001 was $56.8 million, compared to $54.2 million in the three months ended December 31, 2000.</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2" w:right="1440" w:bottom="1440" w:gutter="0" w:footer="0" w:header="0"/>
        </w:sectPr>
      </w:pPr>
    </w:p>
    <w:bookmarkStart w:id="18" w:name="page19"/>
    <w:bookmarkEnd w:id="18"/>
    <w:p>
      <w:pPr>
        <w:ind w:right="3179" w:firstLine="441"/>
        <w:spacing w:after="0" w:line="238" w:lineRule="auto"/>
        <w:rPr>
          <w:sz w:val="20"/>
          <w:szCs w:val="20"/>
          <w:color w:val="auto"/>
        </w:rPr>
      </w:pPr>
      <w:r>
        <w:rPr>
          <w:rFonts w:ascii="Courier New" w:cs="Courier New" w:eastAsia="Courier New" w:hAnsi="Courier New"/>
          <w:sz w:val="15"/>
          <w:szCs w:val="15"/>
          <w:color w:val="auto"/>
        </w:rPr>
        <w:t>IN-PROCESS RESEARCH AND DEVELOPMENT AND NONRECURRING CHARGE. In-process research and development and nonrecurring charge in the three months ended December 31, 2001 consisted of a one-time charge of $17.4 million related to the Clarify transaction for write-off of purchased in-process research and development, and a nonrecurring charge of $13.3 million related to the consolidation of data centers and the resulting closure of our Stamford, Connecticut facility.</w:t>
      </w:r>
    </w:p>
    <w:p>
      <w:pPr>
        <w:spacing w:after="0" w:line="177"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OPERATING INCOME. Operating income in the three months ended December 31, 2001, was $21.2 million, compared to $27.5 million in the three months ended December 31, 2000, a decrease of 22.9%, due to Clarify acquisition-related charges and the nonrecurring charge resulting from the Stamford facility closing. Pro forma operating income for the three months ended December 31, 2001, excluding acquisition-related charges and the nonrecurring charge, was $108.7 million, or 25.7% of revenue, compared to $81.7 million, or 23.9% of revenue, for the three months ended December 31, 2000, an increase of 33.1%.</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INTEREST INCOME AND OTHER, NET. In the three months ended December 31, 2001, interest income and other, net, was $3.3 million, a decrease of $2.2 million over the three months ended December 31, 2000. The decrease in interest income and other, net, is primarily attributable to the overall interest rate declines partially offset by increase in our cash equivalents and short-term interest-bearing investments, net of convertible notes.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Income taxes in the three months ended December 31, 2001 were $20.2 million on income before income taxes of $24.6 million. Our effective tax rate from continuing operations (calculated based on the income taxes out of the income before income taxes, excluding a one-time charge for write-off of purchased in-process research and development and the nonrecurring charge resulting from the Stamford facility closing) in the three months ended December 31, 2001 was 49%, resulting from the non-cash amortization of goodwill related to the acquisitions, much of which is not tax deductible. The pro forma effective tax rate for the three months ended December 31, 2001, excluding the acquisition-related charges, was 28%. In the three months ended December 31, 2000, income taxes were $20.5 million on income before taxes of $33.1 million. The pro forma effective tax rate for the three months ended December 31, 2000, excluding acquisition-related charges and the nonrecurring charge resulting from the Stamford facility closing, was 30%. See discussion below -- "Effective Tax Rate".</w:t>
      </w:r>
    </w:p>
    <w:p>
      <w:pPr>
        <w:spacing w:after="0" w:line="18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NET INCOME. Net income was $4.3 million in the three months ended December 31, 2001, compared to $12.6 million in the three months ended December 31, 2000. Net income was 1.0% of revenue for the three months ended December 31, 2001, compared to 3.7% for the three months ended December 31, 2000. Pro forma net income in the three months ended December 31, 2001, excluding the acquisition-related charges and the nonrecurring charge resulting from the Stamford facility closing, increased by 32.1% over the three months ended December 31, 2000, reaching $80.7 million, representing 19.1% of revenue.</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DILUTED EARNINGS PER SHARE. Diluted earnings per share were $0.02 for the three months ended December 31, 2001, compared to $0.06 in the three months ended December 31, 2000. Pro forma diluted earnings per share in the three months ended December 31, 2001, excluding the acquisition-related charges and the nonrecurring charge resulting from the Stamford facility closing, increased by 33.3% from the three months ended December 31, 2000, reaching $0.36 per diluted share.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Cash, cash equivalents and short-term interest-bearing investments totaled $979.5 million as of December 31, 2001, compared to $1,110.1 million as of September 30, 2001. The decrease is attributable primarily to the acquisition of Clarify and is partially offset by cash flows from operations. Net cash provided by operating activities amounted to $108.1 million and $63.5 million for the three months ended December 31, 2001 and 2000, respectively. The increase in cash flows from operations was due to increased net income before depreciation, amortization, and a one-time charge for write-off of in-process research and development, and a decrease in working capital. We currently intend to retain our future operating cash flows to support the further expansion of our business.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December 31, 2001, we had positive working capital of $902.3 million, compared to positive working capital of $1,059.9 million as of September 30, 2001. The decrease is attributable primarily to the acquisition of Clarify. We believe that current cash balances, cash generated from operations and our current lines of credit will provide sufficient resources to meet our needs in the near future.</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All of the Notes were outstanding as of December 31, 2001, representing an aggregate principal amount of $500.0 million plus accumulated interest.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of December 31, 2001, we had short-term general revolving lines of credit totaling $40.0 million, none of which were outstanding. In addition, as of December 31, 2001 we had credit facilities totaling $40.8 million limited for the use of letters of credit and bank guaranties from various banks. We had used approximately $27.2 million from these credit facilities and from compensating cash balances to support outstanding letters of credit and bank guarantees as of December 31, 2001.</w:t>
      </w:r>
    </w:p>
    <w:p>
      <w:pPr>
        <w:spacing w:after="0" w:line="177"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We had outstanding long-term obligations of $32.8 million in connection with leasing arrangements as of December 31, 2001.</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of December 31, 2001, deferred tax assets of $31.8 million, derived primarily from carry-forward net operating losses relating to losses incurred by Solect prior to our acquisition of the company in April 2000, were offset by valuation allowances due to the uncertainty of realizing any tax benefit for such losses. When realization of the tax benefits associated with such net operating losses is deemed probable, the valuation allowance will be released, resulting primarily in an offsetting reduction of the goodwill recorded in the Solect acquisition.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Our overall pro forma effective tax rate for fiscal year 2002 is expected to be approximately 28% due to the corporate income tax rates in the various countries in which we operate and the relative magnitude of our business in those countries, compared to our historical pro forma effective tax rate of approximately 30%. Our consolidated effective tax rate from continuing operations (based on the ratio between income taxes and income before income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1440" w:gutter="0" w:footer="0" w:header="0"/>
        </w:sectPr>
      </w:pPr>
    </w:p>
    <w:bookmarkStart w:id="20" w:name="page21"/>
    <w:bookmarkEnd w:id="20"/>
    <w:p>
      <w:pPr>
        <w:ind w:right="3179"/>
        <w:spacing w:after="0" w:line="238" w:lineRule="auto"/>
        <w:rPr>
          <w:sz w:val="20"/>
          <w:szCs w:val="20"/>
          <w:color w:val="auto"/>
        </w:rPr>
      </w:pPr>
      <w:r>
        <w:rPr>
          <w:rFonts w:ascii="Courier New" w:cs="Courier New" w:eastAsia="Courier New" w:hAnsi="Courier New"/>
          <w:sz w:val="15"/>
          <w:szCs w:val="15"/>
          <w:color w:val="auto"/>
        </w:rPr>
        <w:t>taxes, excluding one-time charges for write-offs of purchased in-process research and development and the nonrecurring charge resulting from the Stamford facility closing) for the three months ended December 31, 2001 was 49%, compared to 62% in the three months ended December 31, 2000. This high effective tax rate was attributable to amortization of goodwill related to our acquisitions, much of which is not tax deductible. If the impact of the one-time charges had been included, the effective tax rate for the three-month period ended December 31, 2001 would have been 82%.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(excluding amortization for goodwill and intangible assets, in-process research and development and nonrecurring charge) are paid in dollars or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December 31, 2001, we had hedged significant exposures in currencies other than the dollar.</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1" w:name="page22"/>
    <w:bookmarkEnd w:id="21"/>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9" w:lineRule="exact"/>
        <w:rPr>
          <w:sz w:val="20"/>
          <w:szCs w:val="20"/>
          <w:color w:val="auto"/>
        </w:rPr>
      </w:pPr>
    </w:p>
    <w:p>
      <w:pPr>
        <w:ind w:left="710" w:hanging="710"/>
        <w:spacing w:after="0"/>
        <w:tabs>
          <w:tab w:leader="none" w:pos="71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0"/>
        <w:spacing w:after="0"/>
        <w:tabs>
          <w:tab w:leader="none" w:pos="2089"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ind w:left="10"/>
        <w:spacing w:after="0"/>
        <w:tabs>
          <w:tab w:leader="none" w:pos="22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10"/>
        <w:spacing w:after="0"/>
        <w:tabs>
          <w:tab w:leader="none" w:pos="208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Amdocs Limited Press Release dated January 22, 2002.</w:t>
      </w:r>
    </w:p>
    <w:p>
      <w:pPr>
        <w:spacing w:after="0" w:line="169" w:lineRule="exact"/>
        <w:rPr>
          <w:sz w:val="20"/>
          <w:szCs w:val="20"/>
          <w:color w:val="auto"/>
        </w:rPr>
      </w:pPr>
    </w:p>
    <w:p>
      <w:pPr>
        <w:ind w:left="790" w:hanging="790"/>
        <w:spacing w:after="0"/>
        <w:tabs>
          <w:tab w:leader="none" w:pos="7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rFonts w:ascii="Courier New" w:cs="Courier New" w:eastAsia="Courier New" w:hAnsi="Courier New"/>
          <w:sz w:val="15"/>
          <w:szCs w:val="15"/>
          <w:color w:val="auto"/>
        </w:rPr>
      </w:pPr>
    </w:p>
    <w:p>
      <w:pPr>
        <w:ind w:left="79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the following reports on Form 6-K during the three months ended December 31, 2001:</w:t>
      </w:r>
    </w:p>
    <w:p>
      <w:pPr>
        <w:spacing w:after="0" w:line="170" w:lineRule="exact"/>
        <w:rPr>
          <w:rFonts w:ascii="Courier New" w:cs="Courier New" w:eastAsia="Courier New" w:hAnsi="Courier New"/>
          <w:sz w:val="15"/>
          <w:szCs w:val="15"/>
          <w:color w:val="auto"/>
        </w:rPr>
      </w:pPr>
    </w:p>
    <w:p>
      <w:pPr>
        <w:ind w:left="1330" w:hanging="536"/>
        <w:spacing w:after="0"/>
        <w:tabs>
          <w:tab w:leader="none" w:pos="13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October 10, 2001.</w:t>
      </w:r>
    </w:p>
    <w:p>
      <w:pPr>
        <w:spacing w:after="0" w:line="169" w:lineRule="exact"/>
        <w:rPr>
          <w:rFonts w:ascii="Courier New" w:cs="Courier New" w:eastAsia="Courier New" w:hAnsi="Courier New"/>
          <w:sz w:val="15"/>
          <w:szCs w:val="15"/>
          <w:color w:val="auto"/>
        </w:rPr>
      </w:pPr>
    </w:p>
    <w:p>
      <w:pPr>
        <w:ind w:left="1330" w:hanging="536"/>
        <w:spacing w:after="0"/>
        <w:tabs>
          <w:tab w:leader="none" w:pos="13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12, 2001.</w:t>
      </w:r>
    </w:p>
    <w:p>
      <w:pPr>
        <w:spacing w:after="0" w:line="169" w:lineRule="exact"/>
        <w:rPr>
          <w:rFonts w:ascii="Courier New" w:cs="Courier New" w:eastAsia="Courier New" w:hAnsi="Courier New"/>
          <w:sz w:val="15"/>
          <w:szCs w:val="15"/>
          <w:color w:val="auto"/>
        </w:rPr>
      </w:pPr>
    </w:p>
    <w:p>
      <w:pPr>
        <w:ind w:left="1330" w:hanging="536"/>
        <w:spacing w:after="0"/>
        <w:tabs>
          <w:tab w:leader="none" w:pos="133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December 27, 2001.</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791" w:right="1440" w:bottom="1440" w:gutter="0" w:footer="0" w:header="0"/>
        </w:sectPr>
      </w:pPr>
    </w:p>
    <w:bookmarkStart w:id="22" w:name="page23"/>
    <w:bookmarkEnd w:id="2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AMDOCS LIMITED</w:t>
      </w:r>
    </w:p>
    <w:p>
      <w:pPr>
        <w:spacing w:after="0" w:line="33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Thomas G. O'Brien</w:t>
      </w:r>
    </w:p>
    <w:p>
      <w:pPr>
        <w:ind w:left="360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Thomas G. O'Brien</w:t>
      </w:r>
    </w:p>
    <w:p>
      <w:pPr>
        <w:ind w:left="3600"/>
        <w:spacing w:after="0" w:line="238" w:lineRule="auto"/>
        <w:rPr>
          <w:sz w:val="20"/>
          <w:szCs w:val="20"/>
          <w:color w:val="auto"/>
        </w:rPr>
      </w:pPr>
      <w:r>
        <w:rPr>
          <w:rFonts w:ascii="Courier New" w:cs="Courier New" w:eastAsia="Courier New" w:hAnsi="Courier New"/>
          <w:sz w:val="15"/>
          <w:szCs w:val="15"/>
          <w:color w:val="auto"/>
        </w:rPr>
        <w:t>Treasurer and Secretary</w:t>
      </w:r>
    </w:p>
    <w:p>
      <w:pPr>
        <w:ind w:left="3600"/>
        <w:spacing w:after="0"/>
        <w:rPr>
          <w:sz w:val="20"/>
          <w:szCs w:val="20"/>
          <w:color w:val="auto"/>
        </w:rPr>
      </w:pPr>
      <w:r>
        <w:rPr>
          <w:rFonts w:ascii="Courier New" w:cs="Courier New" w:eastAsia="Courier New" w:hAnsi="Courier New"/>
          <w:sz w:val="15"/>
          <w:szCs w:val="15"/>
          <w:color w:val="auto"/>
        </w:rPr>
        <w:t>Authorized U.S. Representative</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January 30, 2002</w:t>
      </w:r>
    </w:p>
    <w:p>
      <w:pPr>
        <w:sectPr>
          <w:pgSz w:w="11900" w:h="16838" w:orient="portrait"/>
          <w:cols w:equalWidth="0" w:num="1">
            <w:col w:w="10219"/>
          </w:cols>
          <w:pgMar w:left="240" w:top="791" w:right="1440" w:bottom="1440" w:gutter="0" w:footer="0" w:header="0"/>
        </w:sectPr>
      </w:pPr>
    </w:p>
    <w:bookmarkStart w:id="23" w:name="page24"/>
    <w:bookmarkEnd w:id="23"/>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27" w:right="1440"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1380" w:space="720"/>
            <w:col w:w="81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January 22, 2002.</w:t>
      </w:r>
    </w:p>
    <w:p>
      <w:pPr>
        <w:sectPr>
          <w:pgSz w:w="11900" w:h="16838" w:orient="portrait"/>
          <w:cols w:equalWidth="0" w:num="2">
            <w:col w:w="1380" w:space="720"/>
            <w:col w:w="8119"/>
          </w:cols>
          <w:pgMar w:left="240" w:top="627" w:right="1440" w:bottom="1440" w:gutter="0" w:footer="0" w:header="0"/>
          <w:type w:val="continuous"/>
        </w:sectPr>
      </w:pPr>
    </w:p>
    <w:bookmarkStart w:id="24" w:name="page25"/>
    <w:bookmarkEnd w:id="24"/>
    <w:p>
      <w:pPr>
        <w:jc w:val="right"/>
        <w:ind w:right="3179"/>
        <w:spacing w:after="0"/>
        <w:rPr>
          <w:sz w:val="20"/>
          <w:szCs w:val="20"/>
          <w:color w:val="auto"/>
        </w:rPr>
      </w:pPr>
      <w:r>
        <w:rPr>
          <w:rFonts w:ascii="Courier New" w:cs="Courier New" w:eastAsia="Courier New" w:hAnsi="Courier New"/>
          <w:sz w:val="15"/>
          <w:szCs w:val="15"/>
          <w:color w:val="auto"/>
        </w:rPr>
        <w:t>EXHIBIT 99.1</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AMDOCS LIMITED FIRST QUARTER PRO FORMA EPS GROWS 33.3%, REACHING $0.36</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FIRST QUARTER REVENUE INCREASES 23.5% TO $422.6 MILLION</w:t>
      </w:r>
    </w:p>
    <w:p>
      <w:pPr>
        <w:spacing w:after="0" w:line="17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ST. LOUIS, MO -- JANUARY 22, 2002 -- Amdocs Limited (NYSE: DOX) today reported that for the first quarter ended December 31, 2001, revenue reached $422.6 million, an increase of 23.5% over last year's first quarter. Excluding acquisition-related costs and a nonrecurring charge in the current quarter, net income increased 32.1% to $80.7 million, while earnings per share increased</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33.3% to $0.36 per diluted share, compared to net income of $61.1 million, or $0.27 per diluted share, in the first quarter of fiscal 2001. The Company's as-reported net income, which includes acquisition-related charges for write-off of in-process research and development, amortization of goodwill and purchased intangible assets, a nonrecurring charge in the current quarter and related tax effects, was $4.3 million, or $0.02 per diluted share, compared to a net income of $12.6 million, or $0.06 per diluted share, in the first quarter of fiscal 2001.</w:t>
      </w:r>
    </w:p>
    <w:p>
      <w:pPr>
        <w:spacing w:after="0" w:line="178"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Avi Naor, Chief Executive Officer of Amdocs Management Limited, noted, "We had excellent new business wins this quarter which confirm that we are the undisputed leader in our market. We continued to show growth and achieved our business and financial objectives. We had very good sales results globally, in both the wireline and mobile sectors, and for both CRM and billing systems."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Naor continued, "This was a significant quarter for both new business wins and major implementations. We had major wins across lines of business and geographies including such Tier One customers as Telefonica de Espana with 16 million subscribers, where we're providing convergent voice and data services including ADSL. We had successful implementations for such major customers as BT with 21 million customers in the United Kingdom, Nextel with 8 million subscribers and Bell Nexxia, which is part of our overall modernization at Bell Canada. Amdocs is the only company whose business offering combines market-leading products and twenty years of experience in successful solution implementations."</w:t>
      </w:r>
    </w:p>
    <w:p>
      <w:pPr>
        <w:spacing w:after="0" w:line="180"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the first quarter, we further strengthened our leadership of the CRM and billing market for communications," Naor added. "We completed our acquisition of Clarify, which establishes Amdocs as the world's number one provider of CRM to communications service providers. This acquisition is already creating momentum, with some important CRM sales to major operators during the quarter. We further expanded our global CRM capabilities in the quarter through our relationships with NEC to serve the CRM market in Japan. Our new Amdocs Enabler product for next generation services, announced in October, has also generated strong sales momentum with new and existing customers. These customers have cited Enabler's market-leading technology and scalability as the key factors in their decision. Pre-integrated and production ready, Enabler employs open API's and is designed for quick, cost-effective deployment."</w:t>
      </w:r>
    </w:p>
    <w:p>
      <w:pPr>
        <w:spacing w:after="0" w:line="16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Naor concluded, "Despite the overall economic climate, demand for Amdocs solutions is strong. We believe that our financial stability, broad portfolio and unparalleled reliability are key factors for leading operators, especially in the current environment, as they choose long-term partners for their mission-critical system needs. The scale and focus of our R&amp;D program also assure customers that Amdocs systems will put them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front, and keep them in front. As a result of this demand, we have a strong diverse pipeline. With our high visibility and proven business model, based on the solutions approach, long-term customer relationships and recurring revenue flows, we are very confident regarding our business prospects in the coming quarters."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As-reported operating income for the first quarter included a one-time charge of $17.4 million for write-off of in-process research and development related to the acquisition of Clarify, which closed during the quarter. Following a successful implementation for Nextel Communications, and as part of a plan to achieve increased operational efficiency and reduce costs, Amdocs consolidated its Stamford, Connecticut data center into its Champaign, Illinois facility and recorded a nonrecurring charge of $13.3 million largely for facilities and severance charges.</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Amdocs is the world's leading provider of CRM, billing and order management systems for the communications industry. Amdocs has an unparalleled success record in project delivery of its mission-critical products. With human resources of over 9,050 information systems professionals, Amdocs supports a global customer base. For more information visit our Web site at www.amdocs.com.</w:t>
      </w:r>
    </w:p>
    <w:p>
      <w:pPr>
        <w:spacing w:after="0" w:line="16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Amdocs will host a conference call on January 22 at 5 p.m. Eastern Standard Time to discuss the Company's first quarter results. The call will be carried live on the Internet via www.vcall.com and the Amdocs website, www.amdocs.com.</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w:t>
      </w:r>
    </w:p>
    <w:p>
      <w:pPr>
        <w:sectPr>
          <w:pgSz w:w="11900" w:h="16838" w:orient="portrait"/>
          <w:cols w:equalWidth="0" w:num="1">
            <w:col w:w="10219"/>
          </w:cols>
          <w:pgMar w:left="240" w:top="136" w:right="1440" w:bottom="0" w:gutter="0" w:footer="0" w:header="0"/>
        </w:sectPr>
      </w:pPr>
    </w:p>
    <w:bookmarkStart w:id="25" w:name="page26"/>
    <w:bookmarkEnd w:id="25"/>
    <w:p>
      <w:pPr>
        <w:ind w:right="3259"/>
        <w:spacing w:after="0" w:line="238" w:lineRule="auto"/>
        <w:rPr>
          <w:sz w:val="20"/>
          <w:szCs w:val="20"/>
          <w:color w:val="auto"/>
        </w:rPr>
      </w:pPr>
      <w:r>
        <w:rPr>
          <w:rFonts w:ascii="Courier New" w:cs="Courier New" w:eastAsia="Courier New" w:hAnsi="Courier New"/>
          <w:sz w:val="15"/>
          <w:szCs w:val="15"/>
          <w:color w:val="auto"/>
        </w:rPr>
        <w:t>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Form 20-F filed on December 27, 2001.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rPr>
          <w:sz w:val="20"/>
          <w:szCs w:val="20"/>
          <w:color w:val="auto"/>
        </w:rPr>
      </w:pPr>
      <w:r>
        <w:rPr>
          <w:rFonts w:ascii="Courier New" w:cs="Courier New" w:eastAsia="Courier New" w:hAnsi="Courier New"/>
          <w:sz w:val="15"/>
          <w:szCs w:val="15"/>
          <w:color w:val="auto"/>
        </w:rPr>
        <w:t>Amdocs Limited</w:t>
      </w:r>
    </w:p>
    <w:p>
      <w:pPr>
        <w:spacing w:after="0" w:line="238" w:lineRule="auto"/>
        <w:rPr>
          <w:sz w:val="20"/>
          <w:szCs w:val="20"/>
          <w:color w:val="auto"/>
        </w:rPr>
      </w:pPr>
      <w:r>
        <w:rPr>
          <w:rFonts w:ascii="Courier New" w:cs="Courier New" w:eastAsia="Courier New" w:hAnsi="Courier New"/>
          <w:sz w:val="15"/>
          <w:szCs w:val="15"/>
          <w:color w:val="auto"/>
        </w:rPr>
        <w:t>314/212-8328</w:t>
      </w: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141" w:right="1440"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170"/>
        </w:trPr>
        <w:tc>
          <w:tcPr>
            <w:tcW w:w="4580" w:type="dxa"/>
            <w:vAlign w:val="bottom"/>
            <w:gridSpan w:val="2"/>
          </w:tcPr>
          <w:p>
            <w:pPr>
              <w:ind w:left="2900"/>
              <w:spacing w:after="0"/>
              <w:rPr>
                <w:sz w:val="20"/>
                <w:szCs w:val="20"/>
                <w:color w:val="auto"/>
              </w:rPr>
            </w:pPr>
            <w:r>
              <w:rPr>
                <w:rFonts w:ascii="Courier New" w:cs="Courier New" w:eastAsia="Courier New" w:hAnsi="Courier New"/>
                <w:sz w:val="15"/>
                <w:szCs w:val="15"/>
                <w:color w:val="auto"/>
              </w:rPr>
              <w:t>AMDOCS LIMITED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60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PRO FORMA CONSOLIDATED STATEMENTS OF INCOME (UNAUDITED)</w:t>
            </w:r>
          </w:p>
        </w:tc>
        <w:tc>
          <w:tcPr>
            <w:tcW w:w="880" w:type="dxa"/>
            <w:vAlign w:val="bottom"/>
          </w:tcPr>
          <w:p>
            <w:pPr>
              <w:spacing w:after="0"/>
              <w:rPr>
                <w:sz w:val="24"/>
                <w:szCs w:val="24"/>
                <w:color w:val="auto"/>
              </w:rPr>
            </w:pPr>
          </w:p>
        </w:tc>
      </w:tr>
      <w:tr>
        <w:trPr>
          <w:trHeight w:val="339"/>
        </w:trPr>
        <w:tc>
          <w:tcPr>
            <w:tcW w:w="60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EXCLUDING PURCHASED IN-PROCESS RESEARCH AND DEVELOPMENT,</w:t>
            </w:r>
          </w:p>
        </w:tc>
        <w:tc>
          <w:tcPr>
            <w:tcW w:w="880" w:type="dxa"/>
            <w:vAlign w:val="bottom"/>
          </w:tcPr>
          <w:p>
            <w:pPr>
              <w:spacing w:after="0"/>
              <w:rPr>
                <w:sz w:val="24"/>
                <w:szCs w:val="24"/>
                <w:color w:val="auto"/>
              </w:rPr>
            </w:pPr>
          </w:p>
        </w:tc>
      </w:tr>
      <w:tr>
        <w:trPr>
          <w:trHeight w:val="170"/>
        </w:trPr>
        <w:tc>
          <w:tcPr>
            <w:tcW w:w="52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AMORTIZATION OF GOODWILL AND PURCHASED INTANGIBLE ASSETS,</w:t>
            </w: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NONRECURRING CHARGE</w:t>
            </w:r>
          </w:p>
        </w:tc>
      </w:tr>
      <w:tr>
        <w:trPr>
          <w:trHeight w:val="170"/>
        </w:trPr>
        <w:tc>
          <w:tcPr>
            <w:tcW w:w="4580" w:type="dxa"/>
            <w:vAlign w:val="bottom"/>
            <w:gridSpan w:val="2"/>
          </w:tcPr>
          <w:p>
            <w:pPr>
              <w:ind w:left="2460"/>
              <w:spacing w:after="0"/>
              <w:rPr>
                <w:sz w:val="20"/>
                <w:szCs w:val="20"/>
                <w:color w:val="auto"/>
              </w:rPr>
            </w:pPr>
            <w:r>
              <w:rPr>
                <w:rFonts w:ascii="Courier New" w:cs="Courier New" w:eastAsia="Courier New" w:hAnsi="Courier New"/>
                <w:sz w:val="15"/>
                <w:szCs w:val="15"/>
                <w:color w:val="auto"/>
              </w:rPr>
              <w:t>AND RELATED TAX EFFECTS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3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THREE</w:t>
            </w:r>
          </w:p>
        </w:tc>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3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SEPTEMBER 30,</w:t>
            </w:r>
          </w:p>
        </w:tc>
        <w:tc>
          <w:tcPr>
            <w:tcW w:w="88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3140" w:type="dxa"/>
            <w:vAlign w:val="bottom"/>
            <w:gridSpan w:val="5"/>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20" w:type="dxa"/>
            <w:vAlign w:val="bottom"/>
          </w:tcPr>
          <w:p>
            <w:pPr>
              <w:spacing w:after="0"/>
              <w:rPr>
                <w:sz w:val="14"/>
                <w:szCs w:val="14"/>
                <w:color w:val="auto"/>
              </w:rPr>
            </w:pP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2001</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2000 (1)</w:t>
            </w:r>
          </w:p>
        </w:tc>
      </w:tr>
      <w:tr>
        <w:trPr>
          <w:trHeight w:val="170"/>
        </w:trPr>
        <w:tc>
          <w:tcPr>
            <w:tcW w:w="38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0"/>
              </w:rPr>
              <w:t>--------------</w:t>
            </w: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42,290</w:t>
            </w:r>
          </w:p>
        </w:tc>
        <w:tc>
          <w:tcPr>
            <w:tcW w:w="2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38,076</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380,351</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304,091</w:t>
            </w:r>
          </w:p>
        </w:tc>
      </w:tr>
      <w:tr>
        <w:trPr>
          <w:trHeight w:val="170"/>
        </w:trPr>
        <w:tc>
          <w:tcPr>
            <w:tcW w:w="38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0"/>
              </w:rPr>
              <w:t>--------------</w:t>
            </w: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14"/>
                <w:szCs w:val="14"/>
                <w:color w:val="auto"/>
              </w:rPr>
            </w:pP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422,641</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342,167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7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230,603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191,788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7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28,557</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23,579</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76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53,779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43,450</w:t>
            </w:r>
          </w:p>
        </w:tc>
      </w:tr>
      <w:tr>
        <w:trPr>
          <w:trHeight w:val="170"/>
        </w:trPr>
        <w:tc>
          <w:tcPr>
            <w:tcW w:w="38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0"/>
              </w:rPr>
              <w:t>--------------</w:t>
            </w: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14"/>
                <w:szCs w:val="14"/>
                <w:color w:val="auto"/>
              </w:rPr>
            </w:pP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313,919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260,475</w:t>
            </w:r>
          </w:p>
        </w:tc>
      </w:tr>
      <w:tr>
        <w:trPr>
          <w:trHeight w:val="170"/>
        </w:trPr>
        <w:tc>
          <w:tcPr>
            <w:tcW w:w="38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0"/>
              </w:rPr>
              <w:t>--------------</w:t>
            </w: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108,722</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81,692</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7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3,327</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5,562</w:t>
            </w:r>
          </w:p>
        </w:tc>
      </w:tr>
      <w:tr>
        <w:trPr>
          <w:trHeight w:val="170"/>
        </w:trPr>
        <w:tc>
          <w:tcPr>
            <w:tcW w:w="38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0"/>
              </w:rPr>
              <w:t>--------------</w:t>
            </w: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112,049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87,254</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76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31,374</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26,176</w:t>
            </w:r>
          </w:p>
        </w:tc>
      </w:tr>
      <w:tr>
        <w:trPr>
          <w:trHeight w:val="170"/>
        </w:trPr>
        <w:tc>
          <w:tcPr>
            <w:tcW w:w="38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0"/>
              </w:rPr>
              <w:t>--------------</w:t>
            </w:r>
          </w:p>
        </w:tc>
        <w:tc>
          <w:tcPr>
            <w:tcW w:w="26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80,675</w:t>
            </w:r>
          </w:p>
        </w:tc>
        <w:tc>
          <w:tcPr>
            <w:tcW w:w="2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61,078</w:t>
            </w:r>
          </w:p>
        </w:tc>
      </w:tr>
      <w:tr>
        <w:trPr>
          <w:trHeight w:val="170"/>
        </w:trPr>
        <w:tc>
          <w:tcPr>
            <w:tcW w:w="3820" w:type="dxa"/>
            <w:vAlign w:val="bottom"/>
          </w:tcPr>
          <w:p>
            <w:pPr>
              <w:spacing w:after="0"/>
              <w:rPr>
                <w:sz w:val="14"/>
                <w:szCs w:val="14"/>
                <w:color w:val="auto"/>
              </w:rPr>
            </w:pPr>
          </w:p>
        </w:tc>
        <w:tc>
          <w:tcPr>
            <w:tcW w:w="16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spacing w:after="0"/>
              <w:rPr>
                <w:sz w:val="14"/>
                <w:szCs w:val="14"/>
                <w:color w:val="auto"/>
              </w:rPr>
            </w:pP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0.27</w:t>
            </w:r>
          </w:p>
        </w:tc>
      </w:tr>
      <w:tr>
        <w:trPr>
          <w:trHeight w:val="170"/>
        </w:trPr>
        <w:tc>
          <w:tcPr>
            <w:tcW w:w="3820" w:type="dxa"/>
            <w:vAlign w:val="bottom"/>
          </w:tcPr>
          <w:p>
            <w:pPr>
              <w:spacing w:after="0"/>
              <w:rPr>
                <w:sz w:val="14"/>
                <w:szCs w:val="14"/>
                <w:color w:val="auto"/>
              </w:rPr>
            </w:pPr>
          </w:p>
        </w:tc>
        <w:tc>
          <w:tcPr>
            <w:tcW w:w="16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225,090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226,361</w:t>
            </w:r>
          </w:p>
        </w:tc>
      </w:tr>
      <w:tr>
        <w:trPr>
          <w:trHeight w:val="170"/>
        </w:trPr>
        <w:tc>
          <w:tcPr>
            <w:tcW w:w="382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6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bl>
    <w:p>
      <w:pPr>
        <w:spacing w:after="0" w:line="344" w:lineRule="exact"/>
        <w:rPr>
          <w:sz w:val="20"/>
          <w:szCs w:val="20"/>
          <w:color w:val="auto"/>
        </w:rPr>
      </w:pPr>
    </w:p>
    <w:p>
      <w:pPr>
        <w:ind w:left="450" w:right="3179" w:hanging="450"/>
        <w:spacing w:after="0" w:line="238"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$56,782 and $54,160 for amortization of goodwill and purchased intangible assets, $17,400 and $0 for write-off of purchased in-process research and development related to the Clarify acquisition, $13,311 and $0 of a nonrecurring charge related to the consolidation of data centers and the resulting closure of our Stamford, Connecticut facility, and tax effects related to the above of $(11,152) and $(5,658) for the three months ended December 31, 2001 and 2000, respectively. Including the above items, income before income taxes was $24,556 and $33,094, and diluted earnings per share were $0.02 and $0.06 for the three months ended December 31, 2001 and 2000, respectively.</w:t>
      </w:r>
    </w:p>
    <w:p>
      <w:pPr>
        <w:sectPr>
          <w:pgSz w:w="11900" w:h="16838" w:orient="portrait"/>
          <w:cols w:equalWidth="0" w:num="1">
            <w:col w:w="10229"/>
          </w:cols>
          <w:pgMar w:left="230" w:top="622" w:right="1440" w:bottom="1440" w:gutter="0" w:footer="0" w:header="0"/>
        </w:sectPr>
      </w:pPr>
    </w:p>
    <w:bookmarkStart w:id="27" w:name="page28"/>
    <w:bookmarkEnd w:id="27"/>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SEPTEMBER 30,</w:t>
            </w:r>
          </w:p>
        </w:tc>
        <w:tc>
          <w:tcPr>
            <w:tcW w:w="92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r>
      <w:tr>
        <w:trPr>
          <w:trHeight w:val="170"/>
        </w:trPr>
        <w:tc>
          <w:tcPr>
            <w:tcW w:w="3820" w:type="dxa"/>
            <w:vAlign w:val="bottom"/>
          </w:tcPr>
          <w:p>
            <w:pPr>
              <w:spacing w:after="0"/>
              <w:rPr>
                <w:sz w:val="14"/>
                <w:szCs w:val="14"/>
                <w:color w:val="auto"/>
              </w:rPr>
            </w:pPr>
          </w:p>
        </w:tc>
        <w:tc>
          <w:tcPr>
            <w:tcW w:w="322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4"/>
              </w:rPr>
              <w:t>2001</w:t>
            </w:r>
          </w:p>
        </w:tc>
        <w:tc>
          <w:tcPr>
            <w:tcW w:w="58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42,290</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38,076</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380,351</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304,091</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422,641</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342,167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980</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230,603</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191,788</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28,557</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23,579</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53,779</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43,450</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purchased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56,782</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54,160</w:t>
            </w: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 development</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and nonrecurring charge</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30,711</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401,412</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314,635</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21,229</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27,532</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6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3,327</w:t>
            </w:r>
          </w:p>
        </w:tc>
        <w:tc>
          <w:tcPr>
            <w:tcW w:w="58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5,562</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24,556</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33,094</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20,222</w:t>
            </w:r>
          </w:p>
        </w:tc>
        <w:tc>
          <w:tcPr>
            <w:tcW w:w="58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20,518</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4,334</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12,576</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0.02</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0.02</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222,696</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221,217</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6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225,090</w:t>
            </w:r>
          </w:p>
        </w:tc>
        <w:tc>
          <w:tcPr>
            <w:tcW w:w="5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226,361</w:t>
            </w:r>
          </w:p>
        </w:tc>
      </w:tr>
      <w:tr>
        <w:trPr>
          <w:trHeight w:val="170"/>
        </w:trPr>
        <w:tc>
          <w:tcPr>
            <w:tcW w:w="38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bl>
    <w:p>
      <w:pPr>
        <w:sectPr>
          <w:pgSz w:w="11900" w:h="16838" w:orient="portrait"/>
          <w:cols w:equalWidth="0" w:num="1">
            <w:col w:w="10219"/>
          </w:cols>
          <w:pgMar w:left="240" w:top="791" w:right="1440" w:bottom="1440" w:gutter="0" w:footer="0" w:header="0"/>
        </w:sectPr>
      </w:pPr>
    </w:p>
    <w:bookmarkStart w:id="28" w:name="page29"/>
    <w:bookmarkEnd w:id="28"/>
    <w:p>
      <w:pPr>
        <w:jc w:val="center"/>
        <w:ind w:right="31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70"/>
        </w:trPr>
        <w:tc>
          <w:tcPr>
            <w:tcW w:w="612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848"/>
        </w:trPr>
        <w:tc>
          <w:tcPr>
            <w:tcW w:w="6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120" w:type="dxa"/>
            <w:vAlign w:val="bottom"/>
          </w:tcPr>
          <w:p>
            <w:pPr>
              <w:spacing w:after="0"/>
              <w:rPr>
                <w:sz w:val="14"/>
                <w:szCs w:val="14"/>
                <w:color w:val="auto"/>
              </w:rPr>
            </w:pPr>
          </w:p>
        </w:tc>
        <w:tc>
          <w:tcPr>
            <w:tcW w:w="410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SEPTEMBER 30,</w:t>
            </w:r>
          </w:p>
        </w:tc>
      </w:t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4"/>
                <w:szCs w:val="14"/>
                <w:color w:val="auto"/>
              </w:rPr>
            </w:pPr>
          </w:p>
        </w:tc>
        <w:tc>
          <w:tcPr>
            <w:tcW w:w="1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509"/>
        </w:trPr>
        <w:tc>
          <w:tcPr>
            <w:tcW w:w="6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979,464</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1,110,067</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$22,911 and $23,272,</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423,458</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384,851</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41,503</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38,916</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51,546</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38,045</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24"/>
                <w:szCs w:val="2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1,495,971</w:t>
            </w:r>
          </w:p>
        </w:tc>
        <w:tc>
          <w:tcPr>
            <w:tcW w:w="280" w:type="dxa"/>
            <w:vAlign w:val="bottom"/>
          </w:tcPr>
          <w:p>
            <w:pPr>
              <w:spacing w:after="0"/>
              <w:rPr>
                <w:sz w:val="24"/>
                <w:szCs w:val="2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1,571,879</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660" w:type="dxa"/>
            <w:vAlign w:val="bottom"/>
          </w:tcPr>
          <w:p>
            <w:pPr>
              <w:spacing w:after="0"/>
              <w:rPr>
                <w:sz w:val="24"/>
                <w:szCs w:val="2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173,847</w:t>
            </w:r>
          </w:p>
        </w:tc>
        <w:tc>
          <w:tcPr>
            <w:tcW w:w="280" w:type="dxa"/>
            <w:vAlign w:val="bottom"/>
          </w:tcPr>
          <w:p>
            <w:pPr>
              <w:spacing w:after="0"/>
              <w:rPr>
                <w:sz w:val="24"/>
                <w:szCs w:val="2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173,695</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938,363</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788,187</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112,180</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90,675</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2,720,361</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61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6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335,243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270,517</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10,180</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10,400</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148,572</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140,033</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income taxes payable</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99,662</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91,026</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1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593,657</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511,976</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606,837</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600,369</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spacing w:after="0"/>
              <w:rPr>
                <w:sz w:val="14"/>
                <w:szCs w:val="14"/>
                <w:color w:val="auto"/>
              </w:rPr>
            </w:pP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1,519,867</w:t>
            </w:r>
          </w:p>
        </w:tc>
        <w:tc>
          <w:tcPr>
            <w:tcW w:w="2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1,512,091</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2,720,361</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6120" w:type="dxa"/>
            <w:vAlign w:val="bottom"/>
          </w:tcPr>
          <w:p>
            <w:pPr>
              <w:spacing w:after="0"/>
              <w:rPr>
                <w:sz w:val="14"/>
                <w:szCs w:val="14"/>
                <w:color w:val="auto"/>
              </w:rPr>
            </w:pPr>
          </w:p>
        </w:tc>
        <w:tc>
          <w:tcPr>
            <w:tcW w:w="22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bl>
    <w:p>
      <w:pPr>
        <w:spacing w:after="0" w:line="1" w:lineRule="exact"/>
        <w:rPr>
          <w:sz w:val="20"/>
          <w:szCs w:val="20"/>
          <w:color w:val="auto"/>
        </w:rPr>
      </w:pPr>
    </w:p>
    <w:sectPr>
      <w:pgSz w:w="11900" w:h="16838" w:orient="portrait"/>
      <w:cols w:equalWidth="0" w:num="1">
        <w:col w:w="10220"/>
      </w:cols>
      <w:pgMar w:left="240" w:top="791"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lvl w:ilvl="1">
      <w:lvlJc w:val="left"/>
      <w:lvlText w:val="(%2)"/>
      <w:numFmt w:val="decimal"/>
      <w:start w:val="1"/>
    </w:lvl>
  </w:abstractNum>
  <w:abstractNum w:abstractNumId="4">
    <w:nsid w:val="66EF438D"/>
    <w:multiLevelType w:val="hybridMultilevel"/>
    <w:lvl w:ilvl="0">
      <w:lvlJc w:val="left"/>
      <w:lvlText w:val="%1."/>
      <w:numFmt w:val="decimal"/>
      <w:start w:val="3"/>
    </w:lvl>
    <w:lvl w:ilvl="1">
      <w:lvlJc w:val="left"/>
      <w:lvlText w:val="%2"/>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lvl w:ilvl="1">
      <w:lvlJc w:val="left"/>
      <w:lvlText w:val="(%2)"/>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2019-12-14T21:14:29Z</dcterms:created>
  <dcterms:modified xsi:type="dcterms:W3CDTF">2019-12-14T21:14:29Z</dcterms:modified>
</cp:coreProperties>
</file>