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79"/>
        <w:spacing w:after="0"/>
        <w:rPr>
          <w:sz w:val="20"/>
          <w:szCs w:val="20"/>
          <w:color w:val="auto"/>
        </w:rPr>
      </w:pPr>
      <w:r>
        <w:rPr>
          <w:rFonts w:ascii="Courier New" w:cs="Courier New" w:eastAsia="Courier New" w:hAnsi="Courier New"/>
          <w:sz w:val="14"/>
          <w:szCs w:val="14"/>
          <w:color w:val="auto"/>
        </w:rPr>
        <w:t>As filed with the Securities and Exchange Commission on September 22, 2004</w:t>
      </w:r>
    </w:p>
    <w:p>
      <w:pPr>
        <w:spacing w:after="0" w:line="175"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Registration Statement No. 333-114344</w:t>
      </w:r>
    </w:p>
    <w:p>
      <w:pPr>
        <w:spacing w:after="0" w:line="8"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Amendment No. 2 to</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FORM F-3</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REGISTRATION STATEMENT UNDER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ISLAND OF GUERNSEY</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47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(State or other jurisdiction of incorporation or</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700" w:type="dxa"/>
            <w:vAlign w:val="bottom"/>
          </w:tcPr>
          <w:p>
            <w:pPr>
              <w:ind w:left="1480"/>
              <w:spacing w:after="0"/>
              <w:rPr>
                <w:sz w:val="20"/>
                <w:szCs w:val="20"/>
                <w:color w:val="auto"/>
              </w:rPr>
            </w:pPr>
            <w:r>
              <w:rPr>
                <w:rFonts w:ascii="Courier New" w:cs="Courier New" w:eastAsia="Courier New" w:hAnsi="Courier New"/>
                <w:sz w:val="14"/>
                <w:szCs w:val="14"/>
                <w:color w:val="auto"/>
              </w:rPr>
              <w:t>organization)</w:t>
            </w:r>
          </w:p>
        </w:tc>
        <w:tc>
          <w:tcPr>
            <w:tcW w:w="2160" w:type="dxa"/>
            <w:vAlign w:val="bottom"/>
          </w:tcPr>
          <w:p>
            <w:pPr>
              <w:ind w:left="520"/>
              <w:spacing w:after="0"/>
              <w:rPr>
                <w:sz w:val="20"/>
                <w:szCs w:val="20"/>
                <w:color w:val="auto"/>
              </w:rPr>
            </w:pPr>
            <w:r>
              <w:rPr>
                <w:rFonts w:ascii="Courier New" w:cs="Courier New" w:eastAsia="Courier New" w:hAnsi="Courier New"/>
                <w:sz w:val="14"/>
                <w:szCs w:val="14"/>
                <w:color w:val="auto"/>
              </w:rPr>
              <w:t>Identification No.)</w:t>
            </w:r>
          </w:p>
        </w:tc>
      </w:tr>
    </w:tbl>
    <w:p>
      <w:pPr>
        <w:spacing w:after="0" w:line="17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011-44-1481-728444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INC.</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ATTENTION: THOMAS G. O'BRIEN, TREASURER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(314) 212-8328</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COMMISSION IS REQUESTED TO SEND COPIES OF ALL COMMUNICATIONS TO:</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ROBERT A. SCHWED, ESQ.</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WILMER CUTLER PICKERING HALE AND DORR LLP</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300 PARK AVENUE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NEW YORK, NEW YORK 10022</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(212) 937-7200</w:t>
      </w:r>
    </w:p>
    <w:p>
      <w:pPr>
        <w:spacing w:after="0" w:line="175" w:lineRule="exact"/>
        <w:rPr>
          <w:sz w:val="24"/>
          <w:szCs w:val="24"/>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PUBLIC: From time to time after this Registration Statement becomes effective.</w:t>
      </w:r>
    </w:p>
    <w:p>
      <w:pPr>
        <w:spacing w:after="0" w:line="160" w:lineRule="exact"/>
        <w:rPr>
          <w:sz w:val="24"/>
          <w:szCs w:val="24"/>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2"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3"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jc w:val="both"/>
        <w:ind w:right="3539" w:firstLine="434"/>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60"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31"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PROSPECTUS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$450,000,000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0.50% CONVERTIBLE SENIOR NOTES DUE 2024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10,435,995 ORDINARY SHARES ISSUABLE UPON CONVERSION OF THE NOTES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Holders may convert each note for a number of ordinary shares, which we refer to as the conversion rate, as follows:</w:t>
      </w:r>
    </w:p>
    <w:p>
      <w:pPr>
        <w:spacing w:after="0" w:line="160" w:lineRule="exact"/>
        <w:rPr>
          <w:sz w:val="20"/>
          <w:szCs w:val="20"/>
          <w:color w:val="auto"/>
        </w:rPr>
      </w:pPr>
    </w:p>
    <w:p>
      <w:pPr>
        <w:ind w:left="1220" w:right="3279" w:hanging="430"/>
        <w:spacing w:after="0" w:line="254"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32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w:t>
      </w:r>
    </w:p>
    <w:p>
      <w:pPr>
        <w:spacing w:after="0" w:line="159"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164"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75" w:lineRule="exact"/>
        <w:rPr>
          <w:rFonts w:ascii="Courier New" w:cs="Courier New" w:eastAsia="Courier New" w:hAnsi="Courier New"/>
          <w:sz w:val="14"/>
          <w:szCs w:val="14"/>
          <w:color w:val="auto"/>
        </w:rPr>
      </w:pPr>
    </w:p>
    <w:p>
      <w:pPr>
        <w:ind w:left="1220" w:right="3379" w:hanging="430"/>
        <w:spacing w:after="0" w:line="255"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ectPr>
          <w:pgSz w:w="11900" w:h="16838" w:orient="portrait"/>
          <w:cols w:equalWidth="0" w:num="1">
            <w:col w:w="10239"/>
          </w:cols>
          <w:pgMar w:left="220" w:top="954" w:right="1440" w:bottom="1440" w:gutter="0" w:footer="0" w:header="0"/>
        </w:sectPr>
      </w:pPr>
    </w:p>
    <w:bookmarkStart w:id="2" w:name="page3"/>
    <w:bookmarkEnd w:id="2"/>
    <w:p>
      <w:pPr>
        <w:ind w:right="3279" w:firstLine="781"/>
        <w:spacing w:after="0" w:line="254"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ordinary shares are traded on the New York Stock Exchange under the symbol "DOX." On September 20, 2004, the closing sale price of our ordinary shares on the New York Stock Exchange was $22.97 per share. You are urged to obtain current market quotations for our ordinary shares.</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For a more detailed description of the notes, see "Description of Notes" beginning on page 25.</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"RISK FACTORS" BEGINNING ON PAGE 9 TO READ ABOUT FACTORS YOU SHOULD CONSIDER</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BEFORE INVESTING IN THE NOTES OR OUR ORDINARY SHARES.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NEITHER THE SECURITIES AND EXCHANGE COMMISSION NOR ANY STATE SECURITIES</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THE DATE OF THIS PROSPECTUS IS SEPTEMBER 22, 2004.</w:t>
      </w:r>
    </w:p>
    <w:p>
      <w:pPr>
        <w:sectPr>
          <w:pgSz w:w="11900" w:h="16838" w:orient="portrait"/>
          <w:cols w:equalWidth="0" w:num="1">
            <w:col w:w="10239"/>
          </w:cols>
          <w:pgMar w:left="220" w:top="620" w:right="1440" w:bottom="1440" w:gutter="0" w:footer="0" w:header="0"/>
        </w:sectPr>
      </w:pPr>
    </w:p>
    <w:bookmarkStart w:id="3" w:name="page4"/>
    <w:bookmarkEnd w:id="3"/>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THE OFFERING</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SUMMARY HISTORICAL CONSOLIDATED FINANCIAL INFORMATION</w:t>
        <w:tab/>
        <w:t>..................</w:t>
      </w:r>
    </w:p>
    <w:p>
      <w:pPr>
        <w:spacing w:after="0" w:line="8"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4"/>
          <w:szCs w:val="14"/>
          <w:color w:val="auto"/>
        </w:rPr>
        <w:t>RATIO OF EARNINGS TO FIXED CHARGES</w:t>
        <w:tab/>
        <w:t>.....................................</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RISK FACTORS</w:t>
        <w:tab/>
        <w:t>...........................................................</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SPECIAL NOTE REGARDING FORWARD-LOOKING INFORMATION</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OFFERING STATISTICS AND TIMETABLE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REASONS FOR THE OFFER AND USE OF PROCEEDS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THE OFFER AND LISTING</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MATERIAL CHANGES</w:t>
        <w:tab/>
        <w:t>.......................................................</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NOTES</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SHARE CAPITAL</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COMPARISON OF UNITED STATES AND GUERNSEY CORPORATE LAW</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UNITED STATES FEDERAL INCOME TAX CONSIDERATIONS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GUERNSEY TAX CONSIDERATIONS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SELLING SECURITYHOLDERS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VOTING/INVESTMENT CONTROL TABLE</w:t>
        <w:tab/>
        <w:t>........................................</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ENFORCEABILITY OF CIVIL LIABILITIES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INCORPORATION OF DOCUMENTS BY REFERENCE</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CONSOLIDATED FINANCIAL STATEMENTS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76</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7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331" w:lineRule="exact"/>
        <w:rPr>
          <w:sz w:val="20"/>
          <w:szCs w:val="20"/>
          <w:color w:val="auto"/>
        </w:rPr>
      </w:pPr>
    </w:p>
    <w:p>
      <w:pPr>
        <w:jc w:val="both"/>
        <w:ind w:right="3979" w:firstLine="781"/>
        <w:spacing w:after="0" w:line="254" w:lineRule="auto"/>
        <w:rPr>
          <w:sz w:val="20"/>
          <w:szCs w:val="20"/>
          <w:color w:val="auto"/>
        </w:rPr>
      </w:pPr>
      <w:r>
        <w:rPr>
          <w:rFonts w:ascii="Courier New" w:cs="Courier New" w:eastAsia="Courier New" w:hAnsi="Courier New"/>
          <w:sz w:val="14"/>
          <w:szCs w:val="14"/>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330" w:lineRule="exact"/>
        <w:rPr>
          <w:sz w:val="20"/>
          <w:szCs w:val="20"/>
          <w:color w:val="auto"/>
        </w:rPr>
      </w:pPr>
    </w:p>
    <w:p>
      <w:pPr>
        <w:ind w:left="1220" w:right="3379" w:hanging="430"/>
        <w:spacing w:after="0" w:line="253"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331" w:lineRule="exact"/>
        <w:rPr>
          <w:rFonts w:ascii="Courier New" w:cs="Courier New" w:eastAsia="Courier New" w:hAnsi="Courier New"/>
          <w:sz w:val="14"/>
          <w:szCs w:val="14"/>
          <w:color w:val="auto"/>
        </w:rPr>
      </w:pPr>
    </w:p>
    <w:p>
      <w:pPr>
        <w:ind w:left="1220" w:right="3539" w:hanging="430"/>
        <w:spacing w:after="0" w:line="254"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6" w:name="page7"/>
    <w:bookmarkEnd w:id="6"/>
    <w:p>
      <w:pPr>
        <w:ind w:left="1220" w:right="3279"/>
        <w:spacing w:after="0" w:line="253" w:lineRule="auto"/>
        <w:rPr>
          <w:sz w:val="20"/>
          <w:szCs w:val="20"/>
          <w:color w:val="auto"/>
        </w:rPr>
      </w:pPr>
      <w:r>
        <w:rPr>
          <w:rFonts w:ascii="Courier New" w:cs="Courier New" w:eastAsia="Courier New" w:hAnsi="Courier New"/>
          <w:sz w:val="14"/>
          <w:szCs w:val="14"/>
          <w:color w:val="auto"/>
        </w:rPr>
        <w:t>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165" w:lineRule="exact"/>
        <w:rPr>
          <w:sz w:val="20"/>
          <w:szCs w:val="20"/>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64"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63" w:lineRule="exact"/>
        <w:rPr>
          <w:rFonts w:ascii="Courier New" w:cs="Courier New" w:eastAsia="Courier New" w:hAnsi="Courier New"/>
          <w:sz w:val="14"/>
          <w:szCs w:val="14"/>
          <w:color w:val="auto"/>
        </w:rPr>
      </w:pPr>
    </w:p>
    <w:p>
      <w:pPr>
        <w:ind w:left="1220" w:right="33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6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33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RECENT DEVELOPMENTS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 As of April 30, 2004, there was $395.5 million aggregate principal amount of notes outstanding.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September 21, 2004, we had repurchased approximately 4.9 million ordinary shares, at an average price of $20.40 per share.</w:t>
      </w:r>
    </w:p>
    <w:p>
      <w:pPr>
        <w:spacing w:after="0" w:line="16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Unless the context otherwise requires, references in this prospectus to "Amdocs," "we," "us," and "our" refer to Amdocs Limited and its subsidiaries.</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306" w:gutter="0" w:footer="0" w:header="0"/>
        </w:sectPr>
      </w:pPr>
    </w:p>
    <w:bookmarkStart w:id="7" w:name="page8"/>
    <w:bookmarkEnd w:id="7"/>
    <w:p>
      <w:pPr>
        <w:jc w:val="center"/>
        <w:ind w:right="3279"/>
        <w:spacing w:after="0"/>
        <w:rPr>
          <w:sz w:val="20"/>
          <w:szCs w:val="20"/>
          <w:color w:val="auto"/>
        </w:rPr>
      </w:pPr>
      <w:r>
        <w:rPr>
          <w:rFonts w:ascii="Courier New" w:cs="Courier New" w:eastAsia="Courier New" w:hAnsi="Courier New"/>
          <w:sz w:val="14"/>
          <w:szCs w:val="14"/>
          <w:color w:val="auto"/>
        </w:rPr>
        <w:t>THE OFFERING</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Issuer ................</w:t>
      </w:r>
      <w:r>
        <w:rPr>
          <w:sz w:val="20"/>
          <w:szCs w:val="20"/>
          <w:color w:val="auto"/>
        </w:rPr>
        <w:tab/>
      </w:r>
      <w:r>
        <w:rPr>
          <w:rFonts w:ascii="Courier New" w:cs="Courier New" w:eastAsia="Courier New" w:hAnsi="Courier New"/>
          <w:sz w:val="14"/>
          <w:szCs w:val="14"/>
          <w:color w:val="auto"/>
        </w:rPr>
        <w:t>Amdocs Limited, a company organized under the laws of</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Island of Guernsey.</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Securities Offered ....</w:t>
      </w:r>
      <w:r>
        <w:rPr>
          <w:sz w:val="20"/>
          <w:szCs w:val="20"/>
          <w:color w:val="auto"/>
        </w:rPr>
        <w:tab/>
      </w:r>
      <w:r>
        <w:rPr>
          <w:rFonts w:ascii="Courier New" w:cs="Courier New" w:eastAsia="Courier New" w:hAnsi="Courier New"/>
          <w:sz w:val="14"/>
          <w:szCs w:val="14"/>
          <w:color w:val="auto"/>
        </w:rPr>
        <w:t>$450.0 million principal amount of 0.50% Convertible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Senior Notes due 2024 and 10,435,995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issuable upon conversion of the notes.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Maturity Date .........</w:t>
      </w:r>
      <w:r>
        <w:rPr>
          <w:sz w:val="20"/>
          <w:szCs w:val="20"/>
          <w:color w:val="auto"/>
        </w:rPr>
        <w:tab/>
      </w:r>
      <w:r>
        <w:rPr>
          <w:rFonts w:ascii="Courier New" w:cs="Courier New" w:eastAsia="Courier New" w:hAnsi="Courier New"/>
          <w:sz w:val="14"/>
          <w:szCs w:val="14"/>
          <w:color w:val="auto"/>
        </w:rPr>
        <w:t>March 15, 2024, unless earlier converted, redeemed or</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repurchased.</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Ranking ...............</w:t>
      </w:r>
      <w:r>
        <w:rPr>
          <w:sz w:val="20"/>
          <w:szCs w:val="20"/>
          <w:color w:val="auto"/>
        </w:rPr>
        <w:tab/>
      </w:r>
      <w:r>
        <w:rPr>
          <w:rFonts w:ascii="Courier New" w:cs="Courier New" w:eastAsia="Courier New" w:hAnsi="Courier New"/>
          <w:sz w:val="14"/>
          <w:szCs w:val="14"/>
          <w:color w:val="auto"/>
        </w:rPr>
        <w:t>The notes are our direct, unsecured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unsubordinated obligations and rank equal in priority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with all of our other existing and future unsecured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unsubordinated indebtedness, including our 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Convertible Notes due June 1, 2008, which we refer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the 2% Notes, and senior in right of payment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all of our existing and future subordinated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unsecured and, therefore,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are effectively subordinated to any of our 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debt, to the extent of the assets securing such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also structurally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subordinated to the debt and other liabilities of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subsidiaries. With the exception of the 2%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substantially all of the liabilities reflected on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balance sheet as of December 31, 2003 are liabilities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our subsidiaries.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Interest ..............</w:t>
      </w:r>
      <w:r>
        <w:rPr>
          <w:sz w:val="20"/>
          <w:szCs w:val="20"/>
          <w:color w:val="auto"/>
        </w:rPr>
        <w:tab/>
      </w:r>
      <w:r>
        <w:rPr>
          <w:rFonts w:ascii="Courier New" w:cs="Courier New" w:eastAsia="Courier New" w:hAnsi="Courier New"/>
          <w:sz w:val="14"/>
          <w:szCs w:val="14"/>
          <w:color w:val="auto"/>
        </w:rPr>
        <w:t>0.50% per annum on the principal amount of the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semi-annually in arrears in cash on March 15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September 15 of each year, beginning on September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15, 2004.</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Conversion Rights .....</w:t>
      </w:r>
      <w:r>
        <w:rPr>
          <w:sz w:val="20"/>
          <w:szCs w:val="20"/>
          <w:color w:val="auto"/>
        </w:rPr>
        <w:tab/>
      </w:r>
      <w:r>
        <w:rPr>
          <w:rFonts w:ascii="Courier New" w:cs="Courier New" w:eastAsia="Courier New" w:hAnsi="Courier New"/>
          <w:sz w:val="14"/>
          <w:szCs w:val="14"/>
          <w:color w:val="auto"/>
        </w:rPr>
        <w:t>You may convert the notes into our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par value(pound)0.01 per share, which we refer to as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ordinary shares, at a conversion rate of 23.1911</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per $1,000 principal amount of notes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price of $43.12 per share), subject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adjustment, prior to the close of business on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final maturity date under any of the following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during any fiscal quarter commencing after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March 31, 2004, and only during that fiscal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quarter if the closing sale price of 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ordinary shares exceeds 130%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conversion price for at least 20 trading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in the 30 consecutive trading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ending on the last trading day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preceding fiscal quarter; or</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after the earlier of (a) the date the notes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are rated by both Standard &amp; Poor's Ratings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 division of The McGraw-Hill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Companies, Inc., and its successors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and Moody's Investor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and its successors ("Moody's")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five business days from the date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are issued, during any period in which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credit rating assigned to the notes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or Moody's is "BB-"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"Ba3," respectively, or lower, or if either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these rating agencies no longer rates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or if either of these rating agencies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suspends or withdraws the rating assigned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notes, or if the notes are not assigned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rating by both rating agencies; 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 w:name="page9"/>
    <w:bookmarkEnd w:id="8"/>
    <w:p>
      <w:pPr>
        <w:ind w:left="3140" w:right="3279" w:hanging="788"/>
        <w:spacing w:after="0" w:line="252"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five business day period after any five consecutive trading day period (the "measurement period") in which the trading price per note for each day of that measurement period 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172" w:lineRule="exact"/>
        <w:rPr>
          <w:rFonts w:ascii="Courier New" w:cs="Courier New" w:eastAsia="Courier New" w:hAnsi="Courier New"/>
          <w:sz w:val="14"/>
          <w:szCs w:val="14"/>
          <w:color w:val="auto"/>
        </w:rPr>
      </w:pPr>
    </w:p>
    <w:p>
      <w:pPr>
        <w:ind w:left="3140" w:right="4239" w:hanging="788"/>
        <w:spacing w:after="0" w:line="258"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59"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 will not receive any cash payment or additional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representing accrued and unpaid interest upon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of a note, except in limited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 Instead, such interest, if any, will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forfeited upon conversion. Notes called for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redemption may be converted until the close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business on the business day immediately preceding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redemption date, after which time your right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 will expire unless we default in the payment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the redemption price.</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Sinking Fund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ind w:left="2360" w:right="3279" w:hanging="2342"/>
        <w:spacing w:after="0" w:line="253" w:lineRule="auto"/>
        <w:tabs>
          <w:tab w:leader="none" w:pos="2340" w:val="left"/>
        </w:tabs>
        <w:rPr>
          <w:sz w:val="20"/>
          <w:szCs w:val="20"/>
          <w:color w:val="auto"/>
        </w:rPr>
      </w:pPr>
      <w:r>
        <w:rPr>
          <w:rFonts w:ascii="Courier New" w:cs="Courier New" w:eastAsia="Courier New" w:hAnsi="Courier New"/>
          <w:sz w:val="14"/>
          <w:szCs w:val="14"/>
          <w:color w:val="auto"/>
        </w:rPr>
        <w:t>Optional Redemption ...</w:t>
      </w:r>
      <w:r>
        <w:rPr>
          <w:sz w:val="20"/>
          <w:szCs w:val="20"/>
          <w:color w:val="auto"/>
        </w:rPr>
        <w:tab/>
      </w:r>
      <w:r>
        <w:rPr>
          <w:rFonts w:ascii="Courier New" w:cs="Courier New" w:eastAsia="Courier New" w:hAnsi="Courier New"/>
          <w:sz w:val="14"/>
          <w:szCs w:val="14"/>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164"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Designated Event ......</w:t>
      </w:r>
      <w:r>
        <w:rPr>
          <w:sz w:val="20"/>
          <w:szCs w:val="20"/>
          <w:color w:val="auto"/>
        </w:rPr>
        <w:tab/>
      </w:r>
      <w:r>
        <w:rPr>
          <w:rFonts w:ascii="Courier New" w:cs="Courier New" w:eastAsia="Courier New" w:hAnsi="Courier New"/>
          <w:sz w:val="14"/>
          <w:szCs w:val="14"/>
          <w:color w:val="auto"/>
        </w:rPr>
        <w:t>If a designated event (as described under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"Description of Notes--Repurchase at Option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Holder Upon a Designated Event") occurs prior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maturity, you may require us to purchase all or part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your notes at a repurchase price equal to 100%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their principal amount, plus accrued and unpaid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interest and liquidated damages, if any, to, but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excluding, the date of repurchase.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w:t>
      </w:r>
    </w:p>
    <w:p>
      <w:pPr>
        <w:spacing w:after="0" w:line="8"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4"/>
          <w:szCs w:val="14"/>
          <w:color w:val="auto"/>
        </w:rPr>
        <w:t>of the Holder .....</w:t>
      </w:r>
      <w:r>
        <w:rPr>
          <w:sz w:val="20"/>
          <w:szCs w:val="20"/>
          <w:color w:val="auto"/>
        </w:rPr>
        <w:tab/>
      </w:r>
      <w:r>
        <w:rPr>
          <w:rFonts w:ascii="Courier New" w:cs="Courier New" w:eastAsia="Courier New" w:hAnsi="Courier New"/>
          <w:sz w:val="14"/>
          <w:szCs w:val="14"/>
          <w:color w:val="auto"/>
        </w:rPr>
        <w:t>You may require us to repurchase some or all of your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 on March 15 of 2009, 2014 and 2019, at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equal to 100% of the principal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amount, plus accrued and unpaid interest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liquidated damages, if any, to, but excluding,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repurchase date. We may choose to pay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in cash or ordinary shares (valued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using the method set forth in "Description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Notes--Repurchase at Option of the Holder") or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combination of cash and ordinary shares, provided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that we will pay any accrued and unpaid interest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Use of Proceeds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We will not receive any proceeds from the sale by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securityholders of the notes or the ordinary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shares issuable upon conversion of 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Registration Rights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Pursuant to a registration rights agreement, we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agreed to register the resale of the notes and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If we fail to comply with certain of our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the registration rights agreement,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liquidated damages will be payable on the notes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See "Description of Notes--Registration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Book-entry Form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have been issued in book-entry form and are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represented by global certificates deposited with, 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on behalf of, The Depository Trust Company, or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and registered in the name of a nominee of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Beneficial interests in any of the notes will be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shown on, and transfers will be effected only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through, records maintained by DTC or its nominee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any such interest may not be exchanged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certificated securities, except in limited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circumstances.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are new securities for which no market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currently exists. While the initial purchasers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informed us that they intend to make a market in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they are under no obligation to do so and may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discontinue such activities at any time without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notice. The notes are listed on any securities</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exchange or included in any automated quotation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system. While the notes are expected to be designated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 trading in The PORTAL Market, we cannot assure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you that any active or liquid market will develop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4780" w:type="dxa"/>
            <w:vAlign w:val="bottom"/>
          </w:tcPr>
          <w:p>
            <w:pPr>
              <w:spacing w:after="0"/>
              <w:rPr>
                <w:sz w:val="24"/>
                <w:szCs w:val="24"/>
                <w:color w:val="auto"/>
              </w:rPr>
            </w:pPr>
          </w:p>
        </w:tc>
      </w:tr>
      <w:tr>
        <w:trPr>
          <w:trHeight w:val="167"/>
        </w:trPr>
        <w:tc>
          <w:tcPr>
            <w:tcW w:w="2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Symbol for Our</w:t>
            </w:r>
          </w:p>
        </w:tc>
        <w:tc>
          <w:tcPr>
            <w:tcW w:w="4780" w:type="dxa"/>
            <w:vAlign w:val="bottom"/>
          </w:tcPr>
          <w:p>
            <w:pPr>
              <w:spacing w:after="0"/>
              <w:rPr>
                <w:sz w:val="14"/>
                <w:szCs w:val="14"/>
                <w:color w:val="auto"/>
              </w:rPr>
            </w:pPr>
          </w:p>
        </w:tc>
      </w:tr>
      <w:tr>
        <w:trPr>
          <w:trHeight w:val="167"/>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Ordinary Shares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DOX.</w:t>
            </w:r>
          </w:p>
        </w:tc>
      </w:tr>
      <w:tr>
        <w:trPr>
          <w:trHeight w:val="334"/>
        </w:trPr>
        <w:tc>
          <w:tcPr>
            <w:tcW w:w="2180" w:type="dxa"/>
            <w:vAlign w:val="bottom"/>
          </w:tcPr>
          <w:p>
            <w:pPr>
              <w:spacing w:after="0"/>
              <w:rPr>
                <w:sz w:val="24"/>
                <w:szCs w:val="24"/>
                <w:color w:val="auto"/>
              </w:rPr>
            </w:pPr>
          </w:p>
        </w:tc>
        <w:tc>
          <w:tcPr>
            <w:tcW w:w="4780" w:type="dxa"/>
            <w:vAlign w:val="bottom"/>
          </w:tcPr>
          <w:p>
            <w:pPr>
              <w:ind w:left="122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620" w:right="1440" w:bottom="1440" w:gutter="0" w:footer="0" w:header="0"/>
        </w:sectPr>
      </w:pPr>
    </w:p>
    <w:bookmarkStart w:id="10" w:name="page11"/>
    <w:bookmarkEnd w:id="10"/>
    <w:p>
      <w:pPr>
        <w:ind w:left="1220"/>
        <w:spacing w:after="0"/>
        <w:rPr>
          <w:sz w:val="20"/>
          <w:szCs w:val="20"/>
          <w:color w:val="auto"/>
        </w:rPr>
      </w:pPr>
      <w:r>
        <w:rPr>
          <w:rFonts w:ascii="Courier New" w:cs="Courier New" w:eastAsia="Courier New" w:hAnsi="Courier New"/>
          <w:sz w:val="14"/>
          <w:szCs w:val="14"/>
          <w:color w:val="auto"/>
        </w:rPr>
        <w:t>SUMMARY HISTORICAL CONSOLIDATED FINANCIAL INFORMATION</w:t>
      </w:r>
    </w:p>
    <w:p>
      <w:pPr>
        <w:spacing w:after="0" w:line="175" w:lineRule="exact"/>
        <w:rPr>
          <w:sz w:val="20"/>
          <w:szCs w:val="20"/>
          <w:color w:val="auto"/>
        </w:rPr>
      </w:pPr>
    </w:p>
    <w:p>
      <w:pPr>
        <w:ind w:right="3980" w:firstLine="781"/>
        <w:spacing w:after="0" w:line="252" w:lineRule="auto"/>
        <w:rPr>
          <w:sz w:val="20"/>
          <w:szCs w:val="20"/>
          <w:color w:val="auto"/>
        </w:rPr>
      </w:pPr>
      <w:r>
        <w:rPr>
          <w:rFonts w:ascii="Courier New" w:cs="Courier New" w:eastAsia="Courier New" w:hAnsi="Courier New"/>
          <w:sz w:val="14"/>
          <w:szCs w:val="14"/>
          <w:color w:val="auto"/>
        </w:rPr>
        <w:t>Our consolidated financial statements are prepared in accordance with accounting principles generally accepted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2003 is derived from our consolidated financial statements, which have been audited by Ernst &amp; Young LLP, our independent auditors. The summary historical consolidated interim financial information as of and for the nine months ended June 30,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SEPTEMBER 30,</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560" w:type="dxa"/>
            <w:vAlign w:val="bottom"/>
          </w:tcPr>
          <w:p>
            <w:pPr>
              <w:spacing w:after="0"/>
              <w:rPr>
                <w:sz w:val="14"/>
                <w:szCs w:val="14"/>
                <w:color w:val="auto"/>
              </w:rPr>
            </w:pPr>
          </w:p>
        </w:tc>
        <w:tc>
          <w:tcPr>
            <w:tcW w:w="24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3"/>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2003</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0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thousands, except per share data)</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$1,483,327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$1,613,565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$1,533,910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$626,855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$1,321,277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Operating income (1)(2)(3).............</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210,418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159,281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(1)(2)(3)(4).........</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168,883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66,386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5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7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 THOUSANDS)</w:t>
            </w:r>
          </w:p>
        </w:tc>
      </w:tr>
      <w:tr>
        <w:trPr>
          <w:trHeight w:val="668"/>
        </w:trPr>
        <w:tc>
          <w:tcPr>
            <w:tcW w:w="77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560" w:type="dxa"/>
            <w:vAlign w:val="bottom"/>
          </w:tcPr>
          <w:p>
            <w:pPr>
              <w:spacing w:after="0"/>
              <w:rPr>
                <w:sz w:val="24"/>
                <w:szCs w:val="24"/>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$2,897,972</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2% Convertible Notes due 2008 ........................................................</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344</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0.50% Convertible Senior Notes due 2024...............................................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Long-term obligations, including current portion......................................</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31,107</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Shareholders' equity (4)..............................................................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1,482,961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16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we recorded acquisition-related charges of $75,617, relating to our acquisitions of International Telecommunication Data Systems, Inc. in November 1999 and Solect Technology Group Inc. in April 2000, in stock-for-stock transactions. These charges included write-offs of purchased in-process research and development and other indirect acquisition-related costs.</w:t>
      </w:r>
    </w:p>
    <w:p>
      <w:pPr>
        <w:spacing w:after="0" w:line="165" w:lineRule="exact"/>
        <w:rPr>
          <w:rFonts w:ascii="Courier New" w:cs="Courier New" w:eastAsia="Courier New" w:hAnsi="Courier New"/>
          <w:sz w:val="14"/>
          <w:szCs w:val="14"/>
          <w:color w:val="auto"/>
        </w:rPr>
      </w:pPr>
    </w:p>
    <w:p>
      <w:pPr>
        <w:ind w:left="800" w:right="408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we recorded acquisition-related charges for in-process research and development of $17,400, relating to our November 2001 acquisition from Nortel Networks Corporation of substantially all of the assets of its Clarify business for cash. We also recorded restructuring charges of $34,230 relating to the closure of our Stamford, Connecticut data center and our cost reduction program.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940"/>
          </w:cols>
          <w:pgMar w:left="220" w:top="620" w:right="739" w:bottom="1440" w:gutter="0" w:footer="0" w:header="0"/>
        </w:sectPr>
      </w:pPr>
    </w:p>
    <w:bookmarkStart w:id="11" w:name="page12"/>
    <w:bookmarkEnd w:id="11"/>
    <w:p>
      <w:pPr>
        <w:ind w:left="800" w:right="3279" w:hanging="791"/>
        <w:spacing w:after="0" w:line="253"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for cash. Prior to this acquisition, we had 10% ownership interest in Certen. This charge reflects our 10% share in Certen's pre-acquisition results.</w:t>
      </w:r>
    </w:p>
    <w:p>
      <w:pPr>
        <w:spacing w:after="0" w:line="331"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2001, our Board of Directors approved a twelve-month share repurchase program and authorized us to repurchase ordinary shares. During fiscal 2002, we repurchased 7,732 ordinary shares, at an average price of $14.13 per share. During fiscal 2003, we did not repurchase any ordinary shares. On November 5, 2003, our Board of Directors approved an additional twelve-month share repurchase program to purchase up to 5,000 ordinary shares. In accordance with this program, as of December 31, 2003, we had repurchased an additional 4,990 ordinary shares, at an average price of $24.82 per share. In connection with our acquisition of XACCT Technologies Ltd., our Board of Directors approved the repurchase of ordinary shares to offset the dilutive effect of share issuances in the acquisition. The closing of the acquisition occurred in February 2004, and we repurchased 485 ordinary shares in February 2004. 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August 31, 2004, we had repurchased approximately 4.0 million ordinary shares, at an average price of $20.30 per share.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following table presents our historical ratios of earnings to fixed charges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FISCAL YEARS ENDED SEPTEMBER 30,</w:t>
            </w: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3480" w:type="dxa"/>
            <w:vAlign w:val="bottom"/>
            <w:gridSpan w:val="3"/>
          </w:tcPr>
          <w:p>
            <w:pPr>
              <w:ind w:left="2480"/>
              <w:spacing w:after="0"/>
              <w:rPr>
                <w:sz w:val="20"/>
                <w:szCs w:val="20"/>
                <w:color w:val="auto"/>
              </w:rPr>
            </w:pPr>
            <w:r>
              <w:rPr>
                <w:rFonts w:ascii="Courier New" w:cs="Courier New" w:eastAsia="Courier New" w:hAnsi="Courier New"/>
                <w:sz w:val="14"/>
                <w:szCs w:val="14"/>
                <w:color w:val="auto"/>
              </w:rPr>
              <w:t>NINE MONTHS</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c>
          <w:tcPr>
            <w:tcW w:w="212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0"/>
              </w:rPr>
              <w:t>------------------------------------------------------</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920" w:type="dxa"/>
            <w:vAlign w:val="bottom"/>
          </w:tcPr>
          <w:p>
            <w:pPr>
              <w:ind w:left="2480"/>
              <w:spacing w:after="0"/>
              <w:rPr>
                <w:sz w:val="20"/>
                <w:szCs w:val="20"/>
                <w:color w:val="auto"/>
              </w:rPr>
            </w:pPr>
            <w:r>
              <w:rPr>
                <w:rFonts w:ascii="Courier New" w:cs="Courier New" w:eastAsia="Courier New" w:hAnsi="Courier New"/>
                <w:sz w:val="14"/>
                <w:szCs w:val="14"/>
                <w:color w:val="auto"/>
              </w:rPr>
              <w:t>JUNE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80" w:type="dxa"/>
            <w:vAlign w:val="bottom"/>
          </w:tcPr>
          <w:p>
            <w:pPr>
              <w:spacing w:after="0"/>
              <w:rPr>
                <w:sz w:val="14"/>
                <w:szCs w:val="14"/>
                <w:color w:val="auto"/>
              </w:rPr>
            </w:pPr>
          </w:p>
        </w:tc>
        <w:tc>
          <w:tcPr>
            <w:tcW w:w="3220" w:type="dxa"/>
            <w:vAlign w:val="bottom"/>
            <w:gridSpan w:val="2"/>
          </w:tcPr>
          <w:p>
            <w:pPr>
              <w:ind w:left="2480"/>
              <w:spacing w:after="0"/>
              <w:rPr>
                <w:sz w:val="20"/>
                <w:szCs w:val="20"/>
                <w:color w:val="auto"/>
              </w:rPr>
            </w:pPr>
            <w:r>
              <w:rPr>
                <w:rFonts w:ascii="Courier New" w:cs="Courier New" w:eastAsia="Courier New" w:hAnsi="Courier New"/>
                <w:sz w:val="10"/>
                <w:szCs w:val="10"/>
                <w:color w:val="auto"/>
                <w:w w:val="70"/>
              </w:rPr>
              <w: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920" w:type="dxa"/>
            <w:vAlign w:val="bottom"/>
          </w:tcPr>
          <w:p>
            <w:pPr>
              <w:jc w:val="right"/>
              <w:ind w:right="973"/>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14.99x</w:t>
            </w:r>
          </w:p>
        </w:tc>
        <w:tc>
          <w:tcPr>
            <w:tcW w:w="74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13.49x</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3.87x</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9.19x</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10.10x</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15.29x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800" w:right="3459" w:hanging="791"/>
        <w:spacing w:after="0" w:line="253"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175" w:lineRule="exact"/>
        <w:rPr>
          <w:sz w:val="20"/>
          <w:szCs w:val="20"/>
          <w:color w:val="auto"/>
        </w:rPr>
      </w:pPr>
    </w:p>
    <w:p>
      <w:pPr>
        <w:ind w:left="440" w:right="4239"/>
        <w:spacing w:after="0" w:line="258" w:lineRule="auto"/>
        <w:rPr>
          <w:sz w:val="20"/>
          <w:szCs w:val="20"/>
          <w:color w:val="auto"/>
        </w:rPr>
      </w:pPr>
      <w:r>
        <w:rPr>
          <w:rFonts w:ascii="Courier New" w:cs="Courier New" w:eastAsia="Courier New" w:hAnsi="Courier New"/>
          <w:sz w:val="14"/>
          <w:szCs w:val="14"/>
          <w:color w:val="auto"/>
        </w:rPr>
        <w:t>WE ARE EXPOSED TO GENERAL GLOBAL ECONOMIC AND MARKET CONDITIONS, PARTICULARLY THOSE IMPACTING THE COMMUNICATIONS INDUSTRY.</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30" w:lineRule="exact"/>
        <w:rPr>
          <w:sz w:val="20"/>
          <w:szCs w:val="20"/>
          <w:color w:val="auto"/>
        </w:rPr>
      </w:pPr>
    </w:p>
    <w:p>
      <w:pPr>
        <w:jc w:val="both"/>
        <w:ind w:left="440" w:right="3899"/>
        <w:spacing w:after="0" w:line="255" w:lineRule="auto"/>
        <w:rPr>
          <w:sz w:val="20"/>
          <w:szCs w:val="20"/>
          <w:color w:val="auto"/>
        </w:rPr>
      </w:pPr>
      <w:r>
        <w:rPr>
          <w:rFonts w:ascii="Courier New" w:cs="Courier New" w:eastAsia="Courier New" w:hAnsi="Courier New"/>
          <w:sz w:val="14"/>
          <w:szCs w:val="14"/>
          <w:color w:val="auto"/>
        </w:rPr>
        <w:t>IF WE FAIL TO ADAPT TO CHANGING MARKET CONDITIONS AND CANNOT COMPETE SUCCESSFULLY WITH EXISTING OR NEW COMPETITORS, OUR BUSINESS COULD BE HARMED.</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believe that our ability to compete depends on a number of factors, including:</w:t>
      </w:r>
    </w:p>
    <w:p>
      <w:pPr>
        <w:spacing w:after="0" w:line="160" w:lineRule="exact"/>
        <w:rPr>
          <w:sz w:val="20"/>
          <w:szCs w:val="20"/>
          <w:color w:val="auto"/>
        </w:rPr>
      </w:pPr>
    </w:p>
    <w:p>
      <w:pPr>
        <w:ind w:left="1320" w:right="353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by others of software that is competitive with our products and services,</w:t>
      </w:r>
    </w:p>
    <w:p>
      <w:pPr>
        <w:spacing w:after="0" w:line="159"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others offer competitive software and services,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responsiveness of our competitors to customer needs, and</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our competitors to hire, retain and motivate key personnel.</w:t>
      </w:r>
    </w:p>
    <w:p>
      <w:pPr>
        <w:spacing w:after="0" w:line="160"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640" w:gutter="0" w:footer="0" w:header="0"/>
        </w:sectPr>
      </w:pPr>
    </w:p>
    <w:bookmarkStart w:id="14" w:name="page15"/>
    <w:bookmarkEnd w:id="14"/>
    <w:p>
      <w:pPr>
        <w:ind w:right="3279"/>
        <w:spacing w:after="0" w:line="253" w:lineRule="auto"/>
        <w:rPr>
          <w:sz w:val="20"/>
          <w:szCs w:val="20"/>
          <w:color w:val="auto"/>
        </w:rPr>
      </w:pPr>
      <w:r>
        <w:rPr>
          <w:rFonts w:ascii="Courier New" w:cs="Courier New" w:eastAsia="Courier New" w:hAnsi="Courier New"/>
          <w:sz w:val="14"/>
          <w:szCs w:val="14"/>
          <w:color w:val="auto"/>
        </w:rPr>
        <w:t>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64"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IF WE DO NOT CONTINUALLY ENHANCE OUR PRODUCTS AND SERVICE OFFERINGS, WE MAY HAVE DIFFICULTY RETAINING EXISTING CUSTOMERS AND ATTRACTING NEW CUSTOMERS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WE MAY SEEK TO ACQUIRE COMPANIES OR TECHNOLOGIES, WHICH COULD DISRUPT OUR ONGOING BUSINESS, DISTRACT OUR MANAGEMENT AND EMPLOYEES AND ADVERSELY AFFECT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BUSINESS IS DEPENDENT ON A LIMITED NUMBER OF SIGNIFICANT CUSTOMERS, AND THE LOSS OF ANY ONE OF OUR SIGNIFICANT CUSTOMERS COULD HARM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August 31, 2004, it beneficially owned approximately 7.3% of our outstanding ordinary shares. The loss of any significant customer or a significant decrease in business from any such customer could harm our results of operations and financial condition.</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332" w:lineRule="exact"/>
        <w:rPr>
          <w:sz w:val="20"/>
          <w:szCs w:val="20"/>
          <w:color w:val="auto"/>
        </w:rPr>
      </w:pPr>
    </w:p>
    <w:p>
      <w:pPr>
        <w:jc w:val="both"/>
        <w:ind w:left="440" w:right="4059"/>
        <w:spacing w:after="0" w:line="255" w:lineRule="auto"/>
        <w:rPr>
          <w:sz w:val="20"/>
          <w:szCs w:val="20"/>
          <w:color w:val="auto"/>
        </w:rPr>
      </w:pPr>
      <w:r>
        <w:rPr>
          <w:rFonts w:ascii="Courier New" w:cs="Courier New" w:eastAsia="Courier New" w:hAnsi="Courier New"/>
          <w:sz w:val="14"/>
          <w:szCs w:val="14"/>
          <w:color w:val="auto"/>
        </w:rPr>
        <w:t>OUR FUTURE SUCCESS WILL DEPEND ON OUR ABILITY TO DEVELOP LONG-TERM RELATIONSHIPS WITH OUR CUSTOMERS AND TO MEET THEIR EXPECTATIONS IN PROVIDING PRODUCTS AND PERFORMING SERVICES.</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We believe that our future success will depend to a significant extent on our ability to develop long-term relationships with successful network operators and service providers with the financial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5" w:name="page16"/>
    <w:bookmarkEnd w:id="15"/>
    <w:p>
      <w:pPr>
        <w:ind w:right="3279"/>
        <w:spacing w:after="0" w:line="253" w:lineRule="auto"/>
        <w:rPr>
          <w:sz w:val="20"/>
          <w:szCs w:val="20"/>
          <w:color w:val="auto"/>
        </w:rPr>
      </w:pPr>
      <w:r>
        <w:rPr>
          <w:rFonts w:ascii="Courier New" w:cs="Courier New" w:eastAsia="Courier New" w:hAnsi="Courier New"/>
          <w:sz w:val="14"/>
          <w:szCs w:val="14"/>
          <w:color w:val="auto"/>
        </w:rPr>
        <w:t>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65"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WE MAY BE EXPOSED TO THE CREDIT RISK OF CUSTOMERS THAT HAVE BEEN ADVERSELY AFFECTED BY WEAKENED MARKETS.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329"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7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63"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OUR QUARTERLY OPERATING RESULTS MAY FLUCTUATE, AND A DECLINE IN REVENUE IN ANY QUARTER COULD RESULT IN LOWER PROFITABILITY FOR THAT QUARTER AND FLUCTUATIONS IN THE MARKET PRICE OF OUR ORDINARY SHARES.</w:t>
      </w:r>
    </w:p>
    <w:p>
      <w:pPr>
        <w:spacing w:after="0" w:line="162"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movement may continue and could intensify. Fluctuations may result from many factors, including:</w:t>
      </w:r>
    </w:p>
    <w:p>
      <w:pPr>
        <w:spacing w:after="0" w:line="162" w:lineRule="exact"/>
        <w:rPr>
          <w:sz w:val="20"/>
          <w:szCs w:val="20"/>
          <w:color w:val="auto"/>
        </w:rPr>
      </w:pPr>
    </w:p>
    <w:p>
      <w:pPr>
        <w:ind w:left="1320" w:right="3379" w:hanging="530"/>
        <w:spacing w:after="0" w:line="258" w:lineRule="auto"/>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or cancellations of significant projects by customers,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expenses,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competition,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our strategy,</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changes,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exchange rate fluctuations,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political conditions.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974" w:gutter="0" w:footer="0" w:header="0"/>
        </w:sectPr>
      </w:pPr>
    </w:p>
    <w:bookmarkStart w:id="16" w:name="page17"/>
    <w:bookmarkEnd w:id="16"/>
    <w:p>
      <w:pPr>
        <w:ind w:right="3379"/>
        <w:spacing w:after="0" w:line="254" w:lineRule="auto"/>
        <w:rPr>
          <w:sz w:val="20"/>
          <w:szCs w:val="20"/>
          <w:color w:val="auto"/>
        </w:rPr>
      </w:pPr>
      <w:r>
        <w:rPr>
          <w:rFonts w:ascii="Courier New" w:cs="Courier New" w:eastAsia="Courier New" w:hAnsi="Courier New"/>
          <w:sz w:val="14"/>
          <w:szCs w:val="14"/>
          <w:color w:val="auto"/>
        </w:rPr>
        <w:t>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REVENUE, EARNINGS AND PROFITABILITY ARE IMPACTED BY THE LENGTH OF OUR SALES CYCLE, AND A LONGER SALES CYCLE COULD ADVERSELY AFFECT OUR RESULTS OF OPERATIONS AND FINANCIAL CONDITION.</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173" w:lineRule="exact"/>
        <w:rPr>
          <w:sz w:val="20"/>
          <w:szCs w:val="20"/>
          <w:color w:val="auto"/>
        </w:rPr>
      </w:pPr>
    </w:p>
    <w:p>
      <w:pPr>
        <w:ind w:left="440" w:right="3899"/>
        <w:spacing w:after="0" w:line="258" w:lineRule="auto"/>
        <w:rPr>
          <w:sz w:val="20"/>
          <w:szCs w:val="20"/>
          <w:color w:val="auto"/>
        </w:rPr>
      </w:pPr>
      <w:r>
        <w:rPr>
          <w:rFonts w:ascii="Courier New" w:cs="Courier New" w:eastAsia="Courier New" w:hAnsi="Courier New"/>
          <w:sz w:val="14"/>
          <w:szCs w:val="14"/>
          <w:color w:val="auto"/>
        </w:rPr>
        <w:t>IF THE MARKET FOR OUR PRODUCTS DETERIORATES, WE MAY INCUR ADDITIONAL RESTRUCTURING CHARGES.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64"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IF WE FAIL TO SUCCESSFULLY PLAN AND MANAGE CHANGES IN THE SIZE OF OUR OPERATIONS OUR BUSINESS WILL SUFFER.</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73"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OUR INTERNATIONAL PRESENCE EXPOSES US TO RISKS ASSOCIATED WITH VARIED AND CHANGING POLITICAL, CULTURAL AND ECONOMIC CONDITIONS WORLDWIDE.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7" w:name="page18"/>
    <w:bookmarkEnd w:id="17"/>
    <w:p>
      <w:pPr>
        <w:ind w:right="3279"/>
        <w:spacing w:after="0" w:line="254" w:lineRule="auto"/>
        <w:rPr>
          <w:sz w:val="20"/>
          <w:szCs w:val="20"/>
          <w:color w:val="auto"/>
        </w:rPr>
      </w:pPr>
      <w:r>
        <w:rPr>
          <w:rFonts w:ascii="Courier New" w:cs="Courier New" w:eastAsia="Courier New" w:hAnsi="Courier New"/>
          <w:sz w:val="14"/>
          <w:szCs w:val="14"/>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62" w:lineRule="exact"/>
        <w:rPr>
          <w:sz w:val="20"/>
          <w:szCs w:val="20"/>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acceptance of non-localized products,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cultural differences in the conduct of business,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staffing and managing foreign operations,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collecting accounts receivable and withholding taxes that limit the repatriation of earnings,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barriers,</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 and</w:t>
      </w:r>
    </w:p>
    <w:p>
      <w:pPr>
        <w:spacing w:after="0" w:line="175"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effective income tax rates among countries where we conduct business.</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One or more of these factors could have a material adverse effect on our international operations, which could harm our results of operations and financial condition.</w:t>
      </w:r>
    </w:p>
    <w:p>
      <w:pPr>
        <w:spacing w:after="0" w:line="162"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POLITICAL AND ECONOMIC CONDITIONS IN THE MIDDLE EAST MAY ADVERSELY AFFECT OUR BUSINESS AND OUR DEVELOPMENT FACILITY IN CYPRUS MAY BE ADVERSELY AFFECTED BY POLITICAL CONDITIONS IN THAT COUNTRY.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8" w:name="page19"/>
    <w:bookmarkEnd w:id="18"/>
    <w:p>
      <w:pPr>
        <w:ind w:left="440" w:right="3279"/>
        <w:spacing w:after="0" w:line="260" w:lineRule="auto"/>
        <w:rPr>
          <w:sz w:val="20"/>
          <w:szCs w:val="20"/>
          <w:color w:val="auto"/>
        </w:rPr>
      </w:pPr>
      <w:r>
        <w:rPr>
          <w:rFonts w:ascii="Courier New" w:cs="Courier New" w:eastAsia="Courier New" w:hAnsi="Courier New"/>
          <w:sz w:val="14"/>
          <w:szCs w:val="14"/>
          <w:color w:val="auto"/>
        </w:rPr>
        <w:t>OUR INTERNATIONAL OPERATIONS EXPOSE US TO RISKS ASSOCIATED WITH FLUCTUATIONS IN FOREIGN CURRENCY EXCHANGE RATES THAT COULD ADVERSELY AFFECT OUR BUSINESS.</w:t>
      </w:r>
    </w:p>
    <w:p>
      <w:pPr>
        <w:spacing w:after="0" w:line="32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7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our business, results of operations and financial condition.</w:t>
      </w:r>
    </w:p>
    <w:p>
      <w:pPr>
        <w:spacing w:after="0" w:line="162" w:lineRule="exact"/>
        <w:rPr>
          <w:sz w:val="20"/>
          <w:szCs w:val="20"/>
          <w:color w:val="auto"/>
        </w:rPr>
      </w:pPr>
    </w:p>
    <w:p>
      <w:pPr>
        <w:ind w:left="440" w:right="4679"/>
        <w:spacing w:after="0" w:line="258" w:lineRule="auto"/>
        <w:rPr>
          <w:sz w:val="20"/>
          <w:szCs w:val="20"/>
          <w:color w:val="auto"/>
        </w:rPr>
      </w:pPr>
      <w:r>
        <w:rPr>
          <w:rFonts w:ascii="Courier New" w:cs="Courier New" w:eastAsia="Courier New" w:hAnsi="Courier New"/>
          <w:sz w:val="14"/>
          <w:szCs w:val="14"/>
          <w:color w:val="auto"/>
        </w:rPr>
        <w:t>IF WE ARE UNABLE TO PROTECT OUR PROPRIETARY TECHNOLOGY FROM MISAPPROPRIATION, OUR BUSINESS MAY BE HARMED.</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If we have to resort to legal proceedings to enforce our intellectual property rights, the proceedings could be burdensome, protracted and expensive and could involve a high degree of risk.</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CLAIMS BY OTHERS THAT WE INFRINGE THEIR PROPRIETARY TECHNOLOGY COULD HARM OUR BUSINESS.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9" w:name="page20"/>
    <w:bookmarkEnd w:id="19"/>
    <w:p>
      <w:pPr>
        <w:ind w:right="3379"/>
        <w:spacing w:after="0" w:line="253" w:lineRule="auto"/>
        <w:rPr>
          <w:sz w:val="20"/>
          <w:szCs w:val="20"/>
          <w:color w:val="auto"/>
        </w:rPr>
      </w:pPr>
      <w:r>
        <w:rPr>
          <w:rFonts w:ascii="Courier New" w:cs="Courier New" w:eastAsia="Courier New" w:hAnsi="Courier New"/>
          <w:sz w:val="14"/>
          <w:szCs w:val="14"/>
          <w:color w:val="auto"/>
        </w:rPr>
        <w:t>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DEFECTS OR SOFTWARE ERRORS COULD ADVERSELY AFFECT OUR BUSINESS.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73" w:lineRule="exact"/>
        <w:rPr>
          <w:sz w:val="20"/>
          <w:szCs w:val="20"/>
          <w:color w:val="auto"/>
        </w:rPr>
      </w:pPr>
    </w:p>
    <w:p>
      <w:pPr>
        <w:ind w:left="440" w:right="3639"/>
        <w:spacing w:after="0" w:line="255" w:lineRule="auto"/>
        <w:rPr>
          <w:sz w:val="20"/>
          <w:szCs w:val="20"/>
          <w:color w:val="auto"/>
        </w:rPr>
      </w:pPr>
      <w:r>
        <w:rPr>
          <w:rFonts w:ascii="Courier New" w:cs="Courier New" w:eastAsia="Courier New" w:hAnsi="Courier New"/>
          <w:sz w:val="14"/>
          <w:szCs w:val="14"/>
          <w:color w:val="auto"/>
        </w:rPr>
        <w:t>SYSTEM DISRUPTIONS AND FAILURES MAY RESULT IN CUSTOMER DISSATISFACTION, CUSTOMER LOSS OR BOTH, WHICH COULD MATERIALLY AND ADVERSELY AFFECT OUR REPUTATION AND BUSINESS.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0" w:name="page21"/>
    <w:bookmarkEnd w:id="20"/>
    <w:p>
      <w:pPr>
        <w:spacing w:after="0" w:line="7"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an outage or interruption. Any damage or failure that interrupts or delays our operations could result in material harm to our business and expose us to material liabilities.</w:t>
      </w:r>
    </w:p>
    <w:p>
      <w:pPr>
        <w:spacing w:after="0" w:line="162"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62"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Any of the following could have a material effect on our overall effective tax rate:</w:t>
      </w:r>
    </w:p>
    <w:p>
      <w:pPr>
        <w:spacing w:after="0" w:line="160" w:lineRule="exact"/>
        <w:rPr>
          <w:sz w:val="20"/>
          <w:szCs w:val="20"/>
          <w:color w:val="auto"/>
        </w:rPr>
      </w:pPr>
    </w:p>
    <w:p>
      <w:pPr>
        <w:ind w:left="1320" w:hanging="530"/>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programs may be discontinued,</w:t>
      </w:r>
    </w:p>
    <w:p>
      <w:pPr>
        <w:spacing w:after="0" w:line="175"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meet the requirements for continuing to qualify for some programs,</w:t>
      </w:r>
    </w:p>
    <w:p>
      <w:pPr>
        <w:spacing w:after="0" w:line="159"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programs and tax benefits may be unavailable at their current levels,</w:t>
      </w:r>
    </w:p>
    <w:p>
      <w:pPr>
        <w:spacing w:after="0" w:line="159"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expiration of a particular benefit, we may not be eligible to participate in a new program or qualify for a new tax benefit that would offset the loss of the expiring tax benefit, or</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refund previously recognized tax benefits if we are found to be in violation of the stipulated conditions.</w:t>
      </w:r>
    </w:p>
    <w:p>
      <w:pPr>
        <w:spacing w:after="0" w:line="160"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WE ARE CURRENTLY A PARTY TO SECURITIES LITIGATION CLASS ACTION LAWSUITS AND A SECURITIES EXCHANGE COMMISSION INVESTIGATION, WHICH COULD NEGATIVELY AFFECT OUR BUSINESS AND RESULTS OF OPERATIONS.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IT MAY BE DIFFICULT FOR OUR SHAREHOLDERS TO ENFORCE ANY JUDGMENT OBTAINED IN THE UNITED STATES AGAINST US, THE SELLING SECURITYHOLDERS OR OUR AFFILIATES.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w:t>
      </w:r>
    </w:p>
    <w:p>
      <w:pPr>
        <w:sectPr>
          <w:pgSz w:w="11900" w:h="16846" w:orient="portrait"/>
          <w:cols w:equalWidth="0" w:num="1">
            <w:col w:w="10239"/>
          </w:cols>
          <w:pgMar w:left="220" w:top="620" w:right="1440" w:bottom="0" w:gutter="0" w:footer="0" w:header="0"/>
        </w:sectPr>
      </w:pPr>
    </w:p>
    <w:bookmarkStart w:id="21" w:name="page22"/>
    <w:bookmarkEnd w:id="21"/>
    <w:p>
      <w:pPr>
        <w:ind w:right="3379"/>
        <w:spacing w:after="0" w:line="254" w:lineRule="auto"/>
        <w:rPr>
          <w:sz w:val="20"/>
          <w:szCs w:val="20"/>
          <w:color w:val="auto"/>
        </w:rPr>
      </w:pPr>
      <w:r>
        <w:rPr>
          <w:rFonts w:ascii="Courier New" w:cs="Courier New" w:eastAsia="Courier New" w:hAnsi="Courier New"/>
          <w:sz w:val="14"/>
          <w:szCs w:val="14"/>
          <w:color w:val="auto"/>
        </w:rPr>
        <w:t>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CAPITAL STRUCTURE</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60"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During fiscal year 2003, our ordinary shares traded as high as $27.25 per share and as low as $5.85 per share.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141" w:right="1440" w:bottom="1440" w:gutter="0" w:footer="0" w:header="0"/>
        </w:sectPr>
      </w:pPr>
    </w:p>
    <w:bookmarkStart w:id="22" w:name="page23"/>
    <w:bookmarkEnd w:id="22"/>
    <w:p>
      <w:pPr>
        <w:ind w:right="3379"/>
        <w:spacing w:after="0" w:line="254" w:lineRule="auto"/>
        <w:rPr>
          <w:sz w:val="20"/>
          <w:szCs w:val="20"/>
          <w:color w:val="auto"/>
        </w:rPr>
      </w:pPr>
      <w:r>
        <w:rPr>
          <w:rFonts w:ascii="Courier New" w:cs="Courier New" w:eastAsia="Courier New" w:hAnsi="Courier New"/>
          <w:sz w:val="14"/>
          <w:szCs w:val="14"/>
          <w:color w:val="auto"/>
        </w:rPr>
        <w:t>Our ordinary shares traded as high as $39.25 per share and as low as $6.10 per share in fiscal 2002 and as high as $80.50 per share and as low as $25.85 per share in fiscal 2001. As of September 20, 2004, the closing price of our ordinary shares was $22.97 per share. Many factors could cause the market price of our ordinary shares to rise and fall, including:</w:t>
      </w:r>
    </w:p>
    <w:p>
      <w:pPr>
        <w:spacing w:after="0" w:line="162" w:lineRule="exact"/>
        <w:rPr>
          <w:sz w:val="20"/>
          <w:szCs w:val="20"/>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in the industry and the economy as a whole,</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quarterly operating results,</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by us or our competitors,</w:t>
      </w:r>
    </w:p>
    <w:p>
      <w:pPr>
        <w:spacing w:after="0" w:line="159"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introductions of new products or new pricing policies by us or our competitors,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in the communications or software industries,</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or strategic alliances by us or others in our industry,</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estimates of our performance or recommendations by financial analysts,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in the Middle East.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NOTES ARE EFFECTIVELY SUBORDINATED TO THE DEBT AND OTHER LIABILITIES OF OUR SUBSIDIARIES.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2004, our subsidiaries had liabilities of approximately $964.7 million. We may from time to time incur additional debt. Our subsidiaries may also from time to time incur other additional debt and liabilities. The notes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3" w:name="page24"/>
    <w:bookmarkEnd w:id="23"/>
    <w:p>
      <w:pPr>
        <w:ind w:right="3459"/>
        <w:spacing w:after="0" w:line="258" w:lineRule="auto"/>
        <w:rPr>
          <w:sz w:val="20"/>
          <w:szCs w:val="20"/>
          <w:color w:val="auto"/>
        </w:rPr>
      </w:pPr>
      <w:r>
        <w:rPr>
          <w:rFonts w:ascii="Courier New" w:cs="Courier New" w:eastAsia="Courier New" w:hAnsi="Courier New"/>
          <w:sz w:val="14"/>
          <w:szCs w:val="14"/>
          <w:color w:val="auto"/>
        </w:rPr>
        <w:t>are also effectively subordinated to any secured obligations to the extent of the value of the assets securing such obligations. See "Description of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DEPENDENT UPON OUR SUBSIDIARIES TO SERVICE OUR DEBT.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164"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WE MAY NOT HAVE THE FUNDS NECESSARY TO FINANCE THE REPURCHASE OF THE NOTES OR MAY OTHERWISE BE RESTRICTED FROM MAKING SUCH REPURCHASE IF REQUIRED BY HOLDERS PURSUANT TO THE INDENTURE.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jc w:val="both"/>
        <w:ind w:left="440" w:right="3459"/>
        <w:spacing w:after="0" w:line="255" w:lineRule="auto"/>
        <w:rPr>
          <w:sz w:val="20"/>
          <w:szCs w:val="20"/>
          <w:color w:val="auto"/>
        </w:rPr>
      </w:pPr>
      <w:r>
        <w:rPr>
          <w:rFonts w:ascii="Courier New" w:cs="Courier New" w:eastAsia="Courier New" w:hAnsi="Courier New"/>
          <w:sz w:val="14"/>
          <w:szCs w:val="14"/>
          <w:color w:val="auto"/>
        </w:rPr>
        <w:t>THE INDEBTEDNESS CREATED BY THE NOTES, AND ANY FUTURE INDEBTEDNESS, COULD ADVERSELY AFFECT OUR BUSINESS AND OUR ABILITY TO MAKE FULL PAYMENT ON THE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aggregate level of indebtedness increased as a result of the sale by us of the notes to the initial purchasers. As of June 30, 2004, we had $481.5 million of outstanding indebtedness and cash and short term investments of $1.2 billion.</w:t>
      </w:r>
    </w:p>
    <w:p>
      <w:pPr>
        <w:spacing w:after="0" w:line="163"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63" w:lineRule="exact"/>
        <w:rPr>
          <w:sz w:val="20"/>
          <w:szCs w:val="20"/>
          <w:color w:val="auto"/>
        </w:rPr>
      </w:pPr>
    </w:p>
    <w:p>
      <w:pPr>
        <w:ind w:left="1320" w:right="363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our vulnerability to adverse economic and industry conditions,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obtain additional financing,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make acquisitions,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4" w:name="page25"/>
    <w:bookmarkEnd w:id="24"/>
    <w:p>
      <w:pPr>
        <w:ind w:left="1320" w:right="3639" w:hanging="530"/>
        <w:spacing w:after="0" w:line="254"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our cash flow from operations to service our indebtedness, thereby reducing the amount of our cash flow available for other purposes, including capital expenditures,</w:t>
      </w:r>
    </w:p>
    <w:p>
      <w:pPr>
        <w:spacing w:after="0" w:line="163"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industries in which we compete, and</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possible competitive disadvantage with less leveraged competitors and competitors that may have better access to capital resources.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331" w:lineRule="exact"/>
        <w:rPr>
          <w:sz w:val="20"/>
          <w:szCs w:val="20"/>
          <w:color w:val="auto"/>
        </w:rPr>
      </w:pPr>
    </w:p>
    <w:p>
      <w:pPr>
        <w:ind w:left="440" w:right="3279"/>
        <w:spacing w:after="0" w:line="256"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WHICH MAY RESULT IN DECISIONS THAT NEGATIVELY AFFECT THE MARKET PRICE OF THE NOTES AND OUR ORDINARY SHARES.</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PUBLIC MARKET MAY NOT DEVELOP FOR THE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64"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THE TRADING PRICES OF THE NOTES COULD BE SIGNIFICANTLY AFFECTED BY THE TRADING PRICES OF OUR ORDINARY SHARES.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5" w:name="page26"/>
    <w:bookmarkEnd w:id="25"/>
    <w:p>
      <w:pPr>
        <w:ind w:right="3279"/>
        <w:spacing w:after="0" w:line="255" w:lineRule="auto"/>
        <w:rPr>
          <w:sz w:val="20"/>
          <w:szCs w:val="20"/>
          <w:color w:val="auto"/>
        </w:rPr>
      </w:pPr>
      <w:r>
        <w:rPr>
          <w:rFonts w:ascii="Courier New" w:cs="Courier New" w:eastAsia="Courier New" w:hAnsi="Courier New"/>
          <w:sz w:val="14"/>
          <w:szCs w:val="14"/>
          <w:color w:val="auto"/>
        </w:rPr>
        <w:t>substantial amounts of ordinary shares by us in the market after the offering of the notes, or the perception that such sales may occur, could affect the price of our ordinary shares.</w:t>
      </w:r>
    </w:p>
    <w:p>
      <w:pPr>
        <w:spacing w:after="0" w:line="162"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THE CONDITIONAL CONVERSION FEATURE OF THE NOTES COULD RESULT IN YOUR NOT RECEIVING THE VALUE OF THE ORDINARY SHARES INTO WHICH THE NOTES ARE CONVERTIBLE.</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163"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THE CONVERSION RATE OF THE NOTES MAY NOT BE ADJUSTED FOR ALL DILUTIVE EVENTS.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conversion rate of the notes is subject to adjustment for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including, but not limited to, the issuance of stock dividends on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 issuance of certain rights or warrants, subdivisions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of our ordinary shares, certain distributions of assets,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capital stock or cash to holders of our ordinary shares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tender or exchange offers as described under "Description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Notes--Conversion of Notes--Conversion Rate Adjustments." The conversion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adjusted for other events, such as an issuance of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that may adversely affect the trading price of the notes 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There can be no assurance that an event that adversely affects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notes, but does not result in an adjustment to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will not occur.</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CONVERSION OF THE NOTES WILL DILUTE THE OWNERSHIP INTEREST OF EXISTING SHAREHOLDERS, INCLUDING HOLDERS WHO HAD PREVIOUSLY CONVERTED THEIR NOTES.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16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BUT YOU WILL BE SUBJECT TO ALL CHANGES MADE WITH RESPECT TO OUR ORDINARY SHARES.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6" w:name="page27"/>
    <w:bookmarkEnd w:id="26"/>
    <w:p>
      <w:pPr>
        <w:ind w:left="1320"/>
        <w:spacing w:after="0"/>
        <w:rPr>
          <w:sz w:val="20"/>
          <w:szCs w:val="20"/>
          <w:color w:val="auto"/>
        </w:rPr>
      </w:pPr>
      <w:r>
        <w:rPr>
          <w:rFonts w:ascii="Courier New" w:cs="Courier New" w:eastAsia="Courier New" w:hAnsi="Courier New"/>
          <w:sz w:val="14"/>
          <w:szCs w:val="14"/>
          <w:color w:val="auto"/>
        </w:rPr>
        <w:t>SPECIAL NOTE REGARDING FORWARD-LOOKING INFORMATION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that are not statements of historical fact also may be forward-looking statements. Statements regarding our future business and/or results, including, without limitation, the statements under the captions "Summary," "Risk Factors," and "Operating and Financial Review and Prospects for the Three and Nine Month Periods Ended</w:t>
      </w:r>
    </w:p>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ectPr>
          <w:pgSz w:w="11900" w:h="16838" w:orient="portrait"/>
          <w:cols w:equalWidth="0" w:num="1">
            <w:col w:w="10239"/>
          </w:cols>
          <w:pgMar w:left="220" w:top="620" w:right="1440" w:bottom="1440" w:gutter="0" w:footer="0" w:header="0"/>
        </w:sectPr>
      </w:pPr>
    </w:p>
    <w:bookmarkStart w:id="27" w:name="page28"/>
    <w:bookmarkEnd w:id="27"/>
    <w:p>
      <w:pPr>
        <w:jc w:val="center"/>
        <w:ind w:right="3179"/>
        <w:spacing w:after="0"/>
        <w:rPr>
          <w:sz w:val="20"/>
          <w:szCs w:val="20"/>
          <w:color w:val="auto"/>
        </w:rPr>
      </w:pPr>
      <w:r>
        <w:rPr>
          <w:rFonts w:ascii="Courier New" w:cs="Courier New" w:eastAsia="Courier New" w:hAnsi="Courier New"/>
          <w:sz w:val="14"/>
          <w:szCs w:val="14"/>
          <w:color w:val="auto"/>
        </w:rPr>
        <w:t>OFFERING STATISTICS AND TIMETABLE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REASONS FOR THE OFFER AND USE OF PROCEEDS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MATERIAL CHANGES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from the sale of the notes and other cash resources to repurchase approximately $395.1 million in aggregate principal amount of the 2% Notes through a cash tender offer that we announced on May 3, 2004 and which expired on June 1, 2004. The untendered principal amount of 2% Notes remain as obligations of the Company, due June 1, 2008, in accordance with their terms.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September 21, 2004, we had repurchased approximately 4.9 million ordinary shares, at an average price of $20.40 per share.</w:t>
      </w:r>
    </w:p>
    <w:p>
      <w:pPr>
        <w:spacing w:after="0" w:line="16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Pursuant to a previous share repurchase program, in fiscal 2002 we purchased 7.7 million of our ordinary share at a weighted average price of $14.13 per share.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8" w:name="page29"/>
    <w:bookmarkEnd w:id="28"/>
    <w:p>
      <w:pPr>
        <w:ind w:left="2620"/>
        <w:spacing w:after="0"/>
        <w:rPr>
          <w:sz w:val="20"/>
          <w:szCs w:val="20"/>
          <w:color w:val="auto"/>
        </w:rPr>
      </w:pPr>
      <w:r>
        <w:rPr>
          <w:rFonts w:ascii="Courier New" w:cs="Courier New" w:eastAsia="Courier New" w:hAnsi="Courier New"/>
          <w:sz w:val="14"/>
          <w:szCs w:val="14"/>
          <w:color w:val="auto"/>
        </w:rPr>
        <w:t>THE OFFER AND LISTING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HIGH</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19.81</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(through September 20,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Most Recent Six Months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March,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25.77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April,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June,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July,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bl>
    <w:p>
      <w:pPr>
        <w:spacing w:after="0" w:line="200" w:lineRule="exact"/>
        <w:rPr>
          <w:sz w:val="20"/>
          <w:szCs w:val="20"/>
          <w:color w:val="auto"/>
        </w:rPr>
      </w:pPr>
    </w:p>
    <w:p>
      <w:pPr>
        <w:spacing w:after="0" w:line="30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As of August 31, 2004, we had 207,183,394 ordinary shares outstanding and there were approximately 242 holders of record of our ordinary shares. This figure does not reflect persons or entities who hold their ordinary shares in nominee or "street" name through various brokerage firms.</w:t>
      </w:r>
    </w:p>
    <w:p>
      <w:pPr>
        <w:spacing w:after="0" w:line="163"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On September 20, 2004, the last reported sale price of our ordinary shares on the NYSE was $22.97.</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EXPENSES OF THE ISSUE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Filing Fee - Securities and Exchange Commission ....................</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57,015</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Legal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Registrar and Transfer agent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Accounting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Printing, EDGAR formatting and mailing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Miscellaneous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$ 142,015</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0" w:name="page31"/>
    <w:bookmarkEnd w:id="30"/>
    <w:p>
      <w:pPr>
        <w:jc w:val="center"/>
        <w:ind w:right="3279"/>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The following table sets forth our unaudited actual consolidated capitalization as of June 30, 2004.</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ACTUAL</w:t>
            </w:r>
          </w:p>
        </w:tc>
      </w:tr>
      <w:tr>
        <w:trPr>
          <w:trHeight w:val="835"/>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obligations - secured and unguaranteed.........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9,991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 - secured and 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9,872</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 obligations, less current portion - 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9,168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financing arrangements -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2,076</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 Convertible Notes due 2008......................................................</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 Convertible Senior Notes due 2024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indebtedness.......................................................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481,451</w:t>
            </w:r>
          </w:p>
        </w:tc>
      </w:tr>
      <w:tr>
        <w:trPr>
          <w:trHeight w:val="167"/>
        </w:trPr>
        <w:tc>
          <w:tcPr>
            <w:tcW w:w="7340" w:type="dxa"/>
            <w:vAlign w:val="bottom"/>
          </w:tcPr>
          <w:p>
            <w:pPr>
              <w:jc w:val="right"/>
              <w:ind w:right="5428"/>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Preferred Shares - Authorized 25,000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shares issued and outstanding..............................................</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Ordinary Shares - Authorized 550,000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224,854 issued and 206,135 outstanding(1)....................................</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3,599</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1,836,743</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Treasury Stock, at cost - 18,719 ordinary shares. .............................</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(402,360)</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loss...........................................</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Unearned compensation..........................................................</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45,908</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1,482,961</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capitalization.....................................................</w:t>
            </w: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$1,964,412</w:t>
            </w:r>
          </w:p>
        </w:tc>
      </w:tr>
    </w:tbl>
    <w:p>
      <w:pPr>
        <w:spacing w:after="0" w:line="4" w:lineRule="exact"/>
        <w:rPr>
          <w:sz w:val="20"/>
          <w:szCs w:val="20"/>
          <w:color w:val="auto"/>
        </w:rPr>
      </w:pPr>
    </w:p>
    <w:p>
      <w:pPr>
        <w:ind w:left="8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right="3379" w:hanging="439"/>
        <w:spacing w:after="0" w:line="254" w:lineRule="auto"/>
        <w:tabs>
          <w:tab w:leader="none" w:pos="420" w:val="left"/>
        </w:tabs>
        <w:rPr>
          <w:sz w:val="20"/>
          <w:szCs w:val="20"/>
          <w:color w:val="auto"/>
        </w:rPr>
      </w:pPr>
      <w:r>
        <w:rPr>
          <w:rFonts w:ascii="Courier New" w:cs="Courier New" w:eastAsia="Courier New" w:hAnsi="Courier New"/>
          <w:sz w:val="14"/>
          <w:szCs w:val="14"/>
          <w:color w:val="auto"/>
        </w:rPr>
        <w:t>(1)</w:t>
        <w:tab/>
        <w:t>Reflects ordinary shares issued and outstanding as of June 30, 2004. Does not include 25,969 ordinary shares reserved for issuance upon the exercise of stock options that have been granted under our stock option plan and by companies we have acquired. As of August 31, 2004, there were 207,183,394 ordinary shares outstanding.</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7" w:right="1440" w:bottom="1440" w:gutter="0" w:footer="0" w:header="0"/>
        </w:sectPr>
      </w:pPr>
    </w:p>
    <w:bookmarkStart w:id="31" w:name="page32"/>
    <w:bookmarkEnd w:id="31"/>
    <w:p>
      <w:pPr>
        <w:ind w:left="2620"/>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used in this "Description of Notes" section, references to "Amdocs," "we," "our" or "us" refer solely to Amdocs Limited and not to our subsidiaries, unless the context otherwise requires.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"--Conversion of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You are not afforded protection under the indenture in the event of a highly leveraged transaction or a change in control of us, except to the extent described below under "--Repurchase at Option of the Holder Upon a Designated Event."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32" w:name="page33"/>
    <w:bookmarkEnd w:id="32"/>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 beginning September 15, 2004, to record holders at the close of business on the preceding March 1 and September 1, as the case may be.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notes are not subject to a sinking fund provision and are not subject to defeasance or covenant defeasance under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63" w:lineRule="exact"/>
        <w:rPr>
          <w:sz w:val="20"/>
          <w:szCs w:val="20"/>
          <w:color w:val="auto"/>
        </w:rPr>
      </w:pPr>
    </w:p>
    <w:p>
      <w:pPr>
        <w:ind w:left="1320" w:right="371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upon satisfaction of a market price condition;</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 trading price condition;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certain credit ratings events;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of redemption;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transactions.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3" w:name="page34"/>
    <w:bookmarkEnd w:id="33"/>
    <w:p>
      <w:pPr>
        <w:ind w:left="440"/>
        <w:spacing w:after="0"/>
        <w:rPr>
          <w:sz w:val="20"/>
          <w:szCs w:val="20"/>
          <w:color w:val="auto"/>
        </w:rPr>
      </w:pPr>
      <w:r>
        <w:rPr>
          <w:rFonts w:ascii="Courier New" w:cs="Courier New" w:eastAsia="Courier New" w:hAnsi="Courier New"/>
          <w:sz w:val="14"/>
          <w:szCs w:val="14"/>
          <w:color w:val="auto"/>
        </w:rPr>
        <w:t>CONVERSION UPON SATISFACTION OF MARKET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 for conversion into our ordinary shares prior to the close of business on the maturity date during any fiscal quarter commencing after March 31, 2004, and only during such fiscal quarter if the closing sale price of our ordinary shares exceeds 130% of the then effective conversion price for at least 20 trading days in the 30 consecutive trading days ending on the last trading day of the preceding fiscal quarter.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SATISFACTION OF TRADING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"trading price" of the notes on any date of determination means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secondary market bid quotations obtained by the trustee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principal amount of the notes at approximately 3:30 p.m.,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time, on such determination date from three independent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securities dealers we select; provided that if three such bids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 obtained by the trustee, but two such bids are obtained, then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two bids shall be used, and if only one such bid can 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obtained by the trustee, that one bid shall be used. If the trustee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obtain at least one bid for $10,000,000 principal amount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 nationally recognized securities dealer, then the trading price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notes will be deemed to be less than 98%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the "closing sale price" of our ordinary shares and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CREDIT RATINGS EVENT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After the earlier of (a) the date the notes are rated by both Standard</w:t>
      </w:r>
    </w:p>
    <w:p>
      <w:pPr>
        <w:spacing w:after="0" w:line="8" w:lineRule="exact"/>
        <w:rPr>
          <w:sz w:val="20"/>
          <w:szCs w:val="20"/>
          <w:color w:val="auto"/>
        </w:rPr>
      </w:pPr>
    </w:p>
    <w:p>
      <w:pPr>
        <w:ind w:right="3459" w:firstLine="9"/>
        <w:spacing w:after="0" w:line="254" w:lineRule="auto"/>
        <w:tabs>
          <w:tab w:leader="none" w:pos="17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4" w:name="page35"/>
    <w:bookmarkEnd w:id="34"/>
    <w:p>
      <w:pPr>
        <w:ind w:right="3279"/>
        <w:spacing w:after="0" w:line="255" w:lineRule="auto"/>
        <w:rPr>
          <w:sz w:val="20"/>
          <w:szCs w:val="20"/>
          <w:color w:val="auto"/>
        </w:rPr>
      </w:pPr>
      <w:r>
        <w:rPr>
          <w:rFonts w:ascii="Courier New" w:cs="Courier New" w:eastAsia="Courier New" w:hAnsi="Courier New"/>
          <w:sz w:val="14"/>
          <w:szCs w:val="14"/>
          <w:color w:val="auto"/>
        </w:rPr>
        <w:t>either of these rating agencies no longer rates the notes, or if either of these rating agencies suspends or withdraws the rating assigned to the notes, or if the notes are not assigned a rating by both rating agencies.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NOTICE OF REDEMPTION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SPECIFIED CORPORATE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we elect to:</w:t>
      </w:r>
    </w:p>
    <w:p>
      <w:pPr>
        <w:spacing w:after="0" w:line="175" w:lineRule="exact"/>
        <w:rPr>
          <w:sz w:val="20"/>
          <w:szCs w:val="20"/>
          <w:color w:val="auto"/>
        </w:rPr>
      </w:pPr>
    </w:p>
    <w:p>
      <w:pPr>
        <w:ind w:left="1320" w:right="3279" w:hanging="530"/>
        <w:spacing w:after="0" w:line="253"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6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"--Repurchase at Option of the Holder Upon a Designated Event."</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PROCEDURES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33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To convert your note into ordinary shares you must do the following (or comply with DTC procedures for doing so in respect of your beneficial interest in notes evidenced by a global note):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5" w:name="page36"/>
    <w:bookmarkEnd w:id="35"/>
    <w:p>
      <w:pPr>
        <w:jc w:val="both"/>
        <w:ind w:left="1320" w:right="3459" w:hanging="530"/>
        <w:spacing w:after="0" w:line="255"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and manually sign the conversion notice on the back of the note or facsimile of the conversion notice and deliver this notice to the conversion agent;</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the note to the conversion agent;</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all transfer or similar taxes; and</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funds equal to interest payable on the next interest payment date.</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date you comply with these requirements is the conversion date under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RATE ADJUSTMENTS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will adjust the conversion rate if any of the following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occurs:</w:t>
      </w:r>
    </w:p>
    <w:p>
      <w:pPr>
        <w:spacing w:after="0" w:line="175" w:lineRule="exact"/>
        <w:rPr>
          <w:sz w:val="20"/>
          <w:szCs w:val="20"/>
          <w:color w:val="auto"/>
        </w:rPr>
      </w:pPr>
    </w:p>
    <w:p>
      <w:pPr>
        <w:ind w:left="1320" w:right="3639" w:hanging="530"/>
        <w:spacing w:after="0" w:line="25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ordinary shares as a dividend or distribution on our ordinary shares.</w:t>
      </w:r>
    </w:p>
    <w:p>
      <w:pPr>
        <w:spacing w:after="0" w:line="159" w:lineRule="exact"/>
        <w:rPr>
          <w:rFonts w:ascii="Courier New" w:cs="Courier New" w:eastAsia="Courier New" w:hAnsi="Courier New"/>
          <w:sz w:val="14"/>
          <w:szCs w:val="14"/>
          <w:color w:val="auto"/>
        </w:rPr>
      </w:pPr>
    </w:p>
    <w:p>
      <w:pPr>
        <w:ind w:left="1320" w:right="345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6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subdivide or combine our ordinary shares.</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163"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163" w:lineRule="exact"/>
        <w:rPr>
          <w:rFonts w:ascii="Courier New" w:cs="Courier New" w:eastAsia="Courier New" w:hAnsi="Courier New"/>
          <w:sz w:val="14"/>
          <w:szCs w:val="14"/>
          <w:color w:val="auto"/>
        </w:rPr>
      </w:pPr>
    </w:p>
    <w:p>
      <w:pPr>
        <w:ind w:left="13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62" w:lineRule="exact"/>
        <w:rPr>
          <w:rFonts w:ascii="Courier New" w:cs="Courier New" w:eastAsia="Courier New" w:hAnsi="Courier New"/>
          <w:sz w:val="14"/>
          <w:szCs w:val="14"/>
          <w:color w:val="auto"/>
        </w:rPr>
      </w:pPr>
    </w:p>
    <w:p>
      <w:pPr>
        <w:ind w:left="1320" w:right="337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64"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163" w:lineRule="exact"/>
        <w:rPr>
          <w:sz w:val="20"/>
          <w:szCs w:val="20"/>
          <w:color w:val="auto"/>
        </w:rPr>
      </w:pPr>
    </w:p>
    <w:p>
      <w:pPr>
        <w:ind w:left="1320" w:right="3459"/>
        <w:spacing w:after="0" w:line="258" w:lineRule="auto"/>
        <w:rPr>
          <w:sz w:val="20"/>
          <w:szCs w:val="20"/>
          <w:color w:val="auto"/>
        </w:rPr>
      </w:pPr>
      <w:r>
        <w:rPr>
          <w:rFonts w:ascii="Courier New" w:cs="Courier New" w:eastAsia="Courier New" w:hAnsi="Courier New"/>
          <w:sz w:val="14"/>
          <w:szCs w:val="14"/>
          <w:color w:val="auto"/>
        </w:rPr>
        <w:t>The adjustment referred to in this clause (6) will only be made if: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6" w:name="page37"/>
    <w:bookmarkEnd w:id="36"/>
    <w:p>
      <w:pPr>
        <w:ind w:left="1740" w:right="3279" w:hanging="429"/>
        <w:spacing w:after="0" w:line="255"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or exchange offer is for an amount that increases the offeror's ownership of ordinary shares to more than 25% of the total ordinary shares outstanding; and</w:t>
      </w:r>
    </w:p>
    <w:p>
      <w:pPr>
        <w:spacing w:after="0" w:line="162" w:lineRule="exact"/>
        <w:rPr>
          <w:rFonts w:ascii="Courier New" w:cs="Courier New" w:eastAsia="Courier New" w:hAnsi="Courier New"/>
          <w:sz w:val="14"/>
          <w:szCs w:val="14"/>
          <w:color w:val="auto"/>
        </w:rPr>
      </w:pPr>
    </w:p>
    <w:p>
      <w:pPr>
        <w:ind w:left="1740" w:right="3279" w:hanging="429"/>
        <w:spacing w:after="0" w:line="254"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62"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the event of:</w:t>
      </w:r>
    </w:p>
    <w:p>
      <w:pPr>
        <w:spacing w:after="0" w:line="175" w:lineRule="exact"/>
        <w:rPr>
          <w:sz w:val="20"/>
          <w:szCs w:val="20"/>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our ordinary shares;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merger or combination involving us; or</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conveyance to another person or entity of all or substantially all of our property and assets;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Considerations--Tax Consequences to U.S. Holders--Adjustment to Conversion Rate."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Considerations--Tax Consequences to U.S. Holders--Adjustment to Conversion Rate."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OPTIONAL REDEMPTION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 convert a portion of your notes, the converted portion will be deemed to the extent practicable to be of the portion selected for redemption.</w:t>
      </w:r>
    </w:p>
    <w:p>
      <w:pPr>
        <w:spacing w:after="0" w:line="33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We may not redeem the notes if we have failed to pay any interest on the notes and such failure to pay is continuing, or if the principal amount of the notes has been accelerated.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16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repurchase price payable for a note will be equal to the principal amount to be repurchased, plus accrued and unpaid interest and liquidated damages, if any, to, but excluding, the repurchase date.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165" w:lineRule="exact"/>
        <w:rPr>
          <w:sz w:val="20"/>
          <w:szCs w:val="20"/>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ordinary shares to be issued upon repurchase under the Securities Act and the Securities Exchange Act of 1934, referred to herein as the Exchange Act, if required;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ordinary shares to be issued upon repurchase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799" w:hanging="530"/>
        <w:spacing w:after="0" w:line="254"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ordinary shares on a United States national securities exchange or quotation thereof in an inter-dealer quotation system of any registered United States national securities association.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8" w:name="page39"/>
    <w:bookmarkEnd w:id="38"/>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331" w:lineRule="exact"/>
        <w:rPr>
          <w:sz w:val="20"/>
          <w:szCs w:val="20"/>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 UPON A DESIGNATED EVENT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9" w:name="page40"/>
    <w:bookmarkEnd w:id="39"/>
    <w:p>
      <w:pPr>
        <w:ind w:right="3279" w:firstLine="781"/>
        <w:spacing w:after="0" w:line="253" w:lineRule="auto"/>
        <w:rPr>
          <w:sz w:val="20"/>
          <w:szCs w:val="20"/>
          <w:color w:val="auto"/>
        </w:rPr>
      </w:pPr>
      <w:r>
        <w:rPr>
          <w:rFonts w:ascii="Courier New" w:cs="Courier New" w:eastAsia="Courier New" w:hAnsi="Courier New"/>
          <w:sz w:val="14"/>
          <w:szCs w:val="14"/>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65" w:lineRule="exact"/>
        <w:rPr>
          <w:sz w:val="20"/>
          <w:szCs w:val="20"/>
          <w:color w:val="auto"/>
        </w:rPr>
      </w:pPr>
    </w:p>
    <w:p>
      <w:pPr>
        <w:ind w:left="1320" w:right="3279" w:hanging="530"/>
        <w:spacing w:after="0" w:line="258"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shares to be issued upon redemption under the Securities Act and the Exchange Act, if required;</w:t>
      </w:r>
    </w:p>
    <w:p>
      <w:pPr>
        <w:spacing w:after="0" w:line="159"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shares to be issued upon redemption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shares on a United States national securities exchange or quotation thereof in an inter-dealer quotation system of any registered United States national securities association.</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64" w:lineRule="exact"/>
        <w:rPr>
          <w:sz w:val="20"/>
          <w:szCs w:val="20"/>
          <w:color w:val="auto"/>
        </w:rPr>
      </w:pPr>
    </w:p>
    <w:p>
      <w:pPr>
        <w:ind w:left="3400" w:right="5639" w:hanging="2610"/>
        <w:spacing w:after="0" w:line="511" w:lineRule="auto"/>
        <w:tabs>
          <w:tab w:leader="none" w:pos="131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 33</w:t>
      </w:r>
    </w:p>
    <w:p>
      <w:pPr>
        <w:sectPr>
          <w:pgSz w:w="11900" w:h="16838" w:orient="portrait"/>
          <w:cols w:equalWidth="0" w:num="1">
            <w:col w:w="10239"/>
          </w:cols>
          <w:pgMar w:left="220" w:top="620" w:right="1440" w:bottom="1440" w:gutter="0" w:footer="0" w:header="0"/>
        </w:sectPr>
      </w:pPr>
    </w:p>
    <w:bookmarkStart w:id="40" w:name="page41"/>
    <w:bookmarkEnd w:id="40"/>
    <w:p>
      <w:pPr>
        <w:ind w:left="1320" w:hanging="530"/>
        <w:spacing w:after="0"/>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A "designated event" will be deemed to have occurred upon a fundamental change or a termination of trading.</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65" w:lineRule="exact"/>
        <w:rPr>
          <w:sz w:val="20"/>
          <w:szCs w:val="20"/>
          <w:color w:val="auto"/>
        </w:rPr>
      </w:pPr>
    </w:p>
    <w:p>
      <w:pPr>
        <w:ind w:left="1320" w:right="3379" w:hanging="530"/>
        <w:spacing w:after="0" w:line="258"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on, or immediately after the transaction or event will be listed on, a United States national securities exchange, or</w:t>
      </w:r>
    </w:p>
    <w:p>
      <w:pPr>
        <w:spacing w:after="0" w:line="159"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ADDITIONAL TAX AMOUNTS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30" w:lineRule="exact"/>
        <w:rPr>
          <w:sz w:val="20"/>
          <w:szCs w:val="20"/>
          <w:color w:val="auto"/>
        </w:rPr>
      </w:pPr>
    </w:p>
    <w:p>
      <w:pPr>
        <w:ind w:left="1320" w:right="3279" w:hanging="530"/>
        <w:spacing w:after="0" w:line="253"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64"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62" w:lineRule="exact"/>
        <w:rPr>
          <w:rFonts w:ascii="Courier New" w:cs="Courier New" w:eastAsia="Courier New" w:hAnsi="Courier New"/>
          <w:sz w:val="14"/>
          <w:szCs w:val="14"/>
          <w:color w:val="auto"/>
        </w:rPr>
      </w:pPr>
    </w:p>
    <w:p>
      <w:pPr>
        <w:ind w:left="1320" w:right="34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inheritance, gift, estate, personal property, sales, or similar taxes duties, levies, assessments or similar governmental charges; or</w:t>
      </w:r>
    </w:p>
    <w:p>
      <w:pPr>
        <w:spacing w:after="0" w:line="162" w:lineRule="exact"/>
        <w:rPr>
          <w:rFonts w:ascii="Courier New" w:cs="Courier New" w:eastAsia="Courier New" w:hAnsi="Courier New"/>
          <w:sz w:val="14"/>
          <w:szCs w:val="14"/>
          <w:color w:val="auto"/>
        </w:rPr>
      </w:pPr>
    </w:p>
    <w:p>
      <w:pPr>
        <w:jc w:val="both"/>
        <w:ind w:left="1320" w:right="41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taxes, duties, levies, assessments or governmental charges that are payable otherwise than by withholding from payments in respect of such note.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Considerations--European Union Savings Tax Directive."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TAX REDEMPTION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SALE OF ASSETS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65" w:lineRule="exact"/>
        <w:rPr>
          <w:sz w:val="20"/>
          <w:szCs w:val="20"/>
          <w:color w:val="auto"/>
        </w:rPr>
      </w:pPr>
    </w:p>
    <w:p>
      <w:pPr>
        <w:ind w:left="1320" w:right="3279" w:hanging="530"/>
        <w:spacing w:after="0" w:line="253"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43" w:name="page44"/>
    <w:bookmarkEnd w:id="43"/>
    <w:p>
      <w:pPr>
        <w:ind w:left="1320" w:right="3379"/>
        <w:spacing w:after="0" w:line="254" w:lineRule="auto"/>
        <w:rPr>
          <w:sz w:val="20"/>
          <w:szCs w:val="20"/>
          <w:color w:val="auto"/>
        </w:rPr>
      </w:pPr>
      <w:r>
        <w:rPr>
          <w:rFonts w:ascii="Courier New" w:cs="Courier New" w:eastAsia="Courier New" w:hAnsi="Courier New"/>
          <w:sz w:val="14"/>
          <w:szCs w:val="14"/>
          <w:color w:val="auto"/>
        </w:rPr>
        <w:t>are not the surviving person, the surviving person files a supplement to the indenture and expressly assumes the payment of the principal and interest on the notes and the performance of our other covenants under the indenture;</w:t>
      </w:r>
    </w:p>
    <w:p>
      <w:pPr>
        <w:spacing w:after="0" w:line="163" w:lineRule="exact"/>
        <w:rPr>
          <w:sz w:val="20"/>
          <w:szCs w:val="20"/>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such transaction, there is no event of default under the indenture, and no event which, after notice or passage of time or both, would become an event of default; and</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requirements as described in the indenture are met.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NOTICE AND WAIVER</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events of default under the indenture:</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principal when due at maturity, upon redemption, repurchase or otherwise on the notes;</w:t>
      </w:r>
    </w:p>
    <w:p>
      <w:pPr>
        <w:spacing w:after="0" w:line="159" w:lineRule="exact"/>
        <w:rPr>
          <w:rFonts w:ascii="Courier New" w:cs="Courier New" w:eastAsia="Courier New" w:hAnsi="Courier New"/>
          <w:sz w:val="14"/>
          <w:szCs w:val="14"/>
          <w:color w:val="auto"/>
        </w:rPr>
      </w:pPr>
    </w:p>
    <w:p>
      <w:pPr>
        <w:ind w:left="1320" w:right="3279" w:hanging="530"/>
        <w:spacing w:after="0" w:line="260"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any interest and liquidated damages, if any, on the notes, when due and such failure continues for a period of 30 days;</w:t>
      </w:r>
    </w:p>
    <w:p>
      <w:pPr>
        <w:spacing w:after="0" w:line="324"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timely notice of a designated event;</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defaults or other defaults causing acceleration of indebtedness prior to maturity, where the principal amount of the indebtedness subject to such defaults aggregates $50.0 million or more;</w:t>
      </w:r>
    </w:p>
    <w:p>
      <w:pPr>
        <w:spacing w:after="0" w:line="163"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deliver our ordinary shares upon conversion of the notes within the time period required by the indenture, and such failure continues for a period of five days; or</w:t>
      </w:r>
    </w:p>
    <w:p>
      <w:pPr>
        <w:spacing w:after="0" w:line="162" w:lineRule="exact"/>
        <w:rPr>
          <w:rFonts w:ascii="Courier New" w:cs="Courier New" w:eastAsia="Courier New" w:hAnsi="Courier New"/>
          <w:sz w:val="14"/>
          <w:szCs w:val="14"/>
          <w:color w:val="auto"/>
        </w:rPr>
      </w:pPr>
    </w:p>
    <w:p>
      <w:pPr>
        <w:ind w:left="1320" w:right="423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holders of a majority of outstanding notes will have the right to direct the time, method and place of any proceedings for any remedy available to the trustee, subject to limitations specified in the indenture.</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No holder of the notes may pursue any remedy under the indenture, except in the case of a default in the payment of principal or interest on the notes, unless: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given the trustee written notice of an event of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44" w:name="page45"/>
    <w:bookmarkEnd w:id="44"/>
    <w:p>
      <w:pPr>
        <w:ind w:left="1320" w:right="353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outstanding notes make a written request and offer indemnity reasonably satisfactory to the trustee to pursue the remedy;</w:t>
      </w:r>
    </w:p>
    <w:p>
      <w:pPr>
        <w:spacing w:after="0" w:line="162"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receive an inconsistent direction from the holders of a majority in principal amount of the notes;</w:t>
      </w:r>
    </w:p>
    <w:p>
      <w:pPr>
        <w:spacing w:after="0" w:line="159" w:lineRule="exact"/>
        <w:rPr>
          <w:rFonts w:ascii="Courier New" w:cs="Courier New" w:eastAsia="Courier New" w:hAnsi="Courier New"/>
          <w:sz w:val="14"/>
          <w:szCs w:val="14"/>
          <w:color w:val="auto"/>
        </w:rPr>
      </w:pPr>
    </w:p>
    <w:p>
      <w:pPr>
        <w:ind w:left="1320" w:right="397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security or indemnity reasonably satisfactory to the trustee against any costs, liability or expense of the trustee; and</w:t>
      </w:r>
    </w:p>
    <w:p>
      <w:pPr>
        <w:spacing w:after="0" w:line="162"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the request within 60 days after receipt of the request and offer of indemnity.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63" w:lineRule="exact"/>
        <w:rPr>
          <w:sz w:val="20"/>
          <w:szCs w:val="20"/>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fixed maturity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for payment of interest, or liquidated damages, if any,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amount payable upon redemption or repurchase of any note;</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change our obligation to repurchase any note at the option of a holder or upon a designated event;</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institute suit for payment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currency in which any note is payable;</w:t>
      </w:r>
    </w:p>
    <w:p>
      <w:pPr>
        <w:spacing w:after="0" w:line="175"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convert any note or reduce the number of ordinary shares or the amount of any other property receivable upon conversion;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quorum or voting requirements under the indenture;</w:t>
      </w:r>
    </w:p>
    <w:p>
      <w:pPr>
        <w:spacing w:after="0" w:line="175"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specified exceptions, modify certain of the provisions of the indenture relating to modification or waiver of provisions of the indenture; or</w:t>
      </w:r>
    </w:p>
    <w:p>
      <w:pPr>
        <w:spacing w:after="0" w:line="162"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notes required for consent to any modification of the indenture.</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are permitted to modify certain provisions of the indenture without the consent of the holders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DENOMINATION 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notes were issued:</w:t>
      </w:r>
    </w:p>
    <w:p>
      <w:pPr>
        <w:spacing w:after="0" w:line="175" w:lineRule="exact"/>
        <w:rPr>
          <w:sz w:val="20"/>
          <w:szCs w:val="20"/>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fully registered form;</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interest coupons; and</w:t>
      </w:r>
    </w:p>
    <w:p>
      <w:pPr>
        <w:spacing w:after="0" w:line="175"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denominations of $1,000 principal amount and integral multiples of $1,000.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GLOBAL NOTE, BOOK-ENTRY FORM</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Notes are evidenced by one or more global notes. We deposited the global note or notes with DTC and register the global notes in the name of Cede</w:t>
      </w:r>
    </w:p>
    <w:p>
      <w:pPr>
        <w:spacing w:after="0" w:line="1" w:lineRule="exact"/>
        <w:rPr>
          <w:sz w:val="20"/>
          <w:szCs w:val="20"/>
          <w:color w:val="auto"/>
        </w:rPr>
      </w:pPr>
    </w:p>
    <w:p>
      <w:pPr>
        <w:ind w:left="3400" w:right="6499" w:hanging="3391"/>
        <w:spacing w:after="0" w:line="511" w:lineRule="auto"/>
        <w:tabs>
          <w:tab w:leader="none" w:pos="18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DTC's nominee. Except as set forth 38</w:t>
      </w:r>
    </w:p>
    <w:p>
      <w:pPr>
        <w:sectPr>
          <w:pgSz w:w="11900" w:h="16838" w:orient="portrait"/>
          <w:cols w:equalWidth="0" w:num="1">
            <w:col w:w="10239"/>
          </w:cols>
          <w:pgMar w:left="220" w:top="620" w:right="1440" w:bottom="1440" w:gutter="0" w:footer="0" w:header="0"/>
        </w:sectPr>
      </w:pPr>
    </w:p>
    <w:bookmarkStart w:id="45" w:name="page46"/>
    <w:bookmarkEnd w:id="45"/>
    <w:p>
      <w:pPr>
        <w:ind w:right="3539"/>
        <w:spacing w:after="0" w:line="258" w:lineRule="auto"/>
        <w:rPr>
          <w:sz w:val="20"/>
          <w:szCs w:val="20"/>
          <w:color w:val="auto"/>
        </w:rPr>
      </w:pPr>
      <w:r>
        <w:rPr>
          <w:rFonts w:ascii="Courier New" w:cs="Courier New" w:eastAsia="Courier New" w:hAnsi="Courier New"/>
          <w:sz w:val="14"/>
          <w:szCs w:val="14"/>
          <w:color w:val="auto"/>
        </w:rPr>
        <w:t>below, a global note may be transferred, in whole or in part, only to another nominee of DTC or to a successor of DTC or its nominee.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65" w:lineRule="exact"/>
        <w:rPr>
          <w:sz w:val="20"/>
          <w:szCs w:val="20"/>
          <w:color w:val="auto"/>
        </w:rPr>
      </w:pPr>
    </w:p>
    <w:p>
      <w:pPr>
        <w:ind w:left="1320" w:right="3799" w:hanging="530"/>
        <w:spacing w:after="0" w:line="258"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receive physical delivery of certificates in definitive registered form;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considered holders of the global note.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62" w:lineRule="exact"/>
        <w:rPr>
          <w:sz w:val="20"/>
          <w:szCs w:val="20"/>
          <w:color w:val="auto"/>
        </w:rPr>
      </w:pPr>
    </w:p>
    <w:p>
      <w:pPr>
        <w:ind w:left="1320" w:right="371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records relating to, or payments made on account of, beneficial ownership interests in a global note; or</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maintaining, supervising or reviewing any records relating to the beneficial ownership interests.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DTC has advised us that it is:</w:t>
      </w:r>
    </w:p>
    <w:p>
      <w:pPr>
        <w:spacing w:after="0" w:line="175" w:lineRule="exact"/>
        <w:rPr>
          <w:sz w:val="20"/>
          <w:szCs w:val="20"/>
          <w:color w:val="auto"/>
        </w:rPr>
      </w:pPr>
    </w:p>
    <w:p>
      <w:pPr>
        <w:ind w:left="1320" w:right="345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purpose trust company organized under the laws of the State of New York, and a member of the Federal Reserve System;</w:t>
      </w:r>
    </w:p>
    <w:p>
      <w:pPr>
        <w:spacing w:after="0" w:line="159"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corporation" within the meaning of the Uniform Commercial Code; and</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registered pursuant to the provisions of Section 17A of the Exchange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6" w:name="page47"/>
    <w:bookmarkEnd w:id="46"/>
    <w:p>
      <w:pPr>
        <w:ind w:right="3459" w:firstLine="781"/>
        <w:spacing w:after="0" w:line="254" w:lineRule="auto"/>
        <w:rPr>
          <w:sz w:val="20"/>
          <w:szCs w:val="20"/>
          <w:color w:val="auto"/>
        </w:rPr>
      </w:pPr>
      <w:r>
        <w:rPr>
          <w:rFonts w:ascii="Courier New" w:cs="Courier New" w:eastAsia="Courier New" w:hAnsi="Courier New"/>
          <w:sz w:val="14"/>
          <w:szCs w:val="14"/>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65" w:lineRule="exact"/>
        <w:rPr>
          <w:sz w:val="20"/>
          <w:szCs w:val="20"/>
          <w:color w:val="auto"/>
        </w:rPr>
      </w:pPr>
    </w:p>
    <w:p>
      <w:pPr>
        <w:ind w:left="1320" w:right="363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63" w:lineRule="exact"/>
        <w:rPr>
          <w:rFonts w:ascii="Courier New" w:cs="Courier New" w:eastAsia="Courier New" w:hAnsi="Courier New"/>
          <w:sz w:val="14"/>
          <w:szCs w:val="14"/>
          <w:color w:val="auto"/>
        </w:rPr>
      </w:pPr>
    </w:p>
    <w:p>
      <w:pPr>
        <w:ind w:left="1320" w:right="371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applicable to such securities held by persons that are not affiliates of Amdocs under Rule 144(k) under the Securities Act, or any successor provision.</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When we use the term "registrable securities" in this section, we are referring to the notes and the ordinary shares issuable upon conversion of the notes until the earliest of:</w:t>
      </w:r>
    </w:p>
    <w:p>
      <w:pPr>
        <w:spacing w:after="0" w:line="162" w:lineRule="exact"/>
        <w:rPr>
          <w:sz w:val="20"/>
          <w:szCs w:val="20"/>
          <w:color w:val="auto"/>
        </w:rPr>
      </w:pPr>
    </w:p>
    <w:p>
      <w:pPr>
        <w:ind w:left="1320" w:right="371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registration under the Securities Act and the resale of the securities in accordance with the registration statement;</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with respect to the registrable securities under Rule 144(k) under the Securities Act; and</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registrable securities to the public pursuant to Rule 144 under the Securities Act.</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329"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We may suspend the use of the prospectus under certain circumstances relating to pending corporate developments, public filings with the SEC and similar events. Any suspension period shall not exceed:</w:t>
      </w:r>
    </w:p>
    <w:p>
      <w:pPr>
        <w:spacing w:after="0" w:line="162" w:lineRule="exact"/>
        <w:rPr>
          <w:sz w:val="20"/>
          <w:szCs w:val="20"/>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in any three-month period;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90 days for all periods in any 12-month period.</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7" w:name="page48"/>
    <w:bookmarkEnd w:id="47"/>
    <w:p>
      <w:pPr>
        <w:ind w:left="1320" w:right="345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64"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no event will liquidated damages accrue at an annual rate exceeding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A holder who elects to sell registrable securities pursuant to the shelf registration statement will be required to:</w:t>
      </w:r>
    </w:p>
    <w:p>
      <w:pPr>
        <w:spacing w:after="0" w:line="160" w:lineRule="exact"/>
        <w:rPr>
          <w:sz w:val="20"/>
          <w:szCs w:val="20"/>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named as a selling securityholder in the related prospectus;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prospectus to purchasers; and</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subject to the provisions of the registration rights agreement, including indemnification provisions.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registration rights agreement we will:</w:t>
      </w:r>
    </w:p>
    <w:p>
      <w:pPr>
        <w:spacing w:after="0" w:line="175" w:lineRule="exact"/>
        <w:rPr>
          <w:sz w:val="20"/>
          <w:szCs w:val="20"/>
          <w:color w:val="auto"/>
        </w:rPr>
      </w:pPr>
    </w:p>
    <w:p>
      <w:pPr>
        <w:ind w:left="1320" w:right="327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customary expenses with respect to the shelf registration statement;</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registered holder copies of the prospectus;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holders when the shelf registration statement has become effective; and</w:t>
      </w:r>
    </w:p>
    <w:p>
      <w:pPr>
        <w:spacing w:after="0" w:line="159"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other reasonable actions as are required to permit unrestricted resales of the registrable securities in accordance with the terms and conditions of the registration rights agreement.</w:t>
      </w:r>
    </w:p>
    <w:p>
      <w:pPr>
        <w:spacing w:after="0" w:line="163" w:lineRule="exact"/>
        <w:rPr>
          <w:sz w:val="20"/>
          <w:szCs w:val="20"/>
          <w:color w:val="auto"/>
        </w:rPr>
      </w:pPr>
    </w:p>
    <w:p>
      <w:pPr>
        <w:jc w:val="both"/>
        <w:ind w:right="3379" w:firstLine="781"/>
        <w:spacing w:after="0" w:line="252" w:lineRule="auto"/>
        <w:rPr>
          <w:sz w:val="20"/>
          <w:szCs w:val="20"/>
          <w:color w:val="auto"/>
        </w:rPr>
      </w:pPr>
      <w:r>
        <w:rPr>
          <w:rFonts w:ascii="Courier New" w:cs="Courier New" w:eastAsia="Courier New" w:hAnsi="Courier New"/>
          <w:sz w:val="14"/>
          <w:szCs w:val="14"/>
          <w:color w:val="auto"/>
        </w:rPr>
        <w:t>The plan of distribution of the shelf registration statement, of which this prospectus is a part, permits resales of registrable securities by selling securityholders through brokers and dealers.</w:t>
      </w:r>
    </w:p>
    <w:p>
      <w:pPr>
        <w:spacing w:after="0" w:line="1"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We agreed in the registration rights agreement to give notice to all holders of the filing and effectiveness of the shelf registration statement, of which this prospectus is a part.</w:t>
      </w:r>
    </w:p>
    <w:p>
      <w:pPr>
        <w:spacing w:after="0" w:line="1"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144A INFORMATION REQUEST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TRUSTEE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8" w:name="page49"/>
    <w:bookmarkEnd w:id="48"/>
    <w:p>
      <w:pPr>
        <w:ind w:right="3379" w:firstLine="781"/>
        <w:spacing w:after="0" w:line="253" w:lineRule="auto"/>
        <w:rPr>
          <w:sz w:val="20"/>
          <w:szCs w:val="20"/>
          <w:color w:val="auto"/>
        </w:rPr>
      </w:pPr>
      <w:r>
        <w:rPr>
          <w:rFonts w:ascii="Courier New" w:cs="Courier New" w:eastAsia="Courier New" w:hAnsi="Courier New"/>
          <w:sz w:val="14"/>
          <w:szCs w:val="14"/>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notes and the indenture are governed by, and construed in accordance with, the laws of the State of New York.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9" w:name="page50"/>
    <w:bookmarkEnd w:id="49"/>
    <w:p>
      <w:pPr>
        <w:ind w:left="2260"/>
        <w:spacing w:after="0"/>
        <w:rPr>
          <w:sz w:val="20"/>
          <w:szCs w:val="20"/>
          <w:color w:val="auto"/>
        </w:rPr>
      </w:pPr>
      <w:r>
        <w:rPr>
          <w:rFonts w:ascii="Courier New" w:cs="Courier New" w:eastAsia="Courier New" w:hAnsi="Courier New"/>
          <w:sz w:val="14"/>
          <w:szCs w:val="14"/>
          <w:color w:val="auto"/>
        </w:rPr>
        <w:t>DESCRIPTION OF SHARE CAPITAL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August 31, 2004, 207,183,394 ordinary shares were outstanding (net of treasury shares) and no non-voting ordinary shares or preferred shares were outstanding. The rights, preferences and restrictions attaching to each class of the shares are as follows: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left="1320" w:right="3459" w:hanging="530"/>
        <w:spacing w:after="0" w:line="25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the preferred shares may be issued from time to time in one or more series of any number of shares up to the amount authorized.</w:t>
      </w:r>
    </w:p>
    <w:p>
      <w:pPr>
        <w:spacing w:after="0" w:line="162"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65"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63"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SHARES AND NON-VOTING ORDINARY SHARES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Except as otherwise provided by the Memorandum of Association and Articles of Association, the ordinary shares and non-voting ordinary shares are identical and entitle holders thereof to the same rights and privileges.</w:t>
      </w:r>
    </w:p>
    <w:p>
      <w:pPr>
        <w:spacing w:after="0" w:line="162" w:lineRule="exact"/>
        <w:rPr>
          <w:sz w:val="20"/>
          <w:szCs w:val="20"/>
          <w:color w:val="auto"/>
        </w:rPr>
      </w:pPr>
    </w:p>
    <w:p>
      <w:pPr>
        <w:ind w:left="1320" w:right="327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64" w:lineRule="exact"/>
        <w:rPr>
          <w:rFonts w:ascii="Courier New" w:cs="Courier New" w:eastAsia="Courier New" w:hAnsi="Courier New"/>
          <w:sz w:val="14"/>
          <w:szCs w:val="14"/>
          <w:color w:val="auto"/>
        </w:rPr>
      </w:pPr>
    </w:p>
    <w:p>
      <w:pPr>
        <w:ind w:left="1320" w:right="353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50" w:name="page51"/>
    <w:bookmarkEnd w:id="50"/>
    <w:p>
      <w:pPr>
        <w:ind w:left="530" w:right="33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the holders of voting ordinary shares are entitled to vote on all matters to be voted on by the members, and the holders of non-voting ordinary shares are not entitled to any voting rights.</w:t>
      </w:r>
    </w:p>
    <w:p>
      <w:pPr>
        <w:spacing w:after="0" w:line="163"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Preferences -- the voting ordinary shares and non-voting ordinary shares are subject to all the powers, rights, privileges, preferences and priorities of the preferred shares as are set out in the Articles of Association.</w:t>
      </w:r>
    </w:p>
    <w:p>
      <w:pPr>
        <w:spacing w:after="0" w:line="1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449"/>
          </w:cols>
          <w:pgMar w:left="1010" w:top="620" w:right="1440" w:bottom="1440" w:gutter="0" w:footer="0" w:header="0"/>
        </w:sectPr>
      </w:pPr>
    </w:p>
    <w:bookmarkStart w:id="51" w:name="page52"/>
    <w:bookmarkEnd w:id="51"/>
    <w:p>
      <w:pPr>
        <w:ind w:left="1140"/>
        <w:spacing w:after="0"/>
        <w:rPr>
          <w:sz w:val="20"/>
          <w:szCs w:val="20"/>
          <w:color w:val="auto"/>
        </w:rPr>
      </w:pPr>
      <w:r>
        <w:rPr>
          <w:rFonts w:ascii="Courier New" w:cs="Courier New" w:eastAsia="Courier New" w:hAnsi="Courier New"/>
          <w:sz w:val="14"/>
          <w:szCs w:val="14"/>
          <w:color w:val="auto"/>
        </w:rPr>
        <w:t>COMPARISON OF UNITED STATES AND GUERNSEY CORPORATE LAW</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52" w:name="page53"/>
    <w:bookmarkEnd w:id="52"/>
    <w:p>
      <w:pPr>
        <w:ind w:right="3279"/>
        <w:spacing w:after="0" w:line="258" w:lineRule="auto"/>
        <w:rPr>
          <w:sz w:val="20"/>
          <w:szCs w:val="20"/>
          <w:color w:val="auto"/>
        </w:rPr>
      </w:pPr>
      <w:r>
        <w:rPr>
          <w:rFonts w:ascii="Courier New" w:cs="Courier New" w:eastAsia="Courier New" w:hAnsi="Courier New"/>
          <w:sz w:val="14"/>
          <w:szCs w:val="14"/>
          <w:color w:val="auto"/>
        </w:rPr>
        <w:t>we have no obligation to indemnify any such persons for any claims they incur or sustain by or through their own willful act or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53" w:name="page54"/>
    <w:bookmarkEnd w:id="53"/>
    <w:p>
      <w:pPr>
        <w:ind w:left="1140"/>
        <w:spacing w:after="0"/>
        <w:rPr>
          <w:sz w:val="20"/>
          <w:szCs w:val="20"/>
          <w:color w:val="auto"/>
        </w:rPr>
      </w:pPr>
      <w:r>
        <w:rPr>
          <w:rFonts w:ascii="Courier New" w:cs="Courier New" w:eastAsia="Courier New" w:hAnsi="Courier New"/>
          <w:sz w:val="14"/>
          <w:szCs w:val="14"/>
          <w:color w:val="auto"/>
        </w:rPr>
        <w:t>CERTAIN UNITED STATES FEDERAL INCOME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63" w:lineRule="exact"/>
        <w:rPr>
          <w:sz w:val="20"/>
          <w:szCs w:val="20"/>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or other financial institutions;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treated as partnerships or other flow-through entities for United States federal income tax purposes;</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Holders (as defined below) whose functional currency is other than the United States dollar;</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entities;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investment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in securities or currencies; or</w:t>
      </w:r>
    </w:p>
    <w:p>
      <w:pPr>
        <w:spacing w:after="0" w:line="175"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TAX CONSEQUENCES TO U.S.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may make payments of liquidated damages or certain other contingent payments to holders of the notes:</w:t>
      </w:r>
    </w:p>
    <w:p>
      <w:pPr>
        <w:spacing w:after="0" w:line="160" w:lineRule="exact"/>
        <w:rPr>
          <w:sz w:val="20"/>
          <w:szCs w:val="20"/>
          <w:color w:val="auto"/>
        </w:rPr>
      </w:pPr>
    </w:p>
    <w:p>
      <w:pPr>
        <w:ind w:left="1320" w:right="3539" w:hanging="530"/>
        <w:spacing w:after="0" w:line="254"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62" w:lineRule="exact"/>
        <w:rPr>
          <w:rFonts w:ascii="Courier New" w:cs="Courier New" w:eastAsia="Courier New" w:hAnsi="Courier New"/>
          <w:sz w:val="14"/>
          <w:szCs w:val="14"/>
          <w:color w:val="auto"/>
        </w:rPr>
      </w:pPr>
    </w:p>
    <w:p>
      <w:pPr>
        <w:jc w:val="both"/>
        <w:ind w:left="1320" w:right="345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Guernsey imposes an obligation to withhold or deduct certain amounts from the payments in respect of the notes, as described under "Description of Notes -- Additional Tax Amounts"; and</w:t>
      </w:r>
    </w:p>
    <w:p>
      <w:pPr>
        <w:spacing w:after="0" w:line="162"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choose to pay the repurchase price of the notes in ordinary shares or a combination of cash and ordinary shares, as described under "Description of Notes--Repurchase at Option of the Holder".</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OF NOTES INTO ORDINARY SHARES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TO CONVERSION 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5" w:name="page56"/>
    <w:bookmarkEnd w:id="55"/>
    <w:p>
      <w:pPr>
        <w:ind w:right="3279"/>
        <w:spacing w:after="0" w:line="253" w:lineRule="auto"/>
        <w:rPr>
          <w:sz w:val="20"/>
          <w:szCs w:val="20"/>
          <w:color w:val="auto"/>
        </w:rPr>
      </w:pPr>
      <w:r>
        <w:rPr>
          <w:rFonts w:ascii="Courier New" w:cs="Courier New" w:eastAsia="Courier New" w:hAnsi="Courier New"/>
          <w:sz w:val="14"/>
          <w:szCs w:val="14"/>
          <w:color w:val="auto"/>
        </w:rPr>
        <w:t>our current or accumulated earnings and profits. In such a case, U.S. Holders will recognize dividend income as a result of an event pursuant to which they receive no cash or other property that could be used to pay the related tax. See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REDEMPTION OR OTHER TAXABLE DISPOSITION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"--Conversion of Notes into Ordinary Shares."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OR OTHER TAXABLE DISPOSITION OF ORDINARY SHARES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PASSIVE FOREIGN INVESTMENT COMPANY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6" w:name="page57"/>
    <w:bookmarkEnd w:id="56"/>
    <w:p>
      <w:pPr>
        <w:ind w:right="3279"/>
        <w:spacing w:after="0" w:line="254" w:lineRule="auto"/>
        <w:rPr>
          <w:sz w:val="20"/>
          <w:szCs w:val="20"/>
          <w:color w:val="auto"/>
        </w:rPr>
      </w:pPr>
      <w:r>
        <w:rPr>
          <w:rFonts w:ascii="Courier New" w:cs="Courier New" w:eastAsia="Courier New" w:hAnsi="Courier New"/>
          <w:sz w:val="14"/>
          <w:szCs w:val="14"/>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TAX RULES APPLICABLE TO NON-U.S.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 Non-U.S. Holder may be required to comply with certification procedures to establish that the holder is not a U.S. person in order to avoid backup withholding tax and information reporting requirements.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7" w:name="page58"/>
    <w:bookmarkEnd w:id="57"/>
    <w:p>
      <w:pPr>
        <w:ind w:left="2000"/>
        <w:spacing w:after="0"/>
        <w:rPr>
          <w:sz w:val="20"/>
          <w:szCs w:val="20"/>
          <w:color w:val="auto"/>
        </w:rPr>
      </w:pPr>
      <w:r>
        <w:rPr>
          <w:rFonts w:ascii="Courier New" w:cs="Courier New" w:eastAsia="Courier New" w:hAnsi="Courier New"/>
          <w:sz w:val="14"/>
          <w:szCs w:val="14"/>
          <w:color w:val="auto"/>
        </w:rPr>
        <w:t>CERTAIN GUERNSEY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64"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There are no capital gains, gift or inheritance taxes levied by Guernsey, and the notes and ordinary shares generally would not be subject to any transfer taxes, stamp duties or similar charges on issuance or transfer.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 SAVINGS TAX DIRECTIVE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indicated above under "Description of Notes--Additional Tax Amounts," we will not make any additional payments to holders to compensate them for any tax that is required to be withheld as a result of these proposals.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8" w:name="page59"/>
    <w:bookmarkEnd w:id="58"/>
    <w:p>
      <w:pPr>
        <w:ind w:left="2520"/>
        <w:spacing w:after="0"/>
        <w:rPr>
          <w:sz w:val="20"/>
          <w:szCs w:val="20"/>
          <w:color w:val="auto"/>
        </w:rPr>
      </w:pPr>
      <w:r>
        <w:rPr>
          <w:rFonts w:ascii="Courier New" w:cs="Courier New" w:eastAsia="Courier New" w:hAnsi="Courier New"/>
          <w:sz w:val="14"/>
          <w:szCs w:val="14"/>
          <w:color w:val="auto"/>
        </w:rPr>
        <w:t>SELLING SECURITYHOLDERS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207,183,394 of our ordinary shares outstanding as of August 31, 2004.</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ORDINARY SHARES</w:t>
            </w:r>
          </w:p>
        </w:tc>
        <w:tc>
          <w:tcPr>
            <w:tcW w:w="148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ORDINARY SHARES</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PRINCIPAL</w:t>
            </w: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BENEFICIALLY OWNED</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BENEFICIALLY</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OF NOTES</w:t>
            </w: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UPON CONVERSION</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AMOUNT OF NOTES</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60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BENEFICIALLY</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 THE NOTES</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BENEFICIALLY</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AFTER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OFFERING</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 THAT MAY</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OWNED AFTER</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880"/>
              <w:spacing w:after="0"/>
              <w:rPr>
                <w:sz w:val="20"/>
                <w:szCs w:val="20"/>
                <w:color w:val="auto"/>
              </w:rPr>
            </w:pPr>
            <w:r>
              <w:rPr>
                <w:rFonts w:ascii="Courier New" w:cs="Courier New" w:eastAsia="Courier New" w:hAnsi="Courier New"/>
                <w:sz w:val="14"/>
                <w:szCs w:val="14"/>
                <w:color w:val="auto"/>
              </w:rPr>
              <w:t>NAME OF SELLING SECURITYHOLDER</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 SOLD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PERCENTAGE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PERCENTAGE</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Acuity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1,440,000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33,395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ACUITY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 Greenwich Office Park, 3rd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06831 USA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Insurance Company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Master Fund I, LP.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8,470,000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196,428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American Investors Life Insurance Co.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AmerUs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The Animi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324,675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Archeus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360 Madison Avenue, 10th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Arbitex Master Fund L.P.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208,719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Arbitex Asset Management L.P.</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1601 Elm Street, Suite 4000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Dallas, TX 75201</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(Bermuda)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6,955,000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161,294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 Front Street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HM12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II,</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26,669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Argent LowLev Convertible Arbitrage Fund II,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238,404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3013</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HMMX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Aviva Life Insurance Co.................................</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1 Poultry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London EC2R 8EJ</w:t>
      </w:r>
    </w:p>
    <w:p>
      <w:pPr>
        <w:sectPr>
          <w:pgSz w:w="11900" w:h="16838" w:orient="portrait"/>
          <w:cols w:equalWidth="0" w:num="1">
            <w:col w:w="11540"/>
          </w:cols>
          <w:pgMar w:left="220" w:top="1121" w:right="1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Bankers Life Insurance Company of New York............</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Bear, Stearns &amp; Co. Inc.(1)...........................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Offshore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Credit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273,075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Equity Fund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66,725,000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1,547,426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Citigroup Global Markets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Global Markets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390 Greenwich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Convertible Trading</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10013</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Class C Trading Company,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Commissioners of the Land Office......................</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Fund,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Offshore Fund,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Custom Investments PCC,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Deephaven Domestic Convertible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22,622,000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524,629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Deutsche Bank Securities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1251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26th Floor, Mail Stop NYCO7-2638</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Diaco Investments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Diaco Invesments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1271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7,319,000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169,735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P.O. Box 852</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UBS House, 75 Fort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George Town, Grand Cayman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Cayman Islands BWI</w:t>
      </w:r>
    </w:p>
    <w:p>
      <w:pPr>
        <w:sectPr>
          <w:pgSz w:w="11900" w:h="16838" w:orient="portrait"/>
          <w:cols w:equalWidth="0" w:num="1">
            <w:col w:w="11040"/>
          </w:cols>
          <w:pgMar w:left="220" w:top="308" w:right="639" w:bottom="0" w:gutter="0" w:footer="0" w:header="0"/>
        </w:sectPr>
      </w:pPr>
    </w:p>
    <w:bookmarkStart w:id="61" w:name="page62"/>
    <w:bookmarkEnd w:id="6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Georgia Firefighters Pension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Guggenheim Portfolio Co. XV,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HFR CA Global Select Master Trust Account.............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Asset Management (Americas) Inc. for the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Multi-Strategy Arbitrage Fund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HSBC Asset Management (Americas)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452 5th Avenue,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10018</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Huntrise Capital Leveraged Partners,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Indianapolis Life Insurance Co.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489,332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L.P.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Injured Workers Insurance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Non Contributory</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Retirement Plan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Retirement Plan for</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Salaried Employee's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39,424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Jefferies Umbrella Fund US Convertible Bonds..........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Jefferies Asset Management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Uraniastrasse 12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CH-8023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Zurich, Switzerland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KBC Financial Products USA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KBC Financial Products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140 East 45th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Grand Central Tower, 42nd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10017-3144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Lord Abbett Investment Trust - LA Convertible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Lyxor/AM Investment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43,367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Lyxor/Context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1" w:right="6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Lyxor/Inflective Convertible Opportunity Fund LTD</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Manhattan</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Beach, CA 90266</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Lyxor Master Fund Ref: Argent/LowLev CB c/o</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Argent................................................</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National Bank of Canada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National Benefit Life Insurance Company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5"/>
              </w:rPr>
              <w:t>Nomura Securities Int'l Inc (2)......................</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Nomura Securities International Inc.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 World Financial Center, 18th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10281 USA</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Partners Group</w:t>
            </w:r>
          </w:p>
        </w:tc>
        <w:tc>
          <w:tcPr>
            <w:tcW w:w="2940" w:type="dxa"/>
            <w:vAlign w:val="bottom"/>
          </w:tcPr>
          <w:p>
            <w:pPr>
              <w:spacing w:after="0"/>
              <w:rPr>
                <w:sz w:val="20"/>
                <w:szCs w:val="20"/>
                <w:color w:val="auto"/>
              </w:rPr>
            </w:pPr>
            <w:r>
              <w:rPr>
                <w:rFonts w:ascii="Courier New" w:cs="Courier New" w:eastAsia="Courier New" w:hAnsi="Courier New"/>
                <w:sz w:val="14"/>
                <w:szCs w:val="14"/>
                <w:color w:val="auto"/>
                <w:w w:val="89"/>
              </w:rPr>
              <w:t>Alternative Strategies PCC LTD.........</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Primerica Life</w:t>
            </w:r>
          </w:p>
        </w:tc>
        <w:tc>
          <w:tcPr>
            <w:tcW w:w="2940" w:type="dxa"/>
            <w:vAlign w:val="bottom"/>
          </w:tcPr>
          <w:p>
            <w:pPr>
              <w:spacing w:after="0"/>
              <w:rPr>
                <w:sz w:val="20"/>
                <w:szCs w:val="20"/>
                <w:color w:val="auto"/>
              </w:rPr>
            </w:pPr>
            <w:r>
              <w:rPr>
                <w:rFonts w:ascii="Courier New" w:cs="Courier New" w:eastAsia="Courier New" w:hAnsi="Courier New"/>
                <w:sz w:val="14"/>
                <w:szCs w:val="14"/>
                <w:color w:val="auto"/>
                <w:w w:val="89"/>
              </w:rPr>
              <w:t>Insurance Company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R2 Investments, LDC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15,306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 Amalgamated Gadget, L.P. as Investment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Manager</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301 Commerce, Suite 2975</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Ft. Worth, TX 76102</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Radian Asset Assurance, Inc. .........................</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Radian Group Convertible Securities...................</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Radian Guaranty</w:t>
            </w:r>
          </w:p>
        </w:tc>
        <w:tc>
          <w:tcPr>
            <w:tcW w:w="2940" w:type="dxa"/>
            <w:vAlign w:val="bottom"/>
          </w:tcPr>
          <w:p>
            <w:pPr>
              <w:spacing w:after="0"/>
              <w:rPr>
                <w:sz w:val="20"/>
                <w:szCs w:val="20"/>
                <w:color w:val="auto"/>
              </w:rPr>
            </w:pPr>
            <w:r>
              <w:rPr>
                <w:rFonts w:ascii="Courier New" w:cs="Courier New" w:eastAsia="Courier New" w:hAnsi="Courier New"/>
                <w:sz w:val="14"/>
                <w:szCs w:val="14"/>
                <w:color w:val="auto"/>
                <w:w w:val="89"/>
              </w:rPr>
              <w:t>.......................................</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137,987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Ramius Capital</w:t>
            </w:r>
          </w:p>
        </w:tc>
        <w:tc>
          <w:tcPr>
            <w:tcW w:w="2940" w:type="dxa"/>
            <w:vAlign w:val="bottom"/>
          </w:tcPr>
          <w:p>
            <w:pPr>
              <w:spacing w:after="0"/>
              <w:rPr>
                <w:sz w:val="20"/>
                <w:szCs w:val="20"/>
                <w:color w:val="auto"/>
              </w:rPr>
            </w:pPr>
            <w:r>
              <w:rPr>
                <w:rFonts w:ascii="Courier New" w:cs="Courier New" w:eastAsia="Courier New" w:hAnsi="Courier New"/>
                <w:sz w:val="14"/>
                <w:szCs w:val="14"/>
                <w:color w:val="auto"/>
                <w:w w:val="89"/>
              </w:rPr>
              <w:t>Group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Ramius Master Fund, LTD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155,728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RCG Halifax Master Fund, LTD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RCG Latitude Master Fund, LTD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159,670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RCG Multi Strategy Master Fund, LTD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Royal Bank of Canada (Norshield)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11,015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Silver Convertible Arbitrage Fund, LDC................</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Chapel Hill, NC 27514</w:t>
      </w:r>
    </w:p>
    <w:p>
      <w:pPr>
        <w:sectPr>
          <w:pgSz w:w="11900" w:h="16838" w:orient="portrait"/>
          <w:cols w:equalWidth="0" w:num="1">
            <w:col w:w="11040"/>
          </w:cols>
          <w:pgMar w:left="220" w:top="308" w:right="639" w:bottom="0" w:gutter="0" w:footer="0" w:header="0"/>
        </w:sectPr>
      </w:pPr>
    </w:p>
    <w:bookmarkStart w:id="63" w:name="page64"/>
    <w:bookmarkEnd w:id="63"/>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Sphinx Convertible Arbitrage Fund SPC.................</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13,636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Deephaven</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Domestic Convertible Trading Ltd.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3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Teachers Insurance and Annuity Association of</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America..............................................</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540,352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TIAA-CREF</w:t>
            </w:r>
          </w:p>
        </w:tc>
        <w:tc>
          <w:tcPr>
            <w:tcW w:w="3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730 Third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Avenue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NY 10017 USA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Thrivent Financial For Lutherans (1)..................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Thrivent Financial for Lutherans</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625 Fourth Avenue South</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Minneapolis, MN 55415 USA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Total Fina Elf</w:t>
            </w:r>
          </w:p>
        </w:tc>
        <w:tc>
          <w:tcPr>
            <w:tcW w:w="3200" w:type="dxa"/>
            <w:vAlign w:val="bottom"/>
          </w:tcPr>
          <w:p>
            <w:pPr>
              <w:spacing w:after="0"/>
              <w:rPr>
                <w:sz w:val="20"/>
                <w:szCs w:val="20"/>
                <w:color w:val="auto"/>
              </w:rPr>
            </w:pPr>
            <w:r>
              <w:rPr>
                <w:rFonts w:ascii="Courier New" w:cs="Courier New" w:eastAsia="Courier New" w:hAnsi="Courier New"/>
                <w:sz w:val="14"/>
                <w:szCs w:val="14"/>
                <w:color w:val="auto"/>
                <w:w w:val="97"/>
              </w:rPr>
              <w:t>Finance USA, Inc. .....................</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Travelers Insurance Company - Life (1)................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2,604,000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60,389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Travelers Insurance Company Separate Account</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TLAC (1)..............................................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Travelers Life</w:t>
            </w:r>
          </w:p>
        </w:tc>
        <w:tc>
          <w:tcPr>
            <w:tcW w:w="3200" w:type="dxa"/>
            <w:vAlign w:val="bottom"/>
          </w:tcPr>
          <w:p>
            <w:pPr>
              <w:spacing w:after="0"/>
              <w:rPr>
                <w:sz w:val="20"/>
                <w:szCs w:val="20"/>
                <w:color w:val="auto"/>
              </w:rPr>
            </w:pPr>
            <w:r>
              <w:rPr>
                <w:rFonts w:ascii="Courier New" w:cs="Courier New" w:eastAsia="Courier New" w:hAnsi="Courier New"/>
                <w:sz w:val="14"/>
                <w:szCs w:val="14"/>
                <w:color w:val="auto"/>
                <w:w w:val="97"/>
              </w:rPr>
              <w:t>and Annuity Company (1)................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Travelers Series Trust Convertible Bond Portfolio.....</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University of Arkansas................................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University of Arkansas Foundation.....................</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Univest Convertible Arbitrage Fund II LTD</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(Norshield)...........................................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Vermont Mutual</w:t>
            </w:r>
          </w:p>
        </w:tc>
        <w:tc>
          <w:tcPr>
            <w:tcW w:w="3200" w:type="dxa"/>
            <w:vAlign w:val="bottom"/>
          </w:tcPr>
          <w:p>
            <w:pPr>
              <w:spacing w:after="0"/>
              <w:rPr>
                <w:sz w:val="20"/>
                <w:szCs w:val="20"/>
                <w:color w:val="auto"/>
              </w:rPr>
            </w:pPr>
            <w:r>
              <w:rPr>
                <w:rFonts w:ascii="Courier New" w:cs="Courier New" w:eastAsia="Courier New" w:hAnsi="Courier New"/>
                <w:sz w:val="14"/>
                <w:szCs w:val="14"/>
                <w:color w:val="auto"/>
                <w:w w:val="97"/>
              </w:rPr>
              <w:t>Insurance Company......................</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White River Securities L.L.C. (2).....................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NY 10179 USA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Worldwide Transactions Ltd............................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Worldwide</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Transactions Ltd.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Washington Mall-Phase I</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Church Street, 3rd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Hamilton HM 11  Bermuda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5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10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14,842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2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Any other holder of notes or future transferee,</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pledgee, donee</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or successor of any holder (3).......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128,455,000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2,979,053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62" w:orient="portrait"/>
          <w:cols w:equalWidth="0" w:num="1">
            <w:col w:w="11040"/>
          </w:cols>
          <w:pgMar w:left="220" w:top="141" w:right="639" w:bottom="0" w:gutter="0" w:footer="0" w:header="0"/>
        </w:sectPr>
      </w:pPr>
    </w:p>
    <w:bookmarkStart w:id="64" w:name="page65"/>
    <w:bookmarkEnd w:id="64"/>
    <w:p>
      <w:pPr>
        <w:ind w:left="2180"/>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9019"/>
          </w:cols>
          <w:pgMar w:left="1440" w:top="1143" w:right="1440" w:bottom="1440" w:gutter="0" w:footer="0" w:header="0"/>
        </w:sectPr>
      </w:pPr>
    </w:p>
    <w:bookmarkStart w:id="65" w:name="page66"/>
    <w:bookmarkEnd w:id="65"/>
    <w:p>
      <w:pPr>
        <w:ind w:left="171" w:hanging="171"/>
        <w:spacing w:after="0"/>
        <w:tabs>
          <w:tab w:leader="none" w:pos="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5" w:lineRule="exact"/>
        <w:rPr>
          <w:sz w:val="20"/>
          <w:szCs w:val="20"/>
          <w:color w:val="auto"/>
        </w:rPr>
      </w:pPr>
    </w:p>
    <w:p>
      <w:pPr>
        <w:ind w:left="791" w:right="3379" w:hanging="531"/>
        <w:spacing w:after="0" w:line="254"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62" w:lineRule="exact"/>
        <w:rPr>
          <w:rFonts w:ascii="Courier New" w:cs="Courier New" w:eastAsia="Courier New" w:hAnsi="Courier New"/>
          <w:sz w:val="14"/>
          <w:szCs w:val="14"/>
          <w:color w:val="auto"/>
        </w:rPr>
      </w:pPr>
    </w:p>
    <w:p>
      <w:pPr>
        <w:ind w:left="791" w:right="3979" w:hanging="531"/>
        <w:spacing w:after="0" w:line="258"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 registered broker-dealer and an "underwriter" within the meaning of the Securities Act.</w:t>
      </w:r>
    </w:p>
    <w:p>
      <w:pPr>
        <w:spacing w:after="0" w:line="159" w:lineRule="exact"/>
        <w:rPr>
          <w:rFonts w:ascii="Courier New" w:cs="Courier New" w:eastAsia="Courier New" w:hAnsi="Courier New"/>
          <w:sz w:val="14"/>
          <w:szCs w:val="14"/>
          <w:color w:val="auto"/>
        </w:rPr>
      </w:pPr>
    </w:p>
    <w:p>
      <w:pPr>
        <w:ind w:left="791" w:right="3379" w:hanging="531"/>
        <w:spacing w:after="0" w:line="253"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0"/>
          </w:cols>
          <w:pgMar w:left="229" w:top="620" w:right="1440" w:bottom="1440" w:gutter="0" w:footer="0" w:header="0"/>
        </w:sectPr>
      </w:pPr>
    </w:p>
    <w:bookmarkStart w:id="66" w:name="page67"/>
    <w:bookmarkEnd w:id="66"/>
    <w:p>
      <w:pPr>
        <w:ind w:left="2180"/>
        <w:spacing w:after="0"/>
        <w:rPr>
          <w:sz w:val="20"/>
          <w:szCs w:val="20"/>
          <w:color w:val="auto"/>
        </w:rPr>
      </w:pPr>
      <w:r>
        <w:rPr>
          <w:rFonts w:ascii="Courier New" w:cs="Courier New" w:eastAsia="Courier New" w:hAnsi="Courier New"/>
          <w:sz w:val="14"/>
          <w:szCs w:val="14"/>
          <w:color w:val="auto"/>
        </w:rPr>
        <w:t>VOTING/INVESTMENT CONTROL TABLE</w:t>
      </w:r>
    </w:p>
    <w:p>
      <w:pPr>
        <w:sectPr>
          <w:pgSz w:w="11900" w:h="16838" w:orient="portrait"/>
          <w:cols w:equalWidth="0" w:num="1">
            <w:col w:w="10260"/>
          </w:cols>
          <w:pgMar w:left="220" w:top="45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SELLING SECURITYHOLDER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NATURAL PERSON OR PERSONS WITH VOTING/INVESTMENT CONTROL --------------------------------------------------------</w:t>
      </w:r>
    </w:p>
    <w:p>
      <w:pPr>
        <w:spacing w:after="0" w:line="200" w:lineRule="exact"/>
        <w:rPr>
          <w:sz w:val="20"/>
          <w:szCs w:val="20"/>
          <w:color w:val="auto"/>
        </w:rPr>
      </w:pPr>
    </w:p>
    <w:p>
      <w:pPr>
        <w:sectPr>
          <w:pgSz w:w="11900" w:h="16838" w:orient="portrait"/>
          <w:cols w:equalWidth="0" w:num="2">
            <w:col w:w="4680" w:space="720"/>
            <w:col w:w="4860"/>
          </w:cols>
          <w:pgMar w:left="220" w:top="453" w:right="141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Acuity Master Fund, Ltd. .....................................Howard Needle and David J. Harris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Life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Master Fund I, LP. ........................................Adam Stern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Investors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AmerUs Life Insurance Company.................................Thomas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Animi Master Fund, Ltd.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Arbitex Master Fund L.P. .....................................Clark Hunt, Jonathan Bren and Ken Tananbaum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(Bermuda)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II,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II,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Bankers Life Insurance Company of New York....................Thomas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Bear, Stearns &amp; Co. Inc. .....................................Yan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Convertible Offshore LDC........................Clint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Offshore Ltd.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Credit Trading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Equity Fund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Citigroup Global Markets Inc. ................................(5)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Trading Company,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Commissioners of the Land Office..............................Maren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Fund, LP.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Offshore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 Investments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Deephaven Domestic Convertible Trading Ltd.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Diaco Investments LP. ........................................Simon Glick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Double Black Diamond Offshore LDC.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 Firefighters Pension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Guggenheim Portfolio Co. XV, LLC.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HFR CA Global Select Master Trust Account. ...................Nathanial Brown and Robert Richardson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HSBC Asset Management (Americas) Inc. for the HSBC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Multi-Strategy Arbitrage Fund.................................Warren Stein and John Moore Stanley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Huntrise Capital Leveraged Partners, LLC.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Indianapolis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Inflective Convertible Opportunity Fund I, L.P.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Inflective Convertible Opportunity Fund I,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Injured Workers Insurance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Intl. Truck &amp; Engine Corp. Non Contributory Retirement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Trust....................................................Maren Lindstrom</w:t>
      </w:r>
    </w:p>
    <w:p>
      <w:pPr>
        <w:sectPr>
          <w:pgSz w:w="11900" w:h="16838" w:orient="portrait"/>
          <w:cols w:equalWidth="0" w:num="1">
            <w:col w:w="10260"/>
          </w:cols>
          <w:pgMar w:left="220" w:top="453" w:right="1419" w:bottom="0" w:gutter="0" w:footer="0" w:header="0"/>
          <w:type w:val="continuous"/>
        </w:sectPr>
      </w:pPr>
    </w:p>
    <w:bookmarkStart w:id="67" w:name="page68"/>
    <w:bookmarkEnd w:id="67"/>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Intl. Truck &amp; Engine Corp. Retirement Plan for Salaried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Jefferies Umbrella Fund US Convertible Bonds..................Andre Sager and Evelyne Kaser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KBC Financial Products USA Inc. ..............................(7)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Lord Abbett Investment Trust - LA Convertible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Lyxor/AM Investment Fund LTD. ................................(3)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Lyxor/Context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Lyxor/Inflective Convertible Opportunity Fund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 Master Fund Ref: Argent/LowLev CB c/o Argent............Nathanial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 of Canada.......................................Michael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Benefit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Nomura Securities Int'l Inc. .................................Simon Pharr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Group Alternative Strategies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Primerica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R2 Investments, LDC.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Asset Assurance,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Group Convertible Securities...........................Maren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Guaranty...............................................Maren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Capital Group..........................................Alex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Halifax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Latitude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Multi Strategy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Silver Convertible Arbitrage Fund, LDC.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Sphinx Convertible Arbitrage Fund SPC.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 Association of America.........Elizabeth Black and Edward L. Toy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Thrivent Financial For Lutherans..............................(9)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Fina Elf Finance USA,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 Life............................David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Separate Account TLAC.............David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Life and Annuity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Series Trust Convertible Bond Portfolio.............David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Univest Convertible Arbitrage Fund II LTD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Vermont Mutual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River Securities L.L.C..................................Yan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Transactions Ltd. ..................................(10)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5 Fund............................Alex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10 Fund...........................Nathanial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2 Fund............................Nathanial Brown and Robert Richardson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0" w:right="33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163" w:lineRule="exact"/>
        <w:rPr>
          <w:rFonts w:ascii="Courier New" w:cs="Courier New" w:eastAsia="Courier New" w:hAnsi="Courier New"/>
          <w:sz w:val="14"/>
          <w:szCs w:val="14"/>
          <w:color w:val="auto"/>
        </w:rPr>
      </w:pPr>
    </w:p>
    <w:p>
      <w:pPr>
        <w:ind w:left="800" w:right="3279" w:hanging="791"/>
        <w:spacing w:after="0" w:line="25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Archeus Capital Management, LLC is the Investment Manager for The Animi Master Fund, Ltd., the selling securityholder. Peter Hirsch is a Managing Member of Archeus Capital Management, LLC and its Chief</w:t>
      </w:r>
    </w:p>
    <w:p>
      <w:pPr>
        <w:sectPr>
          <w:pgSz w:w="11900" w:h="16871" w:orient="portrait"/>
          <w:cols w:equalWidth="0" w:num="1">
            <w:col w:w="10239"/>
          </w:cols>
          <w:pgMar w:left="220" w:top="142" w:right="1440" w:bottom="0" w:gutter="0" w:footer="0" w:header="0"/>
        </w:sectPr>
      </w:pPr>
    </w:p>
    <w:bookmarkStart w:id="68" w:name="page69"/>
    <w:bookmarkEnd w:id="68"/>
    <w:p>
      <w:pPr>
        <w:ind w:left="791" w:right="3459"/>
        <w:spacing w:after="0" w:line="254" w:lineRule="auto"/>
        <w:rPr>
          <w:sz w:val="20"/>
          <w:szCs w:val="20"/>
          <w:color w:val="auto"/>
        </w:rPr>
      </w:pPr>
      <w:r>
        <w:rPr>
          <w:rFonts w:ascii="Courier New" w:cs="Courier New" w:eastAsia="Courier New" w:hAnsi="Courier New"/>
          <w:sz w:val="14"/>
          <w:szCs w:val="14"/>
          <w:color w:val="auto"/>
        </w:rPr>
        <w:t>Investment Officer on behalf of The Animi Master Fund, Ltd. and, as a result, exercises voting and dispositive power of the securities held by the selling securityholder. Mr. Hirsch disclaims beneficial ownership of the securities held by Animi Master Fund, Ltd.</w:t>
      </w:r>
    </w:p>
    <w:p>
      <w:pPr>
        <w:spacing w:after="0" w:line="163" w:lineRule="exact"/>
        <w:rPr>
          <w:sz w:val="20"/>
          <w:szCs w:val="20"/>
          <w:color w:val="auto"/>
        </w:rPr>
      </w:pPr>
    </w:p>
    <w:p>
      <w:pPr>
        <w:ind w:left="791" w:right="3279" w:hanging="791"/>
        <w:spacing w:after="0" w:line="254"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 Investment Partners LLC has the authority to vote over the Company's securities as Investment Managers. The principals of AM Investment Partners LLC are Adam Stern and Mark Friedman and as a result, they exercise voting and investment control over the securities held by the selling securityholder.</w:t>
      </w:r>
    </w:p>
    <w:p>
      <w:pPr>
        <w:spacing w:after="0" w:line="162" w:lineRule="exact"/>
        <w:rPr>
          <w:rFonts w:ascii="Courier New" w:cs="Courier New" w:eastAsia="Courier New" w:hAnsi="Courier New"/>
          <w:sz w:val="14"/>
          <w:szCs w:val="14"/>
          <w:color w:val="auto"/>
        </w:rPr>
      </w:pPr>
    </w:p>
    <w:p>
      <w:pPr>
        <w:ind w:left="791" w:right="3379" w:hanging="791"/>
        <w:spacing w:after="0" w:line="253"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 therefore has ultimate investment discretion over securities held by the securityholder. Mr. Griffin disclaims beneficial ownership of the shares held by the securityholder.</w:t>
      </w:r>
    </w:p>
    <w:p>
      <w:pPr>
        <w:spacing w:after="0" w:line="164" w:lineRule="exact"/>
        <w:rPr>
          <w:rFonts w:ascii="Courier New" w:cs="Courier New" w:eastAsia="Courier New" w:hAnsi="Courier New"/>
          <w:sz w:val="14"/>
          <w:szCs w:val="14"/>
          <w:color w:val="auto"/>
        </w:rPr>
      </w:pPr>
    </w:p>
    <w:p>
      <w:pPr>
        <w:ind w:left="791" w:right="3899" w:hanging="791"/>
        <w:spacing w:after="0" w:line="255"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Citigroup Global Markets Inc. is an indirect wholly owned subsidiary of Citigroup Inc., which is a reporting company under the Exchange Act.</w:t>
      </w:r>
    </w:p>
    <w:p>
      <w:pPr>
        <w:spacing w:after="0" w:line="162" w:lineRule="exact"/>
        <w:rPr>
          <w:rFonts w:ascii="Courier New" w:cs="Courier New" w:eastAsia="Courier New" w:hAnsi="Courier New"/>
          <w:sz w:val="14"/>
          <w:szCs w:val="14"/>
          <w:color w:val="auto"/>
        </w:rPr>
      </w:pPr>
    </w:p>
    <w:p>
      <w:pPr>
        <w:ind w:left="791" w:right="4239" w:hanging="791"/>
        <w:spacing w:after="0" w:line="258"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reporting entity with the Securities and Exchange Commission.</w:t>
      </w:r>
    </w:p>
    <w:p>
      <w:pPr>
        <w:spacing w:after="0" w:line="159"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62" w:lineRule="exact"/>
        <w:rPr>
          <w:rFonts w:ascii="Courier New" w:cs="Courier New" w:eastAsia="Courier New" w:hAnsi="Courier New"/>
          <w:sz w:val="14"/>
          <w:szCs w:val="14"/>
          <w:color w:val="auto"/>
        </w:rPr>
      </w:pPr>
    </w:p>
    <w:p>
      <w:pPr>
        <w:jc w:val="both"/>
        <w:ind w:left="791" w:right="3379" w:hanging="791"/>
        <w:spacing w:after="0" w:line="252"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has the sole power to vote or direct the vote and to dispose or direct the disposition of the securities pursuant to an Investment Management Agreement with R2 Investments, LDC.</w:t>
      </w:r>
    </w:p>
    <w:p>
      <w:pPr>
        <w:spacing w:after="0" w:line="1" w:lineRule="exact"/>
        <w:rPr>
          <w:rFonts w:ascii="Courier New" w:cs="Courier New" w:eastAsia="Courier New" w:hAnsi="Courier New"/>
          <w:sz w:val="14"/>
          <w:szCs w:val="14"/>
          <w:color w:val="auto"/>
        </w:rPr>
      </w:pPr>
    </w:p>
    <w:p>
      <w:pPr>
        <w:jc w:val="both"/>
        <w:ind w:left="791"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is controlled by Scepter Holdings, Inc., its sole general partner, which is in turn controlled by Geoffrey Raynor, the president and sole shareholder of Scepter Holdings, Inc.</w:t>
      </w:r>
    </w:p>
    <w:p>
      <w:pPr>
        <w:spacing w:after="0" w:line="162"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Pickering, Michael Swendsen, Mark Swanson and Rand Mattsson</w:t>
      </w:r>
    </w:p>
    <w:p>
      <w:pPr>
        <w:spacing w:after="0" w:line="175"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ectPr>
          <w:pgSz w:w="11900" w:h="16838" w:orient="portrait"/>
          <w:cols w:equalWidth="0" w:num="1">
            <w:col w:w="10230"/>
          </w:cols>
          <w:pgMar w:left="229" w:top="141" w:right="1440" w:bottom="1440" w:gutter="0" w:footer="0" w:header="0"/>
        </w:sectPr>
      </w:pPr>
    </w:p>
    <w:bookmarkStart w:id="69" w:name="page70"/>
    <w:bookmarkEnd w:id="69"/>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330" w:lineRule="exact"/>
        <w:rPr>
          <w:sz w:val="20"/>
          <w:szCs w:val="20"/>
          <w:color w:val="auto"/>
        </w:rPr>
      </w:pPr>
    </w:p>
    <w:p>
      <w:pPr>
        <w:jc w:val="both"/>
        <w:ind w:left="1320" w:right="327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notes and shares may be listed or quoted at the time of sale;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 or</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 addition, the selling securityholders may sell ordinary shares issuable upon conversion of the notes by one or more of, or a combination of, the following methods: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broker-dealer as principal and resale by such broker-dealer for its own account pursuant to this prospectus;</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 and transactions in which the broker solicits purchasers;</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trades in which the broker-dealer so engaged will attempt to sell the shares as agent but may position and resell a portion of the block as principal to facilitate the transaction;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privately negotiated transactions;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options transactions.</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addition, the selling securityholders may sell any shares that qualify for sale under Rule 144 rather than pursuant to this prospectus.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70" w:name="page71"/>
    <w:bookmarkEnd w:id="70"/>
    <w:p>
      <w:pPr>
        <w:ind w:right="3459"/>
        <w:spacing w:after="0" w:line="255" w:lineRule="auto"/>
        <w:rPr>
          <w:sz w:val="20"/>
          <w:szCs w:val="20"/>
          <w:color w:val="auto"/>
        </w:rPr>
      </w:pPr>
      <w:r>
        <w:rPr>
          <w:rFonts w:ascii="Courier New" w:cs="Courier New" w:eastAsia="Courier New" w:hAnsi="Courier New"/>
          <w:sz w:val="14"/>
          <w:szCs w:val="14"/>
          <w:color w:val="auto"/>
        </w:rPr>
        <w:t>with such sales. Any profits realized by the selling securityholders and the compensation of any broker-dealer may be treated as underwriting discounts and commissions.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ordinary shares are listed on the New York Stock Exchange.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We have agreed to indemnify the selling securityholders against certain liabilities, including certain liabilities under the Securities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71" w:name="page72"/>
    <w:bookmarkEnd w:id="71"/>
    <w:p>
      <w:pPr>
        <w:spacing w:after="0" w:line="1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validity of the ordinary shares and the notes offered hereby will be passed upon for us by Carey Olsen, Island of Guernsey. Certain legal matters in connection with the offering will be passed upon for us by Wilmer Cutler Pickering Hale and Dorr LLP, New York, New York.</w:t>
      </w:r>
    </w:p>
    <w:p>
      <w:pPr>
        <w:spacing w:after="0" w:line="163"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Carey Olson has rendered an opinion as to the validity of the Notes and Wilmer Cutler Pickering Hale and Dorr LLP has rendered an opinion that the Notes are binding obligations of the Company under the laws of the state of New York.</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foregoing opinions are exhibits to the registration statement of which this prospectus is included and are subject to the qualifications and assumptions set forth in such opinions.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 of Amdocs Limited appearing in Amdocs Limited's Annual Report (Form 20-F)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16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ENFORCEABILITY OF CIVIL LIABILITIES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2"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In order for the Royal Court of Guernsey to entertain an action to sue on a foreign judgment, it is expected that the following criteria would have to be met:</w:t>
      </w:r>
    </w:p>
    <w:p>
      <w:pPr>
        <w:spacing w:after="0" w:line="329" w:lineRule="exact"/>
        <w:rPr>
          <w:sz w:val="20"/>
          <w:szCs w:val="20"/>
          <w:color w:val="auto"/>
        </w:rPr>
      </w:pPr>
    </w:p>
    <w:p>
      <w:pPr>
        <w:ind w:left="800" w:right="3539" w:hanging="791"/>
        <w:spacing w:after="0" w:line="255" w:lineRule="auto"/>
        <w:tabs>
          <w:tab w:leader="none" w:pos="8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court is recognized by the Royal Court of Guernsey as having jurisdiction to determine the dispute. It is likely that such jurisdiction will be recognized in the following circumstances:</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present in the foreign country at the time the foreign proceedings were instituted;</w:t>
      </w:r>
    </w:p>
    <w:p>
      <w:pPr>
        <w:spacing w:after="0" w:line="159" w:lineRule="exact"/>
        <w:rPr>
          <w:rFonts w:ascii="Courier New" w:cs="Courier New" w:eastAsia="Courier New" w:hAnsi="Courier New"/>
          <w:sz w:val="14"/>
          <w:szCs w:val="14"/>
          <w:color w:val="auto"/>
        </w:rPr>
      </w:pPr>
    </w:p>
    <w:p>
      <w:pPr>
        <w:ind w:left="1220" w:right="3719" w:hanging="430"/>
        <w:spacing w:after="0" w:line="252" w:lineRule="auto"/>
        <w:tabs>
          <w:tab w:leader="none" w:pos="122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claimant or counterclaimant in the proceedings in the foreign court;</w:t>
      </w:r>
    </w:p>
    <w:p>
      <w:pPr>
        <w:ind w:left="1220" w:right="3539" w:hanging="430"/>
        <w:spacing w:after="0" w:line="258" w:lineRule="auto"/>
        <w:tabs>
          <w:tab w:leader="none" w:pos="122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foreign court, submitted to the jurisdiction of that court by voluntarily</w:t>
      </w:r>
    </w:p>
    <w:p>
      <w:pPr>
        <w:sectPr>
          <w:pgSz w:w="11900" w:h="16851" w:orient="portrait"/>
          <w:cols w:equalWidth="0" w:num="1">
            <w:col w:w="10239"/>
          </w:cols>
          <w:pgMar w:left="220" w:top="453" w:right="1440" w:bottom="0" w:gutter="0" w:footer="0" w:header="0"/>
        </w:sectPr>
      </w:pPr>
    </w:p>
    <w:bookmarkStart w:id="72" w:name="page73"/>
    <w:bookmarkEnd w:id="72"/>
    <w:p>
      <w:pPr>
        <w:ind w:left="1211"/>
        <w:spacing w:after="0"/>
        <w:rPr>
          <w:sz w:val="20"/>
          <w:szCs w:val="20"/>
          <w:color w:val="auto"/>
        </w:rPr>
      </w:pPr>
      <w:r>
        <w:rPr>
          <w:rFonts w:ascii="Courier New" w:cs="Courier New" w:eastAsia="Courier New" w:hAnsi="Courier New"/>
          <w:sz w:val="14"/>
          <w:szCs w:val="14"/>
          <w:color w:val="auto"/>
        </w:rPr>
        <w:t>appearing in the proceedings; or</w:t>
      </w:r>
    </w:p>
    <w:p>
      <w:pPr>
        <w:spacing w:after="0" w:line="8" w:lineRule="exact"/>
        <w:rPr>
          <w:sz w:val="20"/>
          <w:szCs w:val="20"/>
          <w:color w:val="auto"/>
        </w:rPr>
      </w:pPr>
    </w:p>
    <w:p>
      <w:pPr>
        <w:ind w:left="1211" w:right="3379" w:hanging="430"/>
        <w:spacing w:after="0" w:line="252" w:lineRule="auto"/>
        <w:tabs>
          <w:tab w:leader="none" w:pos="1211"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63" w:lineRule="exact"/>
        <w:rPr>
          <w:rFonts w:ascii="Courier New" w:cs="Courier New" w:eastAsia="Courier New" w:hAnsi="Courier New"/>
          <w:sz w:val="14"/>
          <w:szCs w:val="14"/>
          <w:color w:val="auto"/>
        </w:rPr>
      </w:pPr>
    </w:p>
    <w:p>
      <w:pPr>
        <w:ind w:left="791"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must be final and conclusive on the merits and is for a definite sum of money, other than a sum in respect of taxes, fines or other penalties.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0"/>
          </w:cols>
          <w:pgMar w:left="229" w:top="141" w:right="1440" w:bottom="1440" w:gutter="0" w:footer="0" w:header="0"/>
        </w:sectPr>
      </w:pPr>
    </w:p>
    <w:bookmarkStart w:id="73" w:name="page74"/>
    <w:bookmarkEnd w:id="73"/>
    <w:p>
      <w:pPr>
        <w:ind w:left="1840"/>
        <w:spacing w:after="0"/>
        <w:rPr>
          <w:sz w:val="20"/>
          <w:szCs w:val="20"/>
          <w:color w:val="auto"/>
        </w:rPr>
      </w:pP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162" w:lineRule="exact"/>
        <w:rPr>
          <w:sz w:val="20"/>
          <w:szCs w:val="20"/>
          <w:color w:val="auto"/>
        </w:rPr>
      </w:pPr>
    </w:p>
    <w:p>
      <w:pPr>
        <w:ind w:left="1220" w:right="3279" w:hanging="430"/>
        <w:spacing w:after="0" w:line="258" w:lineRule="auto"/>
        <w:tabs>
          <w:tab w:leader="none" w:pos="12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September 30, 2003, filed on December 24, 2003;</w:t>
      </w:r>
    </w:p>
    <w:p>
      <w:pPr>
        <w:spacing w:after="0" w:line="326"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our annual report on Form 20-F for the fiscal year ended September 30, 2003, filed on September 21, 2004;</w:t>
      </w:r>
    </w:p>
    <w:p>
      <w:pPr>
        <w:spacing w:after="0" w:line="326" w:lineRule="exact"/>
        <w:rPr>
          <w:rFonts w:ascii="Courier New" w:cs="Courier New" w:eastAsia="Courier New" w:hAnsi="Courier New"/>
          <w:sz w:val="14"/>
          <w:szCs w:val="14"/>
          <w:color w:val="auto"/>
        </w:rPr>
      </w:pPr>
    </w:p>
    <w:p>
      <w:pPr>
        <w:ind w:left="1220" w:right="3459" w:hanging="430"/>
        <w:spacing w:after="0" w:line="255" w:lineRule="auto"/>
        <w:tabs>
          <w:tab w:leader="none" w:pos="12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with respect to our offering of 0.50% Convertible Senior Notes due 2024, filed on March 1, March 2 and March 5, 2004; and</w:t>
      </w:r>
    </w:p>
    <w:p>
      <w:pPr>
        <w:spacing w:after="0" w:line="329"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ordinary shares contained in our Registration Statement on Form 8-A filed on June 17, 1998 under Section 12 of the Exchange Act, including any amendment or report updating this description.</w:t>
      </w:r>
    </w:p>
    <w:p>
      <w:pPr>
        <w:spacing w:after="0" w:line="200" w:lineRule="exact"/>
        <w:rPr>
          <w:sz w:val="20"/>
          <w:szCs w:val="20"/>
          <w:color w:val="auto"/>
        </w:rPr>
      </w:pPr>
    </w:p>
    <w:p>
      <w:pPr>
        <w:spacing w:after="0" w:line="297"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right="3279" w:firstLine="9"/>
        <w:spacing w:after="0" w:line="258" w:lineRule="auto"/>
        <w:tabs>
          <w:tab w:leader="none" w:pos="34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subsequently filed document that is incorporated by reference into this prospectus modifies or supersedes such statement.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33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20"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2"/>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UNAUDITED CONSOLIDATED FINANCIAL</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STATEMENTS FOR THE THREE AND NINE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MONTH PERIODS ENDED JUNE 30, 2004</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ind w:left="2880"/>
              <w:spacing w:after="0"/>
              <w:rPr>
                <w:sz w:val="20"/>
                <w:szCs w:val="20"/>
                <w:color w:val="auto"/>
              </w:rPr>
            </w:pPr>
            <w:r>
              <w:rPr>
                <w:rFonts w:ascii="Courier New" w:cs="Courier New" w:eastAsia="Courier New" w:hAnsi="Courier New"/>
                <w:sz w:val="14"/>
                <w:szCs w:val="14"/>
                <w:color w:val="auto"/>
              </w:rPr>
              <w:t>AMDOCS LIMITED</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660"/>
              <w:spacing w:after="0"/>
              <w:rPr>
                <w:sz w:val="20"/>
                <w:szCs w:val="20"/>
                <w:color w:val="auto"/>
              </w:rPr>
            </w:pPr>
            <w:r>
              <w:rPr>
                <w:rFonts w:ascii="Courier New" w:cs="Courier New" w:eastAsia="Courier New" w:hAnsi="Courier New"/>
                <w:sz w:val="14"/>
                <w:szCs w:val="14"/>
                <w:color w:val="auto"/>
              </w:rPr>
              <w:t>(in U.S. dollars, unless otherwise stated)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920"/>
              <w:spacing w:after="0"/>
              <w:rPr>
                <w:sz w:val="20"/>
                <w:szCs w:val="20"/>
                <w:color w:val="auto"/>
              </w:rPr>
            </w:pPr>
            <w:r>
              <w:rPr>
                <w:rFonts w:ascii="Courier New" w:cs="Courier New" w:eastAsia="Courier New" w:hAnsi="Courier New"/>
                <w:sz w:val="14"/>
                <w:szCs w:val="14"/>
                <w:color w:val="auto"/>
              </w:rPr>
              <w:t>(in thousands, except per share data)</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7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of</w:t>
            </w: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14"/>
                <w:szCs w:val="14"/>
                <w:color w:val="auto"/>
              </w:rPr>
            </w:pP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3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(Unaudited)</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847,600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735,779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443,292</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270,560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60,868</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66,769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1,633,734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1,635,936</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174,801</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203,467</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108,033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105,943</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803,606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797,134</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52,653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58,841</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125,145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76,196</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141,044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123,223</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126,959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106,857</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2%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400,454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Financing arrangements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230,952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775,810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1,068,587</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37,424</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44,835</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0.50%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Noncurrent liabilities and other</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151,777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172,495</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1,415,011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1,285,917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shares;(pound)0.01 par value; 0 shares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shares;(pound)0.01 par value; 224,854 and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223,790 issued and 206,135 and 216,058 outstanding, respectively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1,836,743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1,820,956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 - 18,719 and 7,732 Ordinary Shares, respectively</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(402,360)</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(109,281)</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(accumulated deficit)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45,908</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(127,370)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shareholders' equity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1,482,961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1,591,600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940"/>
          </w:cols>
          <w:pgMar w:left="220" w:top="453" w:right="739" w:bottom="1440" w:gutter="0" w:footer="0" w:header="0"/>
        </w:sectPr>
      </w:pPr>
    </w:p>
    <w:bookmarkStart w:id="75" w:name="page76"/>
    <w:bookmarkEnd w:id="75"/>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14"/>
                <w:szCs w:val="14"/>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700" w:type="dxa"/>
            <w:vAlign w:val="bottom"/>
          </w:tcPr>
          <w:p>
            <w:pPr>
              <w:spacing w:after="0"/>
              <w:rPr>
                <w:sz w:val="14"/>
                <w:szCs w:val="14"/>
                <w:color w:val="auto"/>
              </w:rPr>
            </w:pPr>
          </w:p>
        </w:tc>
        <w:tc>
          <w:tcPr>
            <w:tcW w:w="226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License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51,176</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Service (*)</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432,926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365,677</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1,269,251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1,020,392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450,224</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377,168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1,321,277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4,137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283,109</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230,323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833,470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646,389</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31,665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88,888</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52,745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50,943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153,644</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 intangible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13,423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14,303</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9,956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373,525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317,186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1,102,025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917,317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76,699</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59,982</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219,252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income and other, net (*)</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3,269</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12,432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76,820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63,251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222,151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166,683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15,813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48,873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59,920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206,093</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215,938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210,409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215,786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211,801</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220,792</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216,186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See Note 4.</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453" w:right="1440" w:bottom="1440" w:gutter="0" w:footer="0" w:header="0"/>
        </w:sectPr>
      </w:pPr>
    </w:p>
    <w:bookmarkStart w:id="76" w:name="page77"/>
    <w:bookmarkEnd w:id="76"/>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 STATEMENT OF CHANGES IN SHAREHOLDERS' EQUITY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35"/>
        </w:trPr>
        <w:tc>
          <w:tcPr>
            <w:tcW w:w="2620" w:type="dxa"/>
            <w:vAlign w:val="bottom"/>
          </w:tcPr>
          <w:p>
            <w:pPr>
              <w:spacing w:after="0"/>
              <w:rPr>
                <w:sz w:val="24"/>
                <w:szCs w:val="24"/>
                <w:color w:val="auto"/>
              </w:rPr>
            </w:pP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Ordinary Shares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tcPr>
          <w:p>
            <w:pPr>
              <w:spacing w:after="0"/>
              <w:rPr>
                <w:sz w:val="24"/>
                <w:szCs w:val="2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Accumulated Other</w:t>
            </w:r>
          </w:p>
        </w:tc>
      </w:tr>
      <w:tr>
        <w:trPr>
          <w:trHeight w:val="167"/>
        </w:trPr>
        <w:tc>
          <w:tcPr>
            <w:tcW w:w="262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Treasury</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(Loss) Income</w:t>
            </w:r>
          </w:p>
        </w:tc>
      </w:tr>
      <w:tr>
        <w:trPr>
          <w:trHeight w:val="167"/>
        </w:trPr>
        <w:tc>
          <w:tcPr>
            <w:tcW w:w="262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216,058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$ 3,580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$ 1,820,956</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(109,281)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w:t>
            </w:r>
          </w:p>
        </w:tc>
      </w:tr>
      <w:tr>
        <w:trPr>
          <w:trHeight w:val="334"/>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14,392</w:t>
            </w:r>
          </w:p>
        </w:tc>
        <w:tc>
          <w:tcPr>
            <w:tcW w:w="74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11,345</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2,738</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(11,548)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(307,471)</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951</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206,135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$ 3,599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$ 1,836,743</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(402,360)</w:t>
            </w:r>
          </w:p>
        </w:tc>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(358)</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Retained</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(Accumulated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Compensation</w:t>
            </w:r>
          </w:p>
        </w:tc>
        <w:tc>
          <w:tcPr>
            <w:tcW w:w="20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Deficit)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(127,370)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$ 1,591,600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173,278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173,278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(1,227)</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169,205</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15,139</w:t>
            </w: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(307,471)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(951)</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440" w:type="dxa"/>
            <w:vAlign w:val="bottom"/>
          </w:tcPr>
          <w:p>
            <w:pPr>
              <w:spacing w:after="0"/>
              <w:rPr>
                <w:sz w:val="14"/>
                <w:szCs w:val="14"/>
                <w:color w:val="auto"/>
              </w:rPr>
            </w:pPr>
          </w:p>
        </w:tc>
        <w:tc>
          <w:tcPr>
            <w:tcW w:w="1180" w:type="dxa"/>
            <w:vAlign w:val="bottom"/>
          </w:tcPr>
          <w:p>
            <w:pPr>
              <w:ind w:left="600"/>
              <w:spacing w:after="0"/>
              <w:rPr>
                <w:sz w:val="20"/>
                <w:szCs w:val="20"/>
                <w:color w:val="auto"/>
              </w:rPr>
            </w:pPr>
            <w:r>
              <w:rPr>
                <w:rFonts w:ascii="Courier New" w:cs="Courier New" w:eastAsia="Courier New" w:hAnsi="Courier New"/>
                <w:sz w:val="14"/>
                <w:szCs w:val="14"/>
                <w:color w:val="auto"/>
              </w:rPr>
              <w:t>380</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(571)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45,908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$ 1,482,961</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7" w:right="1440" w:bottom="0" w:gutter="0" w:footer="0" w:header="0"/>
        </w:sectPr>
      </w:pPr>
    </w:p>
    <w:bookmarkStart w:id="77" w:name="page78"/>
    <w:bookmarkEnd w:id="77"/>
    <w:p>
      <w:pPr>
        <w:ind w:right="3539"/>
        <w:spacing w:after="0" w:line="254" w:lineRule="auto"/>
        <w:rPr>
          <w:sz w:val="20"/>
          <w:szCs w:val="20"/>
          <w:color w:val="auto"/>
        </w:rPr>
      </w:pPr>
      <w:r>
        <w:rPr>
          <w:rFonts w:ascii="Courier New" w:cs="Courier New" w:eastAsia="Courier New" w:hAnsi="Courier New"/>
          <w:sz w:val="14"/>
          <w:szCs w:val="14"/>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142" w:right="1440" w:bottom="1440" w:gutter="0" w:footer="0" w:header="0"/>
        </w:sectPr>
      </w:pPr>
    </w:p>
    <w:bookmarkStart w:id="78" w:name="page79"/>
    <w:bookmarkEnd w:id="78"/>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49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Nine months ended June 30,</w:t>
            </w:r>
          </w:p>
        </w:tc>
      </w:tr>
      <w:tr>
        <w:trPr>
          <w:trHeight w:val="167"/>
        </w:trPr>
        <w:tc>
          <w:tcPr>
            <w:tcW w:w="492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173,278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 by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69,973</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loss on sale of equipment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on 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(8,093)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Realized  loss from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 net of</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amounts acquired: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(69,503)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(12,597)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assets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(41,941)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(18,795)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20,436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54,543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47,889</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Noncurrent liabilities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284,017</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(33,532)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(47,192)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863,304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631,845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Purchase of short-term interest-bearing investments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(1,158,407)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(637,148)</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 reimbursement of cash in acquisition</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11,111</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(337,361)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(39,674)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employee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proceeds from issue of long-term 0.50% convertible</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441,736</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ordinary shares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(307,471)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Redemption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(395,110)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Borrowings under financing arrangements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under financing arrangements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on capital lease obligations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(7,714)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(275,460)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(5,690)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(355,154)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238,653</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847,600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466,655</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492,446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705,308</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net of refunds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9,323</w:t>
            </w:r>
          </w:p>
        </w:tc>
      </w:tr>
    </w:tbl>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the nine months ended June 30, 2004, the Company issued 561 ordinary shares in connection with the acquisition of XACCT (as defined below). See Note 10.</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20" w:right="1440" w:bottom="1440" w:gutter="0" w:footer="0" w:header="0"/>
        </w:sectPr>
      </w:pPr>
    </w:p>
    <w:bookmarkStart w:id="79" w:name="page80"/>
    <w:bookmarkEnd w:id="79"/>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440" w:hanging="431"/>
        <w:spacing w:after="0"/>
        <w:tabs>
          <w:tab w:leader="none" w:pos="4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Reclassification</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Certain prior year amounts have been reclassified to conform to the current year presentation.</w:t>
      </w:r>
    </w:p>
    <w:p>
      <w:pPr>
        <w:spacing w:after="0" w:line="160" w:lineRule="exact"/>
        <w:rPr>
          <w:sz w:val="20"/>
          <w:szCs w:val="20"/>
          <w:color w:val="auto"/>
        </w:rPr>
      </w:pPr>
    </w:p>
    <w:p>
      <w:pPr>
        <w:ind w:left="800" w:right="6059" w:hanging="791"/>
        <w:spacing w:after="0" w:line="50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331"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453" w:right="1440" w:bottom="1440" w:gutter="0" w:footer="0" w:header="0"/>
        </w:sectPr>
      </w:pPr>
    </w:p>
    <w:bookmarkStart w:id="80" w:name="page81"/>
    <w:bookmarkEnd w:id="80"/>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65" w:lineRule="exact"/>
        <w:rPr>
          <w:sz w:val="20"/>
          <w:szCs w:val="20"/>
          <w:color w:val="auto"/>
        </w:rPr>
      </w:pPr>
    </w:p>
    <w:p>
      <w:pPr>
        <w:jc w:val="both"/>
        <w:ind w:right="3539" w:firstLine="347"/>
        <w:spacing w:after="0" w:line="255" w:lineRule="auto"/>
        <w:rPr>
          <w:sz w:val="20"/>
          <w:szCs w:val="20"/>
          <w:color w:val="auto"/>
        </w:rPr>
      </w:pPr>
      <w:r>
        <w:rPr>
          <w:rFonts w:ascii="Courier New" w:cs="Courier New" w:eastAsia="Courier New" w:hAnsi="Courier New"/>
          <w:sz w:val="14"/>
          <w:szCs w:val="14"/>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6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6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9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290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0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3.10%</w:t>
            </w:r>
          </w:p>
        </w:tc>
        <w:tc>
          <w:tcPr>
            <w:tcW w:w="5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2.56%</w:t>
            </w:r>
          </w:p>
        </w:tc>
        <w:tc>
          <w:tcPr>
            <w:tcW w:w="44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2.14%</w:t>
            </w:r>
          </w:p>
        </w:tc>
        <w:tc>
          <w:tcPr>
            <w:tcW w:w="400" w:type="dxa"/>
            <w:vAlign w:val="bottom"/>
          </w:tcPr>
          <w:p>
            <w:pPr>
              <w:spacing w:after="0"/>
              <w:rPr>
                <w:sz w:val="24"/>
                <w:szCs w:val="2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2.98</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3.00</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2.93</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annual volatility</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44.1%</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51.1%</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44.3%</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None</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None</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Fair value per option</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7.01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5.02</w:t>
            </w:r>
          </w:p>
        </w:tc>
      </w:tr>
    </w:tbl>
    <w:p>
      <w:pPr>
        <w:spacing w:after="0" w:line="33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3"/>
          </w:tcPr>
          <w:p>
            <w:pPr>
              <w:jc w:val="center"/>
              <w:ind w:right="348"/>
              <w:spacing w:after="0"/>
              <w:rPr>
                <w:sz w:val="20"/>
                <w:szCs w:val="20"/>
                <w:color w:val="auto"/>
              </w:rPr>
            </w:pPr>
            <w:r>
              <w:rPr>
                <w:rFonts w:ascii="Courier New" w:cs="Courier New" w:eastAsia="Courier New" w:hAnsi="Courier New"/>
                <w:sz w:val="14"/>
                <w:szCs w:val="14"/>
                <w:color w:val="auto"/>
              </w:rPr>
              <w:t>Three months ended</w:t>
            </w:r>
          </w:p>
        </w:tc>
        <w:tc>
          <w:tcPr>
            <w:tcW w:w="360" w:type="dxa"/>
            <w:vAlign w:val="bottom"/>
          </w:tcPr>
          <w:p>
            <w:pPr>
              <w:spacing w:after="0"/>
              <w:rPr>
                <w:sz w:val="14"/>
                <w:szCs w:val="14"/>
                <w:color w:val="auto"/>
              </w:rPr>
            </w:pPr>
          </w:p>
        </w:tc>
        <w:tc>
          <w:tcPr>
            <w:tcW w:w="25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left="58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spacing w:after="0"/>
              <w:rPr>
                <w:sz w:val="14"/>
                <w:szCs w:val="14"/>
                <w:color w:val="auto"/>
              </w:rPr>
            </w:pPr>
          </w:p>
        </w:tc>
      </w:tr>
      <w:tr>
        <w:trPr>
          <w:trHeight w:val="167"/>
        </w:trPr>
        <w:tc>
          <w:tcPr>
            <w:tcW w:w="3380" w:type="dxa"/>
            <w:vAlign w:val="bottom"/>
          </w:tcPr>
          <w:p>
            <w:pPr>
              <w:spacing w:after="0"/>
              <w:rPr>
                <w:sz w:val="14"/>
                <w:szCs w:val="14"/>
                <w:color w:val="auto"/>
              </w:rPr>
            </w:pPr>
          </w:p>
        </w:tc>
        <w:tc>
          <w:tcPr>
            <w:tcW w:w="31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36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8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59,920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47,438</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Add: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 included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in net income, net of related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tax effects</w:t>
            </w:r>
          </w:p>
        </w:tc>
        <w:tc>
          <w:tcPr>
            <w:tcW w:w="56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Total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determined under fair value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method for all awards, net of</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related tax effects</w:t>
            </w:r>
          </w:p>
        </w:tc>
        <w:tc>
          <w:tcPr>
            <w:tcW w:w="5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(7,131)</w:t>
            </w:r>
          </w:p>
        </w:tc>
        <w:tc>
          <w:tcPr>
            <w:tcW w:w="4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(17,182)</w:t>
            </w:r>
          </w:p>
        </w:tc>
        <w:tc>
          <w:tcPr>
            <w:tcW w:w="3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(26,335)</w:t>
            </w:r>
          </w:p>
        </w:tc>
        <w:tc>
          <w:tcPr>
            <w:tcW w:w="4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(47,189)</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53,065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30,260</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77,846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0.22</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9799"/>
          </w:cols>
          <w:pgMar w:left="660" w:top="620" w:right="1440" w:bottom="1440" w:gutter="0" w:footer="0" w:header="0"/>
        </w:sectPr>
      </w:pPr>
    </w:p>
    <w:bookmarkStart w:id="81" w:name="page82"/>
    <w:bookmarkEnd w:id="81"/>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199" w:hanging="791"/>
        <w:spacing w:after="0" w:line="505" w:lineRule="auto"/>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 Variable Interest Entities</w:t>
      </w: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64" w:lineRule="exact"/>
        <w:rPr>
          <w:sz w:val="20"/>
          <w:szCs w:val="20"/>
          <w:color w:val="auto"/>
        </w:rPr>
      </w:pPr>
    </w:p>
    <w:p>
      <w:pPr>
        <w:ind w:left="800" w:hanging="791"/>
        <w:spacing w:after="0"/>
        <w:tabs>
          <w:tab w:leader="none" w:pos="8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64"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revenue is included in the statements of income for the three months and nine months ended June 30, 2003:</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Three months</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ended</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License</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3,827</w:t>
            </w: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Service</w:t>
            </w:r>
          </w:p>
        </w:tc>
        <w:tc>
          <w:tcPr>
            <w:tcW w:w="1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32,374</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84,122</w:t>
            </w:r>
          </w:p>
        </w:tc>
      </w:tr>
    </w:tbl>
    <w:p>
      <w:pPr>
        <w:spacing w:after="0" w:line="338"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expense is included in the statements of income for the three months and nine months ended June 30, 2003:</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Interest income and other, net (1)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564</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Nine months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1,662</w:t>
      </w:r>
    </w:p>
    <w:p>
      <w:pPr>
        <w:spacing w:after="0" w:line="175" w:lineRule="exact"/>
        <w:rPr>
          <w:sz w:val="20"/>
          <w:szCs w:val="20"/>
          <w:color w:val="auto"/>
        </w:rPr>
      </w:pPr>
    </w:p>
    <w:p>
      <w:pPr>
        <w:sectPr>
          <w:pgSz w:w="11900" w:h="16838" w:orient="portrait"/>
          <w:cols w:equalWidth="0" w:num="3">
            <w:col w:w="3560" w:space="360"/>
            <w:col w:w="1300" w:space="340"/>
            <w:col w:w="4679"/>
          </w:cols>
          <w:pgMar w:left="220" w:top="620" w:right="1440" w:bottom="1440" w:gutter="0" w:footer="0" w:header="0"/>
          <w:type w:val="continuous"/>
        </w:sectPr>
      </w:pPr>
    </w:p>
    <w:p>
      <w:pPr>
        <w:ind w:left="960" w:right="3279" w:hanging="951"/>
        <w:spacing w:after="0" w:line="254" w:lineRule="auto"/>
        <w:tabs>
          <w:tab w:leader="none" w:pos="9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20" w:right="1440" w:bottom="1440" w:gutter="0" w:footer="0" w:header="0"/>
          <w:type w:val="continuous"/>
        </w:sectPr>
      </w:pPr>
    </w:p>
    <w:bookmarkStart w:id="82" w:name="page83"/>
    <w:bookmarkEnd w:id="82"/>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360" w:hanging="351"/>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Net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Accounts receivable, net consists of the following:</w:t>
      </w:r>
    </w:p>
    <w:p>
      <w:pPr>
        <w:spacing w:after="0" w:line="342"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3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-billed</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269,660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200,220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-unbilled</w:t>
            </w:r>
          </w:p>
        </w:tc>
        <w:tc>
          <w:tcPr>
            <w:tcW w:w="560" w:type="dxa"/>
            <w:vAlign w:val="bottom"/>
          </w:tcPr>
          <w:p>
            <w:pPr>
              <w:spacing w:after="0"/>
              <w:rPr>
                <w:sz w:val="14"/>
                <w:szCs w:val="14"/>
                <w:color w:val="auto"/>
              </w:rPr>
            </w:pP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16,086</w:t>
            </w:r>
          </w:p>
        </w:tc>
        <w:tc>
          <w:tcPr>
            <w:tcW w:w="3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16,072</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Less - allowances</w:t>
            </w:r>
          </w:p>
        </w:tc>
        <w:tc>
          <w:tcPr>
            <w:tcW w:w="56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(15,186)</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(18,018)</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270,560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3"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400" w:type="dxa"/>
            <w:vAlign w:val="bottom"/>
          </w:tcPr>
          <w:p>
            <w:pPr>
              <w:spacing w:after="0"/>
              <w:rPr>
                <w:sz w:val="14"/>
                <w:szCs w:val="14"/>
                <w:color w:val="auto"/>
              </w:rPr>
            </w:pPr>
          </w:p>
        </w:tc>
        <w:tc>
          <w:tcPr>
            <w:tcW w:w="24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920" w:type="dxa"/>
            <w:vAlign w:val="bottom"/>
          </w:tcPr>
          <w:p>
            <w:pPr>
              <w:spacing w:after="0"/>
              <w:rPr>
                <w:sz w:val="14"/>
                <w:szCs w:val="14"/>
                <w:color w:val="auto"/>
              </w:rPr>
            </w:pPr>
          </w:p>
        </w:tc>
      </w:tr>
      <w:tr>
        <w:trPr>
          <w:trHeight w:val="167"/>
        </w:trPr>
        <w:tc>
          <w:tcPr>
            <w:tcW w:w="3340" w:type="dxa"/>
            <w:vAlign w:val="bottom"/>
          </w:tcPr>
          <w:p>
            <w:pPr>
              <w:spacing w:after="0"/>
              <w:rPr>
                <w:sz w:val="14"/>
                <w:szCs w:val="14"/>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1"/>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4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59,920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47,438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173,278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340"/>
              <w:spacing w:after="0"/>
              <w:rPr>
                <w:sz w:val="20"/>
                <w:szCs w:val="20"/>
                <w:color w:val="auto"/>
              </w:rPr>
            </w:pPr>
            <w:r>
              <w:rPr>
                <w:rFonts w:ascii="Courier New" w:cs="Courier New" w:eastAsia="Courier New" w:hAnsi="Courier New"/>
                <w:sz w:val="14"/>
                <w:szCs w:val="14"/>
                <w:color w:val="auto"/>
              </w:rPr>
              <w:t>Unrealized income (loss) 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hedging</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contracts, net of tax</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2,716</w:t>
            </w:r>
          </w:p>
        </w:tc>
        <w:tc>
          <w:tcPr>
            <w:tcW w:w="4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6,151</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(2,846)</w:t>
            </w:r>
          </w:p>
        </w:tc>
        <w:tc>
          <w:tcPr>
            <w:tcW w:w="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15,285</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 on short-term</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investments,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7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(1,687)</w:t>
            </w:r>
          </w:p>
        </w:tc>
        <w:tc>
          <w:tcPr>
            <w:tcW w:w="4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60,949</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52,707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169,205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138,366</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The provision for income taxes for the following periods consisted of:</w:t>
      </w:r>
    </w:p>
    <w:p>
      <w:pPr>
        <w:spacing w:after="0" w:line="200" w:lineRule="exact"/>
        <w:rPr>
          <w:sz w:val="20"/>
          <w:szCs w:val="20"/>
          <w:color w:val="auto"/>
        </w:rPr>
      </w:pPr>
    </w:p>
    <w:p>
      <w:pPr>
        <w:spacing w:after="0" w:line="309"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6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40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88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3240" w:type="dxa"/>
            <w:vAlign w:val="bottom"/>
            <w:gridSpan w:val="2"/>
          </w:tcPr>
          <w:p>
            <w:pPr>
              <w:ind w:left="1980"/>
              <w:spacing w:after="0"/>
              <w:rPr>
                <w:sz w:val="20"/>
                <w:szCs w:val="20"/>
                <w:color w:val="auto"/>
              </w:rPr>
            </w:pPr>
            <w:r>
              <w:rPr>
                <w:rFonts w:ascii="Courier New" w:cs="Courier New" w:eastAsia="Courier New" w:hAnsi="Courier New"/>
                <w:sz w:val="9"/>
                <w:szCs w:val="9"/>
                <w:color w:val="auto"/>
                <w:w w:val="76"/>
              </w:rPr>
              <w:t>------------------------------</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5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32,755</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10,571</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56,966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31,115</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(15,855)</w:t>
            </w:r>
          </w:p>
        </w:tc>
        <w:tc>
          <w:tcPr>
            <w:tcW w:w="5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5,242</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(8,093)</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16,900</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15,813</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1740" w:type="dxa"/>
            <w:vAlign w:val="bottom"/>
          </w:tcPr>
          <w:p>
            <w:pPr>
              <w:spacing w:after="0"/>
              <w:rPr>
                <w:sz w:val="24"/>
                <w:szCs w:val="24"/>
                <w:color w:val="auto"/>
              </w:rPr>
            </w:pPr>
          </w:p>
        </w:tc>
        <w:tc>
          <w:tcPr>
            <w:tcW w:w="2340" w:type="dxa"/>
            <w:vAlign w:val="bottom"/>
          </w:tcPr>
          <w:p>
            <w:pPr>
              <w:jc w:val="right"/>
              <w:ind w:right="1071"/>
              <w:spacing w:after="0"/>
              <w:rPr>
                <w:sz w:val="20"/>
                <w:szCs w:val="20"/>
                <w:color w:val="auto"/>
              </w:rPr>
            </w:pPr>
            <w:r>
              <w:rPr>
                <w:rFonts w:ascii="Courier New" w:cs="Courier New" w:eastAsia="Courier New" w:hAnsi="Courier New"/>
                <w:sz w:val="14"/>
                <w:szCs w:val="14"/>
                <w:color w:val="auto"/>
              </w:rPr>
              <w:t>66</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83" w:name="page84"/>
    <w:bookmarkEnd w:id="83"/>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560" w:firstLine="781"/>
        <w:spacing w:after="0" w:line="258" w:lineRule="auto"/>
        <w:rPr>
          <w:sz w:val="20"/>
          <w:szCs w:val="20"/>
          <w:color w:val="auto"/>
        </w:rPr>
      </w:pPr>
      <w:r>
        <w:rPr>
          <w:rFonts w:ascii="Courier New" w:cs="Courier New" w:eastAsia="Courier New" w:hAnsi="Courier New"/>
          <w:sz w:val="14"/>
          <w:szCs w:val="14"/>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6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c>
          <w:tcPr>
            <w:tcW w:w="2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8"/>
              </w:rPr>
              <w:t>June 30,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3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7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2004</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0"/>
                <w:szCs w:val="20"/>
                <w:color w:val="auto"/>
              </w:rPr>
            </w:pPr>
            <w:r>
              <w:rPr>
                <w:rFonts w:ascii="Courier New" w:cs="Courier New" w:eastAsia="Courier New" w:hAnsi="Courier New"/>
                <w:sz w:val="14"/>
                <w:szCs w:val="14"/>
                <w:color w:val="auto"/>
              </w:rPr>
              <w:t>Statutory Guernsey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Guernsey tax-exempt status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00" w:firstLine="260"/>
        <w:spacing w:after="0" w:line="255"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and for fiscal year 2004 is expected to approximate 22%.</w:t>
      </w:r>
    </w:p>
    <w:p>
      <w:pPr>
        <w:spacing w:after="0" w:line="162" w:lineRule="exact"/>
        <w:rPr>
          <w:sz w:val="20"/>
          <w:szCs w:val="20"/>
          <w:color w:val="auto"/>
        </w:rPr>
      </w:pPr>
    </w:p>
    <w:p>
      <w:pPr>
        <w:ind w:left="360" w:hanging="351"/>
        <w:spacing w:after="0"/>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820" w:firstLine="608"/>
        <w:spacing w:after="0" w:line="258"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spacing w:after="0"/>
              <w:rPr>
                <w:sz w:val="14"/>
                <w:szCs w:val="14"/>
                <w:color w:val="auto"/>
              </w:rPr>
            </w:pPr>
          </w:p>
        </w:tc>
      </w:tr>
      <w:tr>
        <w:trPr>
          <w:trHeight w:val="167"/>
        </w:trPr>
        <w:tc>
          <w:tcPr>
            <w:tcW w:w="3640" w:type="dxa"/>
            <w:vAlign w:val="bottom"/>
          </w:tcPr>
          <w:p>
            <w:pPr>
              <w:spacing w:after="0"/>
              <w:rPr>
                <w:sz w:val="14"/>
                <w:szCs w:val="14"/>
                <w:color w:val="auto"/>
              </w:rPr>
            </w:pPr>
          </w:p>
        </w:tc>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2004</w:t>
            </w:r>
          </w:p>
        </w:tc>
        <w:tc>
          <w:tcPr>
            <w:tcW w:w="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64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501"/>
        </w:trPr>
        <w:tc>
          <w:tcPr>
            <w:tcW w:w="364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59,920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47,438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basic earnings per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shares</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outstanding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206,093</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215,938</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210,409</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215,786</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Effect of dilutive stock options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5,708</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5,777</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diluted earnings per</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 -</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adjusted weighted average shares and</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assumed conversions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211,801</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220,792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216,186</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60" w:right="3300" w:hanging="357"/>
        <w:spacing w:after="0" w:line="253" w:lineRule="auto"/>
        <w:tabs>
          <w:tab w:leader="none" w:pos="123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65"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60"/>
          </w:cols>
          <w:pgMar w:left="220" w:top="620" w:right="1419" w:bottom="306" w:gutter="0" w:footer="0" w:header="0"/>
        </w:sectPr>
      </w:pPr>
    </w:p>
    <w:bookmarkStart w:id="84" w:name="page85"/>
    <w:bookmarkEnd w:id="84"/>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Securities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Ordinary Shares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64"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6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64"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Convertible Notes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June 1, 2004, the Company completed a cash offer for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indenture for the 2% Notes, each holder of the 2% Notes had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right to require the Company to repurchase on June 1, 2004 all or any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 of such holder's notes at a price equal to 100% of the principal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 plus accrued and unpaid interest. Under the terms of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had the option to pay for the 2% Notes with cash, ordinary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or a combination of cash and ordinary shares. The Company elected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pay for the notes solely with cash. The Company accepted for payment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$395,110 principal amount of 2% Notes surrendered for repurchase pursuant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offer. The untendered $344 principal amount of 2% Notes will remain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obligations of the Company, due June 1, 2008, in accordance with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453" w:right="1440" w:bottom="1440" w:gutter="0" w:footer="0" w:header="0"/>
        </w:sectPr>
      </w:pPr>
    </w:p>
    <w:bookmarkStart w:id="85" w:name="page86"/>
    <w:bookmarkEnd w:id="85"/>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their terms, and are included in "Noncurrent liabilities and other" in the accompanying consolidated balance sheet as of June 30,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ACQUISITIONS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is the revised allocation of the purchase price and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5"/>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Purchase price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65,887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Estimated transaction costs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2,925</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68,812</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Write-off of deferred revenue and allowance on Amdocs books, net of</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tax</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(33,666)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amount for purchase price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35,146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Allocation of purchase price: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tangible assets acquired, net of capitalized Amdocs system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Certen's books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80,929</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liabilities assumed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(241,460)</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(160,531)</w:t>
            </w:r>
          </w:p>
        </w:tc>
      </w:tr>
      <w:tr>
        <w:trPr>
          <w:trHeight w:val="334"/>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Customer arrangement</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36,385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Adjustment to fair value of pension and other post-employment benefit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(12,605)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EITF 95-3 and other 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Deferred taxes resulting from the difference between the assigned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value of certain assets and liabilities and their respective tax</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bases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73,673</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fair value of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(65,935)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Goodwill</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101,081</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6980" w:type="dxa"/>
            <w:vAlign w:val="bottom"/>
          </w:tcPr>
          <w:p>
            <w:pPr>
              <w:ind w:left="2960"/>
              <w:spacing w:after="0"/>
              <w:rPr>
                <w:sz w:val="20"/>
                <w:szCs w:val="20"/>
                <w:color w:val="auto"/>
              </w:rPr>
            </w:pPr>
            <w:r>
              <w:rPr>
                <w:rFonts w:ascii="Courier New" w:cs="Courier New" w:eastAsia="Courier New" w:hAnsi="Courier New"/>
                <w:sz w:val="14"/>
                <w:szCs w:val="14"/>
                <w:color w:val="auto"/>
              </w:rPr>
              <w:t>69</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799"/>
          </w:cols>
          <w:pgMar w:left="660" w:top="453" w:right="1440" w:bottom="1440" w:gutter="0" w:footer="0" w:header="0"/>
        </w:sectPr>
      </w:pPr>
    </w:p>
    <w:bookmarkStart w:id="86" w:name="page87"/>
    <w:bookmarkEnd w:id="86"/>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JUNE 30, 2003</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$ 432,383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$ 1,210,198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51,727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129,381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104,107</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XACCT TECHNOLOGIES LIMITED</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340"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The following is the revised preliminary allocation of the purchase price and deferred tax assets:</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assets acquired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9,209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Customer arrangements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10,187</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$29,175</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9799"/>
          </w:cols>
          <w:pgMar w:left="660" w:top="453" w:right="1440" w:bottom="1440" w:gutter="0" w:footer="0" w:header="0"/>
        </w:sectPr>
      </w:pPr>
    </w:p>
    <w:bookmarkStart w:id="87" w:name="page88"/>
    <w:bookmarkEnd w:id="87"/>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0.50% Convertible Senior Notes Due 2024</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5" w:lineRule="exact"/>
        <w:rPr>
          <w:sz w:val="20"/>
          <w:szCs w:val="20"/>
          <w:color w:val="auto"/>
        </w:rPr>
      </w:pPr>
    </w:p>
    <w:p>
      <w:pPr>
        <w:ind w:left="440" w:right="3279" w:firstLine="3"/>
        <w:spacing w:after="0" w:line="252" w:lineRule="auto"/>
        <w:tabs>
          <w:tab w:leader="none" w:pos="874"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4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Efficiency and Cost Reduction Programs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Fiscal Year Ended September 30, 2003</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6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Details of $9,956 Restructuring Charge:</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787" w:right="1440" w:bottom="1440" w:gutter="0" w:footer="0" w:header="0"/>
        </w:sectPr>
      </w:pPr>
    </w:p>
    <w:bookmarkStart w:id="88" w:name="page89"/>
    <w:bookmarkEnd w:id="88"/>
    <w:p>
      <w:pPr>
        <w:jc w:val="center"/>
        <w:ind w:right="4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Missouri. The Company also recorded a provision of $1,829 for asset write-offs, principally for leasehold improvements in Raanana, Israel and St. Louis, Missouri that were abandoned.</w:t>
      </w:r>
    </w:p>
    <w:p>
      <w:pPr>
        <w:spacing w:after="0" w:line="162" w:lineRule="exact"/>
        <w:rPr>
          <w:sz w:val="20"/>
          <w:szCs w:val="20"/>
          <w:color w:val="auto"/>
        </w:rPr>
      </w:pPr>
    </w:p>
    <w:p>
      <w:pPr>
        <w:ind w:right="180" w:firstLine="347"/>
        <w:spacing w:after="0" w:line="258" w:lineRule="auto"/>
        <w:rPr>
          <w:sz w:val="20"/>
          <w:szCs w:val="20"/>
          <w:color w:val="auto"/>
        </w:rPr>
      </w:pPr>
      <w:r>
        <w:rPr>
          <w:rFonts w:ascii="Courier New" w:cs="Courier New" w:eastAsia="Courier New" w:hAnsi="Courier New"/>
          <w:sz w:val="14"/>
          <w:szCs w:val="14"/>
          <w:color w:val="auto"/>
        </w:rPr>
        <w:t>The first quarter of fiscal 2003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SEPARATION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FACILITIES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4,011</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Fiscal Year Ended September 30, 2002</w:t>
      </w:r>
    </w:p>
    <w:p>
      <w:pPr>
        <w:spacing w:after="0" w:line="175"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64" w:lineRule="exact"/>
        <w:rPr>
          <w:sz w:val="20"/>
          <w:szCs w:val="20"/>
          <w:color w:val="auto"/>
        </w:rPr>
      </w:pPr>
    </w:p>
    <w:p>
      <w:pPr>
        <w:ind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$20,919 Restructuring Charge:</w:t>
      </w:r>
    </w:p>
    <w:p>
      <w:pPr>
        <w:spacing w:after="0" w:line="175" w:lineRule="exact"/>
        <w:rPr>
          <w:sz w:val="20"/>
          <w:szCs w:val="20"/>
          <w:color w:val="auto"/>
        </w:rPr>
      </w:pPr>
    </w:p>
    <w:p>
      <w:pPr>
        <w:ind w:firstLine="347"/>
        <w:spacing w:after="0" w:line="253" w:lineRule="auto"/>
        <w:rPr>
          <w:sz w:val="20"/>
          <w:szCs w:val="20"/>
          <w:color w:val="auto"/>
        </w:rPr>
      </w:pPr>
      <w:r>
        <w:rPr>
          <w:rFonts w:ascii="Courier New" w:cs="Courier New" w:eastAsia="Courier New" w:hAnsi="Courier New"/>
          <w:sz w:val="14"/>
          <w:szCs w:val="14"/>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500" w:val="left"/>
          <w:tab w:leader="none" w:pos="1020" w:val="left"/>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9,956</w:t>
      </w:r>
    </w:p>
    <w:p>
      <w:pPr>
        <w:spacing w:after="0" w:line="8" w:lineRule="exact"/>
        <w:rPr>
          <w:sz w:val="20"/>
          <w:szCs w:val="20"/>
          <w:color w:val="auto"/>
        </w:rPr>
      </w:pPr>
    </w:p>
    <w:p>
      <w:pPr>
        <w:ind w:left="1220" w:hanging="786"/>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(4,451)</w:t>
      </w:r>
    </w:p>
    <w:p>
      <w:pPr>
        <w:spacing w:after="0" w:line="8" w:lineRule="exact"/>
        <w:rPr>
          <w:sz w:val="20"/>
          <w:szCs w:val="20"/>
          <w:color w:val="auto"/>
        </w:rPr>
      </w:pPr>
    </w:p>
    <w:p>
      <w:pPr>
        <w:ind w:left="1220" w:hanging="700"/>
        <w:spacing w:after="0"/>
        <w:tabs>
          <w:tab w:leader="none" w:pos="12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(1,829)</w:t>
      </w:r>
    </w:p>
    <w:p>
      <w:pPr>
        <w:spacing w:after="0" w:line="8" w:lineRule="exact"/>
        <w:rPr>
          <w:rFonts w:ascii="Courier New" w:cs="Courier New" w:eastAsia="Courier New" w:hAnsi="Courier New"/>
          <w:sz w:val="14"/>
          <w:szCs w:val="14"/>
          <w:color w:val="auto"/>
        </w:rPr>
      </w:pPr>
    </w:p>
    <w:p>
      <w:pPr>
        <w:ind w:left="1380" w:hanging="860"/>
        <w:spacing w:after="0"/>
        <w:tabs>
          <w:tab w:leader="none" w:pos="13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00" w:hanging="780"/>
        <w:spacing w:after="0"/>
        <w:tabs>
          <w:tab w:leader="none" w:pos="13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3,261</w:t>
      </w:r>
    </w:p>
    <w:p>
      <w:pPr>
        <w:spacing w:after="0" w:line="8" w:lineRule="exact"/>
        <w:rPr>
          <w:rFonts w:ascii="Courier New" w:cs="Courier New" w:eastAsia="Courier New" w:hAnsi="Courier New"/>
          <w:sz w:val="14"/>
          <w:szCs w:val="14"/>
          <w:color w:val="auto"/>
        </w:rPr>
      </w:pPr>
    </w:p>
    <w:p>
      <w:pPr>
        <w:ind w:left="1220" w:hanging="700"/>
        <w:spacing w:after="0"/>
        <w:tabs>
          <w:tab w:leader="none" w:pos="12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(1,365)</w:t>
      </w:r>
    </w:p>
    <w:p>
      <w:pPr>
        <w:spacing w:after="0" w:line="8" w:lineRule="exact"/>
        <w:rPr>
          <w:rFonts w:ascii="Courier New" w:cs="Courier New" w:eastAsia="Courier New" w:hAnsi="Courier New"/>
          <w:sz w:val="14"/>
          <w:szCs w:val="14"/>
          <w:color w:val="auto"/>
        </w:rPr>
      </w:pPr>
    </w:p>
    <w:p>
      <w:pPr>
        <w:ind w:left="1640" w:hanging="1120"/>
        <w:spacing w:after="0"/>
        <w:tabs>
          <w:tab w:leader="none" w:pos="16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hanging="520"/>
        <w:spacing w:after="0"/>
        <w:tabs>
          <w:tab w:leader="none" w:pos="5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1,904</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520" w:space="340"/>
            <w:col w:w="2940"/>
          </w:cols>
          <w:pgMar w:left="660" w:top="453" w:right="1440" w:bottom="1440" w:gutter="0" w:footer="0" w:header="0"/>
        </w:sectPr>
      </w:pPr>
    </w:p>
    <w:bookmarkStart w:id="89" w:name="page90"/>
    <w:bookmarkEnd w:id="89"/>
    <w:p>
      <w:pPr>
        <w:jc w:val="center"/>
        <w:ind w:right="10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jc w:val="both"/>
        <w:ind w:right="600"/>
        <w:spacing w:after="0" w:line="255" w:lineRule="auto"/>
        <w:rPr>
          <w:sz w:val="20"/>
          <w:szCs w:val="20"/>
          <w:color w:val="auto"/>
        </w:rPr>
      </w:pPr>
      <w:r>
        <w:rPr>
          <w:rFonts w:ascii="Courier New" w:cs="Courier New" w:eastAsia="Courier New" w:hAnsi="Courier New"/>
          <w:sz w:val="14"/>
          <w:szCs w:val="14"/>
          <w:color w:val="auto"/>
        </w:rPr>
        <w:t>The Company also recorded a provision of $1,584 for asset write-offs, principally for leasehold improvements in Canada, Israel and the United States that were abandoned.</w:t>
      </w:r>
    </w:p>
    <w:p>
      <w:pPr>
        <w:spacing w:after="0" w:line="162" w:lineRule="exact"/>
        <w:rPr>
          <w:sz w:val="20"/>
          <w:szCs w:val="20"/>
          <w:color w:val="auto"/>
        </w:rPr>
      </w:pPr>
    </w:p>
    <w:p>
      <w:pPr>
        <w:ind w:right="700" w:firstLine="347"/>
        <w:spacing w:after="0" w:line="258" w:lineRule="auto"/>
        <w:rPr>
          <w:sz w:val="20"/>
          <w:szCs w:val="20"/>
          <w:color w:val="auto"/>
        </w:rPr>
      </w:pPr>
      <w:r>
        <w:rPr>
          <w:rFonts w:ascii="Courier New" w:cs="Courier New" w:eastAsia="Courier New" w:hAnsi="Courier New"/>
          <w:sz w:val="14"/>
          <w:szCs w:val="14"/>
          <w:color w:val="auto"/>
        </w:rPr>
        <w:t>The fourth quarter of fiscal 2002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Employee</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Separation</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Costs</w:t>
            </w:r>
          </w:p>
        </w:tc>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Facilities</w:t>
            </w: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11,353</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7,880</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(8,053)</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3,300</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(3,240)</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(4,082)</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65" w:lineRule="exact"/>
        <w:rPr>
          <w:sz w:val="20"/>
          <w:szCs w:val="20"/>
          <w:color w:val="auto"/>
        </w:rPr>
      </w:pPr>
    </w:p>
    <w:p>
      <w:pPr>
        <w:ind w:right="700" w:firstLine="347"/>
        <w:spacing w:after="0" w:line="254" w:lineRule="auto"/>
        <w:rPr>
          <w:sz w:val="20"/>
          <w:szCs w:val="20"/>
          <w:color w:val="auto"/>
        </w:rPr>
      </w:pPr>
      <w:r>
        <w:rPr>
          <w:rFonts w:ascii="Courier New" w:cs="Courier New" w:eastAsia="Courier New" w:hAnsi="Courier New"/>
          <w:sz w:val="14"/>
          <w:szCs w:val="14"/>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63" w:lineRule="exact"/>
        <w:rPr>
          <w:sz w:val="20"/>
          <w:szCs w:val="20"/>
          <w:color w:val="auto"/>
        </w:rPr>
      </w:pPr>
    </w:p>
    <w:p>
      <w:pPr>
        <w:ind w:right="780"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$13,311 Restructuring charge:</w:t>
      </w:r>
    </w:p>
    <w:p>
      <w:pPr>
        <w:spacing w:after="0" w:line="17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0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w:t>
            </w:r>
          </w:p>
        </w:tc>
        <w:tc>
          <w:tcPr>
            <w:tcW w:w="40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20,919</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w:t>
            </w:r>
          </w:p>
        </w:tc>
        <w:tc>
          <w:tcPr>
            <w:tcW w:w="40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10,769</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(7,367)</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3,276</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(1,024)</w:t>
            </w:r>
          </w:p>
        </w:tc>
      </w:tr>
      <w:tr>
        <w:trPr>
          <w:trHeight w:val="167"/>
        </w:trPr>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2,213</w:t>
            </w:r>
          </w:p>
        </w:tc>
      </w:tr>
      <w:tr>
        <w:trPr>
          <w:trHeight w:val="167"/>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120" w:space="340"/>
            <w:col w:w="2620"/>
          </w:cols>
          <w:pgMar w:left="660" w:top="620" w:right="1159" w:bottom="1440" w:gutter="0" w:footer="0" w:header="0"/>
        </w:sectPr>
      </w:pPr>
    </w:p>
    <w:bookmarkStart w:id="90" w:name="page91"/>
    <w:bookmarkEnd w:id="90"/>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right="3300" w:firstLine="347"/>
        <w:spacing w:after="0" w:line="258" w:lineRule="auto"/>
        <w:rPr>
          <w:sz w:val="20"/>
          <w:szCs w:val="20"/>
          <w:color w:val="auto"/>
        </w:rPr>
      </w:pPr>
      <w:r>
        <w:rPr>
          <w:rFonts w:ascii="Courier New" w:cs="Courier New" w:eastAsia="Courier New" w:hAnsi="Courier New"/>
          <w:sz w:val="14"/>
          <w:szCs w:val="14"/>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Employee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Separation</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Asset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Costs</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Facilities</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Write-offs</w:t>
            </w:r>
          </w:p>
        </w:tc>
        <w:tc>
          <w:tcPr>
            <w:tcW w:w="44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2,530</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13,311</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(2,473)</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(5,070)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(4,126)</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395</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4,115</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2,710</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1,917</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440" w:right="3400" w:firstLine="434"/>
        <w:spacing w:after="0" w:line="258" w:lineRule="auto"/>
        <w:rPr>
          <w:sz w:val="20"/>
          <w:szCs w:val="20"/>
          <w:color w:val="auto"/>
        </w:rPr>
      </w:pPr>
      <w:r>
        <w:rPr>
          <w:rFonts w:ascii="Courier New" w:cs="Courier New" w:eastAsia="Courier New" w:hAnsi="Courier New"/>
          <w:sz w:val="14"/>
          <w:szCs w:val="14"/>
          <w:color w:val="auto"/>
        </w:rPr>
        <w:t>The operating costs related to the Stamford site that were eliminated were approximately $8,500 in its last quarter of activity.</w:t>
      </w:r>
    </w:p>
    <w:p>
      <w:pPr>
        <w:spacing w:after="0" w:line="160"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left="440" w:right="3300" w:firstLine="347"/>
        <w:spacing w:after="0" w:line="254" w:lineRule="auto"/>
        <w:rPr>
          <w:sz w:val="20"/>
          <w:szCs w:val="20"/>
          <w:color w:val="auto"/>
        </w:rPr>
      </w:pPr>
      <w:r>
        <w:rPr>
          <w:rFonts w:ascii="Courier New" w:cs="Courier New" w:eastAsia="Courier New" w:hAnsi="Courier New"/>
          <w:sz w:val="14"/>
          <w:szCs w:val="14"/>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30"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64" w:lineRule="exact"/>
        <w:rPr>
          <w:sz w:val="20"/>
          <w:szCs w:val="20"/>
          <w:color w:val="auto"/>
        </w:rPr>
      </w:pPr>
    </w:p>
    <w:p>
      <w:pPr>
        <w:ind w:left="440" w:right="3560" w:firstLine="347"/>
        <w:spacing w:after="0" w:line="258" w:lineRule="auto"/>
        <w:rPr>
          <w:sz w:val="20"/>
          <w:szCs w:val="20"/>
          <w:color w:val="auto"/>
        </w:rPr>
      </w:pPr>
      <w:r>
        <w:rPr>
          <w:rFonts w:ascii="Courier New" w:cs="Courier New" w:eastAsia="Courier New" w:hAnsi="Courier New"/>
          <w:sz w:val="14"/>
          <w:szCs w:val="14"/>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 2004</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 2004</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3"/>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Pension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Benefits</w:t>
            </w: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Benefits</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271</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Interest on benefit obligations</w:t>
            </w:r>
          </w:p>
        </w:tc>
        <w:tc>
          <w:tcPr>
            <w:tcW w:w="3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673</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1,943</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279</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613</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550</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80" w:firstLine="347"/>
        <w:spacing w:after="0" w:line="254" w:lineRule="auto"/>
        <w:rPr>
          <w:sz w:val="20"/>
          <w:szCs w:val="20"/>
          <w:color w:val="auto"/>
        </w:rPr>
      </w:pPr>
      <w:r>
        <w:rPr>
          <w:rFonts w:ascii="Courier New" w:cs="Courier New" w:eastAsia="Courier New" w:hAnsi="Courier New"/>
          <w:sz w:val="14"/>
          <w:szCs w:val="14"/>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60"/>
          </w:cols>
          <w:pgMar w:left="220" w:top="453" w:right="1419" w:bottom="1440" w:gutter="0" w:footer="0" w:header="0"/>
        </w:sectPr>
      </w:pPr>
    </w:p>
    <w:bookmarkStart w:id="91" w:name="page92"/>
    <w:bookmarkEnd w:id="91"/>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64" w:lineRule="exact"/>
        <w:rPr>
          <w:sz w:val="20"/>
          <w:szCs w:val="20"/>
          <w:color w:val="auto"/>
        </w:rPr>
      </w:pPr>
    </w:p>
    <w:p>
      <w:pPr>
        <w:ind w:left="440" w:right="3279" w:firstLine="347"/>
        <w:spacing w:after="0" w:line="254" w:lineRule="auto"/>
        <w:rPr>
          <w:sz w:val="20"/>
          <w:szCs w:val="20"/>
          <w:color w:val="auto"/>
        </w:rPr>
      </w:pPr>
      <w:r>
        <w:rPr>
          <w:rFonts w:ascii="Courier New" w:cs="Courier New" w:eastAsia="Courier New" w:hAnsi="Courier New"/>
          <w:sz w:val="14"/>
          <w:szCs w:val="14"/>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and Exchange Commission Investigation</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Guarantor's Accounting and Disclosure Requirements for Guarantees</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64" w:lineRule="exact"/>
        <w:rPr>
          <w:sz w:val="20"/>
          <w:szCs w:val="20"/>
          <w:color w:val="auto"/>
        </w:rPr>
      </w:pPr>
    </w:p>
    <w:p>
      <w:pPr>
        <w:ind w:left="360" w:right="3379" w:firstLine="434"/>
        <w:spacing w:after="0" w:line="253" w:lineRule="auto"/>
        <w:rPr>
          <w:sz w:val="20"/>
          <w:szCs w:val="20"/>
          <w:color w:val="auto"/>
        </w:rPr>
      </w:pPr>
      <w:r>
        <w:rPr>
          <w:rFonts w:ascii="Courier New" w:cs="Courier New" w:eastAsia="Courier New" w:hAnsi="Courier New"/>
          <w:sz w:val="14"/>
          <w:szCs w:val="14"/>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332" w:lineRule="exact"/>
        <w:rPr>
          <w:sz w:val="20"/>
          <w:szCs w:val="20"/>
          <w:color w:val="auto"/>
        </w:rPr>
      </w:pPr>
    </w:p>
    <w:p>
      <w:pPr>
        <w:ind w:left="440" w:right="3459" w:firstLine="347"/>
        <w:spacing w:after="0" w:line="253" w:lineRule="auto"/>
        <w:rPr>
          <w:sz w:val="20"/>
          <w:szCs w:val="20"/>
          <w:color w:val="auto"/>
        </w:rPr>
      </w:pPr>
      <w:r>
        <w:rPr>
          <w:rFonts w:ascii="Courier New" w:cs="Courier New" w:eastAsia="Courier New" w:hAnsi="Courier New"/>
          <w:sz w:val="14"/>
          <w:szCs w:val="14"/>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20" w:right="1440" w:bottom="1440" w:gutter="0" w:footer="0" w:header="0"/>
        </w:sectPr>
      </w:pPr>
    </w:p>
    <w:bookmarkStart w:id="92" w:name="page93"/>
    <w:bookmarkEnd w:id="92"/>
    <w:p>
      <w:pPr>
        <w:jc w:val="center"/>
        <w:ind w:right="3379"/>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MONTH PERIODS ENDED JUNE 30,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this section, we discuss the general financial condition and the results of operations for Amdocs and its subsidiaries including:</w:t>
      </w:r>
    </w:p>
    <w:p>
      <w:pPr>
        <w:spacing w:after="0" w:line="160" w:lineRule="exact"/>
        <w:rPr>
          <w:sz w:val="20"/>
          <w:szCs w:val="20"/>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factors that affect our business,</w:t>
      </w:r>
    </w:p>
    <w:p>
      <w:pPr>
        <w:spacing w:after="0" w:line="175" w:lineRule="exact"/>
        <w:rPr>
          <w:rFonts w:ascii="Courier New" w:cs="Courier New" w:eastAsia="Courier New" w:hAnsi="Courier New"/>
          <w:sz w:val="14"/>
          <w:szCs w:val="14"/>
          <w:color w:val="auto"/>
        </w:rPr>
      </w:pPr>
    </w:p>
    <w:p>
      <w:pPr>
        <w:ind w:left="800" w:right="32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revenue and costs for the nine months and three months ended June 30, 2004 and 2003,</w:t>
      </w:r>
    </w:p>
    <w:p>
      <w:pPr>
        <w:spacing w:after="0" w:line="159" w:lineRule="exact"/>
        <w:rPr>
          <w:rFonts w:ascii="Courier New" w:cs="Courier New" w:eastAsia="Courier New" w:hAnsi="Courier New"/>
          <w:sz w:val="14"/>
          <w:szCs w:val="14"/>
          <w:color w:val="auto"/>
        </w:rPr>
      </w:pPr>
    </w:p>
    <w:p>
      <w:pPr>
        <w:ind w:left="800" w:right="389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reasons why such revenue and costs were different from period to period,</w:t>
      </w:r>
    </w:p>
    <w:p>
      <w:pPr>
        <w:spacing w:after="0" w:line="159"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revenue,</w:t>
      </w:r>
    </w:p>
    <w:p>
      <w:pPr>
        <w:spacing w:after="0" w:line="175"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all of this affects our overall financial condition,</w:t>
      </w:r>
    </w:p>
    <w:p>
      <w:pPr>
        <w:spacing w:after="0" w:line="175" w:lineRule="exact"/>
        <w:rPr>
          <w:rFonts w:ascii="Courier New" w:cs="Courier New" w:eastAsia="Courier New" w:hAnsi="Courier New"/>
          <w:sz w:val="14"/>
          <w:szCs w:val="14"/>
          <w:color w:val="auto"/>
        </w:rPr>
      </w:pPr>
    </w:p>
    <w:p>
      <w:pPr>
        <w:ind w:left="800" w:right="33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expenditures for the nine months and three months ended June 30, 2004 and 2003, and</w:t>
      </w:r>
    </w:p>
    <w:p>
      <w:pPr>
        <w:spacing w:after="0" w:line="159" w:lineRule="exact"/>
        <w:rPr>
          <w:rFonts w:ascii="Courier New" w:cs="Courier New" w:eastAsia="Courier New" w:hAnsi="Courier New"/>
          <w:sz w:val="14"/>
          <w:szCs w:val="14"/>
          <w:color w:val="auto"/>
        </w:rPr>
      </w:pPr>
    </w:p>
    <w:p>
      <w:pPr>
        <w:ind w:left="800" w:right="371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cash to pay for future capital expenditures and possible acquisitions.</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Overview of Business and Trend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3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part of our strategy, we may pursue acquisitions and other initiatives in order to offer new products or services or otherwise enhance our market position or strategic strengths.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derive our revenue principally from:</w:t>
      </w:r>
    </w:p>
    <w:p>
      <w:pPr>
        <w:spacing w:after="0" w:line="175" w:lineRule="exact"/>
        <w:rPr>
          <w:sz w:val="20"/>
          <w:szCs w:val="20"/>
          <w:color w:val="auto"/>
        </w:rPr>
      </w:pPr>
    </w:p>
    <w:p>
      <w:pPr>
        <w:ind w:left="880" w:right="353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our products and related services, including license fees and modification, implementation and integration services,</w:t>
      </w:r>
    </w:p>
    <w:p>
      <w:pPr>
        <w:spacing w:after="0" w:line="162" w:lineRule="exact"/>
        <w:rPr>
          <w:rFonts w:ascii="Courier New" w:cs="Courier New" w:eastAsia="Courier New" w:hAnsi="Courier New"/>
          <w:sz w:val="14"/>
          <w:szCs w:val="14"/>
          <w:color w:val="auto"/>
        </w:rPr>
      </w:pPr>
    </w:p>
    <w:p>
      <w:pPr>
        <w:ind w:left="880" w:right="3799" w:hanging="437"/>
        <w:spacing w:after="0" w:line="258"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Managed Services and other related services for our solutions, and</w:t>
      </w:r>
    </w:p>
    <w:p>
      <w:pPr>
        <w:spacing w:after="0" w:line="159"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support and maintenance provided to our customers, and from incremental license fees resulting from increases in a customer's business volume.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94" w:name="page95"/>
    <w:bookmarkEnd w:id="94"/>
    <w:p>
      <w:pPr>
        <w:ind w:right="3279"/>
        <w:spacing w:after="0" w:line="252" w:lineRule="auto"/>
        <w:rPr>
          <w:sz w:val="20"/>
          <w:szCs w:val="20"/>
          <w:color w:val="auto"/>
        </w:rPr>
      </w:pPr>
      <w:r>
        <w:rPr>
          <w:rFonts w:ascii="Courier New" w:cs="Courier New" w:eastAsia="Courier New" w:hAnsi="Courier New"/>
          <w:sz w:val="14"/>
          <w:szCs w:val="14"/>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4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34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83"/>
              </w:rPr>
              <w:t>Q1</w:t>
            </w:r>
          </w:p>
        </w:tc>
        <w:tc>
          <w:tcPr>
            <w:tcW w:w="86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Q2</w:t>
            </w:r>
          </w:p>
        </w:tc>
        <w:tc>
          <w:tcPr>
            <w:tcW w:w="70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Q3</w:t>
            </w:r>
          </w:p>
        </w:tc>
        <w:tc>
          <w:tcPr>
            <w:tcW w:w="660" w:type="dxa"/>
            <w:vAlign w:val="bottom"/>
          </w:tcPr>
          <w:p>
            <w:pPr>
              <w:spacing w:after="0"/>
              <w:rPr>
                <w:sz w:val="14"/>
                <w:szCs w:val="14"/>
                <w:color w:val="auto"/>
              </w:rPr>
            </w:pP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Q4</w:t>
            </w:r>
          </w:p>
        </w:tc>
      </w:tr>
      <w:tr>
        <w:trPr>
          <w:trHeight w:val="167"/>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Fiscal 2004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450.2</w:t>
            </w:r>
          </w:p>
        </w:tc>
        <w:tc>
          <w:tcPr>
            <w:tcW w:w="6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411.7</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355.5</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We believe that demand for our CC&amp;B Systems is driven by, among other key factors:</w:t>
      </w:r>
    </w:p>
    <w:p>
      <w:pPr>
        <w:spacing w:after="0" w:line="160" w:lineRule="exact"/>
        <w:rPr>
          <w:sz w:val="20"/>
          <w:szCs w:val="20"/>
          <w:color w:val="auto"/>
        </w:rPr>
      </w:pPr>
    </w:p>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penetration of communications service providers,</w:t>
      </w:r>
    </w:p>
    <w:p>
      <w:pPr>
        <w:spacing w:after="0" w:line="175"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emergence of new communications products and services, especially IP, data and content services,</w:t>
      </w:r>
    </w:p>
    <w:p>
      <w:pPr>
        <w:spacing w:after="0" w:line="159" w:lineRule="exact"/>
        <w:rPr>
          <w:rFonts w:ascii="Courier New" w:cs="Courier New" w:eastAsia="Courier New" w:hAnsi="Courier New"/>
          <w:sz w:val="14"/>
          <w:szCs w:val="14"/>
          <w:color w:val="auto"/>
        </w:rPr>
      </w:pPr>
    </w:p>
    <w:p>
      <w:pPr>
        <w:ind w:left="800" w:right="3459" w:hanging="357"/>
        <w:spacing w:after="0" w:line="255"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787" w:right="1440" w:bottom="1440" w:gutter="0" w:footer="0" w:header="0"/>
        </w:sectPr>
      </w:pPr>
    </w:p>
    <w:bookmarkStart w:id="95" w:name="page96"/>
    <w:bookmarkEnd w:id="95"/>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consolidation within the communications industry,</w:t>
      </w:r>
    </w:p>
    <w:p>
      <w:pPr>
        <w:spacing w:after="0" w:line="175"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needs of communications service providers to reduce costs and retain high value customers, and</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960" w:type="dxa"/>
            <w:vAlign w:val="bottom"/>
          </w:tcPr>
          <w:p>
            <w:pPr>
              <w:spacing w:after="0"/>
              <w:rPr>
                <w:sz w:val="14"/>
                <w:szCs w:val="14"/>
                <w:color w:val="auto"/>
              </w:rPr>
            </w:pPr>
          </w:p>
        </w:tc>
        <w:tc>
          <w:tcPr>
            <w:tcW w:w="1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260" w:type="dxa"/>
            <w:vAlign w:val="bottom"/>
          </w:tcPr>
          <w:p>
            <w:pPr>
              <w:spacing w:after="0"/>
              <w:rPr>
                <w:sz w:val="14"/>
                <w:szCs w:val="14"/>
                <w:color w:val="auto"/>
              </w:rPr>
            </w:pPr>
          </w:p>
        </w:tc>
        <w:tc>
          <w:tcPr>
            <w:tcW w:w="2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License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license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Research and development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administrative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intangible assets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Restructuring charges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and other, net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3260" w:type="dxa"/>
            <w:vAlign w:val="bottom"/>
          </w:tcPr>
          <w:p>
            <w:pPr>
              <w:spacing w:after="0"/>
              <w:rPr>
                <w:sz w:val="24"/>
                <w:szCs w:val="24"/>
                <w:color w:val="auto"/>
              </w:rPr>
            </w:pPr>
          </w:p>
        </w:tc>
        <w:tc>
          <w:tcPr>
            <w:tcW w:w="15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79</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96" w:name="page97"/>
    <w:bookmarkEnd w:id="96"/>
    <w:p>
      <w:pPr>
        <w:ind w:left="440"/>
        <w:spacing w:after="0"/>
        <w:rPr>
          <w:sz w:val="20"/>
          <w:szCs w:val="20"/>
          <w:color w:val="auto"/>
        </w:rPr>
      </w:pPr>
      <w:r>
        <w:rPr>
          <w:rFonts w:ascii="Courier New" w:cs="Courier New" w:eastAsia="Courier New" w:hAnsi="Courier New"/>
          <w:sz w:val="14"/>
          <w:szCs w:val="14"/>
          <w:color w:val="auto"/>
        </w:rPr>
        <w:t>NINE MONTHS ENDED JUNE 30, 2004 AND 2003</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JUNE 30,</w:t>
            </w:r>
          </w:p>
        </w:tc>
        <w:tc>
          <w:tcPr>
            <w:tcW w:w="1840" w:type="dxa"/>
            <w:vAlign w:val="bottom"/>
            <w:gridSpan w:val="3"/>
          </w:tcPr>
          <w:p>
            <w:pPr>
              <w:spacing w:after="0"/>
              <w:rPr>
                <w:sz w:val="20"/>
                <w:szCs w:val="20"/>
                <w:color w:val="auto"/>
              </w:rPr>
            </w:pPr>
            <w:r>
              <w:rPr>
                <w:rFonts w:ascii="Courier New" w:cs="Courier New" w:eastAsia="Courier New" w:hAnsi="Courier New"/>
                <w:sz w:val="14"/>
                <w:szCs w:val="14"/>
                <w:color w:val="auto"/>
              </w:rPr>
              <w:t>INCREASE (DECREASE)</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3520" w:type="dxa"/>
            <w:vAlign w:val="bottom"/>
            <w:gridSpan w:val="6"/>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51,176</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1,269,251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1,020,392</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248,859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1,321,277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1,071,568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249,709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license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4,137</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833,470</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646,389</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187,081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92,247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88,888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159,078</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153,644</w:t>
            </w:r>
          </w:p>
        </w:tc>
        <w:tc>
          <w:tcPr>
            <w:tcW w:w="1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13,423</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14,303</w:t>
            </w:r>
          </w:p>
        </w:tc>
        <w:tc>
          <w:tcPr>
            <w:tcW w:w="1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charges .....</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9,956</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1,102,025</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917,317</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219,252</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154,251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65,001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and other, net</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2,899</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(9,533)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166,683</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55,468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48,873</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125,012</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48,266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38.6%</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453" w:right="1440" w:bottom="0" w:gutter="0" w:footer="0" w:header="0"/>
        </w:sectPr>
      </w:pPr>
    </w:p>
    <w:bookmarkStart w:id="97" w:name="page98"/>
    <w:bookmarkEnd w:id="97"/>
    <w:p>
      <w:pPr>
        <w:ind w:right="3279" w:firstLine="521"/>
        <w:spacing w:after="0" w:line="253" w:lineRule="auto"/>
        <w:rPr>
          <w:sz w:val="20"/>
          <w:szCs w:val="20"/>
          <w:color w:val="auto"/>
        </w:rPr>
      </w:pPr>
      <w:r>
        <w:rPr>
          <w:rFonts w:ascii="Courier New" w:cs="Courier New" w:eastAsia="Courier New" w:hAnsi="Courier New"/>
          <w:sz w:val="14"/>
          <w:szCs w:val="14"/>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20" w:right="1440" w:bottom="1440" w:gutter="0" w:footer="0" w:header="0"/>
        </w:sectPr>
      </w:pPr>
    </w:p>
    <w:bookmarkStart w:id="98" w:name="page99"/>
    <w:bookmarkEnd w:id="98"/>
    <w:p>
      <w:pPr>
        <w:ind w:right="3379" w:firstLine="434"/>
        <w:spacing w:after="0" w:line="255" w:lineRule="auto"/>
        <w:rPr>
          <w:sz w:val="20"/>
          <w:szCs w:val="20"/>
          <w:color w:val="auto"/>
        </w:rPr>
      </w:pPr>
      <w:r>
        <w:rPr>
          <w:rFonts w:ascii="Courier New" w:cs="Courier New" w:eastAsia="Courier New" w:hAnsi="Courier New"/>
          <w:sz w:val="14"/>
          <w:szCs w:val="14"/>
          <w:color w:val="auto"/>
        </w:rPr>
        <w:t>Restructuring Charges. The restructuring charge in the nine months ended June 30, 2003 consisted of the cost reduction program we implemented during the first quarter of fiscal 2003.</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were $0.80 for the nine months ended June 30, 2004, compared to $0.57 in the nine months ended June 30, 2003.</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20" w:right="1440" w:bottom="1440" w:gutter="0" w:footer="0" w:header="0"/>
        </w:sectPr>
      </w:pPr>
    </w:p>
    <w:bookmarkStart w:id="99" w:name="page100"/>
    <w:bookmarkEnd w:id="99"/>
    <w:p>
      <w:pPr>
        <w:ind w:left="440"/>
        <w:spacing w:after="0"/>
        <w:rPr>
          <w:sz w:val="20"/>
          <w:szCs w:val="20"/>
          <w:color w:val="auto"/>
        </w:rPr>
      </w:pPr>
      <w:r>
        <w:rPr>
          <w:rFonts w:ascii="Courier New" w:cs="Courier New" w:eastAsia="Courier New" w:hAnsi="Courier New"/>
          <w:sz w:val="14"/>
          <w:szCs w:val="14"/>
          <w:color w:val="auto"/>
        </w:rPr>
        <w:t>THREE MONTHS ENDED JUNE 30, 2004 AND 2003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three months ended June 30, 2004 compared to the three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2003. Following the table is a discussion and analysis of our</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business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and</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results of operations for such periods.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INCREASE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(DECREASE)</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122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2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License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17,298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$ 11,491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5,807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432,926</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365,677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67,249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450,224</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377,168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license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1,455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283,109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230,323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52,786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31,665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29,941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administrative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52,745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50,943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intangible assets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4,558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4,524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373,525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317,186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76,699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59,982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and other, net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76,820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63,251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15,813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59,920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$ 47,438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$ 12,482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License revenue in the three months ended June 30, 2004 increased compared to the three months ended June 30, 2003, as a result of new contracts that we obtained from new and existing customers during fiscal 2004.</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73"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License and service revenue from the sale of Directory Systems was $62.2 million for the three months ended June 30, 2004, an increase of $7.2 million, or 13.1%, over the three months ended June 30, 2003. Approximately $15 million of the increase in Directory Systems revenue in the three months ended June 30,</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453" w:right="1440" w:bottom="0" w:gutter="0" w:footer="0" w:header="0"/>
        </w:sectPr>
      </w:pPr>
    </w:p>
    <w:bookmarkStart w:id="100" w:name="page101"/>
    <w:bookmarkEnd w:id="100"/>
    <w:p>
      <w:pPr>
        <w:ind w:right="3279"/>
        <w:spacing w:after="0" w:line="253" w:lineRule="auto"/>
        <w:rPr>
          <w:sz w:val="20"/>
          <w:szCs w:val="20"/>
          <w:color w:val="auto"/>
        </w:rPr>
      </w:pPr>
      <w:r>
        <w:rPr>
          <w:rFonts w:ascii="Courier New" w:cs="Courier New" w:eastAsia="Courier New" w:hAnsi="Courier New"/>
          <w:sz w:val="14"/>
          <w:szCs w:val="14"/>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20" w:right="1440" w:bottom="1440" w:gutter="0" w:footer="0" w:header="0"/>
        </w:sectPr>
      </w:pPr>
    </w:p>
    <w:bookmarkStart w:id="101" w:name="page102"/>
    <w:bookmarkEnd w:id="101"/>
    <w:p>
      <w:pPr>
        <w:ind w:right="3379" w:firstLine="434"/>
        <w:spacing w:after="0" w:line="253"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three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resulted from the interest income on debentures issued by Certen to us that was eliminated as a result of the Certen acquisition.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Income Taxes. Our effective tax rate in the three months ended June 30, 2004 was 22% compared to 25% in the three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Net Income. The increase in net income is attributable to the 19.4% increase in our total revenue, which was partially offset by the 1.7% decrease in our gross margin attributable to the relative low gross margin of our Managed Services projects in their early stages of implementation in the three months ended June 30, 2004.</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were $0.28 for the three months ended June 30, 2004, compared to $0.21 in the three months ended June 30, 2003.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Cash, cash equivalents and short-term interest-bearing investments totaled $1,228.3 million as of June 30, 2004, compared to $1,290.9 million as of September 30, 2003. The decrease is attributable to the use of approximately $395.1 million to repurchase 2% Convertible Notes due June 1, 2008 (the "2% Notes") as described below, the use of $170.1 million to repurchase ordinary shares sold short by purchasers of the 0.50% Convertible Senior Notes due 2024 (the "0.50% Notes") in negotiated transactions concurrently with the sale of the 0.50% Notes, and the use of an additional $137.4 million to repurchase our ordinary shares pursuant to our share repurchase program and in connection with our acquisition of XACCT, which was partially offset by the net proceeds from the issuance of $450.0 million of 0.50% Notes in March 2004 and positive cash flows from operations. Net cash provided by operating activities amounted to $257.7 million and $284.0 million for the nine months ended June 30, 2004 and 2003, respectively. Although net income before depreciation and amortization increased in the nine months ended June 30, 2004, cash flows from operations decreased, due primarily to increases in accounts receivable. We currently intend to retain our future operating cash flows to support the further expansion of our business, including investments related to new Managed Services projects and acquisitions. We also may use a portion of our cash balances for future repurchases of our outstanding securities.</w:t>
      </w:r>
    </w:p>
    <w:p>
      <w:pPr>
        <w:spacing w:after="0" w:line="34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June 1, 2004, we completed a cash offer for the 2% Notes. Pursuant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indenture for the 2% Notes, each holder of the 2% Notes had the right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 us to repurchase on June 1, 2004 all or any part of such holder's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 price equal to 100% of the principal amount plus accrued and unpaid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Under the terms of the 2% Notes, we had the option to pay for the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with cash, ordinary shares, or a combination of cash and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elected to pay for the 2% Notes solely with cash. We accepted for payment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$395.1 million principal amount of 2% Notes surrendered for repurchase pursuant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offer. The untendered $344,000 principal amount of 2% Notes will remain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our obligations due June 1, 2008, in accordance with their terms. As of June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2004, $0.3 million and $450.0 million aggregate principal amount of our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and 0.50% Notes were outstanding, respectively.</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by authorizing the repurchase of up to $100.0 million of our outstanding ordinary shares. The authorization permits us to purchase our ordinary shares in open market or privately negotiated transactions at times and</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20" w:right="1440" w:bottom="1440" w:gutter="0" w:footer="0" w:header="0"/>
        </w:sectPr>
      </w:pPr>
    </w:p>
    <w:bookmarkStart w:id="102" w:name="page103"/>
    <w:bookmarkEnd w:id="102"/>
    <w:p>
      <w:pPr>
        <w:spacing w:after="0" w:line="1"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prices considered appropriate by us. As of August 10, 2004, we had repurchased 2,218,500 ordinary shares under this repurchase program, for an aggregate purchase price of 46.8 million.</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As of June 30, 2004, we had available short-term general revolving lines of credit totaling $31.0 million, pursuant to which $0.9 million of loans was outstanding. In addition, as of June 30, 2004 we had outstanding letters of credit and bank guarantees from various banks totaling $13.6 million.</w:t>
      </w:r>
    </w:p>
    <w:p>
      <w:pPr>
        <w:spacing w:after="0" w:line="163"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As of June 30, 2004, we had outstanding long-term obligations of $28.4 million in connection with leasing arrangements.</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have contractual obligations for our convertible notes, financing arrangements, capital leases and non-cancelable operating leases that were summarized in a table of contractual obligations in our Annual Report on Form 20-F for the year ended September 30, 2003. There have been no material changes in contractual obligations outside the ordinary course of our business since September 30, 2003, with the exception of the issuance of our 0.50% Notes in March 2004 and the repurchase of the 2% Notes in June 2004, as discussed above.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Our capital expenditures were approximately $33.5 million in the nine months ended June 30, 2004. Approximately 85% of these expenditures consisted of purchases of computer equipment and, the remainder, leasehold improvements. We funded our capital expenditures principally from operating cash flows. We do not anticipate any changes to this policy in the foreseeable future.</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Currency Fluctuations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 throughout Amdocs' group.</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During the nine months ended June 30, 2004, our revenue and operating expenses (excluding acquisition-related charges) in U.S. dollars or linked to the U.S. dollar decreased compared to fiscal 2003, from 80% to 70% and from 60% to 50%, respectively, primarily as a result of the acquisition of Certen Inc., the majority of whose business is in Canadian dollars. As a result of long-term contracts in currencies other than the U.S. dollar and more customers seeking contracts that are denominated in currencies such as the Euro, we expect that the percentage of our revenue and operating expenses in U.S. dollars or linked to the U.S. dollar will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34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INDEMNIFICATION OF DIRECTORS AND OFFICERS.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EXHIBITS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262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26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308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262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Association of Amdocs Limited</w:t>
            </w:r>
          </w:p>
        </w:tc>
      </w:tr>
      <w:tr>
        <w:trPr>
          <w:trHeight w:val="167"/>
        </w:trPr>
        <w:tc>
          <w:tcPr>
            <w:tcW w:w="1000" w:type="dxa"/>
            <w:vAlign w:val="bottom"/>
          </w:tcPr>
          <w:p>
            <w:pPr>
              <w:spacing w:after="0"/>
              <w:rPr>
                <w:sz w:val="14"/>
                <w:szCs w:val="14"/>
                <w:color w:val="auto"/>
              </w:rPr>
            </w:pPr>
          </w:p>
        </w:tc>
        <w:tc>
          <w:tcPr>
            <w:tcW w:w="262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to Exhibits 3.1 and 3.2 to Amdocs'</w:t>
            </w:r>
          </w:p>
        </w:tc>
      </w:tr>
      <w:tr>
        <w:trPr>
          <w:trHeight w:val="167"/>
        </w:trPr>
        <w:tc>
          <w:tcPr>
            <w:tcW w:w="10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262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c>
          <w:tcPr>
            <w:tcW w:w="3080" w:type="dxa"/>
            <w:vAlign w:val="bottom"/>
          </w:tcPr>
          <w:p>
            <w:pPr>
              <w:spacing w:after="0"/>
              <w:rPr>
                <w:sz w:val="14"/>
                <w:szCs w:val="14"/>
                <w:color w:val="auto"/>
              </w:rPr>
            </w:pP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bl>
    <w:p>
      <w:pPr>
        <w:sectPr>
          <w:pgSz w:w="11900" w:h="16839" w:orient="portrait"/>
          <w:cols w:equalWidth="0" w:num="1">
            <w:col w:w="10239"/>
          </w:cols>
          <w:pgMar w:left="220" w:top="620" w:right="1440" w:bottom="0" w:gutter="0" w:footer="0" w:header="0"/>
        </w:sectPr>
      </w:pPr>
    </w:p>
    <w:bookmarkStart w:id="103" w:name="page104"/>
    <w:bookmarkEnd w:id="103"/>
    <w:p>
      <w:pPr>
        <w:ind w:left="1320" w:right="3279"/>
        <w:spacing w:after="0" w:line="252" w:lineRule="auto"/>
        <w:rPr>
          <w:sz w:val="20"/>
          <w:szCs w:val="20"/>
          <w:color w:val="auto"/>
        </w:rPr>
      </w:pPr>
      <w:r>
        <w:rPr>
          <w:rFonts w:ascii="Courier New" w:cs="Courier New" w:eastAsia="Courier New" w:hAnsi="Courier New"/>
          <w:sz w:val="14"/>
          <w:szCs w:val="14"/>
          <w:color w:val="auto"/>
        </w:rPr>
        <w:t>(incorporated by reference to Exhibit 4.1 to Amdocs' Registration Statement on Form F-1 dated June 19, 1998; Registration No.</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333-8826)</w:t>
      </w:r>
    </w:p>
    <w:p>
      <w:pPr>
        <w:spacing w:after="0" w:line="175" w:lineRule="exact"/>
        <w:rPr>
          <w:sz w:val="20"/>
          <w:szCs w:val="20"/>
          <w:color w:val="auto"/>
        </w:rPr>
      </w:pPr>
    </w:p>
    <w:p>
      <w:pPr>
        <w:ind w:left="1320" w:right="3379" w:hanging="1127"/>
        <w:spacing w:after="0" w:line="254" w:lineRule="auto"/>
        <w:tabs>
          <w:tab w:leader="none" w:pos="130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Indenture, dated March 5, 2004, between Amdocs Limited and The Bank of New York, as trustee, for 0.50% Convertible Senior Notes due 2024 (incorporated by reference to Exhibit 99.1 to Amdocs' Report on Form 6-K, filed March 5, 2004)</w:t>
      </w:r>
    </w:p>
    <w:p>
      <w:pPr>
        <w:spacing w:after="0" w:line="163" w:lineRule="exact"/>
        <w:rPr>
          <w:sz w:val="20"/>
          <w:szCs w:val="20"/>
          <w:color w:val="auto"/>
        </w:rPr>
      </w:pPr>
    </w:p>
    <w:p>
      <w:pPr>
        <w:ind w:left="1320" w:right="3379" w:hanging="1127"/>
        <w:spacing w:after="0" w:line="254" w:lineRule="auto"/>
        <w:tabs>
          <w:tab w:leader="none" w:pos="13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Registration Rights Agreement, dated March 5, 2004, among Amdocs Limited and Morgan Stanley &amp; Co. Incorporated, Goldman, Sachs &amp; Co. and Merrill Lynch, Pierce Fenner &amp; Smith Incorporated (incorporated by reference to Exhibit 99.2 to Amdocs' Report on Form 6-K, filed March 5, 2004)</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w:t>
            </w:r>
          </w:p>
        </w:tc>
        <w:tc>
          <w:tcPr>
            <w:tcW w:w="1300" w:type="dxa"/>
            <w:vAlign w:val="bottom"/>
          </w:tcPr>
          <w:p>
            <w:pPr>
              <w:ind w:left="400"/>
              <w:spacing w:after="0"/>
              <w:rPr>
                <w:sz w:val="20"/>
                <w:szCs w:val="20"/>
                <w:color w:val="auto"/>
              </w:rPr>
            </w:pPr>
            <w:r>
              <w:rPr>
                <w:rFonts w:ascii="Courier New" w:cs="Courier New" w:eastAsia="Courier New" w:hAnsi="Courier New"/>
                <w:sz w:val="14"/>
                <w:szCs w:val="14"/>
                <w:color w:val="auto"/>
              </w:rPr>
              <w:t>Opinion 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Carey</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Olsen.</w:t>
            </w:r>
          </w:p>
        </w:tc>
        <w:tc>
          <w:tcPr>
            <w:tcW w:w="86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334"/>
        </w:trPr>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w:t>
            </w:r>
          </w:p>
        </w:tc>
        <w:tc>
          <w:tcPr>
            <w:tcW w:w="1300" w:type="dxa"/>
            <w:vAlign w:val="bottom"/>
          </w:tcPr>
          <w:p>
            <w:pPr>
              <w:ind w:left="400"/>
              <w:spacing w:after="0"/>
              <w:rPr>
                <w:sz w:val="20"/>
                <w:szCs w:val="20"/>
                <w:color w:val="auto"/>
              </w:rPr>
            </w:pPr>
            <w:r>
              <w:rPr>
                <w:rFonts w:ascii="Courier New" w:cs="Courier New" w:eastAsia="Courier New" w:hAnsi="Courier New"/>
                <w:sz w:val="14"/>
                <w:szCs w:val="14"/>
                <w:color w:val="auto"/>
              </w:rPr>
              <w:t>Opinion of</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Wilmer Cutler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Pickering</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Hale and Dorr LLP.</w:t>
            </w:r>
          </w:p>
        </w:tc>
      </w:tr>
      <w:tr>
        <w:trPr>
          <w:trHeight w:val="334"/>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12.1</w:t>
            </w:r>
          </w:p>
        </w:tc>
        <w:tc>
          <w:tcPr>
            <w:tcW w:w="1300" w:type="dxa"/>
            <w:vAlign w:val="bottom"/>
          </w:tcPr>
          <w:p>
            <w:pPr>
              <w:ind w:left="400"/>
              <w:spacing w:after="0"/>
              <w:rPr>
                <w:sz w:val="20"/>
                <w:szCs w:val="20"/>
                <w:color w:val="auto"/>
              </w:rPr>
            </w:pPr>
            <w:r>
              <w:rPr>
                <w:rFonts w:ascii="Courier New" w:cs="Courier New" w:eastAsia="Courier New" w:hAnsi="Courier New"/>
                <w:sz w:val="14"/>
                <w:szCs w:val="14"/>
                <w:color w:val="auto"/>
              </w:rPr>
              <w:t>Compuation</w:t>
            </w:r>
          </w:p>
        </w:tc>
        <w:tc>
          <w:tcPr>
            <w:tcW w:w="2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Ratio of Earnings to</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Fixed Charges.</w:t>
            </w:r>
          </w:p>
        </w:tc>
      </w:tr>
      <w:tr>
        <w:trPr>
          <w:trHeight w:val="334"/>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23.1</w:t>
            </w:r>
          </w:p>
        </w:tc>
        <w:tc>
          <w:tcPr>
            <w:tcW w:w="1300" w:type="dxa"/>
            <w:vAlign w:val="bottom"/>
          </w:tcPr>
          <w:p>
            <w:pPr>
              <w:ind w:left="400"/>
              <w:spacing w:after="0"/>
              <w:rPr>
                <w:sz w:val="20"/>
                <w:szCs w:val="20"/>
                <w:color w:val="auto"/>
              </w:rPr>
            </w:pPr>
            <w:r>
              <w:rPr>
                <w:rFonts w:ascii="Courier New" w:cs="Courier New" w:eastAsia="Courier New" w:hAnsi="Courier New"/>
                <w:sz w:val="14"/>
                <w:szCs w:val="14"/>
                <w:color w:val="auto"/>
              </w:rPr>
              <w:t>Consent 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Ernst</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&amp; Young</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LLP.</w:t>
            </w:r>
          </w:p>
        </w:tc>
        <w:tc>
          <w:tcPr>
            <w:tcW w:w="2560" w:type="dxa"/>
            <w:vAlign w:val="bottom"/>
          </w:tcPr>
          <w:p>
            <w:pPr>
              <w:spacing w:after="0"/>
              <w:rPr>
                <w:sz w:val="24"/>
                <w:szCs w:val="24"/>
                <w:color w:val="auto"/>
              </w:rPr>
            </w:pPr>
          </w:p>
        </w:tc>
      </w:tr>
      <w:tr>
        <w:trPr>
          <w:trHeight w:val="334"/>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23.2</w:t>
            </w:r>
          </w:p>
        </w:tc>
        <w:tc>
          <w:tcPr>
            <w:tcW w:w="1300" w:type="dxa"/>
            <w:vAlign w:val="bottom"/>
          </w:tcPr>
          <w:p>
            <w:pPr>
              <w:ind w:left="400"/>
              <w:spacing w:after="0"/>
              <w:rPr>
                <w:sz w:val="20"/>
                <w:szCs w:val="20"/>
                <w:color w:val="auto"/>
              </w:rPr>
            </w:pPr>
            <w:r>
              <w:rPr>
                <w:rFonts w:ascii="Courier New" w:cs="Courier New" w:eastAsia="Courier New" w:hAnsi="Courier New"/>
                <w:sz w:val="14"/>
                <w:szCs w:val="14"/>
                <w:color w:val="auto"/>
              </w:rPr>
              <w:t>Consent of</w:t>
            </w:r>
          </w:p>
        </w:tc>
        <w:tc>
          <w:tcPr>
            <w:tcW w:w="2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Deloitte &amp; Touche, LLP.</w:t>
            </w:r>
          </w:p>
        </w:tc>
        <w:tc>
          <w:tcPr>
            <w:tcW w:w="2560" w:type="dxa"/>
            <w:vAlign w:val="bottom"/>
          </w:tcPr>
          <w:p>
            <w:pPr>
              <w:spacing w:after="0"/>
              <w:rPr>
                <w:sz w:val="24"/>
                <w:szCs w:val="24"/>
                <w:color w:val="auto"/>
              </w:rPr>
            </w:pPr>
          </w:p>
        </w:tc>
      </w:tr>
      <w:tr>
        <w:trPr>
          <w:trHeight w:val="334"/>
        </w:trPr>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23.3*</w:t>
            </w:r>
          </w:p>
        </w:tc>
        <w:tc>
          <w:tcPr>
            <w:tcW w:w="1300" w:type="dxa"/>
            <w:vAlign w:val="bottom"/>
          </w:tcPr>
          <w:p>
            <w:pPr>
              <w:ind w:left="400"/>
              <w:spacing w:after="0"/>
              <w:rPr>
                <w:sz w:val="20"/>
                <w:szCs w:val="20"/>
                <w:color w:val="auto"/>
              </w:rPr>
            </w:pPr>
            <w:r>
              <w:rPr>
                <w:rFonts w:ascii="Courier New" w:cs="Courier New" w:eastAsia="Courier New" w:hAnsi="Courier New"/>
                <w:sz w:val="14"/>
                <w:szCs w:val="14"/>
                <w:color w:val="auto"/>
              </w:rPr>
              <w:t>Consent 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Carey</w:t>
            </w:r>
          </w:p>
        </w:tc>
        <w:tc>
          <w:tcPr>
            <w:tcW w:w="4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Olsen (included in Exhibit 5.1).</w:t>
            </w:r>
          </w:p>
        </w:tc>
      </w:tr>
      <w:tr>
        <w:trPr>
          <w:trHeight w:val="334"/>
        </w:trPr>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23.4*</w:t>
            </w:r>
          </w:p>
        </w:tc>
        <w:tc>
          <w:tcPr>
            <w:tcW w:w="1300" w:type="dxa"/>
            <w:vAlign w:val="bottom"/>
          </w:tcPr>
          <w:p>
            <w:pPr>
              <w:ind w:left="400"/>
              <w:spacing w:after="0"/>
              <w:rPr>
                <w:sz w:val="20"/>
                <w:szCs w:val="20"/>
                <w:color w:val="auto"/>
              </w:rPr>
            </w:pPr>
            <w:r>
              <w:rPr>
                <w:rFonts w:ascii="Courier New" w:cs="Courier New" w:eastAsia="Courier New" w:hAnsi="Courier New"/>
                <w:sz w:val="14"/>
                <w:szCs w:val="14"/>
                <w:color w:val="auto"/>
              </w:rPr>
              <w:t>Consent of</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Wilmer Cutler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Pickering</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Hale and Dorr LLP</w:t>
            </w:r>
          </w:p>
        </w:tc>
      </w:tr>
      <w:tr>
        <w:trPr>
          <w:trHeight w:val="167"/>
        </w:trPr>
        <w:tc>
          <w:tcPr>
            <w:tcW w:w="820" w:type="dxa"/>
            <w:vAlign w:val="bottom"/>
          </w:tcPr>
          <w:p>
            <w:pPr>
              <w:spacing w:after="0"/>
              <w:rPr>
                <w:sz w:val="14"/>
                <w:szCs w:val="14"/>
                <w:color w:val="auto"/>
              </w:rPr>
            </w:pPr>
          </w:p>
        </w:tc>
        <w:tc>
          <w:tcPr>
            <w:tcW w:w="338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(included in Exhibit 5.2).</w:t>
            </w:r>
          </w:p>
        </w:tc>
        <w:tc>
          <w:tcPr>
            <w:tcW w:w="2560" w:type="dxa"/>
            <w:vAlign w:val="bottom"/>
          </w:tcPr>
          <w:p>
            <w:pPr>
              <w:spacing w:after="0"/>
              <w:rPr>
                <w:sz w:val="14"/>
                <w:szCs w:val="14"/>
                <w:color w:val="auto"/>
              </w:rPr>
            </w:pPr>
          </w:p>
        </w:tc>
      </w:tr>
      <w:tr>
        <w:trPr>
          <w:trHeight w:val="334"/>
        </w:trPr>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24.1*</w:t>
            </w:r>
          </w:p>
        </w:tc>
        <w:tc>
          <w:tcPr>
            <w:tcW w:w="252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Power of Attorney.</w:t>
            </w: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34"/>
        </w:trPr>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99.1*</w:t>
            </w:r>
          </w:p>
        </w:tc>
        <w:tc>
          <w:tcPr>
            <w:tcW w:w="252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Share Purchase Agreement</w:t>
            </w: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dated as of May 28, 2003 between Amdocs</w:t>
            </w:r>
          </w:p>
        </w:tc>
      </w:tr>
      <w:tr>
        <w:trPr>
          <w:trHeight w:val="167"/>
        </w:trPr>
        <w:tc>
          <w:tcPr>
            <w:tcW w:w="820" w:type="dxa"/>
            <w:vAlign w:val="bottom"/>
          </w:tcPr>
          <w:p>
            <w:pPr>
              <w:spacing w:after="0"/>
              <w:rPr>
                <w:sz w:val="14"/>
                <w:szCs w:val="14"/>
                <w:color w:val="auto"/>
              </w:rPr>
            </w:pPr>
          </w:p>
        </w:tc>
        <w:tc>
          <w:tcPr>
            <w:tcW w:w="18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Holdings ULC and</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Bell Canada.</w:t>
            </w:r>
          </w:p>
        </w:tc>
        <w:tc>
          <w:tcPr>
            <w:tcW w:w="2560" w:type="dxa"/>
            <w:vAlign w:val="bottom"/>
          </w:tcPr>
          <w:p>
            <w:pPr>
              <w:spacing w:after="0"/>
              <w:rPr>
                <w:sz w:val="14"/>
                <w:szCs w:val="14"/>
                <w:color w:val="auto"/>
              </w:rPr>
            </w:pPr>
          </w:p>
        </w:tc>
      </w:tr>
    </w:tbl>
    <w:p>
      <w:pPr>
        <w:spacing w:after="0" w:line="171" w:lineRule="exact"/>
        <w:rPr>
          <w:sz w:val="20"/>
          <w:szCs w:val="20"/>
          <w:color w:val="auto"/>
        </w:rPr>
      </w:pPr>
    </w:p>
    <w:p>
      <w:pPr>
        <w:jc w:val="center"/>
        <w:ind w:right="3179"/>
        <w:spacing w:after="0"/>
        <w:tabs>
          <w:tab w:leader="none" w:pos="68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Software Master Agreement between Amdocs Software Systems Limited</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and SBC Services, Inc., effective December 10, 2003.</w:t>
      </w:r>
    </w:p>
    <w:p>
      <w:pPr>
        <w:spacing w:after="0" w:line="175" w:lineRule="exact"/>
        <w:rPr>
          <w:sz w:val="20"/>
          <w:szCs w:val="20"/>
          <w:color w:val="auto"/>
        </w:rPr>
      </w:pPr>
    </w:p>
    <w:p>
      <w:pPr>
        <w:jc w:val="center"/>
        <w:ind w:right="3179"/>
        <w:spacing w:after="0"/>
        <w:tabs>
          <w:tab w:leader="none" w:pos="680" w:val="left"/>
        </w:tabs>
        <w:rPr>
          <w:sz w:val="20"/>
          <w:szCs w:val="20"/>
          <w:color w:val="auto"/>
        </w:rPr>
      </w:pPr>
      <w:r>
        <w:rPr>
          <w:rFonts w:ascii="Courier New" w:cs="Courier New" w:eastAsia="Courier New" w:hAnsi="Courier New"/>
          <w:sz w:val="14"/>
          <w:szCs w:val="14"/>
          <w:color w:val="auto"/>
        </w:rPr>
        <w:t>99.3*+</w:t>
      </w:r>
      <w:r>
        <w:rPr>
          <w:sz w:val="20"/>
          <w:szCs w:val="20"/>
          <w:color w:val="auto"/>
        </w:rPr>
        <w:tab/>
      </w:r>
      <w:r>
        <w:rPr>
          <w:rFonts w:ascii="Courier New" w:cs="Courier New" w:eastAsia="Courier New" w:hAnsi="Courier New"/>
          <w:sz w:val="14"/>
          <w:szCs w:val="14"/>
          <w:color w:val="auto"/>
        </w:rPr>
        <w:t>Agreement between Amdocs Inc. and SBC Services, Inc. for Software</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and Professional Services, effective August 7, 2003.</w:t>
      </w:r>
    </w:p>
    <w:p>
      <w:pPr>
        <w:spacing w:after="0" w:line="342" w:lineRule="exact"/>
        <w:rPr>
          <w:sz w:val="20"/>
          <w:szCs w:val="20"/>
          <w:color w:val="auto"/>
        </w:rPr>
      </w:pPr>
    </w:p>
    <w:p>
      <w:pPr>
        <w:ind w:left="180" w:hanging="171"/>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Previously filed.</w:t>
      </w:r>
    </w:p>
    <w:p>
      <w:pPr>
        <w:spacing w:after="0" w:line="8" w:lineRule="exact"/>
        <w:rPr>
          <w:rFonts w:ascii="Courier New" w:cs="Courier New" w:eastAsia="Courier New" w:hAnsi="Courier New"/>
          <w:sz w:val="14"/>
          <w:szCs w:val="14"/>
          <w:color w:val="auto"/>
        </w:rPr>
      </w:pPr>
    </w:p>
    <w:p>
      <w:pPr>
        <w:ind w:left="180" w:right="3459" w:hanging="17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141"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4"/>
          <w:szCs w:val="14"/>
          <w:color w:val="auto"/>
        </w:rPr>
        <w:t>ITEM 10. UNDERTAKINGS.</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Item 512(a) of Regulation S-K. The undersigned Registrant hereby undertakes:</w:t>
      </w:r>
    </w:p>
    <w:p>
      <w:pPr>
        <w:spacing w:after="0" w:line="160" w:lineRule="exact"/>
        <w:rPr>
          <w:sz w:val="20"/>
          <w:szCs w:val="20"/>
          <w:color w:val="auto"/>
        </w:rPr>
      </w:pPr>
    </w:p>
    <w:p>
      <w:pPr>
        <w:ind w:left="1320" w:right="3379" w:hanging="530"/>
        <w:spacing w:after="0" w:line="258" w:lineRule="auto"/>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580" w:right="3639" w:firstLine="772"/>
        <w:spacing w:after="0" w:line="255" w:lineRule="auto"/>
        <w:tabs>
          <w:tab w:leader="none" w:pos="314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as amended (the "Securities Act");</w:t>
      </w:r>
    </w:p>
    <w:p>
      <w:pPr>
        <w:spacing w:after="0" w:line="162" w:lineRule="exact"/>
        <w:rPr>
          <w:rFonts w:ascii="Courier New" w:cs="Courier New" w:eastAsia="Courier New" w:hAnsi="Courier New"/>
          <w:sz w:val="14"/>
          <w:szCs w:val="14"/>
          <w:color w:val="auto"/>
        </w:rPr>
      </w:pPr>
    </w:p>
    <w:p>
      <w:pPr>
        <w:ind w:left="1580" w:right="3379" w:firstLine="772"/>
        <w:spacing w:after="0" w:line="252" w:lineRule="auto"/>
        <w:tabs>
          <w:tab w:leader="none" w:pos="314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4"/>
          <w:szCs w:val="14"/>
          <w:color w:val="auto"/>
        </w:rPr>
      </w:pPr>
    </w:p>
    <w:p>
      <w:pPr>
        <w:ind w:left="1580" w:right="3379" w:firstLine="772"/>
        <w:spacing w:after="0" w:line="254" w:lineRule="auto"/>
        <w:tabs>
          <w:tab w:leader="none" w:pos="314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62" w:lineRule="exact"/>
        <w:rPr>
          <w:sz w:val="20"/>
          <w:szCs w:val="20"/>
          <w:color w:val="auto"/>
        </w:rPr>
      </w:pPr>
    </w:p>
    <w:p>
      <w:pPr>
        <w:ind w:left="1320" w:right="3379" w:hanging="530"/>
        <w:spacing w:after="0" w:line="254"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20" w:right="1440" w:bottom="1440" w:gutter="0" w:footer="0" w:header="0"/>
        </w:sectPr>
      </w:pPr>
    </w:p>
    <w:bookmarkStart w:id="105" w:name="page106"/>
    <w:bookmarkEnd w:id="105"/>
    <w:p>
      <w:pPr>
        <w:ind w:right="3279"/>
        <w:spacing w:after="0" w:line="253" w:lineRule="auto"/>
        <w:rPr>
          <w:sz w:val="20"/>
          <w:szCs w:val="20"/>
          <w:color w:val="auto"/>
        </w:rPr>
      </w:pPr>
      <w:r>
        <w:rPr>
          <w:rFonts w:ascii="Courier New" w:cs="Courier New" w:eastAsia="Courier New" w:hAnsi="Courier New"/>
          <w:sz w:val="14"/>
          <w:szCs w:val="14"/>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20" w:right="1440" w:bottom="1440" w:gutter="0" w:footer="0" w:header="0"/>
        </w:sectPr>
      </w:pPr>
    </w:p>
    <w:bookmarkStart w:id="106" w:name="page107"/>
    <w:bookmarkEnd w:id="106"/>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F-3 and has duly caused this Amendment No. 2 to Registration Statement to be signed on its behalf by the undersigned, thereunto duly authorized, in the city of New York, State of New York, on this 22nd day of September, 2004.</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Thomas G. O'Brien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Thomas G. O'Brien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Treasurer and Secretary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Authorized U.S. Representative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POWER OF ATTORNEY</w:t>
      </w:r>
    </w:p>
    <w:p>
      <w:pPr>
        <w:spacing w:after="0" w:line="34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Amendment No. 1 to Registration Statement has been signed below by the following persons in the capacities and on the dates indicated.</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140" w:space="720"/>
            <w:col w:w="2420" w:space="720"/>
            <w:col w:w="2239"/>
          </w:cols>
          <w:pgMar w:left="220" w:top="62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1360"/>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22, 2004</w:t>
      </w:r>
    </w:p>
    <w:p>
      <w:pPr>
        <w:spacing w:after="0" w:line="8" w:lineRule="exact"/>
        <w:rPr>
          <w:sz w:val="20"/>
          <w:szCs w:val="20"/>
          <w:color w:val="auto"/>
        </w:rPr>
      </w:pPr>
    </w:p>
    <w:p>
      <w:pPr>
        <w:sectPr>
          <w:pgSz w:w="11900" w:h="16838" w:orient="portrait"/>
          <w:cols w:equalWidth="0" w:num="3">
            <w:col w:w="2840" w:space="720"/>
            <w:col w:w="3200" w:space="720"/>
            <w:col w:w="2759"/>
          </w:cols>
          <w:pgMar w:left="220" w:top="620" w:right="1440" w:bottom="1440" w:gutter="0" w:footer="0" w:header="0"/>
          <w:type w:val="continuous"/>
        </w:sectPr>
      </w:pPr>
    </w:p>
    <w:p>
      <w:pPr>
        <w:ind w:left="180" w:hanging="171"/>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Bruce K. Anderson</w:t>
      </w:r>
    </w:p>
    <w:p>
      <w:pPr>
        <w:spacing w:after="0" w:line="175" w:lineRule="exact"/>
        <w:rPr>
          <w:sz w:val="20"/>
          <w:szCs w:val="20"/>
          <w:color w:val="auto"/>
        </w:rPr>
      </w:pPr>
    </w:p>
    <w:p>
      <w:pPr>
        <w:spacing w:after="0"/>
        <w:tabs>
          <w:tab w:leader="none" w:pos="3460" w:val="left"/>
          <w:tab w:leader="none" w:pos="7460" w:val="left"/>
        </w:tabs>
        <w:rPr>
          <w:sz w:val="20"/>
          <w:szCs w:val="20"/>
          <w:color w:val="auto"/>
        </w:rPr>
      </w:pPr>
      <w:r>
        <w:rPr>
          <w:rFonts w:ascii="Courier New" w:cs="Courier New" w:eastAsia="Courier New" w:hAnsi="Courier New"/>
          <w:sz w:val="14"/>
          <w:szCs w:val="14"/>
          <w:color w:val="auto"/>
        </w:rPr>
        <w:t>/s/ Dov Baharav</w:t>
      </w:r>
      <w:r>
        <w:rPr>
          <w:sz w:val="20"/>
          <w:szCs w:val="20"/>
          <w:color w:val="auto"/>
        </w:rPr>
        <w:tab/>
      </w:r>
      <w:r>
        <w:rPr>
          <w:rFonts w:ascii="Courier New" w:cs="Courier New" w:eastAsia="Courier New" w:hAnsi="Courier New"/>
          <w:sz w:val="14"/>
          <w:szCs w:val="14"/>
          <w:color w:val="auto"/>
        </w:rPr>
        <w:t>Director and Principal Executive Officer</w:t>
      </w:r>
      <w:r>
        <w:rPr>
          <w:sz w:val="20"/>
          <w:szCs w:val="20"/>
          <w:color w:val="auto"/>
        </w:rPr>
        <w:tab/>
      </w:r>
      <w:r>
        <w:rPr>
          <w:rFonts w:ascii="Courier New" w:cs="Courier New" w:eastAsia="Courier New" w:hAnsi="Courier New"/>
          <w:sz w:val="14"/>
          <w:szCs w:val="14"/>
          <w:color w:val="auto"/>
        </w:rPr>
        <w:t>September 22, 2004</w:t>
      </w:r>
    </w:p>
    <w:p>
      <w:pPr>
        <w:spacing w:after="0" w:line="8" w:lineRule="exact"/>
        <w:rPr>
          <w:sz w:val="20"/>
          <w:szCs w:val="20"/>
          <w:color w:val="auto"/>
        </w:rPr>
      </w:pPr>
    </w:p>
    <w:p>
      <w:pPr>
        <w:ind w:left="180" w:hanging="171"/>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Dov Baharav</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620" w:right="1440"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/s/ Ron Moskovitz</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Principal Accounting Officer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Ron Moskovitz</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Robert A. Minicucci</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Adrian Gardner</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Charles E. Foster</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Eli Gelman</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James S. Kahan</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Nehmeia Lemelbaum</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John T. McLennan</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22,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Mario Segal</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hanging="171"/>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 Thomas G. O'Brien</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right="82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Thomas G. O'Brien Attorney-in-Fact</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1121"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960" w:type="dxa"/>
            <w:vAlign w:val="bottom"/>
          </w:tcPr>
          <w:p>
            <w:pPr>
              <w:ind w:left="1960"/>
              <w:spacing w:after="0"/>
              <w:rPr>
                <w:sz w:val="20"/>
                <w:szCs w:val="20"/>
                <w:color w:val="auto"/>
              </w:rPr>
            </w:pPr>
            <w:r>
              <w:rPr>
                <w:rFonts w:ascii="Courier New" w:cs="Courier New" w:eastAsia="Courier New" w:hAnsi="Courier New"/>
                <w:sz w:val="14"/>
                <w:szCs w:val="14"/>
                <w:color w:val="auto"/>
              </w:rPr>
              <w:t>Exhibit Index</w:t>
            </w:r>
          </w:p>
        </w:tc>
      </w:tr>
      <w:tr>
        <w:trPr>
          <w:trHeight w:val="835"/>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24"/>
                <w:szCs w:val="2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Wilmer Cutler Pickering Hale and Dorr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Computation of Ratio of Earnings to Fixed Charges</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Wilmer Cutler Pickering Hale and Dorr LLP (included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 Exhibit 5.2).</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 (See page II-4 of this Registration Statement).</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10, 2003.</w:t>
            </w:r>
          </w:p>
        </w:tc>
      </w:tr>
      <w:tr>
        <w:trPr>
          <w:trHeight w:val="334"/>
        </w:trPr>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pacing w:after="0" w:line="8" w:lineRule="exact"/>
        <w:rPr>
          <w:sz w:val="20"/>
          <w:szCs w:val="20"/>
          <w:color w:val="auto"/>
        </w:rPr>
      </w:pPr>
    </w:p>
    <w:p>
      <w:pPr>
        <w:ind w:left="180" w:right="3459" w:hanging="171"/>
        <w:spacing w:after="0" w:line="258" w:lineRule="auto"/>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20" w:right="1440" w:bottom="1440" w:gutter="0" w:footer="0" w:header="0"/>
        </w:sectPr>
      </w:pPr>
    </w:p>
    <w:bookmarkStart w:id="109" w:name="page110"/>
    <w:bookmarkEnd w:id="109"/>
    <w:p>
      <w:pPr>
        <w:ind w:left="5920"/>
        <w:spacing w:after="0"/>
        <w:rPr>
          <w:sz w:val="20"/>
          <w:szCs w:val="20"/>
          <w:color w:val="auto"/>
        </w:rPr>
      </w:pPr>
      <w:r>
        <w:rPr>
          <w:rFonts w:ascii="Courier New" w:cs="Courier New" w:eastAsia="Courier New" w:hAnsi="Courier New"/>
          <w:sz w:val="14"/>
          <w:szCs w:val="14"/>
          <w:color w:val="auto"/>
        </w:rPr>
        <w:t>EXHIBIT 12.1</w:t>
      </w:r>
    </w:p>
    <w:p>
      <w:pPr>
        <w:spacing w:after="0" w:line="175"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(in thousands, except ratio)</w:t>
            </w: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8"/>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5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For the Years Ended September 30,</w:t>
            </w:r>
          </w:p>
        </w:tc>
        <w:tc>
          <w:tcPr>
            <w:tcW w:w="1560" w:type="dxa"/>
            <w:vAlign w:val="bottom"/>
          </w:tcPr>
          <w:p>
            <w:pPr>
              <w:spacing w:after="0"/>
              <w:rPr>
                <w:sz w:val="24"/>
                <w:szCs w:val="2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 the Nine Months</w:t>
            </w: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Ended June 30, 2004</w:t>
            </w:r>
          </w:p>
        </w:tc>
        <w:tc>
          <w:tcPr>
            <w:tcW w:w="15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2003</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2002</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EARNINGS AVAILABLE TO</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COVER FIXED CHARGES:</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Income from</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continuing operations</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before income taxes</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$225,177</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$68,459</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$181,567</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$84,858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$140,775</w:t>
            </w:r>
          </w:p>
        </w:tc>
      </w:tr>
      <w:tr>
        <w:trPr>
          <w:trHeight w:val="334"/>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Add:</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deducted from</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earnings (see</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below)</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15,879</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18,033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23,832</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22,180</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9,854</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Earnings available to</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cover fixed charges</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$238,030</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$243,210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$92,291</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$203,747</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$94,186</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$150,629</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FIXED CHARGES:</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$7,379</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$7,587</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$11,271</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$7,345</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$5,654</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Amortized indebtedness</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2,656</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3,838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4,733</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1,333</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Interest within rent</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expense</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5,844</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6,608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7,828</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13,502</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4,200</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Fixed charges</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$15,879</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$18,033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$23,832</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$22,180</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$9,854</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RATIO OF EARNINGS TO</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FIXED CHARGES (A)</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13.49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3.87</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9.19</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15.29</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(A)</w:t>
            </w: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The ratio of earnings to fixed charges represents the number of times</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"fixed charges" are covered by "earnings." "Fixed charges" means</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interest expense, amortized premiums, discounts and capitalized</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expenses related to indebtedness, and an estimate of the interest</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within rental expense. "Earnings" consist of consolidated net income</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from continuing operations before income taxes and fixed charges.</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460"/>
          </w:cols>
          <w:pgMar w:left="220" w:top="308" w:right="219" w:bottom="1440" w:gutter="0" w:footer="0" w:header="0"/>
        </w:sectPr>
      </w:pPr>
    </w:p>
    <w:bookmarkStart w:id="110" w:name="page111"/>
    <w:bookmarkEnd w:id="110"/>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Consent of Independent Registered Public Accountants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consent to the reference to our firm under the caption "Experts" in this Registration Statement on Form F-3 of Amdocs Limited for the registration of $450.0 million principal amount of 0.50% Convertible Senior Notes due 2024 (the "Notes") and the ordinary shares, (pound)0.01 par value, of the Company issuable upon conversion of the Notes and to the incorporation by reference therein of our report dated October 30, 2003, except for paragraphs 4 and 5 of Note 12 as to which the dates are June 1, 2004 and March 5, 2004, respectively, with respect to the consolidated financial statements and schedule of Amdocs Limited, included in its Annual Report, as amended (Form 20-F/A) for the year ended September 30, 2003, filed with the Securities and Exchange Commission on September 21, 2004.</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17, 2004</w:t>
      </w:r>
    </w:p>
    <w:p>
      <w:pPr>
        <w:sectPr>
          <w:pgSz w:w="11900" w:h="16838" w:orient="portrait"/>
          <w:cols w:equalWidth="0" w:num="1">
            <w:col w:w="10239"/>
          </w:cols>
          <w:pgMar w:left="220" w:top="308" w:right="1440" w:bottom="1440" w:gutter="0" w:footer="0" w:header="0"/>
        </w:sectPr>
      </w:pPr>
    </w:p>
    <w:bookmarkStart w:id="111" w:name="page112"/>
    <w:bookmarkEnd w:id="111"/>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Consent of Independent Registered Chartered Accountants</w:t>
      </w:r>
    </w:p>
    <w:p>
      <w:pPr>
        <w:spacing w:after="0" w:line="342"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Amendment No. 2 to the Registration Statement on Form F-3 of Amdocs Limited (File No. 333-114344) of our report dated March 19, 2003 (except for Note 17, which is as of July 2, 2003), related to the consolidated financial statements of Certen Inc., as of and for the years ended December 31, 2001 and 2002, appearing in the Annual Report of Amdocs Limited on Form 20-F/A (Amendment No. 1), for the year ended September 30, 2003, filed with the Securities and Exchange Commission on December 24, 2003. We also consent to the reference to us under the heading "Experts" in the prospectus, which is part of this Registration Statement.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Montreal, Quebec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22, 2004</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decimal"/>
      <w:start w:val="3"/>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amp;"/>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decimal"/>
      <w:start w:val="1"/>
    </w:lvl>
    <w:lvl w:ilvl="1">
      <w:lvlJc w:val="left"/>
      <w:lvlText w:val="(%2)"/>
      <w:numFmt w:val="decimal"/>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amp;"/>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lvl w:ilvl="1">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3"/>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decimal"/>
      <w:start w:val="1"/>
    </w:lvl>
    <w:lvl w:ilvl="1">
      <w:lvlJc w:val="left"/>
      <w:lvlText w:val="-"/>
      <w:numFmt w:val="bullet"/>
      <w:start w:val="1"/>
    </w:lvl>
  </w:abstractNum>
  <w:abstractNum w:abstractNumId="58">
    <w:nsid w:val="7BD3EE7B"/>
    <w:multiLevelType w:val="hybridMultilevel"/>
    <w:lvl w:ilvl="0">
      <w:lvlJc w:val="left"/>
      <w:lvlText w:val="%1."/>
      <w:numFmt w:val="decimal"/>
      <w:start w:val="1"/>
    </w:lvl>
    <w:lvl w:ilvl="1">
      <w:lvlJc w:val="left"/>
      <w:lvlText w:val="-"/>
      <w:numFmt w:val="bullet"/>
      <w:start w:val="1"/>
    </w:lvl>
  </w:abstractNum>
  <w:abstractNum w:abstractNumId="59">
    <w:nsid w:val="51D9C564"/>
    <w:multiLevelType w:val="hybridMultilevel"/>
    <w:lvl w:ilvl="0">
      <w:lvlJc w:val="left"/>
      <w:lvlText w:val="o"/>
      <w:numFmt w:val="bullet"/>
      <w:start w:val="1"/>
    </w:lvl>
  </w:abstractNum>
  <w:abstractNum w:abstractNumId="60">
    <w:nsid w:val="613EFDC5"/>
    <w:multiLevelType w:val="hybridMultilevel"/>
    <w:lvl w:ilvl="0">
      <w:lvlJc w:val="left"/>
      <w:lvlText w:val="(%1)"/>
      <w:numFmt w:val="decimal"/>
      <w:start w:val="2"/>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1."/>
      <w:numFmt w:val="decimal"/>
      <w:start w:val="2"/>
    </w:lvl>
  </w:abstractNum>
  <w:abstractNum w:abstractNumId="63">
    <w:nsid w:val="42963E5A"/>
    <w:multiLevelType w:val="hybridMultilevel"/>
    <w:lvl w:ilvl="0">
      <w:lvlJc w:val="left"/>
      <w:lvlText w:val="%1."/>
      <w:numFmt w:val="decimal"/>
      <w:start w:val="3"/>
    </w:lvl>
  </w:abstractNum>
  <w:abstractNum w:abstractNumId="64">
    <w:nsid w:val="A0382C5"/>
    <w:multiLevelType w:val="hybridMultilevel"/>
    <w:lvl w:ilvl="0">
      <w:lvlJc w:val="left"/>
      <w:lvlText w:val="%1."/>
      <w:numFmt w:val="decimal"/>
      <w:start w:val="4"/>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5"/>
    </w:lvl>
  </w:abstractNum>
  <w:abstractNum w:abstractNumId="67">
    <w:nsid w:val="3B0FD379"/>
    <w:multiLevelType w:val="hybridMultilevel"/>
    <w:lvl w:ilvl="0">
      <w:lvlJc w:val="left"/>
      <w:lvlText w:val="%1."/>
      <w:numFmt w:val="decimal"/>
      <w:start w:val="6"/>
    </w:lvl>
  </w:abstractNum>
  <w:abstractNum w:abstractNumId="68">
    <w:nsid w:val="68EB2F63"/>
    <w:multiLevelType w:val="hybridMultilevel"/>
    <w:lvl w:ilvl="0">
      <w:lvlJc w:val="left"/>
      <w:lvlText w:val="%1."/>
      <w:numFmt w:val="decimal"/>
      <w:start w:val="7"/>
    </w:lvl>
  </w:abstractNum>
  <w:abstractNum w:abstractNumId="69">
    <w:nsid w:val="4962813B"/>
    <w:multiLevelType w:val="hybridMultilevel"/>
    <w:lvl w:ilvl="0">
      <w:lvlJc w:val="left"/>
      <w:lvlText w:val="%1."/>
      <w:numFmt w:val="decimal"/>
      <w:start w:val="8"/>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start w:val="9"/>
    </w:lvl>
  </w:abstractNum>
  <w:abstractNum w:abstractNumId="72">
    <w:nsid w:val="14330624"/>
    <w:multiLevelType w:val="hybridMultilevel"/>
    <w:lvl w:ilvl="0">
      <w:lvlJc w:val="left"/>
      <w:lvlText w:val="%1."/>
      <w:numFmt w:val="decimal"/>
      <w:start w:val="11"/>
    </w:lvl>
  </w:abstractNum>
  <w:abstractNum w:abstractNumId="73">
    <w:nsid w:val="7FFFCA11"/>
    <w:multiLevelType w:val="hybridMultilevel"/>
    <w:lvl w:ilvl="0">
      <w:lvlJc w:val="left"/>
      <w:lvlText w:val="%1"/>
      <w:numFmt w:val="decimal"/>
      <w:start w:val="1"/>
    </w:lvl>
    <w:lvl w:ilvl="1">
      <w:lvlJc w:val="left"/>
      <w:lvlText w:val="(%2)"/>
      <w:numFmt w:val="lowerRoman"/>
      <w:start w:val="2"/>
    </w:lvl>
  </w:abstractNum>
  <w:abstractNum w:abstractNumId="74">
    <w:nsid w:val="1A27709E"/>
    <w:multiLevelType w:val="hybridMultilevel"/>
    <w:lvl w:ilvl="0">
      <w:lvlJc w:val="left"/>
      <w:lvlText w:val="%1."/>
      <w:numFmt w:val="decimal"/>
      <w:start w:val="12"/>
    </w:lvl>
    <w:lvl w:ilvl="1">
      <w:lvlJc w:val="left"/>
      <w:lvlText w:val="%2"/>
      <w:numFmt w:val="lowerRoman"/>
      <w:start w:val="1"/>
    </w:lvl>
  </w:abstractNum>
  <w:abstractNum w:abstractNumId="75">
    <w:nsid w:val="71EA1109"/>
    <w:multiLevelType w:val="hybridMultilevel"/>
    <w:lvl w:ilvl="0">
      <w:lvlJc w:val="left"/>
      <w:lvlText w:val="(%1)"/>
      <w:numFmt w:val="decimal"/>
      <w:start w:val="94"/>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1."/>
      <w:numFmt w:val="decimal"/>
      <w:start w:val="13"/>
    </w:lvl>
  </w:abstractNum>
  <w:abstractNum w:abstractNumId="79">
    <w:nsid w:val="6F6DD9AC"/>
    <w:multiLevelType w:val="hybridMultilevel"/>
    <w:lvl w:ilvl="0">
      <w:lvlJc w:val="left"/>
      <w:lvlText w:val="%1."/>
      <w:numFmt w:val="decimal"/>
      <w:start w:val="14"/>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1)"/>
      <w:numFmt w:val="decimal"/>
      <w:start w:val="1"/>
    </w:lvl>
    <w:lvl w:ilvl="1">
      <w:lvlJc w:val="left"/>
      <w:lvlText w:val="(%2)"/>
      <w:numFmt w:val="lowerRoman"/>
      <w:start w:val="1"/>
    </w:lvl>
  </w:abstractNum>
  <w:abstractNum w:abstractNumId="86">
    <w:nsid w:val="3222E7CD"/>
    <w:multiLevelType w:val="hybridMultilevel"/>
    <w:lvl w:ilvl="0">
      <w:lvlJc w:val="left"/>
      <w:lvlText w:val="(%1)"/>
      <w:numFmt w:val="decimal"/>
      <w:start w:val="2"/>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2019-12-14T20:09:34Z</dcterms:created>
  <dcterms:modified xsi:type="dcterms:W3CDTF">2019-12-14T20:09:34Z</dcterms:modified>
</cp:coreProperties>
</file>