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As filed with the Securities and Exchange Commission on August 16, 2012</w:t>
      </w:r>
    </w:p>
    <w:p>
      <w:pPr>
        <w:spacing w:after="0" w:line="21"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333-44994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2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POST-EFFECTIVE AMENDMENT NO. 1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122555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F-3</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REGISTRATION STATEMENT</w:t>
      </w:r>
    </w:p>
    <w:p>
      <w:pPr>
        <w:jc w:val="center"/>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99060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8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AMDOCS LIMITED</w:t>
      </w:r>
    </w:p>
    <w:p>
      <w:pPr>
        <w:spacing w:after="0" w:line="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105410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53" w:lineRule="exact"/>
        <w:rPr>
          <w:sz w:val="24"/>
          <w:szCs w:val="24"/>
          <w:color w:val="auto"/>
        </w:rPr>
      </w:pPr>
    </w:p>
    <w:tbl>
      <w:tblPr>
        <w:tblLayout w:type="fixed"/>
        <w:tblInd w:w="2040" w:type="dxa"/>
        <w:tblCellMar>
          <w:top w:w="0" w:type="dxa"/>
          <w:left w:w="0" w:type="dxa"/>
          <w:bottom w:w="0" w:type="dxa"/>
          <w:right w:w="0" w:type="dxa"/>
        </w:tblCellMar>
      </w:tblPr>
      <w:tr>
        <w:trPr>
          <w:trHeight w:val="220"/>
        </w:trPr>
        <w:tc>
          <w:tcPr>
            <w:tcW w:w="3720" w:type="dxa"/>
            <w:vAlign w:val="bottom"/>
          </w:tcPr>
          <w:p>
            <w:pPr>
              <w:jc w:val="center"/>
              <w:ind w:right="1946"/>
              <w:spacing w:after="0"/>
              <w:rPr>
                <w:sz w:val="20"/>
                <w:szCs w:val="20"/>
                <w:color w:val="auto"/>
              </w:rPr>
            </w:pPr>
            <w:r>
              <w:rPr>
                <w:rFonts w:ascii="Arial" w:cs="Arial" w:eastAsia="Arial" w:hAnsi="Arial"/>
                <w:sz w:val="18"/>
                <w:szCs w:val="18"/>
                <w:b w:val="1"/>
                <w:bCs w:val="1"/>
                <w:color w:val="auto"/>
                <w:w w:val="87"/>
              </w:rPr>
              <w:t>Island of Guernsey</w:t>
            </w:r>
          </w:p>
        </w:tc>
        <w:tc>
          <w:tcPr>
            <w:tcW w:w="3760" w:type="dxa"/>
            <w:vAlign w:val="bottom"/>
          </w:tcPr>
          <w:p>
            <w:pPr>
              <w:jc w:val="center"/>
              <w:ind w:left="1946"/>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3720" w:type="dxa"/>
            <w:vAlign w:val="bottom"/>
          </w:tcPr>
          <w:p>
            <w:pPr>
              <w:jc w:val="center"/>
              <w:ind w:right="1946"/>
              <w:spacing w:after="0" w:line="149" w:lineRule="exact"/>
              <w:rPr>
                <w:sz w:val="20"/>
                <w:szCs w:val="20"/>
                <w:color w:val="auto"/>
              </w:rPr>
            </w:pPr>
            <w:r>
              <w:rPr>
                <w:rFonts w:ascii="Arial" w:cs="Arial" w:eastAsia="Arial" w:hAnsi="Arial"/>
                <w:sz w:val="14"/>
                <w:szCs w:val="14"/>
                <w:b w:val="1"/>
                <w:bCs w:val="1"/>
                <w:i w:val="1"/>
                <w:iCs w:val="1"/>
                <w:color w:val="auto"/>
                <w:w w:val="84"/>
              </w:rPr>
              <w:t>(State or other jurisdiction of</w:t>
            </w:r>
          </w:p>
        </w:tc>
        <w:tc>
          <w:tcPr>
            <w:tcW w:w="3760" w:type="dxa"/>
            <w:vAlign w:val="bottom"/>
          </w:tcPr>
          <w:p>
            <w:pPr>
              <w:jc w:val="center"/>
              <w:ind w:left="1946"/>
              <w:spacing w:after="0" w:line="149" w:lineRule="exact"/>
              <w:rPr>
                <w:sz w:val="20"/>
                <w:szCs w:val="20"/>
                <w:color w:val="auto"/>
              </w:rPr>
            </w:pPr>
            <w:r>
              <w:rPr>
                <w:rFonts w:ascii="Arial" w:cs="Arial" w:eastAsia="Arial" w:hAnsi="Arial"/>
                <w:sz w:val="14"/>
                <w:szCs w:val="14"/>
                <w:b w:val="1"/>
                <w:bCs w:val="1"/>
                <w:i w:val="1"/>
                <w:iCs w:val="1"/>
                <w:color w:val="auto"/>
                <w:w w:val="87"/>
              </w:rPr>
              <w:t>(I.R.S. Employer Identification</w:t>
            </w:r>
          </w:p>
        </w:tc>
      </w:tr>
      <w:tr>
        <w:trPr>
          <w:trHeight w:val="172"/>
        </w:trPr>
        <w:tc>
          <w:tcPr>
            <w:tcW w:w="3720" w:type="dxa"/>
            <w:vAlign w:val="bottom"/>
          </w:tcPr>
          <w:p>
            <w:pPr>
              <w:jc w:val="center"/>
              <w:ind w:right="1946"/>
              <w:spacing w:after="0"/>
              <w:rPr>
                <w:sz w:val="20"/>
                <w:szCs w:val="20"/>
                <w:color w:val="auto"/>
              </w:rPr>
            </w:pPr>
            <w:r>
              <w:rPr>
                <w:rFonts w:ascii="Arial" w:cs="Arial" w:eastAsia="Arial" w:hAnsi="Arial"/>
                <w:sz w:val="14"/>
                <w:szCs w:val="14"/>
                <w:b w:val="1"/>
                <w:bCs w:val="1"/>
                <w:i w:val="1"/>
                <w:iCs w:val="1"/>
                <w:color w:val="auto"/>
                <w:w w:val="85"/>
              </w:rPr>
              <w:t>incorporation or organization)</w:t>
            </w:r>
          </w:p>
        </w:tc>
        <w:tc>
          <w:tcPr>
            <w:tcW w:w="3760" w:type="dxa"/>
            <w:vAlign w:val="bottom"/>
          </w:tcPr>
          <w:p>
            <w:pPr>
              <w:jc w:val="center"/>
              <w:ind w:left="1946"/>
              <w:spacing w:after="0"/>
              <w:rPr>
                <w:sz w:val="20"/>
                <w:szCs w:val="20"/>
                <w:color w:val="auto"/>
              </w:rPr>
            </w:pPr>
            <w:r>
              <w:rPr>
                <w:rFonts w:ascii="Arial" w:cs="Arial" w:eastAsia="Arial" w:hAnsi="Arial"/>
                <w:sz w:val="14"/>
                <w:szCs w:val="14"/>
                <w:b w:val="1"/>
                <w:bCs w:val="1"/>
                <w:i w:val="1"/>
                <w:iCs w:val="1"/>
                <w:color w:val="auto"/>
                <w:w w:val="86"/>
              </w:rPr>
              <w:t>Number)</w:t>
            </w:r>
          </w:p>
        </w:tc>
      </w:tr>
    </w:tbl>
    <w:p>
      <w:pPr>
        <w:spacing w:after="0" w:line="1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Suite 5, Tower Hill House Le Bordage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St. Peter Port, Island Of Guernsey, GY1 3QT Channel Islands</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011-44-1481-728444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(Address and telephone number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104775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Amdocs, Inc.</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1390 Timberlake Manor Parkway,</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Chesterfield, Missouri 63017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Attention: Thomas G. O’Brien, Treasurer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314-212-8328</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96520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Copy to:</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Robert A. Schwed</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Wilmer Cutler Pickering Hale and Dorr LLP</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 World Trade Center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250 Greenwich Street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New York, New York 10007</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212-937-7276</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Fax: 212-230-8888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109855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3" w:lineRule="exact"/>
        <w:rPr>
          <w:sz w:val="24"/>
          <w:szCs w:val="24"/>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Approximate date of commencement of proposed sale to public: </w:t>
      </w:r>
      <w:r>
        <w:rPr>
          <w:rFonts w:ascii="Arial" w:cs="Arial" w:eastAsia="Arial" w:hAnsi="Arial"/>
          <w:sz w:val="18"/>
          <w:szCs w:val="18"/>
          <w:b w:val="1"/>
          <w:bCs w:val="1"/>
          <w:color w:val="auto"/>
        </w:rPr>
        <w:t>Completed</w:t>
      </w:r>
    </w:p>
    <w:p>
      <w:pPr>
        <w:spacing w:after="0" w:line="96" w:lineRule="exact"/>
        <w:rPr>
          <w:sz w:val="24"/>
          <w:szCs w:val="24"/>
          <w:color w:val="auto"/>
        </w:rPr>
      </w:pPr>
    </w:p>
    <w:p>
      <w:pPr>
        <w:ind w:right="600" w:firstLine="456"/>
        <w:spacing w:after="0" w:line="229"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300" w:firstLine="456"/>
        <w:spacing w:after="0" w:line="229"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w:t>
      </w:r>
    </w:p>
    <w:p>
      <w:pPr>
        <w:spacing w:after="0" w:line="38" w:lineRule="exact"/>
        <w:rPr>
          <w:sz w:val="24"/>
          <w:szCs w:val="24"/>
          <w:color w:val="auto"/>
        </w:rPr>
      </w:pPr>
    </w:p>
    <w:p>
      <w:pPr>
        <w:spacing w:after="0" w:line="207" w:lineRule="exact"/>
        <w:tabs>
          <w:tab w:leader="none" w:pos="9080" w:val="left"/>
        </w:tabs>
        <w:rPr>
          <w:sz w:val="20"/>
          <w:szCs w:val="20"/>
          <w:color w:val="auto"/>
        </w:rPr>
      </w:pPr>
      <w:r>
        <w:rPr>
          <w:rFonts w:ascii="Arial" w:cs="Arial" w:eastAsia="Arial" w:hAnsi="Arial"/>
          <w:sz w:val="16"/>
          <w:szCs w:val="16"/>
          <w:color w:val="auto"/>
        </w:rPr>
        <w:t xml:space="preserve">the Securities Act 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5338445</wp:posOffset>
            </wp:positionH>
            <wp:positionV relativeFrom="paragraph">
              <wp:posOffset>-17780</wp:posOffset>
            </wp:positionV>
            <wp:extent cx="44577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45"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w:t>
      </w:r>
    </w:p>
    <w:p>
      <w:pPr>
        <w:spacing w:after="0" w:line="38" w:lineRule="exact"/>
        <w:rPr>
          <w:sz w:val="24"/>
          <w:szCs w:val="24"/>
          <w:color w:val="auto"/>
        </w:rPr>
      </w:pPr>
    </w:p>
    <w:p>
      <w:pPr>
        <w:spacing w:after="0" w:line="184" w:lineRule="exact"/>
        <w:tabs>
          <w:tab w:leader="none" w:pos="7800" w:val="left"/>
        </w:tabs>
        <w:rPr>
          <w:sz w:val="20"/>
          <w:szCs w:val="20"/>
          <w:color w:val="auto"/>
        </w:rPr>
      </w:pPr>
      <w:r>
        <w:rPr>
          <w:rFonts w:ascii="Arial" w:cs="Arial" w:eastAsia="Arial" w:hAnsi="Arial"/>
          <w:sz w:val="16"/>
          <w:szCs w:val="16"/>
          <w:color w:val="auto"/>
        </w:rPr>
        <w:t xml:space="preserve">registration statement number of the earlier effective registration statement for the same offering. </w:t>
      </w:r>
      <w:r>
        <w:rPr>
          <w:rFonts w:ascii="MS PGothic" w:cs="MS PGothic" w:eastAsia="MS PGothic" w:hAnsi="MS PGothic"/>
          <w:sz w:val="16"/>
          <w:szCs w:val="16"/>
          <w:color w:val="auto"/>
        </w:rPr>
        <w:t>☐</w:t>
      </w:r>
      <w:r>
        <w:rPr>
          <w:sz w:val="20"/>
          <w:szCs w:val="20"/>
          <w:color w:val="auto"/>
        </w:rPr>
        <w:tab/>
      </w:r>
      <w:r>
        <w:rPr>
          <w:rFonts w:ascii="Arial" w:cs="Arial" w:eastAsia="Arial" w:hAnsi="Arial"/>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4518025</wp:posOffset>
            </wp:positionH>
            <wp:positionV relativeFrom="paragraph">
              <wp:posOffset>-3175</wp:posOffset>
            </wp:positionV>
            <wp:extent cx="44577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68" w:lineRule="exact"/>
        <w:rPr>
          <w:sz w:val="24"/>
          <w:szCs w:val="24"/>
          <w:color w:val="auto"/>
        </w:rPr>
      </w:pPr>
    </w:p>
    <w:p>
      <w:pPr>
        <w:ind w:right="280" w:firstLine="456"/>
        <w:spacing w:after="0" w:line="229" w:lineRule="exact"/>
        <w:rPr>
          <w:sz w:val="20"/>
          <w:szCs w:val="20"/>
          <w:color w:val="auto"/>
        </w:rPr>
      </w:pPr>
      <w:r>
        <w:rPr>
          <w:rFonts w:ascii="Arial" w:cs="Arial" w:eastAsia="Arial" w:hAnsi="Arial"/>
          <w:sz w:val="18"/>
          <w:szCs w:val="18"/>
          <w:color w:val="auto"/>
        </w:rPr>
        <w:t xml:space="preserve">If this Form is a registration statement pursuant to General Instruction I.C.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37" w:lineRule="exact"/>
        <w:rPr>
          <w:sz w:val="24"/>
          <w:szCs w:val="24"/>
          <w:color w:val="auto"/>
        </w:rPr>
      </w:pPr>
    </w:p>
    <w:p>
      <w:pPr>
        <w:ind w:right="44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I.C.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100965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177"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On October 5, 2000, the Securities and Exchange Commission declared effective the registration statement on Form F-3 (File No. 333-44994) (the “Registration Statement”) filed by Amdocs Limited (the “Company”) with respect to the offer and sale of up to 4,495,102 ordinary shares, £0.01 par value, of the Company (the “Securities”), issuable upon exchange of the Exchangeable Shares of Solect Technology Group Inc. (“Solect”) by the holders of the Exchangeable Shares, all of whom were formerly common shareholders of Solect prior to the Company’s acquisition of Solect on April 5, 2000.</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Registration Statement was filed for the benefit of holders of the Exchangeable Shares (the “Holders”).</w:t>
      </w:r>
    </w:p>
    <w:p>
      <w:pPr>
        <w:spacing w:after="0" w:line="171"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Under the terms of a registration rights agreement dated April 5, 2000 entered into in connection with the business combination between the Company, Solect and some of Solect’s former common shareholders, the Company agreed to use its commercially reasonable efforts to keep the Registration Statement effective until the earlier of (1) April 5, 2002, (2) the date on which all of the shares covered by the Registration Statement have been sold, and (3) the date on which all of the shares covered by the Registration Statement, and those covered by the Company’s registration statements on Form F-3 (Reg. No. 333-39278 and Reg. No. 333-57036), can be sold without registration without regard to Rule 144’s volume restrictions.</w:t>
      </w:r>
    </w:p>
    <w:p>
      <w:pPr>
        <w:spacing w:after="0" w:line="11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In accordance with such agreement, and in accordance with the Company’s undertaking under Regulation S-K Item 512(a)(3), the Company is filing this Post-Effective Amendment No. 1 to the Registration Statement to remove from registration all Securities not sold by the Holders pursuant to the Registration Statement. Accordingly, the Company hereby requests that upon the effectiveness of this Post-Effective Amendment No. 1, such Securities be removed from registration.</w:t>
      </w:r>
    </w:p>
    <w:p>
      <w:pPr>
        <w:sectPr>
          <w:pgSz w:w="11900" w:h="16838" w:orient="portrait"/>
          <w:cols w:equalWidth="0" w:num="1">
            <w:col w:w="11380"/>
          </w:cols>
          <w:pgMar w:left="240" w:top="274" w:right="279" w:bottom="1440" w:gutter="0" w:footer="0" w:header="0"/>
        </w:sectPr>
      </w:pPr>
    </w:p>
    <w:bookmarkStart w:id="2" w:name="page3"/>
    <w:bookmarkEnd w:id="2"/>
    <w:p>
      <w:pPr>
        <w:jc w:val="center"/>
        <w:ind w:right="-1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1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as amended, the Registrant certifies that it has reasonable grounds to believe that it meets all of the requirements for filing on Form F-3 and has duly caused this Post-Effective Amendment No. 1 on Form F-3 to be signed on its behalf by the undersigned, thereunto duly authorized, in the City of Chesterfield, State of Missouri on August 16, 2012.</w:t>
      </w:r>
    </w:p>
    <w:p>
      <w:pPr>
        <w:spacing w:after="0" w:line="175"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AMDOCS LIMITED</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Elizabeth W. Grausam McDermon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Elizabeth W. Grausam McDermon</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Secretary and Authorized Signatory</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Pursuant to the requirements of the Securities Act, this Post-Effective Amendment No. 1 to the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0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4100" w:type="dxa"/>
            <w:vAlign w:val="bottom"/>
          </w:tcPr>
          <w:p>
            <w:pPr>
              <w:ind w:left="220"/>
              <w:spacing w:after="0"/>
              <w:rPr>
                <w:sz w:val="20"/>
                <w:szCs w:val="20"/>
                <w:color w:val="auto"/>
              </w:rPr>
            </w:pPr>
            <w:r>
              <w:rPr>
                <w:rFonts w:ascii="Arial" w:cs="Arial" w:eastAsia="Arial" w:hAnsi="Arial"/>
                <w:sz w:val="14"/>
                <w:szCs w:val="14"/>
                <w:b w:val="1"/>
                <w:bCs w:val="1"/>
                <w:color w:val="auto"/>
              </w:rPr>
              <w:t>Title</w:t>
            </w:r>
          </w:p>
        </w:tc>
        <w:tc>
          <w:tcPr>
            <w:tcW w:w="2000" w:type="dxa"/>
            <w:vAlign w:val="bottom"/>
          </w:tcPr>
          <w:p>
            <w:pPr>
              <w:ind w:left="840"/>
              <w:spacing w:after="0"/>
              <w:rPr>
                <w:sz w:val="20"/>
                <w:szCs w:val="20"/>
                <w:color w:val="auto"/>
              </w:rPr>
            </w:pPr>
            <w:r>
              <w:rPr>
                <w:rFonts w:ascii="Arial" w:cs="Arial" w:eastAsia="Arial" w:hAnsi="Arial"/>
                <w:sz w:val="14"/>
                <w:szCs w:val="14"/>
                <w:b w:val="1"/>
                <w:bCs w:val="1"/>
                <w:color w:val="auto"/>
              </w:rPr>
              <w:t>Date</w:t>
            </w:r>
          </w:p>
        </w:tc>
      </w:tr>
      <w:tr>
        <w:trPr>
          <w:trHeight w:val="310"/>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Robert A. Minicucci</w:t>
            </w:r>
          </w:p>
        </w:tc>
        <w:tc>
          <w:tcPr>
            <w:tcW w:w="4100" w:type="dxa"/>
            <w:vAlign w:val="bottom"/>
          </w:tcPr>
          <w:p>
            <w:pPr>
              <w:ind w:left="220"/>
              <w:spacing w:after="0"/>
              <w:rPr>
                <w:sz w:val="20"/>
                <w:szCs w:val="20"/>
                <w:color w:val="auto"/>
              </w:rPr>
            </w:pPr>
            <w:r>
              <w:rPr>
                <w:rFonts w:ascii="Arial" w:cs="Arial" w:eastAsia="Arial" w:hAnsi="Arial"/>
                <w:sz w:val="18"/>
                <w:szCs w:val="18"/>
                <w:color w:val="auto"/>
              </w:rPr>
              <w:t>Chairman of the Board of Directors</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Robert A. Minicucci</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Eli Gelman</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 Principal Executive Officer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Eli Gelman</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Tamar Rapaport-Dagim</w:t>
            </w:r>
          </w:p>
        </w:tc>
        <w:tc>
          <w:tcPr>
            <w:tcW w:w="4100" w:type="dxa"/>
            <w:vAlign w:val="bottom"/>
          </w:tcPr>
          <w:p>
            <w:pPr>
              <w:ind w:left="220"/>
              <w:spacing w:after="0"/>
              <w:rPr>
                <w:sz w:val="20"/>
                <w:szCs w:val="20"/>
                <w:color w:val="auto"/>
              </w:rPr>
            </w:pPr>
            <w:r>
              <w:rPr>
                <w:rFonts w:ascii="Arial" w:cs="Arial" w:eastAsia="Arial" w:hAnsi="Arial"/>
                <w:sz w:val="18"/>
                <w:szCs w:val="18"/>
                <w:color w:val="auto"/>
              </w:rPr>
              <w:t>Principal Financial and Accounting Officer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Tamar Rapaport-Dagim</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Bruce K. Anderson</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20" w:type="dxa"/>
            <w:vAlign w:val="bottom"/>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Arial" w:cs="Arial" w:eastAsia="Arial" w:hAnsi="Arial"/>
                <w:sz w:val="18"/>
                <w:szCs w:val="18"/>
                <w:color w:val="auto"/>
              </w:rPr>
              <w:t>Adrian Gardner</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S. Kahan</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James S. Kahan</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Simon Olswang</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Simon Olswang</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Zohar Zisapel</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Zohar Zisapel</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Julian A. Brodsky</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Julian A. Brodsky</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John T. McLennan</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John T. McLennan</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r>
        <w:trPr>
          <w:trHeight w:val="438"/>
        </w:trPr>
        <w:tc>
          <w:tcPr>
            <w:tcW w:w="4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Giora Yaron</w:t>
            </w:r>
          </w:p>
        </w:tc>
        <w:tc>
          <w:tcPr>
            <w:tcW w:w="4100" w:type="dxa"/>
            <w:vAlign w:val="bottom"/>
          </w:tcPr>
          <w:p>
            <w:pPr>
              <w:ind w:left="220"/>
              <w:spacing w:after="0"/>
              <w:rPr>
                <w:sz w:val="20"/>
                <w:szCs w:val="20"/>
                <w:color w:val="auto"/>
              </w:rPr>
            </w:pPr>
            <w:r>
              <w:rPr>
                <w:rFonts w:ascii="Arial" w:cs="Arial" w:eastAsia="Arial" w:hAnsi="Arial"/>
                <w:sz w:val="18"/>
                <w:szCs w:val="18"/>
                <w:color w:val="auto"/>
              </w:rPr>
              <w:t>Director</w:t>
            </w:r>
          </w:p>
        </w:tc>
        <w:tc>
          <w:tcPr>
            <w:tcW w:w="2000" w:type="dxa"/>
            <w:vAlign w:val="bottom"/>
          </w:tcPr>
          <w:p>
            <w:pPr>
              <w:ind w:left="840"/>
              <w:spacing w:after="0"/>
              <w:rPr>
                <w:sz w:val="20"/>
                <w:szCs w:val="20"/>
                <w:color w:val="auto"/>
              </w:rPr>
            </w:pPr>
            <w:r>
              <w:rPr>
                <w:rFonts w:ascii="Arial" w:cs="Arial" w:eastAsia="Arial" w:hAnsi="Arial"/>
                <w:sz w:val="18"/>
                <w:szCs w:val="18"/>
                <w:color w:val="auto"/>
                <w:w w:val="86"/>
              </w:rPr>
              <w:t>August 16, 2012</w:t>
            </w:r>
          </w:p>
        </w:tc>
      </w:tr>
      <w:tr>
        <w:trPr>
          <w:trHeight w:val="217"/>
        </w:trPr>
        <w:tc>
          <w:tcPr>
            <w:tcW w:w="4600" w:type="dxa"/>
            <w:vAlign w:val="bottom"/>
            <w:gridSpan w:val="2"/>
          </w:tcPr>
          <w:p>
            <w:pPr>
              <w:spacing w:after="0"/>
              <w:rPr>
                <w:sz w:val="20"/>
                <w:szCs w:val="20"/>
                <w:color w:val="auto"/>
              </w:rPr>
            </w:pPr>
            <w:r>
              <w:rPr>
                <w:rFonts w:ascii="Arial" w:cs="Arial" w:eastAsia="Arial" w:hAnsi="Arial"/>
                <w:sz w:val="18"/>
                <w:szCs w:val="18"/>
                <w:color w:val="auto"/>
              </w:rPr>
              <w:t>Giora Yaron</w:t>
            </w:r>
          </w:p>
        </w:tc>
        <w:tc>
          <w:tcPr>
            <w:tcW w:w="4100" w:type="dxa"/>
            <w:vAlign w:val="bottom"/>
          </w:tcPr>
          <w:p>
            <w:pPr>
              <w:spacing w:after="0"/>
              <w:rPr>
                <w:sz w:val="18"/>
                <w:szCs w:val="18"/>
                <w:color w:val="auto"/>
              </w:rPr>
            </w:pPr>
          </w:p>
        </w:tc>
        <w:tc>
          <w:tcPr>
            <w:tcW w:w="2000" w:type="dxa"/>
            <w:vAlign w:val="bottom"/>
          </w:tcPr>
          <w:p>
            <w:pPr>
              <w:spacing w:after="0"/>
              <w:rPr>
                <w:sz w:val="18"/>
                <w:szCs w:val="18"/>
                <w:color w:val="auto"/>
              </w:rPr>
            </w:pPr>
          </w:p>
        </w:tc>
      </w:tr>
    </w:tbl>
    <w:p>
      <w:pPr>
        <w:sectPr>
          <w:pgSz w:w="11900" w:h="16838" w:orient="portrait"/>
          <w:cols w:equalWidth="0" w:num="1">
            <w:col w:w="11300"/>
          </w:cols>
          <w:pgMar w:left="240" w:top="274" w:right="35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4"/>
        </w:trPr>
        <w:tc>
          <w:tcPr>
            <w:tcW w:w="428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3040" w:type="dxa"/>
            <w:vAlign w:val="bottom"/>
          </w:tcPr>
          <w:p>
            <w:pPr>
              <w:ind w:left="100"/>
              <w:spacing w:after="0"/>
              <w:rPr>
                <w:sz w:val="20"/>
                <w:szCs w:val="20"/>
                <w:color w:val="auto"/>
              </w:rPr>
            </w:pPr>
            <w:r>
              <w:rPr>
                <w:rFonts w:ascii="Arial" w:cs="Arial" w:eastAsia="Arial" w:hAnsi="Arial"/>
                <w:sz w:val="14"/>
                <w:szCs w:val="14"/>
                <w:b w:val="1"/>
                <w:bCs w:val="1"/>
                <w:color w:val="auto"/>
              </w:rPr>
              <w:t>Title</w:t>
            </w:r>
          </w:p>
        </w:tc>
        <w:tc>
          <w:tcPr>
            <w:tcW w:w="3520" w:type="dxa"/>
            <w:vAlign w:val="bottom"/>
          </w:tcPr>
          <w:p>
            <w:pPr>
              <w:ind w:left="2360"/>
              <w:spacing w:after="0"/>
              <w:rPr>
                <w:sz w:val="20"/>
                <w:szCs w:val="20"/>
                <w:color w:val="auto"/>
              </w:rPr>
            </w:pPr>
            <w:r>
              <w:rPr>
                <w:rFonts w:ascii="Arial" w:cs="Arial" w:eastAsia="Arial" w:hAnsi="Arial"/>
                <w:sz w:val="14"/>
                <w:szCs w:val="14"/>
                <w:b w:val="1"/>
                <w:bCs w:val="1"/>
                <w:color w:val="auto"/>
              </w:rPr>
              <w:t>Date</w:t>
            </w:r>
          </w:p>
        </w:tc>
      </w:tr>
      <w:tr>
        <w:trPr>
          <w:trHeight w:val="310"/>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Nehmeia Lemelbaum</w:t>
            </w:r>
          </w:p>
        </w:tc>
        <w:tc>
          <w:tcPr>
            <w:tcW w:w="30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36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Nehmeia Lemelbaum</w:t>
            </w:r>
          </w:p>
        </w:tc>
        <w:tc>
          <w:tcPr>
            <w:tcW w:w="3040" w:type="dxa"/>
            <w:vAlign w:val="bottom"/>
          </w:tcPr>
          <w:p>
            <w:pPr>
              <w:spacing w:after="0"/>
              <w:rPr>
                <w:sz w:val="18"/>
                <w:szCs w:val="18"/>
                <w:color w:val="auto"/>
              </w:rPr>
            </w:pPr>
          </w:p>
        </w:tc>
        <w:tc>
          <w:tcPr>
            <w:tcW w:w="3520" w:type="dxa"/>
            <w:vAlign w:val="bottom"/>
          </w:tcPr>
          <w:p>
            <w:pPr>
              <w:spacing w:after="0"/>
              <w:rPr>
                <w:sz w:val="18"/>
                <w:szCs w:val="18"/>
                <w:color w:val="auto"/>
              </w:rPr>
            </w:pPr>
          </w:p>
        </w:tc>
      </w:tr>
      <w:tr>
        <w:trPr>
          <w:trHeight w:val="438"/>
        </w:trPr>
        <w:tc>
          <w:tcPr>
            <w:tcW w:w="4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T.C. LeFave</w:t>
            </w:r>
          </w:p>
        </w:tc>
        <w:tc>
          <w:tcPr>
            <w:tcW w:w="3040" w:type="dxa"/>
            <w:vAlign w:val="bottom"/>
          </w:tcPr>
          <w:p>
            <w:pPr>
              <w:ind w:left="100"/>
              <w:spacing w:after="0"/>
              <w:rPr>
                <w:sz w:val="20"/>
                <w:szCs w:val="20"/>
                <w:color w:val="auto"/>
              </w:rPr>
            </w:pPr>
            <w:r>
              <w:rPr>
                <w:rFonts w:ascii="Arial" w:cs="Arial" w:eastAsia="Arial" w:hAnsi="Arial"/>
                <w:sz w:val="18"/>
                <w:szCs w:val="18"/>
                <w:color w:val="auto"/>
              </w:rPr>
              <w:t>Director</w:t>
            </w:r>
          </w:p>
        </w:tc>
        <w:tc>
          <w:tcPr>
            <w:tcW w:w="3520" w:type="dxa"/>
            <w:vAlign w:val="bottom"/>
          </w:tcPr>
          <w:p>
            <w:pPr>
              <w:ind w:left="2360"/>
              <w:spacing w:after="0"/>
              <w:rPr>
                <w:sz w:val="20"/>
                <w:szCs w:val="20"/>
                <w:color w:val="auto"/>
              </w:rPr>
            </w:pPr>
            <w:r>
              <w:rPr>
                <w:rFonts w:ascii="Arial" w:cs="Arial" w:eastAsia="Arial" w:hAnsi="Arial"/>
                <w:sz w:val="18"/>
                <w:szCs w:val="18"/>
                <w:color w:val="auto"/>
                <w:w w:val="86"/>
              </w:rPr>
              <w:t>August 16, 2012</w:t>
            </w:r>
          </w:p>
        </w:tc>
      </w:tr>
      <w:tr>
        <w:trPr>
          <w:trHeight w:val="217"/>
        </w:trPr>
        <w:tc>
          <w:tcPr>
            <w:tcW w:w="4280" w:type="dxa"/>
            <w:vAlign w:val="bottom"/>
          </w:tcPr>
          <w:p>
            <w:pPr>
              <w:spacing w:after="0"/>
              <w:rPr>
                <w:sz w:val="20"/>
                <w:szCs w:val="20"/>
                <w:color w:val="auto"/>
              </w:rPr>
            </w:pPr>
            <w:r>
              <w:rPr>
                <w:rFonts w:ascii="Arial" w:cs="Arial" w:eastAsia="Arial" w:hAnsi="Arial"/>
                <w:sz w:val="18"/>
                <w:szCs w:val="18"/>
                <w:color w:val="auto"/>
              </w:rPr>
              <w:t>Richard T.C. LeFave</w:t>
            </w:r>
          </w:p>
        </w:tc>
        <w:tc>
          <w:tcPr>
            <w:tcW w:w="3040" w:type="dxa"/>
            <w:vAlign w:val="bottom"/>
          </w:tcPr>
          <w:p>
            <w:pPr>
              <w:spacing w:after="0"/>
              <w:rPr>
                <w:sz w:val="18"/>
                <w:szCs w:val="18"/>
                <w:color w:val="auto"/>
              </w:rPr>
            </w:pPr>
          </w:p>
        </w:tc>
        <w:tc>
          <w:tcPr>
            <w:tcW w:w="3520" w:type="dxa"/>
            <w:vAlign w:val="bottom"/>
          </w:tcPr>
          <w:p>
            <w:pPr>
              <w:spacing w:after="0"/>
              <w:rPr>
                <w:sz w:val="18"/>
                <w:szCs w:val="18"/>
                <w:color w:val="auto"/>
              </w:rPr>
            </w:pPr>
          </w:p>
        </w:tc>
      </w:tr>
    </w:tbl>
    <w:p>
      <w:pPr>
        <w:spacing w:after="0" w:line="201" w:lineRule="exact"/>
        <w:rPr>
          <w:sz w:val="20"/>
          <w:szCs w:val="20"/>
          <w:color w:val="auto"/>
        </w:rPr>
      </w:pPr>
    </w:p>
    <w:p>
      <w:pPr>
        <w:ind w:left="460" w:hanging="452"/>
        <w:spacing w:after="0" w:line="332"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By the signature set forth below, the undersigned, pursuant to the duly authorized powers of attorney filed with the Securities and Exchange Commission, has signed this Post-Effective Amendment No. 1 to the Registration Statement on behalf of the persons indicated.</w:t>
      </w:r>
    </w:p>
    <w:p>
      <w:pPr>
        <w:spacing w:after="0" w:line="12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 Robert A. Minicucci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288988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pacing w:after="0" w:line="3" w:lineRule="exact"/>
        <w:rPr>
          <w:sz w:val="20"/>
          <w:szCs w:val="20"/>
          <w:color w:val="auto"/>
        </w:rPr>
      </w:pPr>
    </w:p>
    <w:p>
      <w:pPr>
        <w:ind w:left="60"/>
        <w:spacing w:after="0"/>
        <w:rPr>
          <w:sz w:val="20"/>
          <w:szCs w:val="20"/>
          <w:color w:val="auto"/>
        </w:rPr>
      </w:pPr>
      <w:r>
        <w:rPr>
          <w:rFonts w:ascii="Arial" w:cs="Arial" w:eastAsia="Arial" w:hAnsi="Arial"/>
          <w:sz w:val="18"/>
          <w:szCs w:val="18"/>
          <w:color w:val="auto"/>
        </w:rPr>
        <w:t>Robert A. Minicucci</w:t>
      </w:r>
    </w:p>
    <w:sectPr>
      <w:pgSz w:w="11900" w:h="16838" w:orient="portrait"/>
      <w:cols w:equalWidth="0" w:num="1">
        <w:col w:w="11260"/>
      </w:cols>
      <w:pgMar w:left="240" w:top="27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2019-12-09T12:08:01Z</dcterms:created>
  <dcterms:modified xsi:type="dcterms:W3CDTF">2019-12-09T12:08:01Z</dcterms:modified>
</cp:coreProperties>
</file>