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346" w:lineRule="exact"/>
        <w:rPr>
          <w:sz w:val="24"/>
          <w:szCs w:val="24"/>
          <w:color w:val="auto"/>
        </w:rPr>
      </w:pPr>
    </w:p>
    <w:p>
      <w:pPr>
        <w:ind w:left="348"/>
        <w:spacing w:after="0"/>
        <w:rPr>
          <w:sz w:val="20"/>
          <w:szCs w:val="20"/>
          <w:color w:val="auto"/>
        </w:rPr>
      </w:pPr>
      <w:r>
        <w:rPr>
          <w:rFonts w:ascii="Courier New" w:cs="Courier New" w:eastAsia="Courier New" w:hAnsi="Courier New"/>
          <w:sz w:val="15"/>
          <w:szCs w:val="15"/>
          <w:color w:val="auto"/>
        </w:rPr>
        <w:t>AS FILED WITH THE SECURITIES AND EXCHANGE COMMISSION ON OCTOBER 4, 1999.</w:t>
      </w:r>
    </w:p>
    <w:p>
      <w:pPr>
        <w:spacing w:after="0" w:line="346" w:lineRule="exact"/>
        <w:rPr>
          <w:sz w:val="24"/>
          <w:szCs w:val="24"/>
          <w:color w:val="auto"/>
        </w:rPr>
      </w:pPr>
    </w:p>
    <w:p>
      <w:pPr>
        <w:ind w:left="4828"/>
        <w:spacing w:after="0"/>
        <w:rPr>
          <w:sz w:val="20"/>
          <w:szCs w:val="20"/>
          <w:color w:val="auto"/>
        </w:rPr>
      </w:pPr>
      <w:r>
        <w:rPr>
          <w:rFonts w:ascii="Courier New" w:cs="Courier New" w:eastAsia="Courier New" w:hAnsi="Courier New"/>
          <w:sz w:val="15"/>
          <w:szCs w:val="15"/>
          <w:color w:val="auto"/>
        </w:rPr>
        <w:t>REGISTRATION NO. 333-86609</w:t>
      </w:r>
    </w:p>
    <w:p>
      <w:pPr>
        <w:spacing w:after="0" w:line="2" w:lineRule="exact"/>
        <w:rPr>
          <w:sz w:val="24"/>
          <w:szCs w:val="24"/>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UNITED STATES</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WASHINGTON, D.C. 20549</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4"/>
          <w:szCs w:val="24"/>
          <w:color w:val="auto"/>
        </w:rPr>
      </w:pPr>
    </w:p>
    <w:p>
      <w:pPr>
        <w:ind w:left="2868"/>
        <w:spacing w:after="0"/>
        <w:rPr>
          <w:sz w:val="20"/>
          <w:szCs w:val="20"/>
          <w:color w:val="auto"/>
        </w:rPr>
      </w:pPr>
      <w:r>
        <w:rPr>
          <w:rFonts w:ascii="Courier New" w:cs="Courier New" w:eastAsia="Courier New" w:hAnsi="Courier New"/>
          <w:sz w:val="15"/>
          <w:szCs w:val="15"/>
          <w:color w:val="auto"/>
        </w:rPr>
        <w:t>AMENDMENT NO. 2</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TO</w:t>
      </w:r>
    </w:p>
    <w:p>
      <w:pPr>
        <w:spacing w:after="0" w:line="174" w:lineRule="exact"/>
        <w:rPr>
          <w:sz w:val="24"/>
          <w:szCs w:val="24"/>
          <w:color w:val="auto"/>
        </w:rPr>
      </w:pPr>
    </w:p>
    <w:p>
      <w:pPr>
        <w:ind w:left="3228"/>
        <w:spacing w:after="0"/>
        <w:rPr>
          <w:sz w:val="20"/>
          <w:szCs w:val="20"/>
          <w:color w:val="auto"/>
        </w:rPr>
      </w:pPr>
      <w:r>
        <w:rPr>
          <w:rFonts w:ascii="Courier New" w:cs="Courier New" w:eastAsia="Courier New" w:hAnsi="Courier New"/>
          <w:sz w:val="15"/>
          <w:szCs w:val="15"/>
          <w:color w:val="auto"/>
        </w:rPr>
        <w:t>FORM F-3</w:t>
      </w:r>
    </w:p>
    <w:p>
      <w:pPr>
        <w:spacing w:after="0" w:line="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REGISTRATION STATEMENT</w:t>
      </w:r>
    </w:p>
    <w:p>
      <w:pPr>
        <w:spacing w:after="0" w:line="2" w:lineRule="exact"/>
        <w:rPr>
          <w:sz w:val="24"/>
          <w:szCs w:val="24"/>
          <w:color w:val="auto"/>
        </w:rPr>
      </w:pPr>
    </w:p>
    <w:p>
      <w:pPr>
        <w:ind w:left="3308"/>
        <w:spacing w:after="0"/>
        <w:rPr>
          <w:sz w:val="20"/>
          <w:szCs w:val="20"/>
          <w:color w:val="auto"/>
        </w:rPr>
      </w:pPr>
      <w:r>
        <w:rPr>
          <w:rFonts w:ascii="Courier New" w:cs="Courier New" w:eastAsia="Courier New" w:hAnsi="Courier New"/>
          <w:sz w:val="15"/>
          <w:szCs w:val="15"/>
          <w:color w:val="auto"/>
        </w:rPr>
        <w:t>UNDER</w:t>
      </w:r>
    </w:p>
    <w:p>
      <w:pPr>
        <w:spacing w:after="0" w:line="2" w:lineRule="exact"/>
        <w:rPr>
          <w:sz w:val="24"/>
          <w:szCs w:val="24"/>
          <w:color w:val="auto"/>
        </w:rPr>
      </w:pPr>
    </w:p>
    <w:p>
      <w:pPr>
        <w:ind w:left="2408"/>
        <w:spacing w:after="0"/>
        <w:rPr>
          <w:sz w:val="20"/>
          <w:szCs w:val="20"/>
          <w:color w:val="auto"/>
        </w:rPr>
      </w:pPr>
      <w:r>
        <w:rPr>
          <w:rFonts w:ascii="Courier New" w:cs="Courier New" w:eastAsia="Courier New" w:hAnsi="Courier New"/>
          <w:sz w:val="15"/>
          <w:szCs w:val="15"/>
          <w:color w:val="auto"/>
        </w:rPr>
        <w:t>THE SECURITIES ACT OF 1933</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18" w:lineRule="exact"/>
        <w:rPr>
          <w:sz w:val="24"/>
          <w:szCs w:val="24"/>
          <w:color w:val="auto"/>
        </w:rPr>
      </w:pPr>
    </w:p>
    <w:tbl>
      <w:tblPr>
        <w:tblLayout w:type="fixed"/>
        <w:tblInd w:w="188" w:type="dxa"/>
        <w:tblCellMar>
          <w:top w:w="0" w:type="dxa"/>
          <w:left w:w="0" w:type="dxa"/>
          <w:bottom w:w="0" w:type="dxa"/>
          <w:right w:w="0" w:type="dxa"/>
        </w:tblCellMar>
      </w:tblPr>
      <w:tr>
        <w:trPr>
          <w:trHeight w:val="170"/>
        </w:trPr>
        <w:tc>
          <w:tcPr>
            <w:tcW w:w="31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ISLAND OF GUERNSEY</w:t>
            </w:r>
          </w:p>
        </w:tc>
        <w:tc>
          <w:tcPr>
            <w:tcW w:w="3440" w:type="dxa"/>
            <w:vAlign w:val="bottom"/>
          </w:tcPr>
          <w:p>
            <w:pPr>
              <w:jc w:val="right"/>
              <w:ind w:right="1565"/>
              <w:spacing w:after="0"/>
              <w:rPr>
                <w:sz w:val="20"/>
                <w:szCs w:val="20"/>
                <w:color w:val="auto"/>
              </w:rPr>
            </w:pPr>
            <w:r>
              <w:rPr>
                <w:rFonts w:ascii="Courier New" w:cs="Courier New" w:eastAsia="Courier New" w:hAnsi="Courier New"/>
                <w:sz w:val="15"/>
                <w:szCs w:val="15"/>
                <w:color w:val="auto"/>
              </w:rPr>
              <w:t>7371</w:t>
            </w:r>
          </w:p>
        </w:tc>
        <w:tc>
          <w:tcPr>
            <w:tcW w:w="2280" w:type="dxa"/>
            <w:vAlign w:val="bottom"/>
          </w:tcPr>
          <w:p>
            <w:pPr>
              <w:jc w:val="center"/>
              <w:ind w:left="605"/>
              <w:spacing w:after="0"/>
              <w:rPr>
                <w:sz w:val="20"/>
                <w:szCs w:val="20"/>
                <w:color w:val="auto"/>
              </w:rPr>
            </w:pPr>
            <w:r>
              <w:rPr>
                <w:rFonts w:ascii="Courier New" w:cs="Courier New" w:eastAsia="Courier New" w:hAnsi="Courier New"/>
                <w:sz w:val="15"/>
                <w:szCs w:val="15"/>
                <w:color w:val="auto"/>
                <w:w w:val="98"/>
              </w:rPr>
              <w:t>NOT APPLICABLE</w:t>
            </w:r>
          </w:p>
        </w:tc>
      </w:tr>
      <w:tr>
        <w:trPr>
          <w:trHeight w:val="172"/>
        </w:trPr>
        <w:tc>
          <w:tcPr>
            <w:tcW w:w="31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(STATE OR OTHER JURISDICTION OF</w:t>
            </w:r>
          </w:p>
        </w:tc>
        <w:tc>
          <w:tcPr>
            <w:tcW w:w="3440" w:type="dxa"/>
            <w:vAlign w:val="bottom"/>
          </w:tcPr>
          <w:p>
            <w:pPr>
              <w:ind w:left="360"/>
              <w:spacing w:after="0"/>
              <w:rPr>
                <w:sz w:val="20"/>
                <w:szCs w:val="20"/>
                <w:color w:val="auto"/>
              </w:rPr>
            </w:pPr>
            <w:r>
              <w:rPr>
                <w:rFonts w:ascii="Courier New" w:cs="Courier New" w:eastAsia="Courier New" w:hAnsi="Courier New"/>
                <w:sz w:val="15"/>
                <w:szCs w:val="15"/>
                <w:color w:val="auto"/>
              </w:rPr>
              <w:t>(PRIMARY STANDARD INDUSTRIAL</w:t>
            </w:r>
          </w:p>
        </w:tc>
        <w:tc>
          <w:tcPr>
            <w:tcW w:w="2280" w:type="dxa"/>
            <w:vAlign w:val="bottom"/>
          </w:tcPr>
          <w:p>
            <w:pPr>
              <w:jc w:val="center"/>
              <w:ind w:left="605"/>
              <w:spacing w:after="0"/>
              <w:rPr>
                <w:sz w:val="20"/>
                <w:szCs w:val="20"/>
                <w:color w:val="auto"/>
              </w:rPr>
            </w:pPr>
            <w:r>
              <w:rPr>
                <w:rFonts w:ascii="Courier New" w:cs="Courier New" w:eastAsia="Courier New" w:hAnsi="Courier New"/>
                <w:sz w:val="15"/>
                <w:szCs w:val="15"/>
                <w:color w:val="auto"/>
                <w:w w:val="99"/>
              </w:rPr>
              <w:t>(I.R.S. EMPLOYER</w:t>
            </w:r>
          </w:p>
        </w:tc>
      </w:tr>
      <w:tr>
        <w:trPr>
          <w:trHeight w:val="172"/>
        </w:trPr>
        <w:tc>
          <w:tcPr>
            <w:tcW w:w="3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INCORPORATION OR ORGANIZATION)</w:t>
            </w:r>
          </w:p>
        </w:tc>
        <w:tc>
          <w:tcPr>
            <w:tcW w:w="3440" w:type="dxa"/>
            <w:vAlign w:val="bottom"/>
          </w:tcPr>
          <w:p>
            <w:pPr>
              <w:ind w:left="360"/>
              <w:spacing w:after="0"/>
              <w:rPr>
                <w:sz w:val="20"/>
                <w:szCs w:val="20"/>
                <w:color w:val="auto"/>
              </w:rPr>
            </w:pPr>
            <w:r>
              <w:rPr>
                <w:rFonts w:ascii="Courier New" w:cs="Courier New" w:eastAsia="Courier New" w:hAnsi="Courier New"/>
                <w:sz w:val="15"/>
                <w:szCs w:val="15"/>
                <w:color w:val="auto"/>
              </w:rPr>
              <w:t>CLASSIFICATION CODE NUMBER)</w:t>
            </w:r>
          </w:p>
        </w:tc>
        <w:tc>
          <w:tcPr>
            <w:tcW w:w="2280" w:type="dxa"/>
            <w:vAlign w:val="bottom"/>
          </w:tcPr>
          <w:p>
            <w:pPr>
              <w:ind w:left="580"/>
              <w:spacing w:after="0"/>
              <w:rPr>
                <w:sz w:val="20"/>
                <w:szCs w:val="20"/>
                <w:color w:val="auto"/>
              </w:rPr>
            </w:pPr>
            <w:r>
              <w:rPr>
                <w:rFonts w:ascii="Courier New" w:cs="Courier New" w:eastAsia="Courier New" w:hAnsi="Courier New"/>
                <w:sz w:val="15"/>
                <w:szCs w:val="15"/>
                <w:color w:val="auto"/>
                <w:w w:val="98"/>
              </w:rPr>
              <w:t>IDENTIFICATION NO.)</w:t>
            </w:r>
          </w:p>
        </w:tc>
      </w:tr>
    </w:tbl>
    <w:p>
      <w:pPr>
        <w:spacing w:after="0" w:line="346"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TOWER HILL HOUSE LE BORDAGE</w:t>
      </w:r>
    </w:p>
    <w:p>
      <w:pPr>
        <w:spacing w:after="0" w:line="2"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ST. PETER PORT, ISLAND OF GUERNSEY, GY1 3QT CHANNEL ISLANDS</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011-44-1481-727272</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(ADDRESS AND TELEPHONE NUMBER OF REGISTRANT'S PRINCIPAL EXECUTIVE OFFICES)</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INC.</w:t>
      </w:r>
    </w:p>
    <w:p>
      <w:pPr>
        <w:spacing w:after="0" w:line="2"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1390 TIMBERLAKE MANOR PARKWAY, CHESTERFIELD, MISSOURI 63017</w:t>
      </w:r>
    </w:p>
    <w:p>
      <w:pPr>
        <w:spacing w:after="0" w:line="2"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ATTENTION: THOMAS G. O'BRIEN, TREASURER</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314-212-8328</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(NAME, ADDRESS, AND TELEPHONE NUMBER OF AGENT FOR SERVICE)</w:t>
      </w:r>
    </w:p>
    <w:p>
      <w:pPr>
        <w:spacing w:after="0" w:line="174" w:lineRule="exact"/>
        <w:rPr>
          <w:sz w:val="24"/>
          <w:szCs w:val="24"/>
          <w:color w:val="auto"/>
        </w:rPr>
      </w:pPr>
    </w:p>
    <w:p>
      <w:pPr>
        <w:ind w:left="528"/>
        <w:spacing w:after="0"/>
        <w:rPr>
          <w:sz w:val="20"/>
          <w:szCs w:val="20"/>
          <w:color w:val="auto"/>
        </w:rPr>
      </w:pPr>
      <w:r>
        <w:rPr>
          <w:rFonts w:ascii="Courier New" w:cs="Courier New" w:eastAsia="Courier New" w:hAnsi="Courier New"/>
          <w:sz w:val="15"/>
          <w:szCs w:val="15"/>
          <w:color w:val="auto"/>
        </w:rPr>
        <w:t>THE COMMISSION IS REQUESTED TO SEND COPIES OF ALL COMMUNICATIONS TO:</w:t>
      </w:r>
    </w:p>
    <w:p>
      <w:pPr>
        <w:spacing w:after="0" w:line="200" w:lineRule="exact"/>
        <w:rPr>
          <w:sz w:val="24"/>
          <w:szCs w:val="24"/>
          <w:color w:val="auto"/>
        </w:rPr>
      </w:pPr>
    </w:p>
    <w:p>
      <w:pPr>
        <w:spacing w:after="0" w:line="318" w:lineRule="exact"/>
        <w:rPr>
          <w:sz w:val="24"/>
          <w:szCs w:val="24"/>
          <w:color w:val="auto"/>
        </w:rPr>
      </w:pPr>
    </w:p>
    <w:tbl>
      <w:tblPr>
        <w:tblLayout w:type="fixed"/>
        <w:tblInd w:w="348" w:type="dxa"/>
        <w:tblCellMar>
          <w:top w:w="0" w:type="dxa"/>
          <w:left w:w="0" w:type="dxa"/>
          <w:bottom w:w="0" w:type="dxa"/>
          <w:right w:w="0" w:type="dxa"/>
        </w:tblCellMar>
      </w:tblPr>
      <w:tr>
        <w:trPr>
          <w:trHeight w:val="170"/>
        </w:trPr>
        <w:tc>
          <w:tcPr>
            <w:tcW w:w="45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8"/>
              </w:rPr>
              <w:t>ROBERT A. SCHWED, ESQ.</w:t>
            </w:r>
          </w:p>
        </w:tc>
        <w:tc>
          <w:tcPr>
            <w:tcW w:w="4160" w:type="dxa"/>
            <w:vAlign w:val="bottom"/>
          </w:tcPr>
          <w:p>
            <w:pPr>
              <w:jc w:val="center"/>
              <w:ind w:left="525"/>
              <w:spacing w:after="0"/>
              <w:rPr>
                <w:sz w:val="20"/>
                <w:szCs w:val="20"/>
                <w:color w:val="auto"/>
              </w:rPr>
            </w:pPr>
            <w:r>
              <w:rPr>
                <w:rFonts w:ascii="Courier New" w:cs="Courier New" w:eastAsia="Courier New" w:hAnsi="Courier New"/>
                <w:sz w:val="15"/>
                <w:szCs w:val="15"/>
                <w:color w:val="auto"/>
                <w:w w:val="98"/>
              </w:rPr>
              <w:t>PHYLLIS G. KORFF, ESQ.</w:t>
            </w:r>
          </w:p>
        </w:tc>
      </w:tr>
      <w:tr>
        <w:trPr>
          <w:trHeight w:val="172"/>
        </w:trPr>
        <w:tc>
          <w:tcPr>
            <w:tcW w:w="4520" w:type="dxa"/>
            <w:vAlign w:val="bottom"/>
          </w:tcPr>
          <w:p>
            <w:pPr>
              <w:jc w:val="center"/>
              <w:ind w:right="505"/>
              <w:spacing w:after="0"/>
              <w:rPr>
                <w:sz w:val="20"/>
                <w:szCs w:val="20"/>
                <w:color w:val="auto"/>
              </w:rPr>
            </w:pPr>
            <w:r>
              <w:rPr>
                <w:rFonts w:ascii="Courier New" w:cs="Courier New" w:eastAsia="Courier New" w:hAnsi="Courier New"/>
                <w:sz w:val="15"/>
                <w:szCs w:val="15"/>
                <w:color w:val="auto"/>
                <w:w w:val="99"/>
              </w:rPr>
              <w:t>REBOUL, MACMURRAY, HEWITT, MAYNARD &amp; KRISTOL</w:t>
            </w:r>
          </w:p>
        </w:tc>
        <w:tc>
          <w:tcPr>
            <w:tcW w:w="4160" w:type="dxa"/>
            <w:vAlign w:val="bottom"/>
          </w:tcPr>
          <w:p>
            <w:pPr>
              <w:jc w:val="center"/>
              <w:ind w:left="505"/>
              <w:spacing w:after="0"/>
              <w:rPr>
                <w:sz w:val="20"/>
                <w:szCs w:val="20"/>
                <w:color w:val="auto"/>
              </w:rPr>
            </w:pPr>
            <w:r>
              <w:rPr>
                <w:rFonts w:ascii="Courier New" w:cs="Courier New" w:eastAsia="Courier New" w:hAnsi="Courier New"/>
                <w:sz w:val="15"/>
                <w:szCs w:val="15"/>
                <w:color w:val="auto"/>
                <w:w w:val="99"/>
              </w:rPr>
              <w:t>SKADDEN, ARPS, SLATE, MEAGHER &amp; FLOM LLP</w:t>
            </w:r>
          </w:p>
        </w:tc>
      </w:tr>
      <w:tr>
        <w:trPr>
          <w:trHeight w:val="172"/>
        </w:trPr>
        <w:tc>
          <w:tcPr>
            <w:tcW w:w="45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45 ROCKEFELLER PLAZA</w:t>
            </w:r>
          </w:p>
        </w:tc>
        <w:tc>
          <w:tcPr>
            <w:tcW w:w="4160" w:type="dxa"/>
            <w:vAlign w:val="bottom"/>
          </w:tcPr>
          <w:p>
            <w:pPr>
              <w:jc w:val="center"/>
              <w:ind w:left="525"/>
              <w:spacing w:after="0"/>
              <w:rPr>
                <w:sz w:val="20"/>
                <w:szCs w:val="20"/>
                <w:color w:val="auto"/>
              </w:rPr>
            </w:pPr>
            <w:r>
              <w:rPr>
                <w:rFonts w:ascii="Courier New" w:cs="Courier New" w:eastAsia="Courier New" w:hAnsi="Courier New"/>
                <w:sz w:val="15"/>
                <w:szCs w:val="15"/>
                <w:color w:val="auto"/>
                <w:w w:val="99"/>
              </w:rPr>
              <w:t>919 THIRD AVENUE</w:t>
            </w:r>
          </w:p>
        </w:tc>
      </w:tr>
      <w:tr>
        <w:trPr>
          <w:trHeight w:val="172"/>
        </w:trPr>
        <w:tc>
          <w:tcPr>
            <w:tcW w:w="45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NEW YORK, NEW YORK 10111</w:t>
            </w:r>
          </w:p>
        </w:tc>
        <w:tc>
          <w:tcPr>
            <w:tcW w:w="4160" w:type="dxa"/>
            <w:vAlign w:val="bottom"/>
          </w:tcPr>
          <w:p>
            <w:pPr>
              <w:jc w:val="center"/>
              <w:ind w:left="525"/>
              <w:spacing w:after="0"/>
              <w:rPr>
                <w:sz w:val="20"/>
                <w:szCs w:val="20"/>
                <w:color w:val="auto"/>
              </w:rPr>
            </w:pPr>
            <w:r>
              <w:rPr>
                <w:rFonts w:ascii="Courier New" w:cs="Courier New" w:eastAsia="Courier New" w:hAnsi="Courier New"/>
                <w:sz w:val="15"/>
                <w:szCs w:val="15"/>
                <w:color w:val="auto"/>
                <w:w w:val="99"/>
              </w:rPr>
              <w:t>NEW YORK, NEW YORK 10022</w:t>
            </w:r>
          </w:p>
        </w:tc>
      </w:tr>
      <w:tr>
        <w:trPr>
          <w:trHeight w:val="172"/>
        </w:trPr>
        <w:tc>
          <w:tcPr>
            <w:tcW w:w="45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8"/>
              </w:rPr>
              <w:t>(212) 841-5700</w:t>
            </w:r>
          </w:p>
        </w:tc>
        <w:tc>
          <w:tcPr>
            <w:tcW w:w="4160" w:type="dxa"/>
            <w:vAlign w:val="bottom"/>
          </w:tcPr>
          <w:p>
            <w:pPr>
              <w:jc w:val="center"/>
              <w:ind w:left="525"/>
              <w:spacing w:after="0"/>
              <w:rPr>
                <w:sz w:val="20"/>
                <w:szCs w:val="20"/>
                <w:color w:val="auto"/>
              </w:rPr>
            </w:pPr>
            <w:r>
              <w:rPr>
                <w:rFonts w:ascii="Courier New" w:cs="Courier New" w:eastAsia="Courier New" w:hAnsi="Courier New"/>
                <w:sz w:val="15"/>
                <w:szCs w:val="15"/>
                <w:color w:val="auto"/>
                <w:w w:val="98"/>
              </w:rPr>
              <w:t>(212) 735-3000</w:t>
            </w:r>
          </w:p>
        </w:tc>
      </w:tr>
    </w:tbl>
    <w:p>
      <w:pPr>
        <w:spacing w:after="0" w:line="348" w:lineRule="exact"/>
        <w:rPr>
          <w:sz w:val="24"/>
          <w:szCs w:val="24"/>
          <w:color w:val="auto"/>
        </w:rPr>
      </w:pPr>
    </w:p>
    <w:p>
      <w:pPr>
        <w:ind w:left="8" w:right="3079" w:firstLine="447"/>
        <w:spacing w:after="0"/>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this Registration Statement becomes effective.</w:t>
      </w:r>
    </w:p>
    <w:p>
      <w:pPr>
        <w:spacing w:after="0" w:line="176" w:lineRule="exact"/>
        <w:rPr>
          <w:sz w:val="24"/>
          <w:szCs w:val="24"/>
          <w:color w:val="auto"/>
        </w:rPr>
      </w:pPr>
    </w:p>
    <w:p>
      <w:pPr>
        <w:ind w:left="8" w:right="3079" w:firstLine="447"/>
        <w:spacing w:after="0" w:line="241"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please check the following box. [ ] ----------</w:t>
      </w:r>
    </w:p>
    <w:p>
      <w:pPr>
        <w:spacing w:after="0" w:line="176" w:lineRule="exact"/>
        <w:rPr>
          <w:sz w:val="24"/>
          <w:szCs w:val="24"/>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 ----------</w:t>
      </w:r>
    </w:p>
    <w:p>
      <w:pPr>
        <w:spacing w:after="0" w:line="175" w:lineRule="exact"/>
        <w:rPr>
          <w:sz w:val="24"/>
          <w:szCs w:val="24"/>
          <w:color w:val="auto"/>
        </w:rPr>
      </w:pPr>
    </w:p>
    <w:p>
      <w:pPr>
        <w:jc w:val="both"/>
        <w:ind w:left="8" w:right="3339" w:firstLine="447"/>
        <w:spacing w:after="0" w:line="242"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 ----------</w:t>
      </w:r>
    </w:p>
    <w:p>
      <w:pPr>
        <w:spacing w:after="0" w:line="175" w:lineRule="exact"/>
        <w:rPr>
          <w:sz w:val="24"/>
          <w:szCs w:val="24"/>
          <w:color w:val="auto"/>
        </w:rPr>
      </w:pPr>
    </w:p>
    <w:p>
      <w:pPr>
        <w:ind w:left="8" w:right="3159" w:firstLine="447"/>
        <w:spacing w:after="0"/>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3" w:lineRule="exact"/>
        <w:rPr>
          <w:sz w:val="24"/>
          <w:szCs w:val="24"/>
          <w:color w:val="auto"/>
        </w:rPr>
      </w:pPr>
    </w:p>
    <w:p>
      <w:pPr>
        <w:ind w:left="188" w:hanging="188"/>
        <w:spacing w:after="0"/>
        <w:tabs>
          <w:tab w:leader="none" w:pos="18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231" w:right="1440" w:bottom="735"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34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Subject to Completion. Dated October 4, 1999.</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18,000,000 Shares</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Ordinary Shares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jc w:val="both"/>
        <w:ind w:right="3339" w:firstLine="447"/>
        <w:spacing w:after="0" w:line="241" w:lineRule="auto"/>
        <w:rPr>
          <w:sz w:val="20"/>
          <w:szCs w:val="20"/>
          <w:color w:val="auto"/>
        </w:rPr>
      </w:pPr>
      <w:r>
        <w:rPr>
          <w:rFonts w:ascii="Courier New" w:cs="Courier New" w:eastAsia="Courier New" w:hAnsi="Courier New"/>
          <w:sz w:val="15"/>
          <w:szCs w:val="15"/>
          <w:color w:val="auto"/>
        </w:rPr>
        <w:t>All of the ordinary shares in the offering are being sold by the selling shareholder identified in this prospectus. Amdocs will not receive any of the proceeds from the sale of the ordinary shares.</w:t>
      </w:r>
    </w:p>
    <w:p>
      <w:pPr>
        <w:spacing w:after="0" w:line="348"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The ordinary shares are listed on the New York Stock Exchange under the symbol "DOX." The last reported sale price of the ordinary shares on October 1, 1999 was $19.94 per share.</w:t>
      </w:r>
    </w:p>
    <w:p>
      <w:pPr>
        <w:spacing w:after="0" w:line="200" w:lineRule="exact"/>
        <w:rPr>
          <w:sz w:val="20"/>
          <w:szCs w:val="20"/>
          <w:color w:val="auto"/>
        </w:rPr>
      </w:pPr>
    </w:p>
    <w:p>
      <w:pPr>
        <w:spacing w:after="0" w:line="320"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See "Risk Factors" on page 9 to read about factors you should consider before buying the ordinary shares.</w:t>
      </w:r>
    </w:p>
    <w:p>
      <w:pPr>
        <w:spacing w:after="0" w:line="34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88"/>
        </w:trPr>
        <w:tc>
          <w:tcPr>
            <w:tcW w:w="5440" w:type="dxa"/>
            <w:vAlign w:val="bottom"/>
          </w:tcPr>
          <w:p>
            <w:pPr>
              <w:spacing w:after="0"/>
              <w:rPr>
                <w:sz w:val="24"/>
                <w:szCs w:val="2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Per Share</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Total</w:t>
            </w:r>
          </w:p>
        </w:tc>
      </w:tr>
      <w:tr>
        <w:trPr>
          <w:trHeight w:val="172"/>
        </w:trPr>
        <w:tc>
          <w:tcPr>
            <w:tcW w:w="544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Initial price to public.....................................</w:t>
            </w: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Underwriting discount.......................................</w:t>
            </w: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Proceeds, before expenses, to the selling shareholder.......</w:t>
            </w:r>
          </w:p>
        </w:tc>
        <w:tc>
          <w:tcPr>
            <w:tcW w:w="10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To the extent that the underwriters sell more than 18,000,000 ordinary shares, the underwriters have the option to purchase up to an additional 2,700,000 shares from the selling shareholder at the initial price to public less the underwriting discount.</w:t>
      </w:r>
    </w:p>
    <w:p>
      <w:pPr>
        <w:spacing w:after="0" w:line="173"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underwriters expect to deliver the shares against payment in New York,</w:t>
      </w:r>
    </w:p>
    <w:p>
      <w:pPr>
        <w:spacing w:after="0" w:line="2"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15"/>
          <w:szCs w:val="15"/>
          <w:color w:val="auto"/>
        </w:rPr>
        <w:t>New York on</w:t>
      </w:r>
      <w:r>
        <w:rPr>
          <w:sz w:val="20"/>
          <w:szCs w:val="20"/>
          <w:color w:val="auto"/>
        </w:rPr>
        <w:tab/>
      </w:r>
      <w:r>
        <w:rPr>
          <w:rFonts w:ascii="Courier New" w:cs="Courier New" w:eastAsia="Courier New" w:hAnsi="Courier New"/>
          <w:sz w:val="14"/>
          <w:szCs w:val="14"/>
          <w:color w:val="auto"/>
        </w:rPr>
        <w:t>, 1999.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GOLDMAN, SACHS &amp; CO.</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BANC OF AMERICA SECURITIES LLC</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DEUTSCHE BANC ALEX. BROWN</w:t>
      </w:r>
    </w:p>
    <w:p>
      <w:pPr>
        <w:spacing w:after="0" w:line="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LEHMAN BROTHERS</w:t>
      </w:r>
    </w:p>
    <w:p>
      <w:pPr>
        <w:spacing w:after="0" w:line="2" w:lineRule="exact"/>
        <w:rPr>
          <w:sz w:val="20"/>
          <w:szCs w:val="20"/>
          <w:color w:val="auto"/>
        </w:rPr>
      </w:pPr>
    </w:p>
    <w:p>
      <w:pPr>
        <w:ind w:left="4460"/>
        <w:spacing w:after="0"/>
        <w:rPr>
          <w:sz w:val="20"/>
          <w:szCs w:val="20"/>
          <w:color w:val="auto"/>
        </w:rPr>
      </w:pPr>
      <w:r>
        <w:rPr>
          <w:rFonts w:ascii="Courier New" w:cs="Courier New" w:eastAsia="Courier New" w:hAnsi="Courier New"/>
          <w:sz w:val="15"/>
          <w:szCs w:val="15"/>
          <w:color w:val="auto"/>
        </w:rPr>
        <w:t>PRUDENTIAL SECURITIES</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780"/>
        <w:spacing w:after="0"/>
        <w:tabs>
          <w:tab w:leader="none" w:pos="4620" w:val="left"/>
        </w:tabs>
        <w:rPr>
          <w:sz w:val="20"/>
          <w:szCs w:val="20"/>
          <w:color w:val="auto"/>
        </w:rPr>
      </w:pPr>
      <w:r>
        <w:rPr>
          <w:rFonts w:ascii="Courier New" w:cs="Courier New" w:eastAsia="Courier New" w:hAnsi="Courier New"/>
          <w:sz w:val="15"/>
          <w:szCs w:val="15"/>
          <w:color w:val="auto"/>
        </w:rPr>
        <w:t>Prospectus dated</w:t>
      </w:r>
      <w:r>
        <w:rPr>
          <w:sz w:val="20"/>
          <w:szCs w:val="20"/>
          <w:color w:val="auto"/>
        </w:rPr>
        <w:tab/>
      </w:r>
      <w:r>
        <w:rPr>
          <w:rFonts w:ascii="Courier New" w:cs="Courier New" w:eastAsia="Courier New" w:hAnsi="Courier New"/>
          <w:sz w:val="14"/>
          <w:szCs w:val="14"/>
          <w:color w:val="auto"/>
        </w:rPr>
        <w:t>, 1999.</w:t>
      </w:r>
    </w:p>
    <w:p>
      <w:pPr>
        <w:sectPr>
          <w:pgSz w:w="11900" w:h="16838" w:orient="portrait"/>
          <w:cols w:equalWidth="0" w:num="1">
            <w:col w:w="10219"/>
          </w:cols>
          <w:pgMar w:left="240" w:top="28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inside front cover pages contain the following:</w:t>
      </w:r>
    </w:p>
    <w:p>
      <w:pPr>
        <w:spacing w:after="0" w:line="176" w:lineRule="exact"/>
        <w:rPr>
          <w:sz w:val="20"/>
          <w:szCs w:val="20"/>
          <w:color w:val="auto"/>
        </w:rPr>
      </w:pPr>
    </w:p>
    <w:p>
      <w:pPr>
        <w:ind w:left="360" w:right="3339" w:hanging="181"/>
        <w:spacing w:after="0" w:line="241" w:lineRule="auto"/>
        <w:tabs>
          <w:tab w:leader="none" w:pos="3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Logo with text and pictures of telecommunications users superimposed upon a globe of the Earth. Text: Business Support Systems Solutions for the Telecommunications Industry.</w:t>
      </w:r>
    </w:p>
    <w:p>
      <w:pPr>
        <w:spacing w:after="0" w:line="176" w:lineRule="exact"/>
        <w:rPr>
          <w:rFonts w:ascii="Courier New" w:cs="Courier New" w:eastAsia="Courier New" w:hAnsi="Courier New"/>
          <w:sz w:val="15"/>
          <w:szCs w:val="15"/>
          <w:color w:val="auto"/>
        </w:rPr>
      </w:pPr>
    </w:p>
    <w:p>
      <w:pPr>
        <w:ind w:left="360" w:right="3079" w:hanging="181"/>
        <w:spacing w:after="0" w:line="242" w:lineRule="auto"/>
        <w:tabs>
          <w:tab w:leader="none" w:pos="3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Logo with text and a graphical representation of the different components that comprise Amdocs' customer care and billing platform. Text: Customer Care and Billing Platform. Comprehensive Customer Care and Billing Platform supporting wireline, wireless and multi-service convergence telecom carriers.</w:t>
      </w:r>
    </w:p>
    <w:p>
      <w:pPr>
        <w:sectPr>
          <w:pgSz w:w="11900" w:h="16838" w:orient="portrait"/>
          <w:cols w:equalWidth="0" w:num="1">
            <w:col w:w="9959"/>
          </w:cols>
          <w:pgMar w:left="500" w:top="289"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ENFORCEABILITY OF CIVIL LIABILITIES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are incorporated under the laws of the Island of Guernsey ("Guernsey"). Several of our directors and officers named herein are not residents of the United States, and a significant portion of our assets and the assets of those persons are located outside the United States. As a result, it may not be possible for investors to effect service of process within the United States upon those persons or to enforce against them in U.S. courts judgments predicated upon the civil liability provisions of the laws of the United States, including the federal securities laws. We have irrevocably appointed Amdocs, Inc., one of our U.S. subsidiaries, as our agent to receive service of process in any action against us in any Federal court or court of the State of New York arising out of the offering and sale of securities in connection with this prospectus.</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been advised by Carey Langlois,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 However, subject to certain time limitations, Guernsey courts may base original actions in Guernsey on foreign final executory judgments, including those of the United States, for liquidated amounts in civil matters, obtained after completion of due process before a court of competent jurisdiction (according to the rules of private international law currently prevailing in Guernsey) which recognizes and enforces similar Guernsey judgments, provided that:</w:t>
      </w:r>
    </w:p>
    <w:p>
      <w:pPr>
        <w:spacing w:after="0" w:line="180" w:lineRule="exact"/>
        <w:rPr>
          <w:sz w:val="20"/>
          <w:szCs w:val="20"/>
          <w:color w:val="auto"/>
        </w:rPr>
      </w:pPr>
    </w:p>
    <w:p>
      <w:pPr>
        <w:ind w:left="620" w:right="3079" w:hanging="181"/>
        <w:spacing w:after="0"/>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adequate service of process has been effected and the defendant has had a reasonable opportunity to be heard;</w:t>
      </w:r>
    </w:p>
    <w:p>
      <w:pPr>
        <w:spacing w:after="0" w:line="176" w:lineRule="exact"/>
        <w:rPr>
          <w:rFonts w:ascii="Courier New" w:cs="Courier New" w:eastAsia="Courier New" w:hAnsi="Courier New"/>
          <w:sz w:val="15"/>
          <w:szCs w:val="15"/>
          <w:color w:val="auto"/>
        </w:rPr>
      </w:pPr>
    </w:p>
    <w:p>
      <w:pPr>
        <w:ind w:left="620" w:right="3339" w:hanging="181"/>
        <w:spacing w:after="0"/>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judgments or the enforcement thereof are not contrary to the law, public policy, security or sovereignty of Guernsey;</w:t>
      </w:r>
    </w:p>
    <w:p>
      <w:pPr>
        <w:spacing w:after="0" w:line="176" w:lineRule="exact"/>
        <w:rPr>
          <w:rFonts w:ascii="Courier New" w:cs="Courier New" w:eastAsia="Courier New" w:hAnsi="Courier New"/>
          <w:sz w:val="15"/>
          <w:szCs w:val="15"/>
          <w:color w:val="auto"/>
        </w:rPr>
      </w:pPr>
    </w:p>
    <w:p>
      <w:pPr>
        <w:ind w:left="620" w:right="3159" w:hanging="181"/>
        <w:spacing w:after="0" w:line="241" w:lineRule="auto"/>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judgments were not obtained by fraudulent means and do not conflict with any other valid judgment in the same matter between the same parties; and</w:t>
      </w:r>
    </w:p>
    <w:p>
      <w:pPr>
        <w:spacing w:after="0" w:line="176" w:lineRule="exact"/>
        <w:rPr>
          <w:rFonts w:ascii="Courier New" w:cs="Courier New" w:eastAsia="Courier New" w:hAnsi="Courier New"/>
          <w:sz w:val="15"/>
          <w:szCs w:val="15"/>
          <w:color w:val="auto"/>
        </w:rPr>
      </w:pPr>
    </w:p>
    <w:p>
      <w:pPr>
        <w:jc w:val="both"/>
        <w:ind w:left="620" w:right="3259" w:hanging="181"/>
        <w:spacing w:after="0" w:line="241" w:lineRule="auto"/>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action between the same parties in the same matter is not pending in any Guernsey court at the time the lawsuit is instituted in the foreign court.</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9"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PROSPECTUS SUMMARY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You should read the following summary together with the more detailed information regarding our company and the ordinary shares being sold in this offering and our financial statements and notes to those financial statements appearing elsewhere in this prospectus. Unless otherwise indicated, all information in this prospectus assumes the underwriters' option to purchase additional shares in the offering will not be exercised. See "Description of Share Capital" and "Underwriting". References in this prospectus to "Amdocs," "we," "our," "us" and the "Company" refer to Amdocs Limited and its consolidated subsidiaries and their respective predecessors. References to "dollars" or $ are to United States dollars.</w:t>
      </w:r>
    </w:p>
    <w:p>
      <w:pPr>
        <w:spacing w:after="0" w:line="35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Unless otherwise stated, all references in this prospectus to ordinary shares are to both voting and nonvoting ordinary shares, all references to percentage ownership of our ordinary shares exclude the effect of the ordinary shares being offered by this prospectus and all references to ordinary voting and nonvoting share ownership, as expressed in percentages, are as of September 30, 1999.</w:t>
      </w:r>
    </w:p>
    <w:p>
      <w:pPr>
        <w:spacing w:after="0" w:line="34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AMDOCS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are a leading provider of product-driven information system solutions to major telecommunications companies in North America, Europe and around the world. Our Business Support Systems consist of families of products designed to meet the mission-critical needs of specific market sectors. We provide integrated, comprehensive customer care and billing systems for wireline and wireless network operators and service providers. We also provide customer care and billing systems to companies that offer multiple service packages, commonly referred to as convergent services, such as local, long distance, international, data, Internet, Voice Over Internet Protocol, cellular, personal communications services and paging. In addition, we provide a full-range of directory sales and publishing systems to publishers of both traditional printed yellow page and white page directories and Internet directories.</w:t>
      </w:r>
    </w:p>
    <w:p>
      <w:pPr>
        <w:spacing w:after="0" w:line="18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Since the inception of our business in 1982, we have concentrated on providing software products and services to major telecommunications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the telecommunications industry. Our customer base includes the largest local exchange service providers in the United States, major foreign network operators and service providers such as Deutsche Telekom (Germany), Vodafone Group (United Kingdom), Mannesmann (Germany) and Telstra (Australia) and emerging market leaders.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our total solutions orientation, product functionality and quality personnel permit us to offer effective solutions to our customers that are both highly innovative and reliable. Our software products are based on an advanced multi-tier client-server architecture that provides the flexibility and scalability needed by major companies in the highly competitive and rapidly growing telecommunications industry. We have developed an extensive library of Business Support System software products, providing comprehensive support for the various types of telecommunications operations. Core elements include customer care, order management, call rating, invoice calculation, bill formatting, collections, fraud management and directory publishing. Our products have also been configured to support the growing trend for communications companies to provide convergent wireline and wireless services. We also offer our customers a range of support services to provide a complete systems solution. These services include software customization to address each customer's specific requirements, as well as implementation support, system integration, maintenance, ongoing support and outsourcing services.</w:t>
      </w:r>
    </w:p>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9"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telecommunications industry is undergoing rapid and fundamental changes due to the increased demand for telecommunications services, deregulation, privatization and technological advancements. These changes are creating opportunities for new entrants to provide both traditional and new types of services, including Internet, Voice over Internet Protocol telephony, Internet directories, data and convergent services. In this environment, telecommunications service providers increasingly need to compete for customers by providing service and product offerings that are differentiated by factors such as service quality, advanced features, rapid implementation of new services, technological innovation and price.</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As a result of these developments, many telecommunications companies are seeking a new generation of information systems to support their operations and to be more competitive. In addition, many new and existing service providers do not have the financial or human resources or technological capability to internally develop efficient, flexible, cost-effective information systems on a timely basis. Moreover, as many telecommunications companies strive to become more consumer oriented, they are concentrating their efforts and resources on marketing to consumers and expanding their service offerings and many are turning to third party vendors for their information systems. All of these factors create significant opportunities for us to provide information system solutions.</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176" w:lineRule="exact"/>
        <w:rPr>
          <w:sz w:val="20"/>
          <w:szCs w:val="20"/>
          <w:color w:val="auto"/>
        </w:rPr>
      </w:pPr>
    </w:p>
    <w:p>
      <w:pPr>
        <w:ind w:right="3339" w:firstLine="439"/>
        <w:spacing w:after="0" w:line="274" w:lineRule="auto"/>
        <w:tabs>
          <w:tab w:leader="none" w:pos="626"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our Business Support System products and related services, including license fees and customization and implementation services, and</w:t>
      </w:r>
    </w:p>
    <w:p>
      <w:pPr>
        <w:spacing w:after="0" w:line="153" w:lineRule="exact"/>
        <w:rPr>
          <w:rFonts w:ascii="Courier New" w:cs="Courier New" w:eastAsia="Courier New" w:hAnsi="Courier New"/>
          <w:sz w:val="14"/>
          <w:szCs w:val="14"/>
          <w:color w:val="auto"/>
        </w:rPr>
      </w:pPr>
    </w:p>
    <w:p>
      <w:pPr>
        <w:ind w:right="3259" w:firstLine="439"/>
        <w:spacing w:after="0" w:line="267" w:lineRule="auto"/>
        <w:tabs>
          <w:tab w:leader="none" w:pos="626"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recurring revenue from ongoing maintenance, support, outsourcing and related services provided to our customers and to a lesser degree, from incremental license fees resulting from increases in a customer's subscribers.</w:t>
      </w:r>
    </w:p>
    <w:p>
      <w:pPr>
        <w:spacing w:after="0" w:line="15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Customer care and billing systems and related services accounted for $325.4 million or 73.3% of our revenue for the nine months ended June 30, 1999 and $251.8 million or 62.4% of our revenue for the year ended September 30, 1998. Directory sales and publishing systems and related services and other activities accounted for $118.8 million or 26.7% of our revenue for the nine months ended June 30, 1999 and $151.9 million or 37.6% of our revenue for the year ended September 30, 1998.</w:t>
      </w:r>
    </w:p>
    <w:p>
      <w:pPr>
        <w:spacing w:after="0" w:line="177"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As of July 31, 1999, we had approximately 4,900 full-time equivalent employees, of which approximately 4,300 were software and information technology specialists engaged in research, development, maintenance and support activities. Our Israeli subsidiary employs over 2,900 software and information technology specialists and operates our largest development facility. In the United States, our main sales and development center is located in St. Louis, Missouri. The executive offices of our principal subsidiary in the United States are located at 1390 Timberlake Manor Parkway, Chesterfield, Missouri 63017, and the telephone number at that location is (314) 212-8328.</w:t>
      </w:r>
    </w:p>
    <w:p>
      <w:pPr>
        <w:spacing w:after="0" w:line="160"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RECENT DEVELOPMENTS</w:t>
      </w:r>
    </w:p>
    <w:p>
      <w:pPr>
        <w:spacing w:after="0" w:line="176"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On September 3, 1999, we signed an agreement to acquire International Telecommunication Data Systems, Inc., or ITDS, in a stock-for-stock merger transaction having an estimated total purchase price of approximately $181.5 million (excluding the fair value of vested stock options and estimated transaction costs). ITDS is a leading provider of billing and customer care service bureau solutions to wireless telecommunication service providers. ITDS' revenue and net loss for its fiscal year ended December 31, 1998 were $115.5 million and $3.9 million, respectively. For the six months ended June 30, 1999, ITDS' revenue and net income were $68.6 million and $8.7 million, respectively.</w:t>
      </w:r>
    </w:p>
    <w:p>
      <w:pPr>
        <w:spacing w:after="0" w:line="16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6" w:name="page7"/>
    <w:bookmarkEnd w:id="6"/>
    <w:p>
      <w:pPr>
        <w:ind w:left="268"/>
        <w:spacing w:after="0"/>
        <w:rPr>
          <w:sz w:val="20"/>
          <w:szCs w:val="20"/>
          <w:color w:val="auto"/>
        </w:rPr>
      </w:pPr>
      <w:r>
        <w:rPr>
          <w:rFonts w:ascii="Courier New" w:cs="Courier New" w:eastAsia="Courier New" w:hAnsi="Courier New"/>
          <w:sz w:val="15"/>
          <w:szCs w:val="15"/>
          <w:color w:val="auto"/>
        </w:rPr>
        <w:t>7</w:t>
      </w:r>
    </w:p>
    <w:p>
      <w:pPr>
        <w:spacing w:after="0" w:line="176" w:lineRule="exact"/>
        <w:rPr>
          <w:sz w:val="20"/>
          <w:szCs w:val="20"/>
          <w:color w:val="auto"/>
        </w:rPr>
      </w:pPr>
    </w:p>
    <w:p>
      <w:pPr>
        <w:ind w:left="3048"/>
        <w:spacing w:after="0"/>
        <w:rPr>
          <w:sz w:val="20"/>
          <w:szCs w:val="20"/>
          <w:color w:val="auto"/>
        </w:rPr>
      </w:pPr>
      <w:r>
        <w:rPr>
          <w:rFonts w:ascii="Courier New" w:cs="Courier New" w:eastAsia="Courier New" w:hAnsi="Courier New"/>
          <w:sz w:val="14"/>
          <w:szCs w:val="14"/>
          <w:color w:val="auto"/>
        </w:rPr>
        <w:t>THE OFFERING</w:t>
      </w:r>
    </w:p>
    <w:p>
      <w:pPr>
        <w:sectPr>
          <w:pgSz w:w="11900" w:h="16838" w:orient="portrait"/>
          <w:cols w:equalWidth="0" w:num="1">
            <w:col w:w="10227"/>
          </w:cols>
          <w:pgMar w:left="232" w:top="289" w:right="1440" w:bottom="1440" w:gutter="0" w:footer="0" w:header="0"/>
        </w:sectPr>
      </w:pPr>
    </w:p>
    <w:p>
      <w:pPr>
        <w:spacing w:after="0" w:line="185" w:lineRule="exact"/>
        <w:rPr>
          <w:sz w:val="20"/>
          <w:szCs w:val="20"/>
          <w:color w:val="auto"/>
        </w:rPr>
      </w:pPr>
    </w:p>
    <w:p>
      <w:pPr>
        <w:ind w:left="8"/>
        <w:spacing w:after="0" w:line="274" w:lineRule="auto"/>
        <w:rPr>
          <w:sz w:val="20"/>
          <w:szCs w:val="20"/>
          <w:color w:val="auto"/>
        </w:rPr>
      </w:pPr>
      <w:r>
        <w:rPr>
          <w:rFonts w:ascii="Courier New" w:cs="Courier New" w:eastAsia="Courier New" w:hAnsi="Courier New"/>
          <w:sz w:val="14"/>
          <w:szCs w:val="14"/>
          <w:color w:val="auto"/>
        </w:rPr>
        <w:t>Shares offered by the selling shareholder........</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18,000,000 shares</w:t>
      </w:r>
    </w:p>
    <w:p>
      <w:pPr>
        <w:spacing w:after="0" w:line="185" w:lineRule="exact"/>
        <w:rPr>
          <w:sz w:val="20"/>
          <w:szCs w:val="20"/>
          <w:color w:val="auto"/>
        </w:rPr>
      </w:pPr>
    </w:p>
    <w:p>
      <w:pPr>
        <w:sectPr>
          <w:pgSz w:w="11900" w:h="16838" w:orient="portrait"/>
          <w:cols w:equalWidth="0" w:num="2">
            <w:col w:w="2408" w:space="180"/>
            <w:col w:w="7639"/>
          </w:cols>
          <w:pgMar w:left="232" w:top="289" w:right="1440" w:bottom="1440" w:gutter="0" w:footer="0" w:header="0"/>
          <w:type w:val="continuous"/>
        </w:sectPr>
      </w:pPr>
    </w:p>
    <w:p>
      <w:pPr>
        <w:ind w:left="8"/>
        <w:spacing w:after="0" w:line="274" w:lineRule="auto"/>
        <w:rPr>
          <w:sz w:val="20"/>
          <w:szCs w:val="20"/>
          <w:color w:val="auto"/>
        </w:rPr>
      </w:pPr>
      <w:r>
        <w:rPr>
          <w:rFonts w:ascii="Courier New" w:cs="Courier New" w:eastAsia="Courier New" w:hAnsi="Courier New"/>
          <w:sz w:val="14"/>
          <w:szCs w:val="14"/>
          <w:color w:val="auto"/>
        </w:rPr>
        <w:t>Shares to be outstanding after the offering.........</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198,800,024(1)</w:t>
      </w:r>
    </w:p>
    <w:p>
      <w:pPr>
        <w:spacing w:after="0" w:line="175" w:lineRule="exact"/>
        <w:rPr>
          <w:sz w:val="20"/>
          <w:szCs w:val="20"/>
          <w:color w:val="auto"/>
        </w:rPr>
      </w:pPr>
    </w:p>
    <w:p>
      <w:pPr>
        <w:sectPr>
          <w:pgSz w:w="11900" w:h="16838" w:orient="portrait"/>
          <w:cols w:equalWidth="0" w:num="2">
            <w:col w:w="2408" w:space="180"/>
            <w:col w:w="7639"/>
          </w:cols>
          <w:pgMar w:left="232" w:top="289"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Use of proceeds............</w:t>
      </w:r>
    </w:p>
    <w:p>
      <w:pPr>
        <w:spacing w:after="0" w:line="20" w:lineRule="exact"/>
        <w:rPr>
          <w:sz w:val="20"/>
          <w:szCs w:val="20"/>
          <w:color w:val="auto"/>
        </w:rPr>
      </w:pPr>
      <w:r>
        <w:rPr>
          <w:sz w:val="20"/>
          <w:szCs w:val="20"/>
          <w:color w:val="auto"/>
        </w:rPr>
        <w:br w:type="column"/>
      </w:r>
    </w:p>
    <w:p>
      <w:pPr>
        <w:ind w:right="3339"/>
        <w:spacing w:after="0"/>
        <w:rPr>
          <w:sz w:val="20"/>
          <w:szCs w:val="20"/>
          <w:color w:val="auto"/>
        </w:rPr>
      </w:pPr>
      <w:r>
        <w:rPr>
          <w:rFonts w:ascii="Courier New" w:cs="Courier New" w:eastAsia="Courier New" w:hAnsi="Courier New"/>
          <w:sz w:val="15"/>
          <w:szCs w:val="15"/>
          <w:color w:val="auto"/>
        </w:rPr>
        <w:t>We will not receive any of the proceeds from the sale of the shares.</w:t>
      </w:r>
    </w:p>
    <w:p>
      <w:pPr>
        <w:spacing w:after="0" w:line="174" w:lineRule="exact"/>
        <w:rPr>
          <w:sz w:val="20"/>
          <w:szCs w:val="20"/>
          <w:color w:val="auto"/>
        </w:rPr>
      </w:pPr>
    </w:p>
    <w:p>
      <w:pPr>
        <w:sectPr>
          <w:pgSz w:w="11900" w:h="16838" w:orient="portrait"/>
          <w:cols w:equalWidth="0" w:num="2">
            <w:col w:w="2408" w:space="180"/>
            <w:col w:w="7639"/>
          </w:cols>
          <w:pgMar w:left="232" w:top="289" w:right="1440" w:bottom="1440" w:gutter="0" w:footer="0" w:header="0"/>
          <w:type w:val="continuous"/>
        </w:sectPr>
      </w:pPr>
    </w:p>
    <w:p>
      <w:pPr>
        <w:spacing w:after="0" w:line="2" w:lineRule="exact"/>
        <w:rPr>
          <w:sz w:val="20"/>
          <w:szCs w:val="20"/>
          <w:color w:val="auto"/>
        </w:rPr>
      </w:pPr>
    </w:p>
    <w:p>
      <w:pPr>
        <w:ind w:left="8"/>
        <w:spacing w:after="0" w:line="274" w:lineRule="auto"/>
        <w:rPr>
          <w:sz w:val="20"/>
          <w:szCs w:val="20"/>
          <w:color w:val="auto"/>
        </w:rPr>
      </w:pPr>
      <w:r>
        <w:rPr>
          <w:rFonts w:ascii="Courier New" w:cs="Courier New" w:eastAsia="Courier New" w:hAnsi="Courier New"/>
          <w:sz w:val="14"/>
          <w:szCs w:val="14"/>
          <w:color w:val="auto"/>
        </w:rPr>
        <w:t>NYSE symbol................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DOX</w:t>
      </w:r>
    </w:p>
    <w:p>
      <w:pPr>
        <w:spacing w:after="0" w:line="347" w:lineRule="exact"/>
        <w:rPr>
          <w:sz w:val="20"/>
          <w:szCs w:val="20"/>
          <w:color w:val="auto"/>
        </w:rPr>
      </w:pPr>
    </w:p>
    <w:p>
      <w:pPr>
        <w:sectPr>
          <w:pgSz w:w="11900" w:h="16838" w:orient="portrait"/>
          <w:cols w:equalWidth="0" w:num="2">
            <w:col w:w="2408" w:space="180"/>
            <w:col w:w="7639"/>
          </w:cols>
          <w:pgMar w:left="232" w:top="289" w:right="1440" w:bottom="1440" w:gutter="0" w:footer="0" w:header="0"/>
          <w:type w:val="continuous"/>
        </w:sectPr>
      </w:pPr>
    </w:p>
    <w:p>
      <w:pPr>
        <w:ind w:left="348" w:right="3259" w:hanging="348"/>
        <w:spacing w:after="0" w:line="242" w:lineRule="auto"/>
        <w:tabs>
          <w:tab w:leader="none" w:pos="3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ordinary shares outstanding as of September 30, 1999. Does not include (i) approximately 6,111,000 ordinary shares reserved for issuance upon the exercise of stock options that have been granted through July 31, 1999 under our stock option plan and (ii) approximately 489,000 ordinary shares to be reserved for future issuance of stock options under our stock option plan.</w:t>
      </w:r>
    </w:p>
    <w:p>
      <w:pPr>
        <w:spacing w:after="0" w:line="346"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289" w:right="1440" w:bottom="1440" w:gutter="0" w:footer="0" w:header="0"/>
          <w:type w:val="continuous"/>
        </w:sectPr>
      </w:pPr>
    </w:p>
    <w:bookmarkStart w:id="7" w:name="page8"/>
    <w:bookmarkEnd w:id="7"/>
    <w:p>
      <w:pPr>
        <w:ind w:left="268"/>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jc w:val="center"/>
        <w:ind w:right="4112"/>
        <w:spacing w:after="0"/>
        <w:rPr>
          <w:sz w:val="20"/>
          <w:szCs w:val="20"/>
          <w:color w:val="auto"/>
        </w:rPr>
      </w:pPr>
      <w:r>
        <w:rPr>
          <w:rFonts w:ascii="Courier New" w:cs="Courier New" w:eastAsia="Courier New" w:hAnsi="Courier New"/>
          <w:sz w:val="15"/>
          <w:szCs w:val="15"/>
          <w:color w:val="auto"/>
        </w:rPr>
        <w:t>SUMMARY HISTORICAL CONSOLIDATED FINANCIAL INFORMATION</w:t>
      </w:r>
    </w:p>
    <w:p>
      <w:pPr>
        <w:spacing w:after="0" w:line="176" w:lineRule="exact"/>
        <w:rPr>
          <w:sz w:val="20"/>
          <w:szCs w:val="20"/>
          <w:color w:val="auto"/>
        </w:rPr>
      </w:pPr>
    </w:p>
    <w:p>
      <w:pPr>
        <w:ind w:left="8" w:right="4040" w:firstLine="447"/>
        <w:spacing w:after="0" w:line="242" w:lineRule="auto"/>
        <w:rPr>
          <w:sz w:val="20"/>
          <w:szCs w:val="20"/>
          <w:color w:val="auto"/>
        </w:rPr>
      </w:pPr>
      <w:r>
        <w:rPr>
          <w:rFonts w:ascii="Courier New" w:cs="Courier New" w:eastAsia="Courier New" w:hAnsi="Courier New"/>
          <w:sz w:val="15"/>
          <w:szCs w:val="15"/>
          <w:color w:val="auto"/>
        </w:rPr>
        <w:t>Our consolidated financial statements are prepared in accordance with generally accepted accounting principles in the United States ("U.S. GAAP") and presented in U.S. dollars. The summary historical consolidated financial information set forth below has been derived from the combined or consolidated financial statements of Amdocs and its subsidiaries for the periods presented. During the year ended September 30, 1994, Amdocs' operating subsidiaries were operated as a group of companies owned by common shareholders, and financial statements for such periods were prepared on a combined basis and were not audited. Historical information as of and for the four years ended September 30, 1998 is derived from our consolidated financial statements which have been audited by Ernst &amp; Young LLP, our independent auditors. The summary historical consolidated financial information as of and for the nine months ended June 30, 1999 and 1998 is derived from our unaudited historical consolidated financial statements. The unaudited historical financial information reflects all adjustments (consisting only of normal recurring adjustments) that we consider necessary for a fair statement of our consolidated financial position and the results of operations for such periods. The results of operations for the nine months ended June 30, 1999 are not necessarily indicative of results to be expected for any future period.</w:t>
      </w:r>
    </w:p>
    <w:p>
      <w:pPr>
        <w:spacing w:after="0" w:line="185" w:lineRule="exact"/>
        <w:rPr>
          <w:sz w:val="20"/>
          <w:szCs w:val="20"/>
          <w:color w:val="auto"/>
        </w:rPr>
      </w:pPr>
    </w:p>
    <w:p>
      <w:pPr>
        <w:ind w:left="8" w:right="4220" w:firstLine="447"/>
        <w:spacing w:after="0" w:line="242" w:lineRule="auto"/>
        <w:rPr>
          <w:sz w:val="20"/>
          <w:szCs w:val="20"/>
          <w:color w:val="auto"/>
        </w:rPr>
      </w:pPr>
      <w:r>
        <w:rPr>
          <w:rFonts w:ascii="Courier New" w:cs="Courier New" w:eastAsia="Courier New" w:hAnsi="Courier New"/>
          <w:sz w:val="15"/>
          <w:szCs w:val="15"/>
          <w:color w:val="auto"/>
        </w:rPr>
        <w:t>The information presented below is qualified by the more detailed historical consolidated financial statements included elsewhere in this prospectus and should be read in conjunction with those consolidated financial statements and the discussion under "Management's Discussion and Analysis of Results of Operations and Financial Condition" included elsewhere in this prospectus.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460" w:type="dxa"/>
            <w:vAlign w:val="bottom"/>
          </w:tcPr>
          <w:p>
            <w:pPr>
              <w:spacing w:after="0"/>
              <w:rPr>
                <w:sz w:val="14"/>
                <w:szCs w:val="14"/>
                <w:color w:val="auto"/>
              </w:rPr>
            </w:pPr>
          </w:p>
        </w:tc>
        <w:tc>
          <w:tcPr>
            <w:tcW w:w="19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NINE MONTHS</w:t>
            </w: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4460" w:type="dxa"/>
            <w:vAlign w:val="bottom"/>
          </w:tcPr>
          <w:p>
            <w:pPr>
              <w:spacing w:after="0"/>
              <w:rPr>
                <w:sz w:val="14"/>
                <w:szCs w:val="14"/>
                <w:color w:val="auto"/>
              </w:rPr>
            </w:pPr>
          </w:p>
        </w:tc>
        <w:tc>
          <w:tcPr>
            <w:tcW w:w="1980" w:type="dxa"/>
            <w:vAlign w:val="bottom"/>
            <w:gridSpan w:val="2"/>
          </w:tcPr>
          <w:p>
            <w:pPr>
              <w:jc w:val="right"/>
              <w:ind w:right="745"/>
              <w:spacing w:after="0"/>
              <w:rPr>
                <w:sz w:val="20"/>
                <w:szCs w:val="20"/>
                <w:color w:val="auto"/>
              </w:rPr>
            </w:pPr>
            <w:r>
              <w:rPr>
                <w:rFonts w:ascii="Courier New" w:cs="Courier New" w:eastAsia="Courier New" w:hAnsi="Courier New"/>
                <w:sz w:val="15"/>
                <w:szCs w:val="15"/>
                <w:color w:val="auto"/>
              </w:rPr>
              <w:t>ENDED</w:t>
            </w: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4460" w:type="dxa"/>
            <w:vAlign w:val="bottom"/>
          </w:tcPr>
          <w:p>
            <w:pPr>
              <w:spacing w:after="0"/>
              <w:rPr>
                <w:sz w:val="14"/>
                <w:szCs w:val="14"/>
                <w:color w:val="auto"/>
              </w:rPr>
            </w:pPr>
          </w:p>
        </w:tc>
        <w:tc>
          <w:tcPr>
            <w:tcW w:w="19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JUNE 30,</w:t>
            </w:r>
          </w:p>
        </w:tc>
        <w:tc>
          <w:tcPr>
            <w:tcW w:w="980" w:type="dxa"/>
            <w:vAlign w:val="bottom"/>
          </w:tcPr>
          <w:p>
            <w:pPr>
              <w:spacing w:after="0"/>
              <w:rPr>
                <w:sz w:val="14"/>
                <w:szCs w:val="14"/>
                <w:color w:val="auto"/>
              </w:rPr>
            </w:pPr>
          </w:p>
        </w:tc>
        <w:tc>
          <w:tcPr>
            <w:tcW w:w="2900" w:type="dxa"/>
            <w:vAlign w:val="bottom"/>
            <w:gridSpan w:val="3"/>
          </w:tcPr>
          <w:p>
            <w:pPr>
              <w:jc w:val="right"/>
              <w:ind w:right="325"/>
              <w:spacing w:after="0"/>
              <w:rPr>
                <w:sz w:val="20"/>
                <w:szCs w:val="20"/>
                <w:color w:val="auto"/>
              </w:rPr>
            </w:pPr>
            <w:r>
              <w:rPr>
                <w:rFonts w:ascii="Courier New" w:cs="Courier New" w:eastAsia="Courier New" w:hAnsi="Courier New"/>
                <w:sz w:val="15"/>
                <w:szCs w:val="15"/>
                <w:color w:val="auto"/>
              </w:rPr>
              <w:t>YEAR ENDED SEPTEMBER 30,</w:t>
            </w:r>
          </w:p>
        </w:tc>
        <w:tc>
          <w:tcPr>
            <w:tcW w:w="860" w:type="dxa"/>
            <w:vAlign w:val="bottom"/>
          </w:tcPr>
          <w:p>
            <w:pPr>
              <w:spacing w:after="0"/>
              <w:rPr>
                <w:sz w:val="14"/>
                <w:szCs w:val="14"/>
                <w:color w:val="auto"/>
              </w:rPr>
            </w:pPr>
          </w:p>
        </w:tc>
      </w:tr>
      <w:tr>
        <w:trPr>
          <w:trHeight w:val="172"/>
        </w:trPr>
        <w:tc>
          <w:tcPr>
            <w:tcW w:w="4460" w:type="dxa"/>
            <w:vAlign w:val="bottom"/>
          </w:tcPr>
          <w:p>
            <w:pPr>
              <w:spacing w:after="0"/>
              <w:rPr>
                <w:sz w:val="14"/>
                <w:szCs w:val="14"/>
                <w:color w:val="auto"/>
              </w:rPr>
            </w:pPr>
          </w:p>
        </w:tc>
        <w:tc>
          <w:tcPr>
            <w:tcW w:w="1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7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spacing w:after="0"/>
              <w:rPr>
                <w:sz w:val="14"/>
                <w:szCs w:val="1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1999</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1996</w:t>
            </w:r>
          </w:p>
        </w:tc>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4460" w:type="dxa"/>
            <w:vAlign w:val="bottom"/>
          </w:tcPr>
          <w:p>
            <w:pPr>
              <w:spacing w:after="0"/>
              <w:rPr>
                <w:sz w:val="14"/>
                <w:szCs w:val="1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9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(IN THOUSANDS, EXCEPT PER</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SHARE DATA)</w:t>
            </w: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44"/>
        </w:trPr>
        <w:tc>
          <w:tcPr>
            <w:tcW w:w="446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$444,139</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$287,063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$403,767</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$290,102</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$211,720</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$167,312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$121,310</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103,568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58,791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84,895</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26,969</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35,490</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15,377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22,047</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Net income(1)....................................</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68,704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18,509</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30,107</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5,876</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24,508</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11,224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16,068</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0.35</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0.05</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0.23</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0.17</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0.34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0.05</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0.22</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0.17</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Dividends declared per share(2)..................</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3.76</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0.18</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0.35</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860"/>
        </w:trPr>
        <w:tc>
          <w:tcPr>
            <w:tcW w:w="4460" w:type="dxa"/>
            <w:vAlign w:val="bottom"/>
          </w:tcPr>
          <w:p>
            <w:pPr>
              <w:spacing w:after="0"/>
              <w:rPr>
                <w:sz w:val="24"/>
                <w:szCs w:val="24"/>
                <w:color w:val="auto"/>
              </w:rPr>
            </w:pPr>
          </w:p>
        </w:tc>
        <w:tc>
          <w:tcPr>
            <w:tcW w:w="19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AS OF JUNE 30,</w:t>
            </w:r>
          </w:p>
        </w:tc>
        <w:tc>
          <w:tcPr>
            <w:tcW w:w="980" w:type="dxa"/>
            <w:vAlign w:val="bottom"/>
          </w:tcPr>
          <w:p>
            <w:pPr>
              <w:spacing w:after="0"/>
              <w:rPr>
                <w:sz w:val="24"/>
                <w:szCs w:val="24"/>
                <w:color w:val="auto"/>
              </w:rPr>
            </w:pPr>
          </w:p>
        </w:tc>
        <w:tc>
          <w:tcPr>
            <w:tcW w:w="2900" w:type="dxa"/>
            <w:vAlign w:val="bottom"/>
            <w:gridSpan w:val="3"/>
          </w:tcPr>
          <w:p>
            <w:pPr>
              <w:jc w:val="right"/>
              <w:ind w:right="585"/>
              <w:spacing w:after="0"/>
              <w:rPr>
                <w:sz w:val="20"/>
                <w:szCs w:val="20"/>
                <w:color w:val="auto"/>
              </w:rPr>
            </w:pPr>
            <w:r>
              <w:rPr>
                <w:rFonts w:ascii="Courier New" w:cs="Courier New" w:eastAsia="Courier New" w:hAnsi="Courier New"/>
                <w:sz w:val="15"/>
                <w:szCs w:val="15"/>
                <w:color w:val="auto"/>
              </w:rPr>
              <w:t>AS OF SEPTEMBER 30,</w:t>
            </w:r>
          </w:p>
        </w:tc>
        <w:tc>
          <w:tcPr>
            <w:tcW w:w="860" w:type="dxa"/>
            <w:vAlign w:val="bottom"/>
          </w:tcPr>
          <w:p>
            <w:pPr>
              <w:spacing w:after="0"/>
              <w:rPr>
                <w:sz w:val="24"/>
                <w:szCs w:val="24"/>
                <w:color w:val="auto"/>
              </w:rPr>
            </w:pPr>
          </w:p>
        </w:tc>
      </w:tr>
      <w:tr>
        <w:trPr>
          <w:trHeight w:val="172"/>
        </w:trPr>
        <w:tc>
          <w:tcPr>
            <w:tcW w:w="4460" w:type="dxa"/>
            <w:vAlign w:val="bottom"/>
          </w:tcPr>
          <w:p>
            <w:pPr>
              <w:spacing w:after="0"/>
              <w:rPr>
                <w:sz w:val="14"/>
                <w:szCs w:val="14"/>
                <w:color w:val="auto"/>
              </w:rPr>
            </w:pPr>
          </w:p>
        </w:tc>
        <w:tc>
          <w:tcPr>
            <w:tcW w:w="1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7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spacing w:after="0"/>
              <w:rPr>
                <w:sz w:val="14"/>
                <w:szCs w:val="1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1999</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1996</w:t>
            </w:r>
          </w:p>
        </w:tc>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4460" w:type="dxa"/>
            <w:vAlign w:val="bottom"/>
          </w:tcPr>
          <w:p>
            <w:pPr>
              <w:spacing w:after="0"/>
              <w:rPr>
                <w:sz w:val="14"/>
                <w:szCs w:val="14"/>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44"/>
        </w:trPr>
        <w:tc>
          <w:tcPr>
            <w:tcW w:w="44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$$386,782</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$237,923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$239,966</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$220,582</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$104,531</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$101,483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$ 77,106</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Long-term obligations (net of current portion)...</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12,649</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101,847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9,215</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7,370</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1,663</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Shareholders' equity (deficit)(2)(3).............</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96,272</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(33,284)</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(21,889)</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94,253</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15,988</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29,429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21,872</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4300" w:hanging="348"/>
        <w:spacing w:after="0" w:line="242" w:lineRule="auto"/>
        <w:tabs>
          <w:tab w:leader="none" w:pos="3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fourth quarter of fiscal 1997, we recorded nonrecurring charges of $27,563. Of such amount, $25,763 is attributable to a contribution to a trust and the balance, $1,800, is due to the write-off of in-process technology related to certain software rights acquired from several operating subsidiaries of SBC Communications Inc.</w:t>
      </w:r>
    </w:p>
    <w:p>
      <w:pPr>
        <w:spacing w:after="0" w:line="173"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1998, we paid dividends totaling $478,684.</w:t>
      </w:r>
    </w:p>
    <w:p>
      <w:pPr>
        <w:spacing w:after="0" w:line="175" w:lineRule="exact"/>
        <w:rPr>
          <w:rFonts w:ascii="Courier New" w:cs="Courier New" w:eastAsia="Courier New" w:hAnsi="Courier New"/>
          <w:sz w:val="15"/>
          <w:szCs w:val="15"/>
          <w:color w:val="auto"/>
        </w:rPr>
      </w:pPr>
    </w:p>
    <w:p>
      <w:pPr>
        <w:ind w:left="348" w:right="4220" w:hanging="348"/>
        <w:spacing w:after="0" w:line="242" w:lineRule="auto"/>
        <w:tabs>
          <w:tab w:leader="none" w:pos="3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completed an initial public offering of 18,000 ordinary shares in June 1998 and a public offering of an additional 2,000 ordinary shares in June 1999. The net proceeds from the offerings to us were $234,190 and $41,400, respectively.</w:t>
      </w:r>
    </w:p>
    <w:p>
      <w:pPr>
        <w:sectPr>
          <w:pgSz w:w="11900" w:h="16838" w:orient="portrait"/>
          <w:cols w:equalWidth="0" w:num="1">
            <w:col w:w="11188"/>
          </w:cols>
          <w:pgMar w:left="232" w:top="289" w:right="479" w:bottom="1440" w:gutter="0" w:footer="0" w:header="0"/>
        </w:sectPr>
      </w:pPr>
    </w:p>
    <w:p>
      <w:pPr>
        <w:spacing w:after="0" w:line="173"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1188"/>
          </w:cols>
          <w:pgMar w:left="232" w:top="289" w:right="479" w:bottom="1440"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SUMMARY PRO FORMA COMBINED INFORMATION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summary pro forma financial information presented below is derived from the unaudited pro forma condensed combined financial statements and notes thereto included elsewhere in this prospectus. The pro forma combined statement of operations data reflect the acquisition of ITDS as if the acquisition had occurred on October 1, 1997. The pro forma combined balance sheet data reflect the acquisition of ITDS as if the acquisition had occurred on June 30, 1999.</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information presented below is qualified by the more detailed pro forma condensed combined financial statements included elsewhere in this prospectus and should be read in conjunction with those pro forma condensed combined financial statements.</w:t>
      </w:r>
    </w:p>
    <w:p>
      <w:pPr>
        <w:spacing w:after="0" w:line="200" w:lineRule="exact"/>
        <w:rPr>
          <w:sz w:val="20"/>
          <w:szCs w:val="20"/>
          <w:color w:val="auto"/>
        </w:rPr>
      </w:pPr>
    </w:p>
    <w:p>
      <w:pPr>
        <w:spacing w:after="0" w:line="317" w:lineRule="exact"/>
        <w:rPr>
          <w:sz w:val="20"/>
          <w:szCs w:val="20"/>
          <w:color w:val="auto"/>
        </w:rPr>
      </w:pPr>
    </w:p>
    <w:p>
      <w:pPr>
        <w:ind w:left="6620"/>
        <w:spacing w:after="0"/>
        <w:rPr>
          <w:sz w:val="20"/>
          <w:szCs w:val="20"/>
          <w:color w:val="auto"/>
        </w:rPr>
      </w:pPr>
      <w:r>
        <w:rPr>
          <w:rFonts w:ascii="Courier New" w:cs="Courier New" w:eastAsia="Courier New" w:hAnsi="Courier New"/>
          <w:sz w:val="15"/>
          <w:szCs w:val="15"/>
          <w:color w:val="auto"/>
        </w:rPr>
        <w:t>PRO FORMA</w:t>
      </w:r>
    </w:p>
    <w:p>
      <w:pPr>
        <w:spacing w:after="0" w:line="4" w:lineRule="exact"/>
        <w:rPr>
          <w:sz w:val="20"/>
          <w:szCs w:val="20"/>
          <w:color w:val="auto"/>
        </w:rPr>
      </w:pPr>
    </w:p>
    <w:p>
      <w:pPr>
        <w:ind w:left="55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NINE MONTHS</w:t>
      </w:r>
    </w:p>
    <w:p>
      <w:pPr>
        <w:spacing w:after="0" w:line="2" w:lineRule="exact"/>
        <w:rPr>
          <w:sz w:val="20"/>
          <w:szCs w:val="20"/>
          <w:color w:val="auto"/>
        </w:rPr>
      </w:pPr>
    </w:p>
    <w:p>
      <w:pPr>
        <w:ind w:left="5900"/>
        <w:spacing w:after="0"/>
        <w:tabs>
          <w:tab w:leader="none" w:pos="7300" w:val="left"/>
        </w:tabs>
        <w:rPr>
          <w:sz w:val="20"/>
          <w:szCs w:val="20"/>
          <w:color w:val="auto"/>
        </w:rPr>
      </w:pPr>
      <w:r>
        <w:rPr>
          <w:rFonts w:ascii="Courier New" w:cs="Courier New" w:eastAsia="Courier New" w:hAnsi="Courier New"/>
          <w:sz w:val="15"/>
          <w:szCs w:val="15"/>
          <w:color w:val="auto"/>
        </w:rPr>
        <w:t>ENDED</w:t>
      </w:r>
      <w:r>
        <w:rPr>
          <w:sz w:val="20"/>
          <w:szCs w:val="20"/>
          <w:color w:val="auto"/>
        </w:rPr>
        <w:tab/>
      </w:r>
      <w:r>
        <w:rPr>
          <w:rFonts w:ascii="Courier New" w:cs="Courier New" w:eastAsia="Courier New" w:hAnsi="Courier New"/>
          <w:sz w:val="15"/>
          <w:szCs w:val="15"/>
          <w:color w:val="auto"/>
        </w:rPr>
        <w:t>YEAR ENDED</w:t>
      </w:r>
    </w:p>
    <w:p>
      <w:pPr>
        <w:spacing w:after="0" w:line="2" w:lineRule="exact"/>
        <w:rPr>
          <w:sz w:val="20"/>
          <w:szCs w:val="20"/>
          <w:color w:val="auto"/>
        </w:rPr>
      </w:pPr>
    </w:p>
    <w:p>
      <w:pPr>
        <w:ind w:left="5540"/>
        <w:spacing w:after="0"/>
        <w:tabs>
          <w:tab w:leader="none" w:pos="6940" w:val="left"/>
        </w:tabs>
        <w:rPr>
          <w:sz w:val="20"/>
          <w:szCs w:val="20"/>
          <w:color w:val="auto"/>
        </w:rPr>
      </w:pPr>
      <w:r>
        <w:rPr>
          <w:rFonts w:ascii="Courier New" w:cs="Courier New" w:eastAsia="Courier New" w:hAnsi="Courier New"/>
          <w:sz w:val="15"/>
          <w:szCs w:val="15"/>
          <w:color w:val="auto"/>
        </w:rPr>
        <w:t>JUNE 30, 1999</w:t>
      </w:r>
      <w:r>
        <w:rPr>
          <w:sz w:val="20"/>
          <w:szCs w:val="20"/>
          <w:color w:val="auto"/>
        </w:rPr>
        <w:tab/>
      </w:r>
      <w:r>
        <w:rPr>
          <w:rFonts w:ascii="Courier New" w:cs="Courier New" w:eastAsia="Courier New" w:hAnsi="Courier New"/>
          <w:sz w:val="14"/>
          <w:szCs w:val="14"/>
          <w:color w:val="auto"/>
        </w:rPr>
        <w:t>SEPTEMBER 30, 1998</w:t>
      </w:r>
    </w:p>
    <w:p>
      <w:pPr>
        <w:spacing w:after="0" w:line="4" w:lineRule="exact"/>
        <w:rPr>
          <w:sz w:val="20"/>
          <w:szCs w:val="20"/>
          <w:color w:val="auto"/>
        </w:rPr>
      </w:pPr>
    </w:p>
    <w:p>
      <w:pPr>
        <w:ind w:left="5540"/>
        <w:spacing w:after="0"/>
        <w:tabs>
          <w:tab w:leader="none" w:pos="69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2"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(IN THOUSANDS, EXCEPT</w:t>
      </w:r>
    </w:p>
    <w:p>
      <w:pPr>
        <w:spacing w:after="0" w:line="2" w:lineRule="exact"/>
        <w:rPr>
          <w:sz w:val="20"/>
          <w:szCs w:val="20"/>
          <w:color w:val="auto"/>
        </w:rPr>
      </w:pPr>
    </w:p>
    <w:p>
      <w:pPr>
        <w:ind w:left="6340"/>
        <w:spacing w:after="0"/>
        <w:rPr>
          <w:sz w:val="20"/>
          <w:szCs w:val="20"/>
          <w:color w:val="auto"/>
        </w:rPr>
      </w:pPr>
      <w:r>
        <w:rPr>
          <w:rFonts w:ascii="Courier New" w:cs="Courier New" w:eastAsia="Courier New" w:hAnsi="Courier New"/>
          <w:sz w:val="15"/>
          <w:szCs w:val="15"/>
          <w:color w:val="auto"/>
        </w:rPr>
        <w:t>PER SHARE DATA)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OPERATIONS DATA:</w:t>
      </w:r>
    </w:p>
    <w:p>
      <w:pPr>
        <w:sectPr>
          <w:pgSz w:w="11900" w:h="16838" w:orient="portrait"/>
          <w:cols w:equalWidth="0" w:num="1">
            <w:col w:w="10219"/>
          </w:cols>
          <w:pgMar w:left="240" w:top="289" w:right="1440" w:bottom="144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income............................................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Basic earnings per share....................................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Diluted earnings per share..................................</w:t>
      </w:r>
    </w:p>
    <w:p>
      <w:pPr>
        <w:spacing w:after="0" w:line="20" w:lineRule="exact"/>
        <w:rPr>
          <w:sz w:val="20"/>
          <w:szCs w:val="20"/>
          <w:color w:val="auto"/>
        </w:rPr>
      </w:pPr>
      <w:r>
        <w:rPr>
          <w:sz w:val="20"/>
          <w:szCs w:val="20"/>
          <w:color w:val="auto"/>
        </w:rPr>
        <w:br w:type="column"/>
      </w:r>
    </w:p>
    <w:p>
      <w:pPr>
        <w:jc w:val="right"/>
        <w:ind w:right="260"/>
        <w:spacing w:after="0"/>
        <w:rPr>
          <w:sz w:val="20"/>
          <w:szCs w:val="20"/>
          <w:color w:val="auto"/>
        </w:rPr>
      </w:pPr>
      <w:r>
        <w:rPr>
          <w:rFonts w:ascii="Courier New" w:cs="Courier New" w:eastAsia="Courier New" w:hAnsi="Courier New"/>
          <w:sz w:val="15"/>
          <w:szCs w:val="15"/>
          <w:color w:val="auto"/>
        </w:rPr>
        <w:t>$546,024</w:t>
      </w:r>
    </w:p>
    <w:p>
      <w:pPr>
        <w:spacing w:after="0" w:line="2" w:lineRule="exact"/>
        <w:rPr>
          <w:sz w:val="20"/>
          <w:szCs w:val="20"/>
          <w:color w:val="auto"/>
        </w:rPr>
      </w:pPr>
    </w:p>
    <w:p>
      <w:pPr>
        <w:jc w:val="right"/>
        <w:ind w:right="260"/>
        <w:spacing w:after="0"/>
        <w:rPr>
          <w:sz w:val="20"/>
          <w:szCs w:val="20"/>
          <w:color w:val="auto"/>
        </w:rPr>
      </w:pPr>
      <w:r>
        <w:rPr>
          <w:rFonts w:ascii="Courier New" w:cs="Courier New" w:eastAsia="Courier New" w:hAnsi="Courier New"/>
          <w:sz w:val="15"/>
          <w:szCs w:val="15"/>
          <w:color w:val="auto"/>
        </w:rPr>
        <w:t>121,234</w:t>
      </w:r>
    </w:p>
    <w:p>
      <w:pPr>
        <w:spacing w:after="0" w:line="2" w:lineRule="exact"/>
        <w:rPr>
          <w:sz w:val="20"/>
          <w:szCs w:val="20"/>
          <w:color w:val="auto"/>
        </w:rPr>
      </w:pPr>
    </w:p>
    <w:p>
      <w:pPr>
        <w:jc w:val="right"/>
        <w:ind w:right="260"/>
        <w:spacing w:after="0"/>
        <w:rPr>
          <w:sz w:val="20"/>
          <w:szCs w:val="20"/>
          <w:color w:val="auto"/>
        </w:rPr>
      </w:pPr>
      <w:r>
        <w:rPr>
          <w:rFonts w:ascii="Courier New" w:cs="Courier New" w:eastAsia="Courier New" w:hAnsi="Courier New"/>
          <w:sz w:val="15"/>
          <w:szCs w:val="15"/>
          <w:color w:val="auto"/>
        </w:rPr>
        <w:t>79,102</w:t>
      </w:r>
    </w:p>
    <w:p>
      <w:pPr>
        <w:spacing w:after="0" w:line="2" w:lineRule="exact"/>
        <w:rPr>
          <w:sz w:val="20"/>
          <w:szCs w:val="20"/>
          <w:color w:val="auto"/>
        </w:rPr>
      </w:pPr>
    </w:p>
    <w:p>
      <w:pPr>
        <w:jc w:val="right"/>
        <w:ind w:right="260"/>
        <w:spacing w:after="0"/>
        <w:rPr>
          <w:sz w:val="20"/>
          <w:szCs w:val="20"/>
          <w:color w:val="auto"/>
        </w:rPr>
      </w:pPr>
      <w:r>
        <w:rPr>
          <w:rFonts w:ascii="Courier New" w:cs="Courier New" w:eastAsia="Courier New" w:hAnsi="Courier New"/>
          <w:sz w:val="15"/>
          <w:szCs w:val="15"/>
          <w:color w:val="auto"/>
        </w:rPr>
        <w:t>0.39</w:t>
      </w:r>
    </w:p>
    <w:p>
      <w:pPr>
        <w:spacing w:after="0" w:line="2" w:lineRule="exact"/>
        <w:rPr>
          <w:sz w:val="20"/>
          <w:szCs w:val="20"/>
          <w:color w:val="auto"/>
        </w:rPr>
      </w:pPr>
    </w:p>
    <w:p>
      <w:pPr>
        <w:jc w:val="right"/>
        <w:ind w:right="260"/>
        <w:spacing w:after="0"/>
        <w:rPr>
          <w:sz w:val="20"/>
          <w:szCs w:val="20"/>
          <w:color w:val="auto"/>
        </w:rPr>
      </w:pPr>
      <w:r>
        <w:rPr>
          <w:rFonts w:ascii="Courier New" w:cs="Courier New" w:eastAsia="Courier New" w:hAnsi="Courier New"/>
          <w:sz w:val="15"/>
          <w:szCs w:val="15"/>
          <w:color w:val="auto"/>
        </w:rPr>
        <w:t>0.38</w:t>
      </w:r>
    </w:p>
    <w:p>
      <w:pPr>
        <w:spacing w:after="0" w:line="20" w:lineRule="exact"/>
        <w:rPr>
          <w:sz w:val="20"/>
          <w:szCs w:val="20"/>
          <w:color w:val="auto"/>
        </w:rPr>
      </w:pPr>
      <w:r>
        <w:rPr>
          <w:sz w:val="20"/>
          <w:szCs w:val="20"/>
          <w:color w:val="auto"/>
        </w:rPr>
        <w:br w:type="column"/>
      </w:r>
    </w:p>
    <w:p>
      <w:pPr>
        <w:jc w:val="right"/>
        <w:ind w:right="2079"/>
        <w:spacing w:after="0"/>
        <w:rPr>
          <w:sz w:val="20"/>
          <w:szCs w:val="20"/>
          <w:color w:val="auto"/>
        </w:rPr>
      </w:pPr>
      <w:r>
        <w:rPr>
          <w:rFonts w:ascii="Courier New" w:cs="Courier New" w:eastAsia="Courier New" w:hAnsi="Courier New"/>
          <w:sz w:val="15"/>
          <w:szCs w:val="15"/>
          <w:color w:val="auto"/>
        </w:rPr>
        <w:t>$519,227</w:t>
      </w:r>
    </w:p>
    <w:p>
      <w:pPr>
        <w:spacing w:after="0" w:line="2" w:lineRule="exact"/>
        <w:rPr>
          <w:sz w:val="20"/>
          <w:szCs w:val="20"/>
          <w:color w:val="auto"/>
        </w:rPr>
      </w:pPr>
    </w:p>
    <w:p>
      <w:pPr>
        <w:jc w:val="right"/>
        <w:ind w:right="2079"/>
        <w:spacing w:after="0"/>
        <w:rPr>
          <w:sz w:val="20"/>
          <w:szCs w:val="20"/>
          <w:color w:val="auto"/>
        </w:rPr>
      </w:pPr>
      <w:r>
        <w:rPr>
          <w:rFonts w:ascii="Courier New" w:cs="Courier New" w:eastAsia="Courier New" w:hAnsi="Courier New"/>
          <w:sz w:val="15"/>
          <w:szCs w:val="15"/>
          <w:color w:val="auto"/>
        </w:rPr>
        <w:t>78,372</w:t>
      </w:r>
    </w:p>
    <w:p>
      <w:pPr>
        <w:spacing w:after="0" w:line="2" w:lineRule="exact"/>
        <w:rPr>
          <w:sz w:val="20"/>
          <w:szCs w:val="20"/>
          <w:color w:val="auto"/>
        </w:rPr>
      </w:pPr>
    </w:p>
    <w:p>
      <w:pPr>
        <w:jc w:val="right"/>
        <w:ind w:right="2079"/>
        <w:spacing w:after="0"/>
        <w:rPr>
          <w:sz w:val="20"/>
          <w:szCs w:val="20"/>
          <w:color w:val="auto"/>
        </w:rPr>
      </w:pPr>
      <w:r>
        <w:rPr>
          <w:rFonts w:ascii="Courier New" w:cs="Courier New" w:eastAsia="Courier New" w:hAnsi="Courier New"/>
          <w:sz w:val="15"/>
          <w:szCs w:val="15"/>
          <w:color w:val="auto"/>
        </w:rPr>
        <w:t>22,663</w:t>
      </w:r>
    </w:p>
    <w:p>
      <w:pPr>
        <w:spacing w:after="0" w:line="2" w:lineRule="exact"/>
        <w:rPr>
          <w:sz w:val="20"/>
          <w:szCs w:val="20"/>
          <w:color w:val="auto"/>
        </w:rPr>
      </w:pPr>
    </w:p>
    <w:p>
      <w:pPr>
        <w:jc w:val="right"/>
        <w:ind w:right="2079"/>
        <w:spacing w:after="0"/>
        <w:rPr>
          <w:sz w:val="20"/>
          <w:szCs w:val="20"/>
          <w:color w:val="auto"/>
        </w:rPr>
      </w:pPr>
      <w:r>
        <w:rPr>
          <w:rFonts w:ascii="Courier New" w:cs="Courier New" w:eastAsia="Courier New" w:hAnsi="Courier New"/>
          <w:sz w:val="15"/>
          <w:szCs w:val="15"/>
          <w:color w:val="auto"/>
        </w:rPr>
        <w:t>0.14</w:t>
      </w:r>
    </w:p>
    <w:p>
      <w:pPr>
        <w:spacing w:after="0" w:line="2" w:lineRule="exact"/>
        <w:rPr>
          <w:sz w:val="20"/>
          <w:szCs w:val="20"/>
          <w:color w:val="auto"/>
        </w:rPr>
      </w:pPr>
    </w:p>
    <w:p>
      <w:pPr>
        <w:jc w:val="right"/>
        <w:ind w:right="2079"/>
        <w:spacing w:after="0"/>
        <w:rPr>
          <w:sz w:val="20"/>
          <w:szCs w:val="20"/>
          <w:color w:val="auto"/>
        </w:rPr>
      </w:pPr>
      <w:r>
        <w:rPr>
          <w:rFonts w:ascii="Courier New" w:cs="Courier New" w:eastAsia="Courier New" w:hAnsi="Courier New"/>
          <w:sz w:val="15"/>
          <w:szCs w:val="15"/>
          <w:color w:val="auto"/>
        </w:rPr>
        <w:t>0.14</w:t>
      </w:r>
    </w:p>
    <w:p>
      <w:pPr>
        <w:spacing w:after="0" w:line="200" w:lineRule="exact"/>
        <w:rPr>
          <w:sz w:val="20"/>
          <w:szCs w:val="20"/>
          <w:color w:val="auto"/>
        </w:rPr>
      </w:pPr>
    </w:p>
    <w:p>
      <w:pPr>
        <w:sectPr>
          <w:pgSz w:w="11900" w:h="16838" w:orient="portrait"/>
          <w:cols w:equalWidth="0" w:num="3">
            <w:col w:w="5360" w:space="360"/>
            <w:col w:w="980" w:space="720"/>
            <w:col w:w="2799"/>
          </w:cols>
          <w:pgMar w:left="240" w:top="289" w:right="1440" w:bottom="1440" w:gutter="0" w:footer="0" w:header="0"/>
          <w:type w:val="continuous"/>
        </w:sectPr>
      </w:pPr>
    </w:p>
    <w:p>
      <w:pPr>
        <w:spacing w:after="0" w:line="200" w:lineRule="exact"/>
        <w:rPr>
          <w:sz w:val="20"/>
          <w:szCs w:val="20"/>
          <w:color w:val="auto"/>
        </w:rPr>
      </w:pPr>
    </w:p>
    <w:p>
      <w:pPr>
        <w:spacing w:after="0" w:line="290"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PRO FORMA</w:t>
      </w:r>
    </w:p>
    <w:p>
      <w:pPr>
        <w:spacing w:after="0" w:line="2"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AS OF</w:t>
      </w:r>
    </w:p>
    <w:p>
      <w:pPr>
        <w:spacing w:after="0" w:line="2"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JUNE 30, 1999</w:t>
      </w:r>
    </w:p>
    <w:p>
      <w:pPr>
        <w:spacing w:after="0" w:line="2"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5540"/>
        <w:spacing w:after="0"/>
        <w:rPr>
          <w:sz w:val="20"/>
          <w:szCs w:val="20"/>
          <w:color w:val="auto"/>
        </w:rPr>
      </w:pPr>
      <w:r>
        <w:rPr>
          <w:rFonts w:ascii="Courier New" w:cs="Courier New" w:eastAsia="Courier New" w:hAnsi="Courier New"/>
          <w:sz w:val="14"/>
          <w:szCs w:val="14"/>
          <w:color w:val="auto"/>
        </w:rPr>
        <w:t>(IN THOUSANDS)</w:t>
      </w:r>
    </w:p>
    <w:p>
      <w:pPr>
        <w:sectPr>
          <w:pgSz w:w="11900" w:h="16838" w:orient="portrait"/>
          <w:cols w:equalWidth="0" w:num="1">
            <w:col w:w="10219"/>
          </w:cols>
          <w:pgMar w:left="240" w:top="289" w:right="1440" w:bottom="1440" w:gutter="0" w:footer="0" w:header="0"/>
          <w:type w:val="continuous"/>
        </w:sectPr>
      </w:pP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SHEET DATA: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assets................................................</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obligations (net of current portion)..............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equity........................................</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jc w:val="right"/>
        <w:ind w:right="3699"/>
        <w:spacing w:after="0"/>
        <w:rPr>
          <w:sz w:val="20"/>
          <w:szCs w:val="20"/>
          <w:color w:val="auto"/>
        </w:rPr>
      </w:pPr>
      <w:r>
        <w:rPr>
          <w:rFonts w:ascii="Courier New" w:cs="Courier New" w:eastAsia="Courier New" w:hAnsi="Courier New"/>
          <w:sz w:val="15"/>
          <w:szCs w:val="15"/>
          <w:color w:val="auto"/>
        </w:rPr>
        <w:t>$602,714</w:t>
      </w:r>
    </w:p>
    <w:p>
      <w:pPr>
        <w:spacing w:after="0" w:line="2" w:lineRule="exact"/>
        <w:rPr>
          <w:sz w:val="20"/>
          <w:szCs w:val="20"/>
          <w:color w:val="auto"/>
        </w:rPr>
      </w:pPr>
    </w:p>
    <w:p>
      <w:pPr>
        <w:jc w:val="right"/>
        <w:ind w:right="3699"/>
        <w:spacing w:after="0"/>
        <w:rPr>
          <w:sz w:val="20"/>
          <w:szCs w:val="20"/>
          <w:color w:val="auto"/>
        </w:rPr>
      </w:pPr>
      <w:r>
        <w:rPr>
          <w:rFonts w:ascii="Courier New" w:cs="Courier New" w:eastAsia="Courier New" w:hAnsi="Courier New"/>
          <w:sz w:val="15"/>
          <w:szCs w:val="15"/>
          <w:color w:val="auto"/>
        </w:rPr>
        <w:t>12,670</w:t>
      </w:r>
    </w:p>
    <w:p>
      <w:pPr>
        <w:spacing w:after="0" w:line="2" w:lineRule="exact"/>
        <w:rPr>
          <w:sz w:val="20"/>
          <w:szCs w:val="20"/>
          <w:color w:val="auto"/>
        </w:rPr>
      </w:pPr>
    </w:p>
    <w:p>
      <w:pPr>
        <w:jc w:val="right"/>
        <w:ind w:right="3699"/>
        <w:spacing w:after="0"/>
        <w:rPr>
          <w:sz w:val="20"/>
          <w:szCs w:val="20"/>
          <w:color w:val="auto"/>
        </w:rPr>
      </w:pPr>
      <w:r>
        <w:rPr>
          <w:rFonts w:ascii="Courier New" w:cs="Courier New" w:eastAsia="Courier New" w:hAnsi="Courier New"/>
          <w:sz w:val="15"/>
          <w:szCs w:val="15"/>
          <w:color w:val="auto"/>
        </w:rPr>
        <w:t>281,772</w:t>
      </w:r>
    </w:p>
    <w:p>
      <w:pPr>
        <w:spacing w:after="0" w:line="200" w:lineRule="exact"/>
        <w:rPr>
          <w:sz w:val="20"/>
          <w:szCs w:val="20"/>
          <w:color w:val="auto"/>
        </w:rPr>
      </w:pPr>
    </w:p>
    <w:p>
      <w:pPr>
        <w:sectPr>
          <w:pgSz w:w="11900" w:h="16838" w:orient="portrait"/>
          <w:cols w:equalWidth="0" w:num="2">
            <w:col w:w="5360" w:space="440"/>
            <w:col w:w="4419"/>
          </w:cols>
          <w:pgMar w:left="240" w:top="289" w:right="1440" w:bottom="1440" w:gutter="0" w:footer="0" w:header="0"/>
          <w:type w:val="continuous"/>
        </w:sectPr>
      </w:pPr>
    </w:p>
    <w:p>
      <w:pPr>
        <w:spacing w:after="0" w:line="1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9" w:right="1440" w:bottom="1440" w:gutter="0" w:footer="0" w:header="0"/>
          <w:type w:val="continuous"/>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RISK FACTORS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Investing in our ordinary shares involves significant risks. You should carefully consider the following risks before deciding to invest in our ordinary shares. In preparing this document, we have made certain assumptions and projections. We generally use words like "expect," "believe" and "intend" to indicate these assumptions and projections. Our assumptions and projections could be wrong for many reasons, including the reasons discussed in this section. We do not promise to notify you if we learn that our assumptions or projections in this prospectus are wrong. See "Forward-Looking Statements" for more information.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APPLICABLE TO OUR BUSINESS</w:t>
      </w:r>
    </w:p>
    <w:p>
      <w:pPr>
        <w:spacing w:after="0" w:line="176" w:lineRule="exact"/>
        <w:rPr>
          <w:sz w:val="20"/>
          <w:szCs w:val="20"/>
          <w:color w:val="auto"/>
        </w:rPr>
      </w:pPr>
    </w:p>
    <w:p>
      <w:pPr>
        <w:ind w:left="440" w:right="3339"/>
        <w:spacing w:after="0"/>
        <w:rPr>
          <w:sz w:val="20"/>
          <w:szCs w:val="20"/>
          <w:color w:val="auto"/>
        </w:rPr>
      </w:pPr>
      <w:r>
        <w:rPr>
          <w:rFonts w:ascii="Courier New" w:cs="Courier New" w:eastAsia="Courier New" w:hAnsi="Courier New"/>
          <w:sz w:val="15"/>
          <w:szCs w:val="15"/>
          <w:color w:val="auto"/>
        </w:rPr>
        <w:t>FUNDAMENTAL CHANGES IN THE TELECOMMUNICATIONS MARKET COULD REDUCE DEMAND FOR OUR SYSTEMS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Future developments in the telecommunications industry, such as continued industry consolidation, the formation of alliances among network operators and service providers and changes in the regulatory environment, could materially affect our existing or potential customers. This could reduce the demand for our products and services. As a result, we may be unable to effectively market and sell our information systems to potential customers in the telecommunications industry.</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derive a significant portion of our revenue from products and services provided to directory publishers. We believe that the demand for those products and services will be affected by the extent of increased competition between directory publishers and other media channels, as well as a broader introduction of electronic directories. Our new products for these markets may not be successful or we may be unable to maintain our current level of revenue from directory systems.</w:t>
      </w:r>
    </w:p>
    <w:p>
      <w:pPr>
        <w:spacing w:after="0" w:line="177" w:lineRule="exact"/>
        <w:rPr>
          <w:sz w:val="20"/>
          <w:szCs w:val="20"/>
          <w:color w:val="auto"/>
        </w:rPr>
      </w:pPr>
    </w:p>
    <w:p>
      <w:pPr>
        <w:ind w:left="440" w:right="3519"/>
        <w:spacing w:after="0"/>
        <w:rPr>
          <w:sz w:val="20"/>
          <w:szCs w:val="20"/>
          <w:color w:val="auto"/>
        </w:rPr>
      </w:pPr>
      <w:r>
        <w:rPr>
          <w:rFonts w:ascii="Courier New" w:cs="Courier New" w:eastAsia="Courier New" w:hAnsi="Courier New"/>
          <w:sz w:val="15"/>
          <w:szCs w:val="15"/>
          <w:color w:val="auto"/>
        </w:rPr>
        <w:t>IF WE CANNOT COMPETE SUCCESSFULLY WITH EXISTING OR NEW COMPETITORS OUR BUSINESS COULD BE MATERIALLY ADVERSELY AFFECTED</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We may be unable to compete successfully with existing or new competitors and our failure to adapt to changing market conditions and to compete successfully with established or new competitors could have a material adverse effect on our results of operations and financial condition.</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market for telecommunications information systems is highly competitive and fragmented, and we expect this competition to increase. We compete with independent providers of information systems and services and with in-house software departments of telecommunications companies. Our competitors include firms that provide comprehensive information systems, software vendors that sell products for particular aspects of a total information system, software vendors that specialize in systems for particular telecommunications services such as Internet services, systems integrators, service bureaus and companies that offer software systems in combination with the sale of network equipment. We anticipate continued growth and competition in the telecommunications industry and, consequently, the emergence of new software providers in the industry that will compete with us.</w:t>
      </w:r>
    </w:p>
    <w:p>
      <w:pPr>
        <w:spacing w:after="0" w:line="180"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We also believe that our ability to compete depends in part on a number of competitive factors, including:</w:t>
      </w:r>
    </w:p>
    <w:p>
      <w:pPr>
        <w:spacing w:after="0" w:line="176" w:lineRule="exact"/>
        <w:rPr>
          <w:sz w:val="20"/>
          <w:szCs w:val="20"/>
          <w:color w:val="auto"/>
        </w:rPr>
      </w:pPr>
    </w:p>
    <w:p>
      <w:pPr>
        <w:ind w:left="620" w:right="3699"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development by others of software that is competitive with our products and services;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at which others offer competitive software and services;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responsiveness of our competitors to customer needs; and</w:t>
      </w:r>
    </w:p>
    <w:p>
      <w:pPr>
        <w:spacing w:after="0" w:line="175" w:lineRule="exact"/>
        <w:rPr>
          <w:rFonts w:ascii="Courier New" w:cs="Courier New" w:eastAsia="Courier New" w:hAnsi="Courier New"/>
          <w:sz w:val="15"/>
          <w:szCs w:val="15"/>
          <w:color w:val="auto"/>
        </w:rPr>
      </w:pPr>
    </w:p>
    <w:p>
      <w:pPr>
        <w:ind w:left="620" w:right="3959" w:hanging="181"/>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our competitors to hire, retain and motivate key personnel.</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9"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compete with a number of companies that have longer operating histories, larger customer bases, substantially greater financial, technical, sales, marketing and other resources, and greater name recognition than do we.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MUST CONTINUALLY ENHANCE OUR PRODUCTS TO REMAIN COMPETITIVE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Business Support System products that operate on state-of-the-art operating systems. Our present or future products may not satisfy the evolving needs of the telecommunications market. If we are unable to anticipate or respond adequately to such demands, due to resource, technological or other constraints, our business and results of operations could be materially adversely affected.</w:t>
      </w:r>
    </w:p>
    <w:p>
      <w:pPr>
        <w:spacing w:after="0" w:line="179"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On September 3, 1999, we signed an agreement to acquire International Telecommunication Data Systems, Inc., or ITDS, in a stock-for-stock merger transaction. ITDS is a leading provider of billing and customer care service bureau solutions to wireless telecommunications service providers. We also may acquire other companies where we believe we can acquire new products or services or otherwise enhance our market position or strategic strengths. We cannot assure you that suitable acquisition candidates can be found, that acquisitions can be consummated on favorable terms or that the ITDS acquisition, if completed, will enhance our products or strengthen our competitive position.</w:t>
      </w:r>
    </w:p>
    <w:p>
      <w:pPr>
        <w:spacing w:after="0" w:line="162" w:lineRule="exact"/>
        <w:rPr>
          <w:sz w:val="20"/>
          <w:szCs w:val="20"/>
          <w:color w:val="auto"/>
        </w:rPr>
      </w:pPr>
    </w:p>
    <w:p>
      <w:pPr>
        <w:ind w:left="440" w:right="3599"/>
        <w:spacing w:after="0"/>
        <w:rPr>
          <w:sz w:val="20"/>
          <w:szCs w:val="20"/>
          <w:color w:val="auto"/>
        </w:rPr>
      </w:pPr>
      <w:r>
        <w:rPr>
          <w:rFonts w:ascii="Courier New" w:cs="Courier New" w:eastAsia="Courier New" w:hAnsi="Courier New"/>
          <w:sz w:val="15"/>
          <w:szCs w:val="15"/>
          <w:color w:val="auto"/>
        </w:rPr>
        <w:t>WE DEPEND ON SBC COMMUNICATIONS INC. FOR A SIGNIFICANT PORTION OF OUR REVENUES</w:t>
      </w:r>
    </w:p>
    <w:p>
      <w:pPr>
        <w:spacing w:after="0" w:line="176"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Our single largest group of customers are SBC Communications Inc., or SBC, and its operating subsidiaries. SBC International Inc., or SBCI, a wholly owned subsidiary of SBC, is also one of our significant shareholders. It currently holds approximately 19.5% of our outstanding ordinary shares. A significant decrease in the sale of products and services to SBC or its subsidiaries may materially adversely affect our results of operations and financial condition.</w:t>
      </w:r>
    </w:p>
    <w:p>
      <w:pPr>
        <w:spacing w:after="0" w:line="16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Substantially all our work for SBC is conducted directly with SBC's operating subsidiaries, such as Southwestern Bell Mobile Systems, Southwestern Bell Yellow Pages, Southwestern Bell Communications Services (SBC's long distance provider) and Southwestern Bell Telephone Company. These SBC relationships accounted for in the aggregate 15.7% of our total revenue in the nine months ended June 30, 1999 and 20.8%, 34.5% and 38.0% of revenue in fiscal 1998, 1997 and 1996, respectively. The absolute amount of revenue attributable to SBC and such subsidiaries amounted to $69.6 million in the nine months ended June 30, 1999 and $84.4 million, $99.9 million and $80.5 million in fiscal 1998, 1997 and 1996, respectively.</w:t>
      </w:r>
    </w:p>
    <w:p>
      <w:pPr>
        <w:spacing w:after="0" w:line="179" w:lineRule="exact"/>
        <w:rPr>
          <w:sz w:val="20"/>
          <w:szCs w:val="20"/>
          <w:color w:val="auto"/>
        </w:rPr>
      </w:pPr>
    </w:p>
    <w:p>
      <w:pPr>
        <w:ind w:left="440" w:right="3779"/>
        <w:spacing w:after="0"/>
        <w:rPr>
          <w:sz w:val="20"/>
          <w:szCs w:val="20"/>
          <w:color w:val="auto"/>
        </w:rPr>
      </w:pPr>
      <w:r>
        <w:rPr>
          <w:rFonts w:ascii="Courier New" w:cs="Courier New" w:eastAsia="Courier New" w:hAnsi="Courier New"/>
          <w:sz w:val="15"/>
          <w:szCs w:val="15"/>
          <w:color w:val="auto"/>
        </w:rPr>
        <w:t>OUR BUSINESS IS HIGHLY DEPENDENT ON A LIMITED NUMBER OF SIGNIFICANT CUSTOMERS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business is highly dependent on a limited number of significant customers. The loss of any significant customer or a significant decrease in business from any of those customers could have a material adverse effect on our results of operations and financial condition. We have approximately 70 customers, and revenue derived from our five largest customers, excluding SBC and its operating subsidiaries, accounted for approximately 27.6% of revenue in the nine months ended June 30, 1999 and 27.1%, 33.2% and 42.7% of revenue in fiscal 1998, 1997 and 1996, respectively.</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9"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we have received a substantial portion of our revenue from repeat business with established customers, most of our major customers do not have any obligation to purchase additional products or services and generally have already acquired fully paid licenses to their installed systems. Therefore, our customers may not continue to purchase new systems, system enhancements and services in amounts similar to previous years.</w:t>
      </w:r>
    </w:p>
    <w:p>
      <w:pPr>
        <w:spacing w:after="0" w:line="176" w:lineRule="exact"/>
        <w:rPr>
          <w:sz w:val="20"/>
          <w:szCs w:val="20"/>
          <w:color w:val="auto"/>
        </w:rPr>
      </w:pPr>
    </w:p>
    <w:p>
      <w:pPr>
        <w:ind w:left="440" w:right="4239"/>
        <w:spacing w:after="0"/>
        <w:rPr>
          <w:sz w:val="20"/>
          <w:szCs w:val="20"/>
          <w:color w:val="auto"/>
        </w:rPr>
      </w:pPr>
      <w:r>
        <w:rPr>
          <w:rFonts w:ascii="Courier New" w:cs="Courier New" w:eastAsia="Courier New" w:hAnsi="Courier New"/>
          <w:sz w:val="15"/>
          <w:szCs w:val="15"/>
          <w:color w:val="auto"/>
        </w:rPr>
        <w:t>OUR FUTURE SUCCESS DEPENDS ON OUR ABILITY TO DEVELOP LONG-TERM RELATIONSHIPS WITH OUR CUSTOMERS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our future success depends to a significant extent on our ability to develop long-term relationships with successful network operators and service providers. Many new entrants into the telecommunications market lack significant financial and other resources. We may be unable to develop new customer relationships and our new customers may be unsuccessful. Our failure to maintain customer relationships or the failure of new customers to be successful could have a material adverse effect on our business, results of operations and financial condition.</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SKILLED EMPLOYEES THAT WE NEED MAY BE DIFFICULT TO HIRE AND RETAIN</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Our success depends in large part on our ability to attract, train, motivate and retain highly skilled information technology professionals, software programmers and telecommunications engineers. These types of qualified personnel are in great demand and are likely to remain a limited resource for the foreseeable future. We currently employ approximately 4,300 software and information technology specialists, of which over 2,900 are located in Israel. We intensively recruit technical personnel for our principal development centers in Israel, the United States and Cyprus. Our ability to expand our business is highly dependent upon our success in recruiting such personnel and our ability to manage and coordinate our worldwide development efforts. We may be unable to continue to attract and retain the skilled employees we require and any inability to do so could adversely impact our ability to manage and complete our existing projects and to compete for new customer contracts. In addition, the resources required to attract and retain such personnel may adversely affect our operating margins. The failure to attract and retain qualified personnel may have a material adverse effect on our business, results of operations and financial condition. Our success also depends, to a certain extent, upon the continued active participation of a relatively small group of senior management personnel who have been with us for many years. The loss of the services of all or some of these employees could have a material adverse effect on our business.</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QUARTERLY OPERATING RESULTS MAY FLUCTUATE</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We have experienced fluctuations in our quarterly operating results and anticipate that such fluctuations may continue and could intensify. Our quarterly operating results may fluctuate as a result of many factors, including:</w:t>
      </w:r>
    </w:p>
    <w:p>
      <w:pPr>
        <w:spacing w:after="0" w:line="173" w:lineRule="exact"/>
        <w:rPr>
          <w:sz w:val="20"/>
          <w:szCs w:val="20"/>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size and timing of significant customer projects and license fees;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competition;</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cancellations of significant projects by customers;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operating expenses;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our strategy;</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changes;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currency exchange rates;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and political factors.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9"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Generally, our license fee revenue and our service fee revenue relating to customization and implementation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would result in lower profitability for that quarter and, in such event, the price of our ordinary shares could be materially adversely affected.</w:t>
      </w:r>
    </w:p>
    <w:p>
      <w:pPr>
        <w:spacing w:after="0" w:line="178"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As a result of these factors and the factors that follow, we believe that period-to-period comparisons of our revenues and operating results are not necessarily meaningful.</w:t>
      </w:r>
    </w:p>
    <w:p>
      <w:pPr>
        <w:spacing w:after="0" w:line="176" w:lineRule="exact"/>
        <w:rPr>
          <w:sz w:val="20"/>
          <w:szCs w:val="20"/>
          <w:color w:val="auto"/>
        </w:rPr>
      </w:pPr>
    </w:p>
    <w:p>
      <w:pPr>
        <w:ind w:left="440" w:right="3519"/>
        <w:spacing w:after="0"/>
        <w:rPr>
          <w:sz w:val="20"/>
          <w:szCs w:val="20"/>
          <w:color w:val="auto"/>
        </w:rPr>
      </w:pPr>
      <w:r>
        <w:rPr>
          <w:rFonts w:ascii="Courier New" w:cs="Courier New" w:eastAsia="Courier New" w:hAnsi="Courier New"/>
          <w:sz w:val="15"/>
          <w:szCs w:val="15"/>
          <w:color w:val="auto"/>
        </w:rPr>
        <w:t>OUR LENGTHY SALES CYCLE MAKES IT DIFFICULT TO ANTICIPATE THE TIMING OF SALES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sales cycle associated with the purchase of our information systems is lengthy, with the time between the making of an initial proposal to a prospective customer and the signing of a sales contract typically being between six and twelve months. Information systems for telecommunications companies are relatively complex and their purchase generally involves a significant commitment of capital, with attendant delays frequently associated with large capital expenditures and implementation procedures within an organization. Moreover, the purchase of such products typically requires coordination and agreement across a potential customer's entire organization. Delays associated with such timing factors may reduce our revenue in a particular period without a corresponding reduction in our costs, which could have a material adverse effect on our results of operations and financial condition.</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INTERNATIONAL PRESENCE CREATES SPECIAL RISKS</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We are subject to certain risks inherent in doing business in international markets, including:</w:t>
      </w:r>
    </w:p>
    <w:p>
      <w:pPr>
        <w:spacing w:after="0" w:line="174" w:lineRule="exact"/>
        <w:rPr>
          <w:sz w:val="20"/>
          <w:szCs w:val="20"/>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lack of acceptance of non-localized products,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and cultural differences in the conduct of business,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staffing and managing foreign operations,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longer payment cycles,</w:t>
      </w:r>
    </w:p>
    <w:p>
      <w:pPr>
        <w:spacing w:after="0" w:line="175"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collecting accounts receivable and withholding taxes that limit the repatriation of earnings,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 barriers,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immigration regulations that limit our ability to deploy our employees,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instability, and</w:t>
      </w:r>
    </w:p>
    <w:p>
      <w:pPr>
        <w:spacing w:after="0" w:line="175"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effective income tax rates among countries where we conduct business.</w:t>
      </w:r>
    </w:p>
    <w:p>
      <w:pPr>
        <w:spacing w:after="0" w:line="176" w:lineRule="exact"/>
        <w:rPr>
          <w:sz w:val="20"/>
          <w:szCs w:val="20"/>
          <w:color w:val="auto"/>
        </w:rPr>
      </w:pPr>
    </w:p>
    <w:p>
      <w:pPr>
        <w:ind w:right="3779"/>
        <w:spacing w:after="0"/>
        <w:rPr>
          <w:sz w:val="20"/>
          <w:szCs w:val="20"/>
          <w:color w:val="auto"/>
        </w:rPr>
      </w:pPr>
      <w:r>
        <w:rPr>
          <w:rFonts w:ascii="Courier New" w:cs="Courier New" w:eastAsia="Courier New" w:hAnsi="Courier New"/>
          <w:sz w:val="15"/>
          <w:szCs w:val="15"/>
          <w:color w:val="auto"/>
        </w:rPr>
        <w:t>One or more of these factors could have a material adverse effect on our international operations.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maintain three development facilities located in Israel, the United States and Cyprus, operate a support center located in Brazil and have operations in Europe, North America, Latin America and the Asia-Pacific region. Although a majority of our revenue in fiscal 1998 was derived from customers in North America, we obtain significant revenue from customers in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9"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Europe, the Asia-Pacific region, and Latin America. Our strategy is to continue to broaden our North American and European customer base and to expand into new international markets, the most significant of which are located in Latin America and the Asia-Pacific region.</w:t>
      </w:r>
    </w:p>
    <w:p>
      <w:pPr>
        <w:spacing w:after="0" w:line="175" w:lineRule="exact"/>
        <w:rPr>
          <w:sz w:val="20"/>
          <w:szCs w:val="20"/>
          <w:color w:val="auto"/>
        </w:rPr>
      </w:pPr>
    </w:p>
    <w:p>
      <w:pPr>
        <w:ind w:left="440" w:right="3159"/>
        <w:spacing w:after="0"/>
        <w:rPr>
          <w:sz w:val="20"/>
          <w:szCs w:val="20"/>
          <w:color w:val="auto"/>
        </w:rPr>
      </w:pPr>
      <w:r>
        <w:rPr>
          <w:rFonts w:ascii="Courier New" w:cs="Courier New" w:eastAsia="Courier New" w:hAnsi="Courier New"/>
          <w:sz w:val="15"/>
          <w:szCs w:val="15"/>
          <w:color w:val="auto"/>
        </w:rPr>
        <w:t>FLUCTUATIONS IN FOREIGN CURRENCY EXCHANGE RATES COULD ADVERSELY AFFECT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significant portion of our operating costs are incurred outside the United States, and therefore fluctuations in exchange rates between the currencies in which such costs are incurred and the dollar may have a material adverse effect on our results of operations and financial condition. The cost of our operations in Israel, as expressed in dollars, could be adversely affected by the extent to which any increase in the rate of inflation in Israel is not offset (or is offset on a lagging basis) by a devaluation of the Israeli currency in relation to the dollar. As a result of this differential, from time to time we experience increases in the costs of our operations in Israel, as expressed in dollars, which could in the future have a material adverse effect on our results of operations and financial condition.</w:t>
      </w:r>
    </w:p>
    <w:p>
      <w:pPr>
        <w:spacing w:after="0" w:line="179"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Generally, the effects of fluctuations in foreign currency exchange rates are mitigated by the fact that a significant portion of our revenue is in dollars and we generally hedge our currency exposure on both a short-term and long-term basis with respect to the balance of our revenue.</w:t>
      </w:r>
    </w:p>
    <w:p>
      <w:pPr>
        <w:spacing w:after="0" w:line="175"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imposition of exchange or price controls or other restrictions on the conversion of foreign currencies could also have a material adverse effect on our business, results of operations and financial condition.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MAY BE UNABLE TO PROTECT OUR PROPRIETARY TECHNOLOGY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and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customers and potential customers and limit access to and distribution of proprietary information.</w:t>
      </w:r>
    </w:p>
    <w:p>
      <w:pPr>
        <w:spacing w:after="0" w:line="179"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to the same extent as the laws of the United States. Other companies could independently develop similar or superior technology without violating our proprietary rights.</w:t>
      </w:r>
    </w:p>
    <w:p>
      <w:pPr>
        <w:spacing w:after="0" w:line="164" w:lineRule="exact"/>
        <w:rPr>
          <w:sz w:val="20"/>
          <w:szCs w:val="20"/>
          <w:color w:val="auto"/>
        </w:rPr>
      </w:pPr>
    </w:p>
    <w:p>
      <w:pPr>
        <w:ind w:right="3439" w:firstLine="447"/>
        <w:spacing w:after="0" w:line="241" w:lineRule="auto"/>
        <w:rPr>
          <w:sz w:val="20"/>
          <w:szCs w:val="20"/>
          <w:color w:val="auto"/>
        </w:rPr>
      </w:pPr>
      <w:r>
        <w:rPr>
          <w:rFonts w:ascii="Courier New" w:cs="Courier New" w:eastAsia="Courier New" w:hAnsi="Courier New"/>
          <w:sz w:val="15"/>
          <w:szCs w:val="15"/>
          <w:color w:val="auto"/>
        </w:rPr>
        <w:t>If we have to resort to legal proceedings to enforce our intellectual property rights, the proceedings could be burdensome and expensive and could involve a high degree of risk.</w:t>
      </w:r>
    </w:p>
    <w:p>
      <w:pPr>
        <w:spacing w:after="0" w:line="176" w:lineRule="exact"/>
        <w:rPr>
          <w:sz w:val="20"/>
          <w:szCs w:val="20"/>
          <w:color w:val="auto"/>
        </w:rPr>
      </w:pPr>
    </w:p>
    <w:p>
      <w:pPr>
        <w:ind w:left="440" w:right="3259"/>
        <w:spacing w:after="0"/>
        <w:rPr>
          <w:sz w:val="20"/>
          <w:szCs w:val="20"/>
          <w:color w:val="auto"/>
        </w:rPr>
      </w:pPr>
      <w:r>
        <w:rPr>
          <w:rFonts w:ascii="Courier New" w:cs="Courier New" w:eastAsia="Courier New" w:hAnsi="Courier New"/>
          <w:sz w:val="15"/>
          <w:szCs w:val="15"/>
          <w:color w:val="auto"/>
        </w:rPr>
        <w:t>CLAIMS BY OTHERS THAT WE INFRINGE THEIR PROPRIETARY TECHNOLOGY COULD HARM OUR BUSINESS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Although we have not received any notices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telecommunications industry increase and overlaps occur. Any claim of infringement by a third party could cause us to incur substantial costs defending against the claim, even if the claim is invalid, and could distract our management from our business. Furthermore, a party making such a claim could secure a judgment that requires us to pay substantial damages. A judgment could</w:t>
      </w:r>
    </w:p>
    <w:p>
      <w:pPr>
        <w:spacing w:after="0" w:line="16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9"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76" w:lineRule="exact"/>
        <w:rPr>
          <w:sz w:val="20"/>
          <w:szCs w:val="20"/>
          <w:color w:val="auto"/>
        </w:rPr>
      </w:pPr>
    </w:p>
    <w:p>
      <w:pPr>
        <w:ind w:right="3439"/>
        <w:spacing w:after="0" w:line="274" w:lineRule="auto"/>
        <w:rPr>
          <w:sz w:val="20"/>
          <w:szCs w:val="20"/>
          <w:color w:val="auto"/>
        </w:rPr>
      </w:pPr>
      <w:r>
        <w:rPr>
          <w:rFonts w:ascii="Courier New" w:cs="Courier New" w:eastAsia="Courier New" w:hAnsi="Courier New"/>
          <w:sz w:val="14"/>
          <w:szCs w:val="14"/>
          <w:color w:val="auto"/>
        </w:rPr>
        <w:t>also include an injunction or other court order that could prevent us from selling our products. Any of these events could seriously harm our business.</w:t>
      </w:r>
    </w:p>
    <w:p>
      <w:pPr>
        <w:spacing w:after="0" w:line="154"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If anyone asserts a claim against us relating to proprietary technology or information, we might seek to license their intellectual property or to develop non-infringing technology. We might not be able to obtain a license on commercially reasonable terms or on any terms. Alternatively, our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77" w:lineRule="exact"/>
        <w:rPr>
          <w:sz w:val="20"/>
          <w:szCs w:val="20"/>
          <w:color w:val="auto"/>
        </w:rPr>
      </w:pPr>
    </w:p>
    <w:p>
      <w:pPr>
        <w:ind w:left="440" w:right="3779"/>
        <w:spacing w:after="0"/>
        <w:rPr>
          <w:sz w:val="20"/>
          <w:szCs w:val="20"/>
          <w:color w:val="auto"/>
        </w:rPr>
      </w:pPr>
      <w:r>
        <w:rPr>
          <w:rFonts w:ascii="Courier New" w:cs="Courier New" w:eastAsia="Courier New" w:hAnsi="Courier New"/>
          <w:sz w:val="15"/>
          <w:szCs w:val="15"/>
          <w:color w:val="auto"/>
        </w:rPr>
        <w:t>THE TERMINATION OR REDUCTION OF CERTAIN GOVERNMENT PROGRAMS AND TAX BENEFITS COULD ADVERSELY AFFECT OUR OVERALL EFFECTIVE TAX RATE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benefit from certain government programs and tax benefits, including programs and benefits in Israel and Cyprus. To be eligible for these programs and tax benefits, we must meet certain conditions. If we fail to meet these conditions we could be required to refund tax benefits already received. Additionally, some of these programs and the related tax benefits are available to us for a limited number of years, and these benefits expire from time to time.</w:t>
      </w:r>
    </w:p>
    <w:p>
      <w:pPr>
        <w:spacing w:after="0" w:line="177"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Any of the following could have a material affect on our overall effective tax rate:</w:t>
      </w:r>
    </w:p>
    <w:p>
      <w:pPr>
        <w:spacing w:after="0" w:line="174" w:lineRule="exact"/>
        <w:rPr>
          <w:sz w:val="20"/>
          <w:szCs w:val="20"/>
          <w:color w:val="auto"/>
        </w:rPr>
      </w:pPr>
    </w:p>
    <w:p>
      <w:pPr>
        <w:ind w:left="620"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programs may be discontinued,</w:t>
      </w:r>
    </w:p>
    <w:p>
      <w:pPr>
        <w:spacing w:after="0" w:line="175" w:lineRule="exact"/>
        <w:rPr>
          <w:rFonts w:ascii="Courier New" w:cs="Courier New" w:eastAsia="Courier New" w:hAnsi="Courier New"/>
          <w:sz w:val="15"/>
          <w:szCs w:val="15"/>
          <w:color w:val="auto"/>
        </w:rPr>
      </w:pPr>
    </w:p>
    <w:p>
      <w:pPr>
        <w:ind w:left="620" w:right="3259"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be unable to meet the requirements for continuing to qualify for some programs,</w:t>
      </w:r>
    </w:p>
    <w:p>
      <w:pPr>
        <w:spacing w:after="0" w:line="176" w:lineRule="exact"/>
        <w:rPr>
          <w:rFonts w:ascii="Courier New" w:cs="Courier New" w:eastAsia="Courier New" w:hAnsi="Courier New"/>
          <w:sz w:val="15"/>
          <w:szCs w:val="15"/>
          <w:color w:val="auto"/>
        </w:rPr>
      </w:pPr>
    </w:p>
    <w:p>
      <w:pPr>
        <w:ind w:left="620" w:right="3599"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programs and tax benefits may be unavailable at their current levels, or</w:t>
      </w:r>
    </w:p>
    <w:p>
      <w:pPr>
        <w:spacing w:after="0" w:line="176" w:lineRule="exact"/>
        <w:rPr>
          <w:rFonts w:ascii="Courier New" w:cs="Courier New" w:eastAsia="Courier New" w:hAnsi="Courier New"/>
          <w:sz w:val="15"/>
          <w:szCs w:val="15"/>
          <w:color w:val="auto"/>
        </w:rPr>
      </w:pPr>
    </w:p>
    <w:p>
      <w:pPr>
        <w:ind w:left="620" w:right="3159" w:hanging="181"/>
        <w:spacing w:after="0" w:line="242"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expiration of a particular benefit, we may not be eligible to participate in a new program or qualify for a new tax benefit that would offset the loss of the expiring tax benefit or we may be required to refund previously accredited tax benefits if we are found to be in violation of the stipulated conditions.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PRODUCT DEFECTS OR SOFTWARE ERRORS COULD ADVERSELY AFFECT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Since our products are generally used by our customers to perform mission-critical functions, design defects, software errors, misuse of our products, incorrect data from external sources or other potential problems within or out of our control may arise from the use of our products, and may result in financial or other damages to our customers. Completion of the development and implementation phases of a project requires between six and twelve months of work. During this period, a customer's budgeting constraints and internal reviews, over which we have little or no control, can impact operating results. Our failure or inability to meet a customer's expectations in providing products or performing services may result in the termination of our relationship with that customer or could give rise to claims against us. Although we have license agreements with our customers that contain provisions designed to limit our exposure to potential claims and liabilities arising from customer problems, these provisions may not effectively protect us against such claims in all cases. Claims and liabilities arising from customer problems could damage our reputation, adversely affecting our business, results of operations and financial condition.</w:t>
      </w:r>
    </w:p>
    <w:p>
      <w:pPr>
        <w:spacing w:after="0" w:line="18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"YEAR 2000 ISSUES" MAY DISRUPT OUR OPERATIONS</w:t>
      </w:r>
    </w:p>
    <w:p>
      <w:pPr>
        <w:spacing w:after="0" w:line="176"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The term "year 2000 issues" is a general term used to describe the various problems that may result from the improper processing of dates and faulty date calculations by computers and</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9"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76"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other machinery in the upcoming millennium. These problems generally arise from the fact that most of the world's legacy computer hardware and software have historically used only two digits to identify the year in a date, often meaning that the computer will fail to distinguish dates in the "2000s" from dates in the "1900s". These problems may also arise from other sources such as the use of special codes and conventions in software that make use of the date field. This could result in a system failure or miscalculation causing disruptions of operations, including, among other things, total failure of mass systems that depend on computers such as electricity, telephone networks and banking systems.</w:t>
      </w:r>
    </w:p>
    <w:p>
      <w:pPr>
        <w:spacing w:after="0" w:line="16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a small number of computer products marketed by us or currently used by our customers might not be year 2000 compliant. In addition, some products and services provided to our customers by other software vendors may not be year 2000 compliant, thereby disrupting the ability of our customers to use our software. We have accrued $1.0 million at June 30, 1999, representing the estimated costs to modify our software products to address year 2000 issues under existing agreements for previously sold products. See "Management's Discussion and Analysis of Results of Operation and Financial Condition -- Year 2000 Issues". Our ultimate costs to address the year 2000 issues may significantly exceed our estimates, in which case those costs could have a material adverse effect on our results of operations and business and financial condition. Moreover, due to our dependence on a limited number of significant customers, any material adverse impact on such customers due to year 2000 issues could also have a material adverse effect on our results of operations, business and financial conditions.</w:t>
      </w:r>
    </w:p>
    <w:p>
      <w:pPr>
        <w:spacing w:after="0" w:line="182" w:lineRule="exact"/>
        <w:rPr>
          <w:sz w:val="20"/>
          <w:szCs w:val="20"/>
          <w:color w:val="auto"/>
        </w:rPr>
      </w:pPr>
    </w:p>
    <w:p>
      <w:pPr>
        <w:ind w:left="440" w:right="3079"/>
        <w:spacing w:after="0" w:line="274" w:lineRule="auto"/>
        <w:rPr>
          <w:sz w:val="20"/>
          <w:szCs w:val="20"/>
          <w:color w:val="auto"/>
        </w:rPr>
      </w:pPr>
      <w:r>
        <w:rPr>
          <w:rFonts w:ascii="Courier New" w:cs="Courier New" w:eastAsia="Courier New" w:hAnsi="Courier New"/>
          <w:sz w:val="14"/>
          <w:szCs w:val="14"/>
          <w:color w:val="auto"/>
        </w:rPr>
        <w:t>OUR SOFTWARE PRODUCTS MAY NOT SUCCESSFULLY ACCEPT THE NEW EUROPEAN MONETARY UNION CURRENCY, OR EURO, OR CONVERT FROM LOCAL CURRENCIES TO THE EURO</w:t>
      </w:r>
    </w:p>
    <w:p>
      <w:pPr>
        <w:spacing w:after="0" w:line="154"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euro is being phased in over a three-year period which commenced January 1, 1999 when participating European countries began using the euro currency for non-cash transactions. Computer systems and software products will need to be designed or modified to accept the euro currency and, during a transitional phase, will need to accept both the euro and local currencies. The conversion to the euro currency will require restructuring of databases and internal accounting systems and may require the conversion of historical data. We intend to offer software products that are capable of accepting the euro currency and converting from local currencies to the euro and vice versa. Our software or software provided to our customers by other vendors may not ensure an errorless transition to the euro currency. We have accrued $1.6 million at June 30, 1999, representing the estimated costs to modify our software products to accept the euro currency under existing agreements for previously sold products. Our ultimate costs may significantly exceed our estimates, in which case those costs could have a material adverse effect on our results of operations, business and financial condition.</w:t>
      </w:r>
    </w:p>
    <w:p>
      <w:pPr>
        <w:spacing w:after="0" w:line="183" w:lineRule="exact"/>
        <w:rPr>
          <w:sz w:val="20"/>
          <w:szCs w:val="20"/>
          <w:color w:val="auto"/>
        </w:rPr>
      </w:pPr>
    </w:p>
    <w:p>
      <w:pPr>
        <w:ind w:left="440" w:right="3259"/>
        <w:spacing w:after="0"/>
        <w:rPr>
          <w:sz w:val="20"/>
          <w:szCs w:val="20"/>
          <w:color w:val="auto"/>
        </w:rPr>
      </w:pPr>
      <w:r>
        <w:rPr>
          <w:rFonts w:ascii="Courier New" w:cs="Courier New" w:eastAsia="Courier New" w:hAnsi="Courier New"/>
          <w:sz w:val="15"/>
          <w:szCs w:val="15"/>
          <w:color w:val="auto"/>
        </w:rPr>
        <w:t>OUR DEVELOPMENT FACILITIES IN ISRAEL AND CYPRUS MAY BE ADVERSELY AFFECTED BY POLITICAL AND ECONOMIC CONDITIONS IN THOSE COUNTRIES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largest development center is located in the State of Israel. Although a substantial majority of our sales are made to customers outside Israel and we maintain significant service teams on site with our customers, we are nonetheless directly influenced by the political, economic and military conditions affecting Israel. Any major hostilities involving Israel or the interruption or curtailment of trade between Israel and its current trading partners could have a material adverse effect on our business. We have developed certain contingency plans to move certain development operations to various sites both within and outside of Israel in the event political or military conditions disrupt our normal operations.</w:t>
      </w:r>
    </w:p>
    <w:p>
      <w:pPr>
        <w:spacing w:after="0" w:line="179" w:lineRule="exact"/>
        <w:rPr>
          <w:sz w:val="20"/>
          <w:szCs w:val="20"/>
          <w:color w:val="auto"/>
        </w:rPr>
      </w:pPr>
    </w:p>
    <w:p>
      <w:pPr>
        <w:jc w:val="both"/>
        <w:ind w:right="3159" w:firstLine="447"/>
        <w:spacing w:after="0" w:line="242" w:lineRule="auto"/>
        <w:rPr>
          <w:sz w:val="20"/>
          <w:szCs w:val="20"/>
          <w:color w:val="auto"/>
        </w:rPr>
      </w:pPr>
      <w:r>
        <w:rPr>
          <w:rFonts w:ascii="Courier New" w:cs="Courier New" w:eastAsia="Courier New" w:hAnsi="Courier New"/>
          <w:sz w:val="15"/>
          <w:szCs w:val="15"/>
          <w:color w:val="auto"/>
        </w:rPr>
        <w:t>Israel has entered into peace agreements with both Egypt and Jordan and is in the process of conducting peace negotiations with the Palestinian Community. Moreover, several other countries have announced their intentions to establish trade and other relations with Israel. Israel,</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9"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76"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however, has not entered into any peace arrangement with Syria or Lebanon. In addition, in recent months there has been a deterioration in Israel's relationship with the Palestinian Community.</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Consequently, we cannot predict how the peace process will develop or what effect it may have on us or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Efforts to resolve the problem have not yet resulted in an agreeable solution. Recently, tensions between the parties involved have increased significantly over certain military defense issues. Any major hostilities between Cyprus and Turkey may have a material adverse effect on our development facility in Cyprus.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APPLICABLE TO OUR CAPITAL STRUCTURE</w:t>
      </w:r>
    </w:p>
    <w:p>
      <w:pPr>
        <w:spacing w:after="0" w:line="176" w:lineRule="exact"/>
        <w:rPr>
          <w:sz w:val="20"/>
          <w:szCs w:val="20"/>
          <w:color w:val="auto"/>
        </w:rPr>
      </w:pPr>
    </w:p>
    <w:p>
      <w:pPr>
        <w:ind w:left="440" w:right="3159"/>
        <w:spacing w:after="0"/>
        <w:rPr>
          <w:sz w:val="20"/>
          <w:szCs w:val="20"/>
          <w:color w:val="auto"/>
        </w:rPr>
      </w:pPr>
      <w:r>
        <w:rPr>
          <w:rFonts w:ascii="Courier New" w:cs="Courier New" w:eastAsia="Courier New" w:hAnsi="Courier New"/>
          <w:sz w:val="15"/>
          <w:szCs w:val="15"/>
          <w:color w:val="auto"/>
        </w:rPr>
        <w:t>A FEW OF OUR SHAREHOLDERS MAY BE ABLE TO EXERCISE CONTROL OVER ALL MATTERS REQUIRING SHAREHOLDER APPROVAL</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a result of the concentration of ownership of our ordinary voting shares, some shareholders may be able to exercise control over matters requiring shareholder approval, including the election of directors and approval of significant corporate transactions. This control may have the effect of delaying or preventing a change in control of Amdocs.</w:t>
      </w:r>
    </w:p>
    <w:p>
      <w:pPr>
        <w:spacing w:after="0" w:line="175"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After completion of the offering, our ordinary voting shares will be owned as follows:</w:t>
      </w:r>
    </w:p>
    <w:p>
      <w:pPr>
        <w:spacing w:after="0" w:line="176" w:lineRule="exact"/>
        <w:rPr>
          <w:sz w:val="20"/>
          <w:szCs w:val="20"/>
          <w:color w:val="auto"/>
        </w:rPr>
      </w:pPr>
    </w:p>
    <w:p>
      <w:pPr>
        <w:ind w:left="620" w:right="3259"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34.0% by Welsh, Carson, Anderson &amp; Stowe, or WCAS, a private investment firm, and its affiliates,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8.3% by SBCI, and</w:t>
      </w:r>
    </w:p>
    <w:p>
      <w:pPr>
        <w:spacing w:after="0" w:line="175" w:lineRule="exact"/>
        <w:rPr>
          <w:rFonts w:ascii="Courier New" w:cs="Courier New" w:eastAsia="Courier New" w:hAnsi="Courier New"/>
          <w:sz w:val="15"/>
          <w:szCs w:val="15"/>
          <w:color w:val="auto"/>
        </w:rPr>
      </w:pPr>
    </w:p>
    <w:p>
      <w:pPr>
        <w:ind w:left="620" w:right="3879"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10.4% by Amdocs International Limited, or AIL, a private company beneficially owned by Morris S. Kahn.</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SBCI also owns ordinary nonvoting shares, which together with its ordinary voting shares represent 19.5% of the ordinary shares outstanding. In addition, WCAS and several entities in which some members of our management have a beneficial interest have granted irrevocable proxies with respect to a portion of the ordinary shares held by them to a company beneficially owned by Morris S. Kahn. Giving effect to such proxies and the sale of the ordinary shares in this offering, the company beneficially owned by Morris S. Kahn and AIL together will have the right to vote 27.1% of our ordinary voting shares, WCAS and its affiliates will have the right to vote 20.6% of our ordinary voting shares and SBCI will have the right to vote 8.3% of our ordinary voting shares. Following the offering, it is intended that the proxies granted by WCAS to AIL, as well as certain proxies granted to AIL by several entities in which some members of our management have a beneficial interest, will be transferred or otherwise granted to SBCI.</w:t>
      </w:r>
    </w:p>
    <w:p>
      <w:pPr>
        <w:spacing w:after="0" w:line="35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Affiliates of WCAS and certain other investors, or the WCAS Investors, have granted a call option on some of the ordinary shares that they hold to SBCI, AIL and others who were shareholders of Amdocs prior to our initial public offering in June 1998. The call option may be exercised if we achieve specified revenue and cash flow targets in fiscal 1998 and 1999, which targets were achieved for fiscal 1998. If exercised, the option would increase the relative ownership of SBCI, AIL and those other shareholders and decrease the relative ownership of the WCAS Investors. If the targets are met in full, and after giving effect to the sale of the ordinary shares in this offering, the WCAS Investors will hold 25.3% of our ordinary voting shares and AIL will hold 13.3% of our ordinary voting shares.</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9"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76" w:lineRule="exact"/>
        <w:rPr>
          <w:sz w:val="20"/>
          <w:szCs w:val="20"/>
          <w:color w:val="auto"/>
        </w:rPr>
      </w:pPr>
    </w:p>
    <w:p>
      <w:pPr>
        <w:ind w:left="440" w:right="3259"/>
        <w:spacing w:after="0"/>
        <w:rPr>
          <w:sz w:val="20"/>
          <w:szCs w:val="20"/>
          <w:color w:val="auto"/>
        </w:rPr>
      </w:pPr>
      <w:r>
        <w:rPr>
          <w:rFonts w:ascii="Courier New" w:cs="Courier New" w:eastAsia="Courier New" w:hAnsi="Courier New"/>
          <w:sz w:val="15"/>
          <w:szCs w:val="15"/>
          <w:color w:val="auto"/>
        </w:rPr>
        <w:t>THE MARKET PRICE OF OUR ORDINARY SHARES HAS AND MAY CONTINUE TO FLUCTUATE WIDELY</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market price of our ordinary shares has fluctuated widely and may continue to do so. For example, since our initial public offering in June 1998 through October 1, 1999 the closing price of our ordinary shares ranged from a high of $29.69 per share to a low of $8.38 per share. Many factors could cause the market price of our ordinary shares to rise and fall. Some of these factors are:</w:t>
      </w:r>
    </w:p>
    <w:p>
      <w:pPr>
        <w:spacing w:after="0" w:line="346" w:lineRule="exact"/>
        <w:rPr>
          <w:sz w:val="20"/>
          <w:szCs w:val="20"/>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our quarterly operating results;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technological innovations by us or our competitors;</w:t>
      </w:r>
    </w:p>
    <w:p>
      <w:pPr>
        <w:spacing w:after="0" w:line="175" w:lineRule="exact"/>
        <w:rPr>
          <w:rFonts w:ascii="Courier New" w:cs="Courier New" w:eastAsia="Courier New" w:hAnsi="Courier New"/>
          <w:sz w:val="15"/>
          <w:szCs w:val="15"/>
          <w:color w:val="auto"/>
        </w:rPr>
      </w:pPr>
    </w:p>
    <w:p>
      <w:pPr>
        <w:ind w:left="620" w:right="3779"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 of new products or new pricing policies by us or our competitors;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trends in the telecommunications industry;</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or strategic alliances by us or others in our industry;</w:t>
      </w:r>
    </w:p>
    <w:p>
      <w:pPr>
        <w:spacing w:after="0" w:line="175" w:lineRule="exact"/>
        <w:rPr>
          <w:rFonts w:ascii="Courier New" w:cs="Courier New" w:eastAsia="Courier New" w:hAnsi="Courier New"/>
          <w:sz w:val="15"/>
          <w:szCs w:val="15"/>
          <w:color w:val="auto"/>
        </w:rPr>
      </w:pPr>
    </w:p>
    <w:p>
      <w:pPr>
        <w:ind w:left="620" w:right="3259"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estimates of our performance or recommendations by financial analysts;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in the industry and the economy as a whole.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the stock market experiences significant price and volume fluctuations. These fluctuations particularly affect the market prices of the securities of many high technology companies. These broad market fluctuations could adversely affect the market price of our ordinary shares. When the market price of a stock has been volatile, holders of that stock have often instituted securities class action litigation against the company that issued the stock. If any of our shareholders brought a securities class action lawsuit against us, we could incur substantial costs defending the lawsuit. The lawsuit could also divert the time and attention of our management. Any of these events could seriously harm our business.</w:t>
      </w:r>
    </w:p>
    <w:p>
      <w:pPr>
        <w:spacing w:after="0" w:line="179" w:lineRule="exact"/>
        <w:rPr>
          <w:sz w:val="20"/>
          <w:szCs w:val="20"/>
          <w:color w:val="auto"/>
        </w:rPr>
      </w:pPr>
    </w:p>
    <w:p>
      <w:pPr>
        <w:ind w:left="440" w:right="3079"/>
        <w:spacing w:after="0"/>
        <w:rPr>
          <w:sz w:val="20"/>
          <w:szCs w:val="20"/>
          <w:color w:val="auto"/>
        </w:rPr>
      </w:pPr>
      <w:r>
        <w:rPr>
          <w:rFonts w:ascii="Courier New" w:cs="Courier New" w:eastAsia="Courier New" w:hAnsi="Courier New"/>
          <w:sz w:val="15"/>
          <w:szCs w:val="15"/>
          <w:color w:val="auto"/>
        </w:rPr>
        <w:t>FUTURE SALES BY EXISTING SHAREHOLDERS COULD DEPRESS THE MARKET PRICE OF OUR ORDINARY SHARES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Sales of substantial amounts of ordinary shares in the public market, or the perception that such sales could occur, could adversely affect prevailing market prices for the ordinary shares. We currently have 198,800,024 ordinary shares issued and outstanding, all of which are either freely tradeable on the NYSE or currently eligible for sale pursuant to Rule 144, under the Securities Act of 1933, or the Securities Act (subject to compliance with the volume and manner of sale limitation of Rule 144), or pursuant to another exemption from the registration requirements of the Securities Act.</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principal shareholders have the right, in certain circumstances, to require us to register their shares under the Securities Act for resale to the public. In addition, we expect to register under the Securities Act up to a total of 6,600,000 ordinary shares reserved for issuance upon the exercise of options that have been or may be granted under our stock option plans. The right to exercise options outstanding under these plans is subject to certain vesting requirements.</w:t>
      </w:r>
    </w:p>
    <w:p>
      <w:pPr>
        <w:spacing w:after="0" w:line="177" w:lineRule="exact"/>
        <w:rPr>
          <w:sz w:val="20"/>
          <w:szCs w:val="20"/>
          <w:color w:val="auto"/>
        </w:rPr>
      </w:pPr>
    </w:p>
    <w:p>
      <w:pPr>
        <w:ind w:left="440" w:right="3779"/>
        <w:spacing w:after="0"/>
        <w:rPr>
          <w:sz w:val="20"/>
          <w:szCs w:val="20"/>
          <w:color w:val="auto"/>
        </w:rPr>
      </w:pPr>
      <w:r>
        <w:rPr>
          <w:rFonts w:ascii="Courier New" w:cs="Courier New" w:eastAsia="Courier New" w:hAnsi="Courier New"/>
          <w:sz w:val="15"/>
          <w:szCs w:val="15"/>
          <w:color w:val="auto"/>
        </w:rPr>
        <w:t>WE DO NOT ANTICIPATE PAYING DIVIDENDS ON OUR ORDINARY SHARES IN THE FORESEEABLE FUTURE</w:t>
      </w:r>
    </w:p>
    <w:p>
      <w:pPr>
        <w:spacing w:after="0" w:line="176" w:lineRule="exact"/>
        <w:rPr>
          <w:sz w:val="20"/>
          <w:szCs w:val="20"/>
          <w:color w:val="auto"/>
        </w:rPr>
      </w:pPr>
    </w:p>
    <w:p>
      <w:pPr>
        <w:jc w:val="both"/>
        <w:ind w:right="3779" w:firstLine="447"/>
        <w:spacing w:after="0" w:line="241" w:lineRule="auto"/>
        <w:rPr>
          <w:sz w:val="20"/>
          <w:szCs w:val="20"/>
          <w:color w:val="auto"/>
        </w:rPr>
      </w:pPr>
      <w:r>
        <w:rPr>
          <w:rFonts w:ascii="Courier New" w:cs="Courier New" w:eastAsia="Courier New" w:hAnsi="Courier New"/>
          <w:sz w:val="15"/>
          <w:szCs w:val="15"/>
          <w:color w:val="auto"/>
        </w:rPr>
        <w:t>We do not anticipate paying dividends on our ordinary shares in the foreseeable future. In addition, the terms of bank debt incurred by our subsidiaries effectively prevent us from paying cash dividends.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9"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THE RIGHTS OF SHAREHOLDERS OF GUERNSEY CORPORATIONS DIFFER IN SOME RESPECTS FROM THOSE OF</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SHAREHOLDERS OF UNITED STATES CORPORATIONS</w:t>
      </w:r>
    </w:p>
    <w:p>
      <w:pPr>
        <w:spacing w:after="0" w:line="17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We are incorporated under the laws of Guernsey. The rights of holders of ordinary shares are governed by Guernsey law, including the Companies Act of Guernsey, and by our Articles of Association. These rights differ in some respects from the rights of shareholders in corporations incorporated in the United States. See "Description of Share Capital" and "Comparison of United States and Guernsey Corporate Law" for a discussion of the material differences.</w:t>
      </w:r>
    </w:p>
    <w:p>
      <w:pPr>
        <w:spacing w:after="0" w:line="16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9"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USE OF PROCEEDS</w:t>
      </w:r>
    </w:p>
    <w:p>
      <w:pPr>
        <w:spacing w:after="0" w:line="176"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We will not receive any of the proceeds from the sale of the ordinary shares by the selling shareholder.</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MARKET PRICES AND DIVIDEND POLICY</w:t>
      </w:r>
    </w:p>
    <w:p>
      <w:pPr>
        <w:spacing w:after="0" w:line="348"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Our ordinary shares have been quoted on the NYSE since June 19, 1998 under the symbol "DOX". Through September 30, 1999, the high and low reported closing prices for the ordinary shares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HIGH</w:t>
            </w: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LOW</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DIVIDENDS</w:t>
            </w:r>
          </w:p>
        </w:tc>
      </w:tr>
      <w:tr>
        <w:trPr>
          <w:trHeight w:val="172"/>
        </w:trPr>
        <w:tc>
          <w:tcPr>
            <w:tcW w:w="5440" w:type="dxa"/>
            <w:vAlign w:val="bottom"/>
          </w:tcPr>
          <w:p>
            <w:pPr>
              <w:spacing w:after="0"/>
              <w:rPr>
                <w:sz w:val="14"/>
                <w:szCs w:val="14"/>
                <w:color w:val="auto"/>
              </w:rPr>
            </w:pPr>
          </w:p>
        </w:tc>
        <w:tc>
          <w:tcPr>
            <w:tcW w:w="8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Fiscal Year 1998:</w:t>
            </w: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Third Quarter 1998 (since June 19, 1998)..................</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$16.50</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$14.00</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Fourth Quarter 1998.......................................</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$15.50</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$ 8.38</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Fiscal Year 1999:</w:t>
            </w: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First Quarter 1999........................................</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$17.25</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$ 8.88</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Second Quarter 1999.......................................</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$25.81</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$15.06</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Third Quarter 1999........................................</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$28.88</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$21.00</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Fourth Quarter 1999.......................................</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$29.69</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$21.00</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As of October 1, 1999, the last reported closing price of the ordinary shares on the New York Stock Exchange was $19.94 and ordinary shares were held by approximately 136 recordholders. Based on a review of the addresses of those holders, 102 recordholders, holding approximately 75.0% of the outstanding ordinary shares, were residents of the United States.</w:t>
      </w:r>
    </w:p>
    <w:p>
      <w:pPr>
        <w:spacing w:after="0" w:line="347"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Shareholders are advised to obtain a current market quotation for our ordinary shares.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Although in the past we have paid substantial cash dividends, we do not anticipate paying cash dividends on our ordinary shares in the foreseeable future. We declared dividends to our shareholders during fiscal 1998, 1997 and 1996 of $478.7 million, $19.3 million and $37.9 million, respectively. See "Certain Transactions". We currently intend to retain our earnings to finance the development of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Any future dividend policy will be determined by our board of directors based upon conditions then existing, including our earnings, financial condition and capital requirements, as well as such economic and other conditions as the board of directors may deem relevant. The terms of the revolving credit agreement under which several of our subsidiaries are borrowers effectively prevent us from paying cash dividends. In addition, future agreements under which we or any of our subsidiaries may incur indebtedness may contain limitations on our ability to pay cash dividends.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9" w:right="1440" w:bottom="1440" w:gutter="0" w:footer="0" w:header="0"/>
        </w:sectPr>
      </w:pPr>
    </w:p>
    <w:bookmarkStart w:id="20" w:name="page21"/>
    <w:bookmarkEnd w:id="20"/>
    <w:p>
      <w:pPr>
        <w:ind w:left="268"/>
        <w:spacing w:after="0"/>
        <w:rPr>
          <w:sz w:val="20"/>
          <w:szCs w:val="20"/>
          <w:color w:val="auto"/>
        </w:rPr>
      </w:pPr>
      <w:r>
        <w:rPr>
          <w:rFonts w:ascii="Courier New" w:cs="Courier New" w:eastAsia="Courier New" w:hAnsi="Courier New"/>
          <w:sz w:val="15"/>
          <w:szCs w:val="15"/>
          <w:color w:val="auto"/>
        </w:rPr>
        <w:t>21</w:t>
      </w:r>
    </w:p>
    <w:p>
      <w:pPr>
        <w:spacing w:after="0" w:line="174"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SELECTED HISTORICAL CONSOLIDATED FINANCIAL INFORMATION</w:t>
      </w:r>
    </w:p>
    <w:p>
      <w:pPr>
        <w:spacing w:after="0" w:line="176" w:lineRule="exact"/>
        <w:rPr>
          <w:sz w:val="20"/>
          <w:szCs w:val="20"/>
          <w:color w:val="auto"/>
        </w:rPr>
      </w:pPr>
    </w:p>
    <w:p>
      <w:pPr>
        <w:ind w:left="8" w:right="3320" w:firstLine="447"/>
        <w:spacing w:after="0" w:line="261" w:lineRule="auto"/>
        <w:rPr>
          <w:sz w:val="20"/>
          <w:szCs w:val="20"/>
          <w:color w:val="auto"/>
        </w:rPr>
      </w:pPr>
      <w:r>
        <w:rPr>
          <w:rFonts w:ascii="Courier New" w:cs="Courier New" w:eastAsia="Courier New" w:hAnsi="Courier New"/>
          <w:sz w:val="14"/>
          <w:szCs w:val="14"/>
          <w:color w:val="auto"/>
        </w:rPr>
        <w:t>Our historical consolidated financial statements are prepared in accordance with U.S. GAAP and presented in dollars. The selected historical consolidated financial information set forth below has been derived from the historical combined or consolidated financial statements of Amdocs and its subsidiaries for the periods presented. During the year ended September 30, 1994, Amdocs' operating subsidiaries were operated as a group of companies owned by common shareholders and financial statements for such periods were prepared on a combined basis and were not audited. Historical information as of and for the four years ended September 30, 1998 is derived from our consolidated financial statements which have been audited by Ernst &amp; Young LLP, our independent auditors. The selected historical consolidated financial information as of and for the nine months ended June 30, 1999 and 1998 is derived from our unaudited historical consolidated financial statements. The unaudited historical financial information reflects all adjustments (consisting only of normal recurring adjustments) that we consider necessary for a fair statement of our consolidated financial position and the results of operations for such periods. The results of operations for the nine months ended June 30, 1999 are not necessarily indicative of results to be expected for any future period.</w:t>
      </w:r>
    </w:p>
    <w:p>
      <w:pPr>
        <w:spacing w:after="0" w:line="336" w:lineRule="exact"/>
        <w:rPr>
          <w:sz w:val="20"/>
          <w:szCs w:val="20"/>
          <w:color w:val="auto"/>
        </w:rPr>
      </w:pPr>
    </w:p>
    <w:p>
      <w:pPr>
        <w:ind w:left="8" w:right="3500" w:firstLine="447"/>
        <w:spacing w:after="0" w:line="242" w:lineRule="auto"/>
        <w:rPr>
          <w:sz w:val="20"/>
          <w:szCs w:val="20"/>
          <w:color w:val="auto"/>
        </w:rPr>
      </w:pPr>
      <w:r>
        <w:rPr>
          <w:rFonts w:ascii="Courier New" w:cs="Courier New" w:eastAsia="Courier New" w:hAnsi="Courier New"/>
          <w:sz w:val="15"/>
          <w:szCs w:val="15"/>
          <w:color w:val="auto"/>
        </w:rPr>
        <w:t>The information presented below is qualified by the more detailed historical consolidated financial statements included elsewhere in this prospectus and should be read in conjunction with those consolidated financial statements and the discussion under "Management's Discussion and Analysis of Results of Operations and Financial Condition" included elsewhere in this prospectus.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18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NINE MONTHS</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8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ENDED</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8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JUNE 30,</w:t>
            </w:r>
          </w:p>
        </w:tc>
        <w:tc>
          <w:tcPr>
            <w:tcW w:w="9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YEAR</w:t>
            </w:r>
          </w:p>
        </w:tc>
        <w:tc>
          <w:tcPr>
            <w:tcW w:w="21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ENDED SEPTEMBER 30,</w:t>
            </w:r>
          </w:p>
        </w:tc>
        <w:tc>
          <w:tcPr>
            <w:tcW w:w="108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8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1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3480" w:type="dxa"/>
            <w:vAlign w:val="bottom"/>
          </w:tcPr>
          <w:p>
            <w:pPr>
              <w:spacing w:after="0"/>
              <w:rPr>
                <w:sz w:val="14"/>
                <w:szCs w:val="14"/>
                <w:color w:val="auto"/>
              </w:rPr>
            </w:pPr>
          </w:p>
        </w:tc>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(IN THOUSANDS, EXCEPT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PER</w:t>
            </w:r>
          </w:p>
        </w:tc>
        <w:tc>
          <w:tcPr>
            <w:tcW w:w="1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SHARE DATA)</w:t>
            </w:r>
          </w:p>
        </w:tc>
        <w:tc>
          <w:tcPr>
            <w:tcW w:w="1080" w:type="dxa"/>
            <w:vAlign w:val="bottom"/>
          </w:tcPr>
          <w:p>
            <w:pPr>
              <w:spacing w:after="0"/>
              <w:rPr>
                <w:sz w:val="14"/>
                <w:szCs w:val="14"/>
                <w:color w:val="auto"/>
              </w:rPr>
            </w:pP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$444,139</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$287,063</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$403,767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$290,102</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$211,720</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$167,312</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$121,310</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103,568</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58,791</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84,895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26,969</w:t>
            </w:r>
          </w:p>
        </w:tc>
        <w:tc>
          <w:tcPr>
            <w:tcW w:w="36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35,490</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15,377</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22,047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income(1).........................</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68,704</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18,509</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30,107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5,876</w:t>
            </w:r>
          </w:p>
        </w:tc>
        <w:tc>
          <w:tcPr>
            <w:tcW w:w="36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24,508</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11,224</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16,068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0.35</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0.13</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c>
          <w:tcPr>
            <w:tcW w:w="36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0.23</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0.34</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0.13</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c>
          <w:tcPr>
            <w:tcW w:w="36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0.22</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per share(2).......</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3.76</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0.18</w:t>
            </w:r>
          </w:p>
        </w:tc>
        <w:tc>
          <w:tcPr>
            <w:tcW w:w="36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0.35</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0.15</w:t>
            </w:r>
          </w:p>
        </w:tc>
      </w:tr>
      <w:tr>
        <w:trPr>
          <w:trHeight w:val="860"/>
        </w:trPr>
        <w:tc>
          <w:tcPr>
            <w:tcW w:w="3480" w:type="dxa"/>
            <w:vAlign w:val="bottom"/>
          </w:tcPr>
          <w:p>
            <w:pPr>
              <w:spacing w:after="0"/>
              <w:rPr>
                <w:sz w:val="24"/>
                <w:szCs w:val="24"/>
                <w:color w:val="auto"/>
              </w:rPr>
            </w:pPr>
          </w:p>
        </w:tc>
        <w:tc>
          <w:tcPr>
            <w:tcW w:w="18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AS OF JUNE 30,</w:t>
            </w:r>
          </w:p>
        </w:tc>
        <w:tc>
          <w:tcPr>
            <w:tcW w:w="98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OF</w:t>
            </w:r>
          </w:p>
        </w:tc>
        <w:tc>
          <w:tcPr>
            <w:tcW w:w="1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SEPTEMBER 30,</w:t>
            </w:r>
          </w:p>
        </w:tc>
        <w:tc>
          <w:tcPr>
            <w:tcW w:w="1080" w:type="dxa"/>
            <w:vAlign w:val="bottom"/>
          </w:tcPr>
          <w:p>
            <w:pPr>
              <w:spacing w:after="0"/>
              <w:rPr>
                <w:sz w:val="24"/>
                <w:szCs w:val="24"/>
                <w:color w:val="auto"/>
              </w:rPr>
            </w:pPr>
          </w:p>
        </w:tc>
      </w:tr>
      <w:tr>
        <w:trPr>
          <w:trHeight w:val="172"/>
        </w:trPr>
        <w:tc>
          <w:tcPr>
            <w:tcW w:w="3480" w:type="dxa"/>
            <w:vAlign w:val="bottom"/>
          </w:tcPr>
          <w:p>
            <w:pPr>
              <w:spacing w:after="0"/>
              <w:rPr>
                <w:sz w:val="14"/>
                <w:szCs w:val="14"/>
                <w:color w:val="auto"/>
              </w:rPr>
            </w:pPr>
          </w:p>
        </w:tc>
        <w:tc>
          <w:tcPr>
            <w:tcW w:w="18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1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1995</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3480" w:type="dxa"/>
            <w:vAlign w:val="bottom"/>
          </w:tcPr>
          <w:p>
            <w:pPr>
              <w:spacing w:after="0"/>
              <w:rPr>
                <w:sz w:val="14"/>
                <w:szCs w:val="14"/>
                <w:color w:val="auto"/>
              </w:rPr>
            </w:pPr>
          </w:p>
        </w:tc>
        <w:tc>
          <w:tcPr>
            <w:tcW w:w="10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(IN THOUSANDS)</w:t>
            </w: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$386,782</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4"/>
              </w:rPr>
              <w:t>$237,923</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$239,966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$220,582</w:t>
            </w: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$104,531</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$101,483</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$ 77,106</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Long-term obligations (net of current</w:t>
            </w: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portion)............................</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12,649</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101,847</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9,215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7,370</w:t>
            </w:r>
          </w:p>
        </w:tc>
        <w:tc>
          <w:tcPr>
            <w:tcW w:w="36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1,663</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(deficit)(2)(3).....................</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96,272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(33,284)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(21,889)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94,253</w:t>
            </w:r>
          </w:p>
        </w:tc>
        <w:tc>
          <w:tcPr>
            <w:tcW w:w="36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15,988</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29,429</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21,872</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400" w:hanging="348"/>
        <w:spacing w:after="0" w:line="242" w:lineRule="auto"/>
        <w:tabs>
          <w:tab w:leader="none" w:pos="3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fourth quarter of fiscal 1997, we recorded nonrecurring charges of $27,563. Of such amount, $25,763 is attributable to the funding of a contribution to a trust and the balance, $1,800, is due to the write-off of in-process technology related to certain software rights acquired from several operating subsidiaries of SBC Communications Inc.</w:t>
      </w:r>
    </w:p>
    <w:p>
      <w:pPr>
        <w:spacing w:after="0" w:line="173"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1998, we paid dividends totaling $478,684.</w:t>
      </w:r>
    </w:p>
    <w:p>
      <w:pPr>
        <w:spacing w:after="0" w:line="175" w:lineRule="exact"/>
        <w:rPr>
          <w:rFonts w:ascii="Courier New" w:cs="Courier New" w:eastAsia="Courier New" w:hAnsi="Courier New"/>
          <w:sz w:val="15"/>
          <w:szCs w:val="15"/>
          <w:color w:val="auto"/>
        </w:rPr>
      </w:pPr>
    </w:p>
    <w:p>
      <w:pPr>
        <w:ind w:left="348" w:right="3500" w:hanging="348"/>
        <w:spacing w:after="0" w:line="242" w:lineRule="auto"/>
        <w:tabs>
          <w:tab w:leader="none" w:pos="3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completed an initial public offering of 18,000 ordinary shares in June 1998 and a public offering of an additional 2,000 ordinary shares in June 1999. The net proceeds from the offerings to us were $234,190 and $41,400, respectively.</w:t>
      </w:r>
    </w:p>
    <w:p>
      <w:pPr>
        <w:sectPr>
          <w:pgSz w:w="11900" w:h="16838" w:orient="portrait"/>
          <w:cols w:equalWidth="0" w:num="1">
            <w:col w:w="10468"/>
          </w:cols>
          <w:pgMar w:left="232" w:top="289" w:right="1199" w:bottom="1440" w:gutter="0" w:footer="0" w:header="0"/>
        </w:sectPr>
      </w:pP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468"/>
          </w:cols>
          <w:pgMar w:left="232" w:top="289" w:right="1199" w:bottom="1440" w:gutter="0" w:footer="0" w:header="0"/>
          <w:type w:val="continuous"/>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OF RESULTS OF OPERATIONS AND FINANCIAL CONDITION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In Management's Discussion and Analysis we explain the general financial condition and the results of operations for Amdocs and its subsidiaries including:</w:t>
      </w:r>
    </w:p>
    <w:p>
      <w:pPr>
        <w:spacing w:after="0" w:line="174" w:lineRule="exact"/>
        <w:rPr>
          <w:sz w:val="20"/>
          <w:szCs w:val="20"/>
          <w:color w:val="auto"/>
        </w:rPr>
      </w:pPr>
    </w:p>
    <w:p>
      <w:pPr>
        <w:ind w:left="620" w:hanging="181"/>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factors affect our business,</w:t>
      </w:r>
    </w:p>
    <w:p>
      <w:pPr>
        <w:spacing w:after="0" w:line="175" w:lineRule="exact"/>
        <w:rPr>
          <w:rFonts w:ascii="Courier New" w:cs="Courier New" w:eastAsia="Courier New" w:hAnsi="Courier New"/>
          <w:sz w:val="15"/>
          <w:szCs w:val="15"/>
          <w:color w:val="auto"/>
        </w:rPr>
      </w:pPr>
    </w:p>
    <w:p>
      <w:pPr>
        <w:ind w:left="620" w:right="3339" w:hanging="181"/>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our revenue and costs were in the nine months ended June 30, 1999 and 1998 and fiscal 1998, 1997 and 1996,</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why those revenue and costs were different from period to period,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revenue,</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all of this affects our overall financial condition,</w:t>
      </w:r>
    </w:p>
    <w:p>
      <w:pPr>
        <w:spacing w:after="0" w:line="175" w:lineRule="exact"/>
        <w:rPr>
          <w:rFonts w:ascii="Courier New" w:cs="Courier New" w:eastAsia="Courier New" w:hAnsi="Courier New"/>
          <w:sz w:val="15"/>
          <w:szCs w:val="15"/>
          <w:color w:val="auto"/>
        </w:rPr>
      </w:pPr>
    </w:p>
    <w:p>
      <w:pPr>
        <w:ind w:left="620" w:right="3439" w:hanging="181"/>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our expenditures were in the nine months ended June 30, 1999 and 1998 and fiscal 1998, 1997 and 1996,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cash to pay for future capital expenditures.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you read Management's Discussion and Analysis, it may be helpful to refer to Amdocs' financial statements. In Management's Discussion and Analysis, we analyze and explain the nine months to nine months and annual changes in the specific line items in the consolidated statements of operations. Our analysis may be important to you in making decisions about your investment in Amdocs. Our analysis contains certain forward looking statements that involve risk and uncertainties. Our actual results could differ materially from the results reflected in these forward looking statements as they are subject to a variety of risk factors. See "Risk Factors" for more information. We disclaim any obligation to update our forward looking statements.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are a leading provider of customized software products and services to the telecommunications industry, primarily Customer Care and Billing Systems, or CC&amp;B Systems, for wireline, wireless and multiple-service or convergent network operators and service providers. We also supply Directory Sales and Publishing Systems, or Directory Systems, to publishers of both traditional printed yellow page and white page directories and Internet directories. Our products are mission-critical for a customer's operations. Due to the complexity of the process and the expertise required for system support, we also provide extensive customization, implementation, integration, ongoing support, system enhancement and maintenance, including an outsourcing offering.</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176" w:lineRule="exact"/>
        <w:rPr>
          <w:sz w:val="20"/>
          <w:szCs w:val="20"/>
          <w:color w:val="auto"/>
        </w:rPr>
      </w:pPr>
    </w:p>
    <w:p>
      <w:pPr>
        <w:ind w:left="620" w:right="3159" w:hanging="181"/>
        <w:spacing w:after="0" w:line="274" w:lineRule="auto"/>
        <w:tabs>
          <w:tab w:leader="none" w:pos="6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sale of our products and related services, including license fees and customization, implementation and integration services, and</w:t>
      </w:r>
    </w:p>
    <w:p>
      <w:pPr>
        <w:spacing w:after="0" w:line="153" w:lineRule="exact"/>
        <w:rPr>
          <w:rFonts w:ascii="Courier New" w:cs="Courier New" w:eastAsia="Courier New" w:hAnsi="Courier New"/>
          <w:sz w:val="14"/>
          <w:szCs w:val="14"/>
          <w:color w:val="auto"/>
        </w:rPr>
      </w:pPr>
    </w:p>
    <w:p>
      <w:pPr>
        <w:ind w:left="620" w:right="3159" w:hanging="181"/>
        <w:spacing w:after="0" w:line="242" w:lineRule="auto"/>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recurring revenue from ongoing maintenance, support, outsourcing and related services provided to our customers and, to a lesser degree, from incremental license fees resulting from increases in a customer's subscribers.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License revenue is recognized concurrently as work is performed, using percentage of completion accounting. Service revenue that involves significant ongoing obligations, including fees for customization, implementation and support services, is also recognized as work is performed, under the percentage of completion method. Revenue from ongoing support and outsourcing services is recognized as work is performed. Revenue from third party hardware and software sales is recognized upon delivery. Maintenance revenue is recognized ratably over the</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9"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23</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term of the maintenance agreement. As a result of our percentage of completion accounting policy, our quarterly operating results may be significantly affected by the size and timing of customer projects and our progress in completing such projects.</w:t>
      </w:r>
    </w:p>
    <w:p>
      <w:pPr>
        <w:spacing w:after="0" w:line="175"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Since 1992, we have invested substantial resources to develop our information technology and to expand our range of products. As a result of significant information technology expenditures, we were able to offer a full range of integrated applications for our CC&amp;B Systems at the same time factors such as increased demand for services, deregulation, privatization and technological advancements began to transform the telecommunications industry.</w:t>
      </w:r>
    </w:p>
    <w:p>
      <w:pPr>
        <w:spacing w:after="0" w:line="161" w:lineRule="exact"/>
        <w:rPr>
          <w:sz w:val="20"/>
          <w:szCs w:val="20"/>
          <w:color w:val="auto"/>
        </w:rPr>
      </w:pPr>
    </w:p>
    <w:p>
      <w:pPr>
        <w:jc w:val="both"/>
        <w:ind w:left="620" w:right="3079" w:hanging="181"/>
        <w:spacing w:after="0" w:line="241"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and service fees from the sale of CC&amp;B Systems amounted to $325.4 million in the nine months ended June 30, 1999, representing 73.3% of our revenue for such period.</w:t>
      </w:r>
    </w:p>
    <w:p>
      <w:pPr>
        <w:spacing w:after="0" w:line="176" w:lineRule="exact"/>
        <w:rPr>
          <w:sz w:val="20"/>
          <w:szCs w:val="20"/>
          <w:color w:val="auto"/>
        </w:rPr>
      </w:pPr>
    </w:p>
    <w:p>
      <w:pPr>
        <w:jc w:val="both"/>
        <w:ind w:right="3339" w:firstLine="447"/>
        <w:spacing w:after="0" w:line="267" w:lineRule="auto"/>
        <w:rPr>
          <w:sz w:val="20"/>
          <w:szCs w:val="20"/>
          <w:color w:val="auto"/>
        </w:rPr>
      </w:pPr>
      <w:r>
        <w:rPr>
          <w:rFonts w:ascii="Courier New" w:cs="Courier New" w:eastAsia="Courier New" w:hAnsi="Courier New"/>
          <w:sz w:val="14"/>
          <w:szCs w:val="14"/>
          <w:color w:val="auto"/>
        </w:rPr>
        <w:t>We believe that the demand for CC&amp;B Systems will continue to increase as the size and complexity of the telecommunications industry increases and that CC&amp;B Systems will account for a larger share of our total revenue over time.</w:t>
      </w:r>
    </w:p>
    <w:p>
      <w:pPr>
        <w:spacing w:after="0" w:line="15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the business of publishing traditional yellow page and white page directories is a mature business in the United States, it continues to be a significant source of revenue for us worldwide. We believe that we are a leading provider of Directory Systems in most of the markets we serve.</w:t>
      </w:r>
    </w:p>
    <w:p>
      <w:pPr>
        <w:spacing w:after="0" w:line="175" w:lineRule="exact"/>
        <w:rPr>
          <w:sz w:val="20"/>
          <w:szCs w:val="20"/>
          <w:color w:val="auto"/>
        </w:rPr>
      </w:pPr>
    </w:p>
    <w:p>
      <w:pPr>
        <w:ind w:left="620" w:right="3079" w:hanging="181"/>
        <w:spacing w:after="0" w:line="241"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and service fee revenue from the sale of Directory Systems totaled $118.8 million in the nine months ended June 30, 1999, accounting for 26.7%, of our revenue for such period.</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We believe that the demand for Directory Systems will be favorably impacted by a broader introduction of electronic directories. However, we anticipate that the relative contribution of license and service fees for Directory Systems to total revenue will decrease over time. We have also recently introduced a number of new products for Internet and electronic commerce applications. We anticipate that over the next several years products developed or to be developed for such applications will make a modest but increasing contribution to revenue.</w:t>
      </w:r>
    </w:p>
    <w:p>
      <w:pPr>
        <w:spacing w:after="0" w:line="164"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Our research and development activities involve the development of new software modules and product offerings in response to an identified market demand, usually in conjunction with a customer project. We also expend additional amounts on applied research and software development activities to keep abreast of new technologies in the telecommunications market. In the next several years, we intend to continue to make significant investments in our research and development activities.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June 7, 1999 we sold 2.0 million ordinary shares in a public offering at a price of $22.4375 per share. The total net proceeds to us, after deduction of issuance costs, amounted to $41.4 million. At the same time, some of our shareholders sold 18,426,000 ordinary shares, including the exercise by the underwriters of that offering of an over-allotment option on 426,000 ordinary shares held by those shareholders.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9"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6" w:lineRule="exact"/>
        <w:rPr>
          <w:sz w:val="20"/>
          <w:szCs w:val="20"/>
          <w:color w:val="auto"/>
        </w:rPr>
      </w:pPr>
    </w:p>
    <w:p>
      <w:pPr>
        <w:jc w:val="both"/>
        <w:ind w:right="3079" w:firstLine="447"/>
        <w:spacing w:after="0" w:line="242" w:lineRule="auto"/>
        <w:rPr>
          <w:sz w:val="20"/>
          <w:szCs w:val="20"/>
          <w:color w:val="auto"/>
        </w:rPr>
      </w:pPr>
      <w:r>
        <w:rPr>
          <w:rFonts w:ascii="Courier New" w:cs="Courier New" w:eastAsia="Courier New" w:hAnsi="Courier New"/>
          <w:sz w:val="15"/>
          <w:szCs w:val="15"/>
          <w:color w:val="auto"/>
        </w:rPr>
        <w:t>The following table sets forth, for the nine months ended June 30, 1999 and 1998 and for the years ended September 30, 1998, 1997 and 1996, certain items in our consolidated statements of operations reflected as a percentage of total revenue:</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5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NINE MONTHS</w:t>
            </w: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YEAR ENDED</w:t>
            </w:r>
          </w:p>
        </w:tc>
        <w:tc>
          <w:tcPr>
            <w:tcW w:w="54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156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JUNE 30,</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54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15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1999</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1998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1996</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43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License.......................................</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11.7%</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Service.......................................</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88.3</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89.6</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89.4</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91.0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92.3</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100.0</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100.0</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100.0</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license...............................</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0.9</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service...............................</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57.4</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57.6</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57.3</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59.9</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61.0</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and development......................</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6.4</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6.3</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Selling, general and administrative...........</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12.0</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12.6</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12.7</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Nonrecurring charges..........................</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76.7</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79.5</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90.7</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83.2</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Operating income................................</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23.3</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20.5</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9.3</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16.8</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Other expense, net..............................</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1.2</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before income taxes......................</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22.1</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12.8</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8.2</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16.6</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taxes....................................</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6.6</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6.2</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principle, net................................</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income......................................</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15.5%</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Less than 0.1%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MONTHS ENDED JUNE 30, 1999 AND 1998</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REVENUE. Revenue for the nine months ended June 30, 1999 was $444.1 million, an increase of $157.1 million, or 54.7%, compared to the nine months ended June 30, 1998, primarily due to the continuance of the growth in the demand for our CC&amp;B Systems solutions. License revenue increased from $29.7 million in the nine months ended June 30, 1998 to $52.0 million in the nine months ended June 30, 1999, an increase of 74.8%. Service revenue increased by $134.8 million, or 52.4%, in the nine months ended June 30, 1999, from $257.3 million in the nine months ended June 30, 1998 to $392.2 million in the nine months ended June 30, 1999. Total CC&amp;B Systems revenue for the nine months ended June 30, 1999 was $325.4 million, an increase of $153.4 million, or 89.2%, compared to the nine months ended June 30, 1998. Revenue from Directory Systems was $118.8 million for the nine months ended June 30, 1999, an increase of $3.7 million, or 3.2%, from the nine months ended June 30, 1998.</w:t>
      </w:r>
    </w:p>
    <w:p>
      <w:pPr>
        <w:spacing w:after="0" w:line="18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the nine months ended June 30, 1999, revenue from customers in North America, Europe and the rest of the world accounted for 39.5%, 39.1% and 21.4%, respectively, compared to 54.3%, 23.4% and 22.3%, respectively, in the nine months ended June 30, 1998.</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LICENSE. Cost of license for the nine months ended June 30, 1999 was $4.1 million, a decrease of $4.5 million, or 52.4%, from cost of license for the nine months ended June 30, 1998. Cost of license includes amortization of purchased computer software and intellectual property rights.</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9"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25</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SERVICE. Cost of service for the nine months ended June 30, 1999 was $254.7 million, an increase of $89.4 million, or 54.1%, compared to the cost of service of $165.3 million for the nine months ended June 30, 1998. As a percentage of revenue, cost of service remained stable at 57.4% in the nine months ended June 30, 1999 compared to 57.6% in the nine months ended June 30, 1998. The cost of service is predominantly related to salary and employee related expenses. The absolute increase in cost of service is consistent with the increase in revenue for the nine months ended June 30, 1999, and reflects increased employment levels required to support the continuing growth in revenue.</w:t>
      </w:r>
    </w:p>
    <w:p>
      <w:pPr>
        <w:spacing w:after="0" w:line="179"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RESEARCH AND DEVELOPMENT. Research and development expense is primarily comprised of compensation expense attributed to research and development activities, usually in conjunction with customer contracts. In the nine months ended June 30, 1999, research and development expense was $28.5 million, or 6.4% of revenue, compared with $18.1 million, or 6.3% of revenue, in the nine months ended June 30, 1998. The increase in research and development expense represents ongoing expenditures primarily for CC&amp;B Systems and also for Directory Systems.</w:t>
      </w:r>
    </w:p>
    <w:p>
      <w:pPr>
        <w:spacing w:after="0" w:line="164"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 is primarily comprised of compensation expense and increased by 46.7% to $53.3 million, or 12.0% of revenue, in the nine months ended June 30, 1999 from $36.4 million, or 12.6% of revenue, in the corresponding period of fiscal 1998.</w:t>
      </w:r>
    </w:p>
    <w:p>
      <w:pPr>
        <w:spacing w:after="0" w:line="16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OPERATING INCOME. Operating income in the nine months ended June 30, 1999 was $103.6 million, as compared with $58.8 million in the nine months ended June 30, 1998, an increase of 76.2%. Operating income was 23.3% of revenue for the nine months ended June 30, 1999 as compared to 20.5% for the nine months ended June 30, 1998, primarily due to an increase in license revenue and a decrease in cost of license.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OTHER EXPENSE, NET. Other expense, net consists primarily of interest expense. Interest expense in 1998 related primarily to senior bank debt and subordinated debt, which was substantially repaid from the proceeds of our initial public offering completed in June 1998. In the nine months ended June 30, 1999, other expense, net was $5.4 million, a decrease of $16.4 million from the nine months ended June 30, 1998. The decrease is primarily attributed to the reduction in bank debt during 1999.</w:t>
      </w:r>
    </w:p>
    <w:p>
      <w:pPr>
        <w:spacing w:after="0" w:line="175" w:lineRule="exact"/>
        <w:rPr>
          <w:sz w:val="20"/>
          <w:szCs w:val="20"/>
          <w:color w:val="auto"/>
        </w:rPr>
      </w:pPr>
    </w:p>
    <w:p>
      <w:pPr>
        <w:ind w:left="440"/>
        <w:spacing w:after="0"/>
        <w:tabs>
          <w:tab w:leader="none" w:pos="1760" w:val="left"/>
        </w:tabs>
        <w:rPr>
          <w:sz w:val="20"/>
          <w:szCs w:val="20"/>
          <w:color w:val="auto"/>
        </w:rPr>
      </w:pPr>
      <w:r>
        <w:rPr>
          <w:rFonts w:ascii="Courier New" w:cs="Courier New" w:eastAsia="Courier New" w:hAnsi="Courier New"/>
          <w:sz w:val="15"/>
          <w:szCs w:val="15"/>
          <w:color w:val="auto"/>
        </w:rPr>
        <w:t>INCOME TAXES.</w:t>
      </w:r>
      <w:r>
        <w:rPr>
          <w:sz w:val="20"/>
          <w:szCs w:val="20"/>
          <w:color w:val="auto"/>
        </w:rPr>
        <w:tab/>
      </w:r>
      <w:r>
        <w:rPr>
          <w:rFonts w:ascii="Courier New" w:cs="Courier New" w:eastAsia="Courier New" w:hAnsi="Courier New"/>
          <w:sz w:val="14"/>
          <w:szCs w:val="14"/>
          <w:color w:val="auto"/>
        </w:rPr>
        <w:t>Income taxes in the nine months ended June 30, 1999 were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$29.4 million on income before taxes of $98.1 million. In the nine months ended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30, 1998 income taxes were $18.5 million on income before taxes of $37.0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See discussion below "-- Effective Tax Rate."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NET INCOME. Net income was $68.7 million in the nine months ended June 30, 1999 compared to $18.5 million for the nine months ended June 30, 1998. The increase was primarily the result of an increase in operating income and a decrease in interest expense and income taxes which also resulted in an increase in basic earnings per share from $0.13 in the nine months ended June 30, 1998 to $0.35 in the nine months ended June 30, 1999. Diluted earnings per share increased from $0.13 in the nine months ended June 30, 1998 to $0.34 in the nine months ended June 30, 1999.</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SEPTEMBER 30, 1998 AND 1997</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REVENUE. Revenue for the year ended September 30, 1998 was $403.8 million, an increase of $113.7 million, or 39.2%, compared to the prior year. License revenue increased from $26.0 million in fiscal 1997 to $42.9 million in fiscal 1998, an increase of 65.0%, and service revenue increased 36.6%, or $96.8 million, in fiscal 1998. Total CC&amp;B Systems revenue for the year ended September 30, 1998 was $251.8 million, an increase of $85.5 million, or 51.4%, compared to the prior fiscal year. Revenue attributable to Directory Systems was $151.9 million for the year ended September 30, 1998, an increase of $28.2 million, or 22.8%, from fiscal 1997. The growth in</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9"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26</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revenue is attributable to sales to new customers as well as sales of additional products and services to existing customers.</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In fiscal 1998, revenue from customers in North America, Europe and the rest of the world accounted for 52.2%, 27.2% and 20.6%, respectively, compared to 63.8%, 11.3% and 24.9%, respectively, in fiscal 1997.</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COST OF LICENSE. Cost of license for fiscal 1998 was $10.7 million, an increase of $7.0 million, or 189.2%, from cost of license for fiscal 1997. Cost of license in fiscal 1998 includes amortization of purchased computer software and intellectual property rights, and in fiscal 1997 included royalty expense paid to some subsidiaries of SBC in connection with the grant to us of licenses to use certain software jointly developed with those subsidiaries.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SERVICE. Cost of service for fiscal 1998 was $231.4 million, an increase of $57.7 million, or 33.2%, from cost of service of $173.7 million for fiscal 1997. As a percentage of revenue, cost of service decreased to 57.3% in fiscal 1998 from 59.9% in fiscal 1997. The absolute increase in cost of service is consistent with the increase in revenue for the period, as these costs are predominately for compensation and reflect increased employment levels needed to support the growth in revenue.</w:t>
      </w:r>
    </w:p>
    <w:p>
      <w:pPr>
        <w:spacing w:after="0" w:line="17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RESEARCH AND DEVELOPMENT. Research and development expense is primarily comprised of compensation expense for employees engaged in research and development activities, usually in conjunction with customer contracts. In fiscal 1998, research and development expense was $25.6 million, or 6.3% of revenue, compared with $17.4 million, or 6.0% of revenue, in fiscal 1997. The increase in research and development expense in fiscal 1998 represents ongoing expenditures for both CC&amp;B Systems and Directory Systems.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SELLING, GENERAL AND ADMINISTRATIVE. Compensation is the largest component of selling, general and administrative expense. Selling, general and administrative expense increased by 25.5% to $51.2 million, in fiscal 1998 from $40.8 million in the prior fiscal year. However, selling, general and administrative expense as a percentage of revenue decreased from 14.0% of revenue in fiscal 1997 to 12.7% of revenue in fiscal 1998.</w:t>
      </w:r>
    </w:p>
    <w:p>
      <w:pPr>
        <w:spacing w:after="0" w:line="176"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OPERATING INCOME. Operating income in fiscal 1998 was $84.9 million, as compared with $54.5 million in fiscal 1997, excluding the effect of the nonrecurring charges in that fiscal year, an increase of 55.8%. As a percentage of revenue, operating income was 21.0% in fiscal 1998 compared to 18.8% in fiscal 1997, excluding the effect of the nonrecurring charges in fiscal 1997.</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OTHER EXPENSE, NET. Other expense, net is primarily interest expense incurred by us related to senior bank debt and subordinated debt, which debt was substantially repaid from the proceeds of our initial public offering. In fiscal 1998, such interest expense was $24.1 million, an increase of $20.8 million from fiscal 1997.</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INCOME TAXES. Income taxes in fiscal 1998 were $30.4 million on income before taxes of $60.8 million. In the prior year, income taxes were $17.8 million on income before taxes of $23.7 million. Our consolidated effective tax rate for fiscal 1998 was 50%, due to significant interest expense in a tax jurisdiction in which we are tax exempt, which resulted in no tax benefit to offset the tax expense incurred in other jurisdictions. In fiscal 1997, we sustained a loss in a tax jurisdiction in which we are tax exempt, which resulted in no tax benefit to offset tax expense incurred in other jurisdictions.</w:t>
      </w:r>
    </w:p>
    <w:p>
      <w:pPr>
        <w:spacing w:after="0" w:line="176" w:lineRule="exact"/>
        <w:rPr>
          <w:sz w:val="20"/>
          <w:szCs w:val="20"/>
          <w:color w:val="auto"/>
        </w:rPr>
      </w:pPr>
    </w:p>
    <w:p>
      <w:pPr>
        <w:ind w:left="440"/>
        <w:spacing w:after="0"/>
        <w:tabs>
          <w:tab w:leader="none" w:pos="1580" w:val="left"/>
        </w:tabs>
        <w:rPr>
          <w:sz w:val="20"/>
          <w:szCs w:val="20"/>
          <w:color w:val="auto"/>
        </w:rPr>
      </w:pPr>
      <w:r>
        <w:rPr>
          <w:rFonts w:ascii="Courier New" w:cs="Courier New" w:eastAsia="Courier New" w:hAnsi="Courier New"/>
          <w:sz w:val="15"/>
          <w:szCs w:val="15"/>
          <w:color w:val="auto"/>
        </w:rPr>
        <w:t>NET INCOME.</w:t>
      </w:r>
      <w:r>
        <w:rPr>
          <w:sz w:val="20"/>
          <w:szCs w:val="20"/>
          <w:color w:val="auto"/>
        </w:rPr>
        <w:tab/>
      </w:r>
      <w:r>
        <w:rPr>
          <w:rFonts w:ascii="Courier New" w:cs="Courier New" w:eastAsia="Courier New" w:hAnsi="Courier New"/>
          <w:sz w:val="14"/>
          <w:szCs w:val="14"/>
          <w:color w:val="auto"/>
        </w:rPr>
        <w:t>Our net income was $30.1 million in fiscal 1998 compared with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of $5.9 million in fiscal 1997. The increase was primarily the result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an increase in operating income. In addition, in fiscal 1998 we incurred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$24.1 million in interest expense related to outstanding debt; while in fiscal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we had a nonrecurring charge of $27.6 million.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9"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SEPTEMBER 30, 1997 AND 1996</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REVENUE. Revenue for fiscal 1997 was $290.1 million, an increase of $78.4 million, or 37.0%, from fiscal 1996. License revenue increased from $16.3 million in fiscal 1996 to $26.0 million in fiscal 1997, an increase of 59.5%, and service revenue increased 35.1% or $68.7 million in fiscal 1997. The majority of the increase in total revenue was due to the expansion of the CC&amp;B Systems business. Total CC&amp;B Systems revenue for fiscal 1997 was $166.3 million, an increase of $63.9 million, or 62.3%, from the prior year. Revenue attributable to Directory Systems was $123.8 million for fiscal 1997, an increase of $14.5 million, or 13.3%, from fiscal 1996.</w:t>
      </w:r>
    </w:p>
    <w:p>
      <w:pPr>
        <w:spacing w:after="0" w:line="178"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In fiscal 1997, revenue from customers in North America, Europe and the rest of the world accounted for 63.8%, 11.3% and 24.9% respectively, compared to 67.5%, 14.5% and 18.0%, respectively, in fiscal 1996.</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LICENSE. Cost of license for fiscal 1997 was $3.7 million, a decrease of $0.3 million, or 7.5%, from fiscal 1996 cost of license of $4.0 million. The decrease was due to the acquisition of certain software rights from several operating subsidiaries of SBC, which eliminated the requirement to pay royalties.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COST OF SERVICE. Cost of service for fiscal 1997 was $173.7 million, an increase of $44.5 million, or 34.4%, from fiscal 1996 cost of service of $129.2 million. As a percentage of revenue, cost of service decreased to 59.9% in fiscal 1997 from 61.0% in fiscal 1996. The absolute increase in cost of service was consistent with the increase in revenue for the period, and reflected increased compensation attributable to higher employment levels needed to support the growth in revenue.</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RESEARCH AND DEVELOPMENT. In fiscal 1997, research and development expense was $17.4 million, or 6.0% of revenue, compared with $14.7 million, or 6.9% of revenue, in fiscal 1996. The absolute increase in research and development expense in fiscal 1997 represented ongoing expenditures for both CC&amp;B Systems and Directory Systems, while the decrease as a percentage of revenue was attributable to the overall increase in revenue for the period.</w:t>
      </w:r>
    </w:p>
    <w:p>
      <w:pPr>
        <w:spacing w:after="0" w:line="174" w:lineRule="exact"/>
        <w:rPr>
          <w:sz w:val="20"/>
          <w:szCs w:val="20"/>
          <w:color w:val="auto"/>
        </w:rPr>
      </w:pPr>
    </w:p>
    <w:p>
      <w:pPr>
        <w:ind w:left="440"/>
        <w:spacing w:after="0"/>
        <w:tabs>
          <w:tab w:leader="none" w:pos="3820" w:val="left"/>
        </w:tabs>
        <w:rPr>
          <w:sz w:val="20"/>
          <w:szCs w:val="20"/>
          <w:color w:val="auto"/>
        </w:rPr>
      </w:pPr>
      <w:r>
        <w:rPr>
          <w:rFonts w:ascii="Courier New" w:cs="Courier New" w:eastAsia="Courier New" w:hAnsi="Courier New"/>
          <w:sz w:val="15"/>
          <w:szCs w:val="15"/>
          <w:color w:val="auto"/>
        </w:rPr>
        <w:t>SELLING, GENERAL AND ADMINISTRATIVE.</w:t>
      </w:r>
      <w:r>
        <w:rPr>
          <w:sz w:val="20"/>
          <w:szCs w:val="20"/>
          <w:color w:val="auto"/>
        </w:rPr>
        <w:tab/>
      </w:r>
      <w:r>
        <w:rPr>
          <w:rFonts w:ascii="Courier New" w:cs="Courier New" w:eastAsia="Courier New" w:hAnsi="Courier New"/>
          <w:sz w:val="14"/>
          <w:szCs w:val="14"/>
          <w:color w:val="auto"/>
        </w:rPr>
        <w:t>Selling, general and administrative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increased to $40.8 million, or 14.0% of revenue, in fiscal 1997 from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$28.3 million, or 13.4% of revenue, in the prior year, an increase of 43.8%.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was primarily attributable to increased marketing efforts for our CC&amp;B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Systems.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NONRECURRING CHARGES. In the fourth quarter of fiscal 1997, we recorded nonrecurring charges of $27.6 million. Of such amount, $1.8 million was due to the write-off of in-process research and development for technology related to certain software rights (which rights include the termination of related future royalty payment obligations) acquired from several operating subsidiaries of SBC and the balance, $25.8 million, was attributable to the funding of a contribution to a trust for the benefit of certain officers and employees. See "Management -- Employee Trust Agreement".</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OPERATING INCOME. As a result of the $27.6 million of nonrecurring charges recognized in fiscal 1997, operating income in fiscal 1997 was $27.0 million, as compared with $35.5 million in fiscal 1996. As a percentage of revenue, operating income was 9.3% in fiscal 1997 as compared to 16.8% in fiscal 1996. Excluding the effect of the nonrecurring charges, operating income would have been $54.5 million in fiscal 1997, or 18.8% of revenue, an increase of $19.0 million, or 53.4%, between fiscal 1997 and 1996. The increase in operating income as a percentage of revenue (excluding the effect of the nonrecurring charges) was primarily attributable to increased license revenue.</w:t>
      </w:r>
    </w:p>
    <w:p>
      <w:pPr>
        <w:spacing w:after="0" w:line="178"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OTHER EXPENSE, NET. Other expense, net was an expense of $0.5 million in fiscal 1996 and an expense of $3.3 million in fiscal 1997. The increase in fiscal 1997 was attributable to the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9"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28</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settlement of the claims of various taxing authorities for additional taxes for years prior to such fiscal year. Approximately $3.0 million of expense was included in fiscal 1997 for interest on the tax assessments.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INCOME TAXES. Income taxes in fiscal 1997 were $17.8 million on income before taxes of $23.7 million. In fiscal 1996, income taxes were $10.5 million on income before taxes of $35.0 million. In fiscal 1997, we paid income taxes for the operations of our subsidiaries, principally in the United States, the United Kingdom and Israel, and recorded a loss in Guernsey, a jurisdiction in which we are tax-exempt.</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NET INCOME. We had net income of $5.9 million in fiscal 1997 compared with net income of $24.5 million in fiscal 1996, primarily as a result of the $27.6 million for the nonrecurring charges incurred in fiscal 1997.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FINANCING TRANSACTIONS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We have primarily financed our operations through cash generated from operations, borrowings from banks and other lenders and two public offerings of our ordinary shares. Cash and cash equivalents totaled $71.1 million as of June 30, 1999 compared to $25.4 million as of September 30, 1998. Net cash provided by operating activities amounted to $102.8 million and $51.4 million for the nine months ended June 30, 1999 and 1998, respectively. The increase in cash and cash equivalents at June 30, 1999 is attributed primarily to the proceeds of an offering of our ordinary shares completed in June 1999. A significant portion of our cash flow from operations during the nine months ended June 30, 1999 was used to repay bank debt, which totalled $26.6 million as of June 30 1999.</w:t>
      </w:r>
    </w:p>
    <w:p>
      <w:pPr>
        <w:spacing w:after="0" w:line="167"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We currently intend to retain our earnings to support the further expansion of our business and to repay our outstanding loans. The terms of our bank agreement effectively restrict our ability to pay cash dividends.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of June 30, 1999, we had short-term lines of credit totaling $152.0 million from various banks or bank groups, of which $26.6 million was outstanding. As of that date, we had also utilized approximately $13.1 million of our revolving credit facility to support outstanding letters of credit. As of June 30, 1999, we had positive working capital of $15.3 million as compared to negative working capital of $84.3 million as of September 30, 1998. The increase in working capital is attributed to cash generated from operating activities and to the proceeds of our offering in June 1999. We believe that current cash balances, cash generated from operations and our current lines of credit will provide sufficient resources to meet our needs in the near future.</w:t>
      </w:r>
    </w:p>
    <w:p>
      <w:pPr>
        <w:spacing w:after="0" w:line="179"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As of June 30, 1999, we had long-term obligations outstanding of $17.1 million in connection with leasing arrangements.</w:t>
      </w:r>
    </w:p>
    <w:p>
      <w:pPr>
        <w:spacing w:after="0" w:line="176"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Currently, our capital expenditures are funded primarily by operating cash flows and capital leasing arrangements. We do not anticipate any change to this policy in the foreseeable future.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NET DEFERRED TAX ASSETS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Based on our assessment, it is more likely than not that all the net deferred tax assets at June 30, 1999 will be realized through future taxable earnings. No significant increase in future taxable earnings would be required to fully realize the net deferred tax assets.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ISSUES</w:t>
      </w:r>
    </w:p>
    <w:p>
      <w:pPr>
        <w:spacing w:after="0" w:line="176"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OUR STATE OF READINESS. We have identified the information technology, or IT, and non-IT systems, software and products, which could be affected by year 2000 issues, and have</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9"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29</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assessed the efforts required to remediate or replace them. We have also identified versions of our products that will not be made compliant and are assisting customers in upgrading or migrating to year 2000 compliant versions. By the end of 1999, it is our intention that all of the major or key systems, software and products will be remediated or replaced.</w:t>
      </w:r>
    </w:p>
    <w:p>
      <w:pPr>
        <w:spacing w:after="0" w:line="175"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We began evaluating year 2000 compliance issues in mid-1996. Since then the following functions have been performed:</w:t>
      </w:r>
    </w:p>
    <w:p>
      <w:pPr>
        <w:spacing w:after="0" w:line="174" w:lineRule="exact"/>
        <w:rPr>
          <w:sz w:val="20"/>
          <w:szCs w:val="20"/>
          <w:color w:val="auto"/>
        </w:rPr>
      </w:pPr>
    </w:p>
    <w:p>
      <w:pPr>
        <w:ind w:left="620" w:hanging="181"/>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thorough examination and study of year 2000 compliance status;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adoption of a work plan;</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analysis of solution alternatives;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of our technical and business year 2000 policies.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recent years, new systems have been developed as year 2000 compliant and older generations of applications are being made year 2000 compliant in cooperation with our customers (using Amdocs year 2000 methodology and tool kit). None of these systems need mass data conversion, which is usually the most sensitive portion of the year 2000 migration. Recognizing the importance of year 2000 support in the IT industry and to provide an additional level of assurance to our customers, we have decided to conduct a thorough and systematic verification process. This effort is based on the application of industry-wide standards for year 2000 compliance. This verification process utilizes a specialized tool kit developed by us including a powerful search utility. For many customers we offer to conduct the verification process, since the ultimate verification for year 2000 compliance should be executed in their own working environment.</w:t>
      </w:r>
    </w:p>
    <w:p>
      <w:pPr>
        <w:spacing w:after="0" w:line="181"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We anticipate completing the majority of the testing, implementation of changes and necessary refinements by the fourth quarter of calendar year 1999 and to continue extensive testing through the end of calendar year 1999. We expect that systems, software and products for which we have responsibility currently are year 2000 compliant or will be compliant on a timely basis. We are not aware of any year 2000 issues with our customers that cannot be remedied.</w:t>
      </w:r>
    </w:p>
    <w:p>
      <w:pPr>
        <w:spacing w:after="0" w:line="16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have contacted all of our customers, and several of our vendors and other third parties with which we have relationships to identify potential year 2000 issues. These communications are also used to clarify which year 2000 issues are our responsibility and which are the responsibility of the third party. We do not anticipate that our third party year 2000 issues will be different than those encountered by other providers of information services, including our competitors. At this time, we are not aware of any year 2000 issues or problems relating to third parties with which we have a material relationship.</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With respect to our internal IT systems (including IT-based office facilities such as data and voice communications, building management and security systems, human resources and recruitment systems, purchasing, invoicing, finance and budget systems, general ledger and other administrative systems), both third party software and in-house developments, we have adopted standard industry practices, as published by the British Standards Institute, and methodologies suggested by the Gartner Group (INSPCT), in preparing for the year 2000 date change. Our year 2000 internal readiness program primarily covers:</w:t>
      </w:r>
    </w:p>
    <w:p>
      <w:pPr>
        <w:spacing w:after="0" w:line="176" w:lineRule="exact"/>
        <w:rPr>
          <w:sz w:val="20"/>
          <w:szCs w:val="20"/>
          <w:color w:val="auto"/>
        </w:rPr>
      </w:pPr>
    </w:p>
    <w:p>
      <w:pPr>
        <w:ind w:left="620" w:hanging="181"/>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taking inventory of hardware, software and embedded systems;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assessing business risks associated with such systems;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creating action plans to address known risks;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executing and monitoring action plans;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contingency planning.</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9"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30</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we do not believe that we will incur any material cost or experience material disruptions in our business associated with preparing our internal systems for the year 2000, there can be no assurance that we will not experience serious unanticipated negative consequences and/or material costs caused by undetected errors or defects in the technology used in our internal systems, which are composed of third party software, third party hardware that contains embedded software and our own software products. We are in the process of implementing action plans for the remediation of high-risk areas and we are scheduled to implement remediation plans for medium to low risk areas during the remainder of fiscal 1999. We expect our contingency plans to include, among other things, manual "work-arounds" for software and hardware failure, as well as substitution of systems, if necessary.</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COSTS TO ADDRESS OUR YEAR 2000 ISSUES. A significant portion of our year 2000 compliance efforts have occurred or are occurring in connection with system upgrades or replacements that were otherwise planned (but perhaps accelerated due to the year 2000 issue) or which have significant improvements and benefits unrelated to year 2000 issues. The remainder of the costs that are incremental and directly related to year 2000 issues are not expected to be material to our financial position or results of operations.</w:t>
      </w:r>
    </w:p>
    <w:p>
      <w:pPr>
        <w:spacing w:after="0" w:line="177" w:lineRule="exact"/>
        <w:rPr>
          <w:sz w:val="20"/>
          <w:szCs w:val="20"/>
          <w:color w:val="auto"/>
        </w:rPr>
      </w:pPr>
    </w:p>
    <w:p>
      <w:pPr>
        <w:ind w:right="3159" w:firstLine="447"/>
        <w:spacing w:after="0" w:line="265" w:lineRule="auto"/>
        <w:rPr>
          <w:sz w:val="20"/>
          <w:szCs w:val="20"/>
          <w:color w:val="auto"/>
        </w:rPr>
      </w:pPr>
      <w:r>
        <w:rPr>
          <w:rFonts w:ascii="Courier New" w:cs="Courier New" w:eastAsia="Courier New" w:hAnsi="Courier New"/>
          <w:sz w:val="14"/>
          <w:szCs w:val="14"/>
          <w:color w:val="auto"/>
        </w:rPr>
        <w:t>As of June 30, 1999, we have accrued approximately $1.0 million representing the estimated remaining costs to modify previously sold customized software products. We do not anticipate capitalizing any of these costs as they relate to warranties related to products developed for customers.</w:t>
      </w:r>
    </w:p>
    <w:p>
      <w:pPr>
        <w:spacing w:after="0" w:line="16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CONTINGENCY PLANS. Detailed contingency plans are nearly complete and will be refined as appropriate. Those plans will focus on matters which appear to be our most likely year 2000 risks, such as possible additional customer support efforts by us that would be necessary if customers or vendors are not year 2000 compliant, or if a year 2000 issue should not be timely detected in our own compliance efforts. See "Risk Factors" for more information.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EUROPEAN MONETARY UNION CURRENCY</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European Monetary Union currency, or the euro, will be phased in over the three-year period that commenced on January 1, 1999, when participating European countries began using the euro currency for non-cash transactions. We intend to offer software products that are capable of handling the euro currency and converting from local currencies to the euro. There can be no assurance that our software or software provided to our customers by other vendors will ensure an errorless transition to the euro currency. At June 30, 1999, we have accrued approximately $1.6 million representing estimated remaining costs to modify our software products to accept the euro currency under existing agreements with customers relating to previously sold products. We do not currently anticipate recovering these expenditures from our customers, as they relate to warranty agreements. There can be no assurance that such costs will not significantly exceed such estimate, in which case such costs could have a material effect on our results of operations and financial condition.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TAX RATE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overall effective tax rate has historically been approximately 30% due to the various corporate income tax rates in the countries in which we operate and the relative magnitude of our business in those countries. Our consolidated effective tax rate for the nine months ended June 30, 1999 was 30% compared to 50% in the prior period. The consolidated effective tax rate of 50% for 1998 was due to significant interest expense in a tax jurisdiction in which we are tax exempt, which resulted in no tax benefit to offset the tax expense incurred in other jurisdictions.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9"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CURRENCY FLUCTUATIONS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Approximately 80% of our revenue is in dollars or linked to the dollar and therefore the dollar is our functional currency. Approximately 60% of our operating expenses are paid in dollars or are linked to dollars. Other significant currencies in which we receive revenue or pay expenses are Australian dollars, British pounds, Canadian dollars, the euro and Israeli shekels. Historically, the effect of fluctuations in currency exchange rates has had a minimal impact on our operations. As we expand our operations outside of the United States, our exposure to fluctuations in currency exchange rates could increase. In managing our foreign exchange risk, we enter from time to time into various foreign exchange contracts. As of June 30, 1999, we had hedged most of our significant exposures in currencies other than the dollar.</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FOREIGN CURRENCY RISK</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enter into foreign exchange forward contracts to hedge some of our foreign currency exposure. We use such contracts to hedge exposure to changes in foreign currency exchange rates associated with revenue denominated in a foreign currency and anticipated costs to be incurred in a foreign currency. We seek to minimize the risk that the fair value of sales of our products and services and cash flow required for our expenses denominated in a currency other than our functional currency, the dollar, will be affected by changes in exchange rates. See Note 18 to our consolidated financial statements.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table summarizes our foreign currency forward exchange agreements as of September 30, 1998. The table presents the notional amounts (dollars in millions), weighted average exchange rates by expected (contractual) maturity dates, and fair value of the total derivative instruments. Notional values and average contract rates are calculated based on forward rates as of September 30, 1998 dollar translated.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4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AS OF SEPTEMBER 30,</w:t>
            </w: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Courier New" w:cs="Courier New" w:eastAsia="Courier New" w:hAnsi="Courier New"/>
                <w:sz w:val="4"/>
                <w:szCs w:val="4"/>
                <w:color w:val="auto"/>
                <w:w w:val="77"/>
              </w:rPr>
              <w:t>----------------------------------------</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3"/>
              </w:rPr>
              <w:t>FV OF</w:t>
            </w:r>
          </w:p>
        </w:tc>
      </w:tr>
      <w:tr>
        <w:trPr>
          <w:trHeight w:val="172"/>
        </w:trPr>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88"/>
              </w:rPr>
              <w:t>1999</w:t>
            </w:r>
          </w:p>
        </w:tc>
        <w:tc>
          <w:tcPr>
            <w:tcW w:w="22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2000</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2001</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2002</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AFTER</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FORWARDS</w:t>
            </w:r>
          </w:p>
        </w:tc>
      </w:tr>
      <w:tr>
        <w:trPr>
          <w:trHeight w:val="172"/>
        </w:trPr>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rPr>
              <w:t>Forward contracts to sell foreign</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currencies for dollars: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British Pounds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(1.60)</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1.67</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1.66</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Austrian Schillings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14.80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0.90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(0.50)</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11.64</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11.52</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Canadian Dollars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Japanese Yen</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2"/>
              </w:rPr>
              <w:t>133.80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Forward contracts to buy foreign</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currencies for dollars: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Australian Dollars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15.60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9.10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$5.50</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0"/>
                <w:szCs w:val="20"/>
                <w:color w:val="auto"/>
              </w:rPr>
            </w:pPr>
            <w:r>
              <w:rPr>
                <w:rFonts w:ascii="Courier New" w:cs="Courier New" w:eastAsia="Courier New" w:hAnsi="Courier New"/>
                <w:sz w:val="15"/>
                <w:szCs w:val="15"/>
                <w:color w:val="auto"/>
                <w:w w:val="96"/>
              </w:rPr>
              <w:t>(3.10)</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0.60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0.59</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0.59</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0.59</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Israeli Shekels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80.40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0.50</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3.94</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Less than $100,000.</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89"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32</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RATE RISK</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interest expenses are most sensitive to changes in the London InterBank Offered Rate, or LIBOR, as all of our short-term borrowings bear a LIBOR-based interest rate. Excess liquidity invested in short-term investments bears minimal interest rate risk.</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of September 30, 1998, we had approximately $91.6 million outstanding on our revolving line of credit and short-term credit agreements and $12.2 million recorded as long-term lease obligations. The potential loss to us over one year that would result from a hypothetical, instantaneous, and unfavorable change of 100 basis points in the interest rates of all applicable financial assets and liabilities on September 30, 1998 would be approximately $1.0 million. This sensitivity analysis is based on the assumption of an unfavorable 100 basis point movement of the interest rates applicable to each homogenous category of financial assets and liabilities and sustained over a period of one year. A homogenous category is defined according to the currency in which financial assets and liabilities are denominated and assumes the same interest rate movement within each homogenous category. As a result, our interest rate risk sensitivity model may overstate the impact of interest rate fluctuations for such financial instruments, as consistently unfavorable movements of all interest rates are unlikely. As of June 30, 1999, our outstanding debt under our lines of credit was reduced from $91.6 million to $26.6 million. See Note 8 to our consolidated annual financial statements for additional discussion regarding the Company's short-term financing arrangements.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September 3, 1999, we entered into an agreement with ITDS pursuant to which we will acquire all of the outstanding shares of ITDS in a stock-for-stock merger transaction which we will account for under the purchase method of accounting. In the merger, each ITDS common share will be exchanged for a number of our ordinary shares equal to $10.50 divided by the ten-day average closing price of our ordinary shares immediately prior to the completion of the merger, subject to a maximum exchange ratio of 0.4603 and to a minimum exchange ratio of 0.3717. Based on the closing price of our ordinary shares on September 3, 1999 of $27.50, the exchange ratio in the agreement provides that we will issue to ITDS shareholders approximately 6.6 million ordinary shares and will grant to current ITDS optionholders 1.2 million options for ordinary shares in connection with the consummation of the merger. Closing of the merger is subject to the approval of ITDS' shareholders, regulatory approvals, as well as certain other customary closing conditions.</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ITDS is a leading provider of billing and customer care service bureau solutions to providers of wireless telecommunications services. ITDS' revenue and net loss for its fiscal year ended December 31, 1998 were $115.5 million and $3.9 million, respectively. For the six months ended June 30, 1999, ITDS' revenue and net income were $68.6 million and $8.7 million, respectively. See "Unaudited Pro Forma Condensed Combined Financials Statements" and ITDS' detailed consolidated financial statements included elsewhere in this prospectus.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89"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33</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UNAUDITED PRO FORMA CONDENSED COMBINED FINANCIAL STATEMENTS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unaudited pro forma condensed combined balance sheet as of June 30, 1999 gives effect to the acquisition of ITDS (the "Acquisition") as if it had occurred on that date. The unaudited pro forma condensed combined statements of operations for the year ended September 30, 1998 and the nine months ended June 30, 1999 give effect to the Acquisition as if it had occurred on October 1, 1997.</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unaudited pro forma condensed combined financial statements are based upon, and should be read in conjunction with, our historical audited and unaudited financial statements for the year and nine months ended September 30, 1998 and June 30, 1999, respectively, and the historical audited and unaudited financial statements of ITDS for the year and six months ended December 31, 1998 and June 30, 1999, respectively.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connection with the Acquisition, we anticipate issuing approximately 6.6 million ordinary shares and 1.2 million options on ordinary shares, which, based on the closing price of our ordinary shares on September 3, 1999 of $27.50, together with estimated transaction costs, would aggregate to an estimated total purchase price of approximately $193.5 million. The actual number of our ordinary shares issued in connection with the Acquisition is based on the exchange ratio mechanism stated in the Acquisition Agreement.</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will account for the Acquisition under the purchase method of accounting. The estimated total purchase price will be allocated to ITDS' assets and liabilities based on their respective estimated fair values on the date of the Acquisition. The excess of the purchase price over the fair value of the net tangible assets will be allocated to identifiable intangible assets, including intellectual property and in process research and development costs, and the remainder to goodwill. The estimated fair values, as presented in the unaudited pro forma condensed combined financial statements, are preliminary in nature and may not be indicative of the final purchase price allocation. A final determination of purchase accounting adjustments will be made following the completion of an independent evaluation to determine the fair value of certain of its assets and liabilities, including intangible assets. Any amounts that may be allocable to in process research and development costs would be recorded as a one-time charge immediately following the consummation of the Acquisition. See Note 2 of the unaudited pro forma condensed combined financial statements for a discussion of the changes to earnings that may occur as a result of the final allocation of purchase price.</w:t>
      </w:r>
    </w:p>
    <w:p>
      <w:pPr>
        <w:spacing w:after="0" w:line="184"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following unaudited pro forma condensed combined financial statements and notes thereto contain forward-looking statements that involve risks and uncertainties. Assuming completion of the Acquisition, our actual financial position and results of operations will differ, perhaps significantly, from the pro forma amounts reflected here because of a variety of factors, including access to additional information, changes in value not currently identified and changes in operating results between the dates of the pro forma financial data and the date on which the merger takes place.</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89"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34</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UNAUDITED PRO FORMA CONDENSED COMBINED BALANCE SHEET AS OF JUNE 30, 1999</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AMDOCS</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ITDS</w:t>
            </w:r>
          </w:p>
        </w:tc>
        <w:tc>
          <w:tcPr>
            <w:tcW w:w="14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PRO FORMA</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PRO FORMA</w:t>
            </w:r>
          </w:p>
        </w:tc>
      </w:tr>
      <w:tr>
        <w:trPr>
          <w:trHeight w:val="172"/>
        </w:trPr>
        <w:tc>
          <w:tcPr>
            <w:tcW w:w="392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HISTORICAL</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HISTORICAL</w:t>
            </w: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ADJUSTMENTS</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COMBINED</w:t>
            </w:r>
          </w:p>
        </w:tc>
      </w:tr>
      <w:tr>
        <w:trPr>
          <w:trHeight w:val="172"/>
        </w:trPr>
        <w:tc>
          <w:tcPr>
            <w:tcW w:w="3920" w:type="dxa"/>
            <w:vAlign w:val="bottom"/>
          </w:tcPr>
          <w:p>
            <w:pPr>
              <w:spacing w:after="0"/>
              <w:rPr>
                <w:sz w:val="14"/>
                <w:szCs w:val="1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$ 71,078</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$ 39,617</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$110,695</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Accounts receivable........................</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154,101</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36,034</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190,135</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Deferred income taxes......................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16,894</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884</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17,778</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Prepaid and other assets...................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20,613</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4,611</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25,224</w:t>
            </w:r>
          </w:p>
        </w:tc>
      </w:tr>
      <w:tr>
        <w:trPr>
          <w:trHeight w:val="172"/>
        </w:trPr>
        <w:tc>
          <w:tcPr>
            <w:tcW w:w="39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262,686</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81,146</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343,832</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Fixed assets, net..........................</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70,704</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8,694</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79,398</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Goodwill...................................</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46,526</w:t>
            </w:r>
          </w:p>
        </w:tc>
        <w:tc>
          <w:tcPr>
            <w:tcW w:w="360" w:type="dxa"/>
            <w:vAlign w:val="bottom"/>
          </w:tcPr>
          <w:p>
            <w:pPr>
              <w:spacing w:after="0"/>
              <w:rPr>
                <w:sz w:val="14"/>
                <w:szCs w:val="14"/>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(46,526)(1)</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97,917</w:t>
            </w:r>
          </w:p>
        </w:tc>
      </w:tr>
      <w:tr>
        <w:trPr>
          <w:trHeight w:val="172"/>
        </w:trPr>
        <w:tc>
          <w:tcPr>
            <w:tcW w:w="3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97,917(2)</w:t>
            </w:r>
          </w:p>
        </w:tc>
        <w:tc>
          <w:tcPr>
            <w:tcW w:w="880" w:type="dxa"/>
            <w:vAlign w:val="bottom"/>
          </w:tcPr>
          <w:p>
            <w:pPr>
              <w:spacing w:after="0"/>
              <w:rPr>
                <w:sz w:val="14"/>
                <w:szCs w:val="14"/>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Deferred income taxes......................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5,614</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2,779</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8,393</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Intellectual property rights...............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21,397</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23,120</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44,517</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assets...............................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26,381</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2,276</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28,657</w:t>
            </w:r>
          </w:p>
        </w:tc>
      </w:tr>
      <w:tr>
        <w:trPr>
          <w:trHeight w:val="172"/>
        </w:trPr>
        <w:tc>
          <w:tcPr>
            <w:tcW w:w="39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assets.....................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$386,782</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$164,541</w:t>
            </w:r>
          </w:p>
        </w:tc>
        <w:tc>
          <w:tcPr>
            <w:tcW w:w="14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$ 51,391</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$602,714</w:t>
            </w:r>
          </w:p>
        </w:tc>
      </w:tr>
      <w:tr>
        <w:trPr>
          <w:trHeight w:val="172"/>
        </w:trPr>
        <w:tc>
          <w:tcPr>
            <w:tcW w:w="39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Accounts payable and accruals..............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$ 99,053</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$ 16,895</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8,000(3)</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$123,948</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Short-term financing arrangements..........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26,561</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26,561</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Short-term portion of lease obligations....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4,459</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4,479</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Deferred revenue...........................</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92,744</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4,489</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97,233</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Taxes payable and deferred taxes...........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23,077</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23,104</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current liabilities..................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1,488</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980</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2,468</w:t>
            </w:r>
          </w:p>
        </w:tc>
      </w:tr>
      <w:tr>
        <w:trPr>
          <w:trHeight w:val="172"/>
        </w:trPr>
        <w:tc>
          <w:tcPr>
            <w:tcW w:w="39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247,382</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22,411</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8,000</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277,793</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Long-term portion of lease obligations.....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12,649</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12,670</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noncurrent liabilities...............</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30,479</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30,479</w:t>
            </w:r>
          </w:p>
        </w:tc>
      </w:tr>
      <w:tr>
        <w:trPr>
          <w:trHeight w:val="172"/>
        </w:trPr>
        <w:tc>
          <w:tcPr>
            <w:tcW w:w="39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290,510</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22,432</w:t>
            </w:r>
          </w:p>
        </w:tc>
        <w:tc>
          <w:tcPr>
            <w:tcW w:w="36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8,000</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320,942</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Shareholders' equity.......................</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96,272</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142,109</w:t>
            </w:r>
          </w:p>
        </w:tc>
        <w:tc>
          <w:tcPr>
            <w:tcW w:w="14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(142,109)(4)</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281,772</w:t>
            </w:r>
          </w:p>
        </w:tc>
      </w:tr>
      <w:tr>
        <w:trPr>
          <w:trHeight w:val="172"/>
        </w:trPr>
        <w:tc>
          <w:tcPr>
            <w:tcW w:w="3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185,500(5)</w:t>
            </w:r>
          </w:p>
        </w:tc>
        <w:tc>
          <w:tcPr>
            <w:tcW w:w="880" w:type="dxa"/>
            <w:vAlign w:val="bottom"/>
          </w:tcPr>
          <w:p>
            <w:pPr>
              <w:spacing w:after="0"/>
              <w:rPr>
                <w:sz w:val="14"/>
                <w:szCs w:val="14"/>
                <w:color w:val="auto"/>
              </w:rPr>
            </w:pPr>
          </w:p>
        </w:tc>
      </w:tr>
      <w:tr>
        <w:trPr>
          <w:trHeight w:val="172"/>
        </w:trPr>
        <w:tc>
          <w:tcPr>
            <w:tcW w:w="39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Total liabilities and</w:t>
            </w: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shareholders' equity...........</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$386,782</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$164,541</w:t>
            </w:r>
          </w:p>
        </w:tc>
        <w:tc>
          <w:tcPr>
            <w:tcW w:w="14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$ 51,391</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$602,714</w:t>
            </w:r>
          </w:p>
        </w:tc>
      </w:tr>
      <w:tr>
        <w:trPr>
          <w:trHeight w:val="172"/>
        </w:trPr>
        <w:tc>
          <w:tcPr>
            <w:tcW w:w="3920" w:type="dxa"/>
            <w:vAlign w:val="bottom"/>
          </w:tcPr>
          <w:p>
            <w:pPr>
              <w:spacing w:after="0"/>
              <w:rPr>
                <w:sz w:val="14"/>
                <w:szCs w:val="1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jc w:val="center"/>
        <w:ind w:right="3099"/>
        <w:spacing w:after="0" w:line="242" w:lineRule="auto"/>
        <w:rPr>
          <w:sz w:val="20"/>
          <w:szCs w:val="20"/>
          <w:color w:val="auto"/>
        </w:rPr>
      </w:pPr>
      <w:r>
        <w:rPr>
          <w:rFonts w:ascii="Courier New" w:cs="Courier New" w:eastAsia="Courier New" w:hAnsi="Courier New"/>
          <w:sz w:val="15"/>
          <w:szCs w:val="15"/>
          <w:color w:val="auto"/>
        </w:rPr>
        <w:t>See notes to Unaudited Pro Forma Condensed Combined Financial Statements for discussion of pro forma adjustments. 33</w:t>
      </w:r>
    </w:p>
    <w:p>
      <w:pPr>
        <w:sectPr>
          <w:pgSz w:w="11900" w:h="16838" w:orient="portrait"/>
          <w:cols w:equalWidth="0" w:num="1">
            <w:col w:w="10219"/>
          </w:cols>
          <w:pgMar w:left="240" w:top="289" w:right="1440" w:bottom="1440" w:gutter="0" w:footer="0" w:header="0"/>
        </w:sectPr>
      </w:pPr>
    </w:p>
    <w:bookmarkStart w:id="34" w:name="page35"/>
    <w:bookmarkEnd w:id="34"/>
    <w:p>
      <w:pPr>
        <w:ind w:left="268"/>
        <w:spacing w:after="0"/>
        <w:rPr>
          <w:sz w:val="20"/>
          <w:szCs w:val="20"/>
          <w:color w:val="auto"/>
        </w:rPr>
      </w:pPr>
      <w:r>
        <w:rPr>
          <w:rFonts w:ascii="Courier New" w:cs="Courier New" w:eastAsia="Courier New" w:hAnsi="Courier New"/>
          <w:sz w:val="15"/>
          <w:szCs w:val="15"/>
          <w:color w:val="auto"/>
        </w:rPr>
        <w:t>35</w:t>
      </w:r>
    </w:p>
    <w:p>
      <w:pPr>
        <w:spacing w:after="0" w:line="176" w:lineRule="exact"/>
        <w:rPr>
          <w:sz w:val="20"/>
          <w:szCs w:val="20"/>
          <w:color w:val="auto"/>
        </w:rPr>
      </w:pPr>
    </w:p>
    <w:p>
      <w:pPr>
        <w:jc w:val="center"/>
        <w:ind w:right="3171"/>
        <w:spacing w:after="0" w:line="241" w:lineRule="auto"/>
        <w:rPr>
          <w:sz w:val="20"/>
          <w:szCs w:val="20"/>
          <w:color w:val="auto"/>
        </w:rPr>
      </w:pPr>
      <w:r>
        <w:rPr>
          <w:rFonts w:ascii="Courier New" w:cs="Courier New" w:eastAsia="Courier New" w:hAnsi="Courier New"/>
          <w:sz w:val="15"/>
          <w:szCs w:val="15"/>
          <w:color w:val="auto"/>
        </w:rPr>
        <w:t>UNAUDITED PRO FORMA CONDENSED COMBINED STATEMENTS OF OPERATIONS FOR THE YEAR ENDED SEPTEMBER 30, 1998 (IN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center"/>
              <w:ind w:right="265"/>
              <w:spacing w:after="0"/>
              <w:rPr>
                <w:sz w:val="20"/>
                <w:szCs w:val="20"/>
                <w:color w:val="auto"/>
              </w:rPr>
            </w:pPr>
            <w:r>
              <w:rPr>
                <w:rFonts w:ascii="Courier New" w:cs="Courier New" w:eastAsia="Courier New" w:hAnsi="Courier New"/>
                <w:sz w:val="15"/>
                <w:szCs w:val="15"/>
                <w:color w:val="auto"/>
                <w:w w:val="99"/>
              </w:rPr>
              <w:t>AMDOCS</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ITDS</w:t>
            </w:r>
          </w:p>
        </w:tc>
        <w:tc>
          <w:tcPr>
            <w:tcW w:w="14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PRO FORMA</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PRO FORMA</w:t>
            </w:r>
          </w:p>
        </w:tc>
      </w:tr>
      <w:tr>
        <w:trPr>
          <w:trHeight w:val="172"/>
        </w:trPr>
        <w:tc>
          <w:tcPr>
            <w:tcW w:w="410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HISTORICAL</w:t>
            </w:r>
          </w:p>
        </w:tc>
        <w:tc>
          <w:tcPr>
            <w:tcW w:w="15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HISTORICAL(*)</w:t>
            </w:r>
          </w:p>
        </w:tc>
        <w:tc>
          <w:tcPr>
            <w:tcW w:w="14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ADJUSTMENTS</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COMBINED</w:t>
            </w:r>
          </w:p>
        </w:tc>
      </w:tr>
      <w:tr>
        <w:trPr>
          <w:trHeight w:val="172"/>
        </w:trPr>
        <w:tc>
          <w:tcPr>
            <w:tcW w:w="410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52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41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$403,767</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$115,460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$519,227</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242,092</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47,465</w:t>
            </w:r>
          </w:p>
        </w:tc>
        <w:tc>
          <w:tcPr>
            <w:tcW w:w="46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289,557</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Research and development costs...............</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25,612</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21,679</w:t>
            </w:r>
          </w:p>
        </w:tc>
        <w:tc>
          <w:tcPr>
            <w:tcW w:w="46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47,291</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costs....</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51,168</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23,808</w:t>
            </w:r>
          </w:p>
        </w:tc>
        <w:tc>
          <w:tcPr>
            <w:tcW w:w="46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3,518(6)</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78,494</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Personnel &amp; indirect acquisition costs(7)....</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4,713</w:t>
            </w:r>
          </w:p>
        </w:tc>
        <w:tc>
          <w:tcPr>
            <w:tcW w:w="46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4,713</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In process research and development(7).......</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20,800</w:t>
            </w:r>
          </w:p>
        </w:tc>
        <w:tc>
          <w:tcPr>
            <w:tcW w:w="46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20,800</w:t>
            </w:r>
          </w:p>
        </w:tc>
      </w:tr>
      <w:tr>
        <w:trPr>
          <w:trHeight w:val="172"/>
        </w:trPr>
        <w:tc>
          <w:tcPr>
            <w:tcW w:w="410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318,872</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118,465</w:t>
            </w:r>
          </w:p>
        </w:tc>
        <w:tc>
          <w:tcPr>
            <w:tcW w:w="46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3,518</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440,855</w:t>
            </w:r>
          </w:p>
        </w:tc>
      </w:tr>
      <w:tr>
        <w:trPr>
          <w:trHeight w:val="172"/>
        </w:trPr>
        <w:tc>
          <w:tcPr>
            <w:tcW w:w="410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Operating income(loss).......................</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84,895</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(3,005)</w:t>
            </w:r>
          </w:p>
        </w:tc>
        <w:tc>
          <w:tcPr>
            <w:tcW w:w="46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(3,518)</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78,372</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Finance and other expense, net...............</w:t>
            </w:r>
          </w:p>
        </w:tc>
        <w:tc>
          <w:tcPr>
            <w:tcW w:w="280" w:type="dxa"/>
            <w:vAlign w:val="bottom"/>
          </w:tcPr>
          <w:p>
            <w:pPr>
              <w:spacing w:after="0"/>
              <w:rPr>
                <w:sz w:val="14"/>
                <w:szCs w:val="14"/>
                <w:color w:val="auto"/>
              </w:rPr>
            </w:pP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7"/>
              </w:rPr>
              <w:t>(24,126)</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(1,190)</w:t>
            </w:r>
          </w:p>
        </w:tc>
        <w:tc>
          <w:tcPr>
            <w:tcW w:w="46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(25,316)</w:t>
            </w:r>
          </w:p>
        </w:tc>
      </w:tr>
      <w:tr>
        <w:trPr>
          <w:trHeight w:val="172"/>
        </w:trPr>
        <w:tc>
          <w:tcPr>
            <w:tcW w:w="410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 (benefit)..</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60,769</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(4,195)</w:t>
            </w:r>
          </w:p>
        </w:tc>
        <w:tc>
          <w:tcPr>
            <w:tcW w:w="46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(3,518)</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53,056</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Income taxes (benefit).......................</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30,385</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(1,095)</w:t>
            </w:r>
          </w:p>
        </w:tc>
        <w:tc>
          <w:tcPr>
            <w:tcW w:w="46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29,290</w:t>
            </w:r>
          </w:p>
        </w:tc>
      </w:tr>
      <w:tr>
        <w:trPr>
          <w:trHeight w:val="172"/>
        </w:trPr>
        <w:tc>
          <w:tcPr>
            <w:tcW w:w="410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Net income (loss) before changes in</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accounting principle and extraordinary</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loss.......................................</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30,384</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(3,100)</w:t>
            </w:r>
          </w:p>
        </w:tc>
        <w:tc>
          <w:tcPr>
            <w:tcW w:w="14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(3,518)</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23,766</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Changes in accounting principle and</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extraordinary loss.........................</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277</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826</w:t>
            </w:r>
          </w:p>
        </w:tc>
        <w:tc>
          <w:tcPr>
            <w:tcW w:w="46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1,103</w:t>
            </w:r>
          </w:p>
        </w:tc>
      </w:tr>
      <w:tr>
        <w:trPr>
          <w:trHeight w:val="172"/>
        </w:trPr>
        <w:tc>
          <w:tcPr>
            <w:tcW w:w="410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$ 30,107</w:t>
            </w:r>
          </w:p>
        </w:tc>
        <w:tc>
          <w:tcPr>
            <w:tcW w:w="152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 (3,926)</w:t>
            </w:r>
          </w:p>
        </w:tc>
        <w:tc>
          <w:tcPr>
            <w:tcW w:w="14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$(3,518)</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$ 22,663</w:t>
            </w:r>
          </w:p>
        </w:tc>
      </w:tr>
      <w:tr>
        <w:trPr>
          <w:trHeight w:val="172"/>
        </w:trPr>
        <w:tc>
          <w:tcPr>
            <w:tcW w:w="410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0.19</w:t>
            </w: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0.14</w:t>
            </w:r>
          </w:p>
        </w:tc>
      </w:tr>
      <w:tr>
        <w:trPr>
          <w:trHeight w:val="172"/>
        </w:trPr>
        <w:tc>
          <w:tcPr>
            <w:tcW w:w="410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0.19</w:t>
            </w: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0.14</w:t>
            </w:r>
          </w:p>
        </w:tc>
      </w:tr>
      <w:tr>
        <w:trPr>
          <w:trHeight w:val="172"/>
        </w:trPr>
        <w:tc>
          <w:tcPr>
            <w:tcW w:w="410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earnings per</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158,528</w:t>
            </w: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165,128</w:t>
            </w:r>
          </w:p>
        </w:tc>
      </w:tr>
      <w:tr>
        <w:trPr>
          <w:trHeight w:val="172"/>
        </w:trPr>
        <w:tc>
          <w:tcPr>
            <w:tcW w:w="410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Shares used in computing diluted earnings per</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159,442</w:t>
            </w: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166,097</w:t>
            </w:r>
          </w:p>
        </w:tc>
      </w:tr>
      <w:tr>
        <w:trPr>
          <w:trHeight w:val="172"/>
        </w:trPr>
        <w:tc>
          <w:tcPr>
            <w:tcW w:w="4100" w:type="dxa"/>
            <w:vAlign w:val="bottom"/>
          </w:tcPr>
          <w:p>
            <w:pPr>
              <w:spacing w:after="0"/>
              <w:rPr>
                <w:sz w:val="14"/>
                <w:szCs w:val="14"/>
                <w:color w:val="auto"/>
              </w:rPr>
            </w:pPr>
          </w:p>
        </w:tc>
        <w:tc>
          <w:tcPr>
            <w:tcW w:w="11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448" w:right="3159" w:hanging="448"/>
        <w:spacing w:after="0"/>
        <w:tabs>
          <w:tab w:leader="none" w:pos="44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ITDS historical statement of operations reflects the fiscal year ended December 31, 1998.</w:t>
      </w:r>
    </w:p>
    <w:p>
      <w:pPr>
        <w:spacing w:after="0" w:line="176" w:lineRule="exact"/>
        <w:rPr>
          <w:sz w:val="20"/>
          <w:szCs w:val="20"/>
          <w:color w:val="auto"/>
        </w:rPr>
      </w:pPr>
    </w:p>
    <w:p>
      <w:pPr>
        <w:jc w:val="center"/>
        <w:ind w:right="3151"/>
        <w:spacing w:after="0" w:line="242" w:lineRule="auto"/>
        <w:rPr>
          <w:sz w:val="20"/>
          <w:szCs w:val="20"/>
          <w:color w:val="auto"/>
        </w:rPr>
      </w:pPr>
      <w:r>
        <w:rPr>
          <w:rFonts w:ascii="Courier New" w:cs="Courier New" w:eastAsia="Courier New" w:hAnsi="Courier New"/>
          <w:sz w:val="15"/>
          <w:szCs w:val="15"/>
          <w:color w:val="auto"/>
        </w:rPr>
        <w:t>See notes to Unaudited Pro Forma Condensed Combined Financial Statements for discussion of adjustments. 34</w:t>
      </w:r>
    </w:p>
    <w:p>
      <w:pPr>
        <w:sectPr>
          <w:pgSz w:w="11900" w:h="16838" w:orient="portrait"/>
          <w:cols w:equalWidth="0" w:num="1">
            <w:col w:w="10227"/>
          </w:cols>
          <w:pgMar w:left="232" w:top="289"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36</w:t>
      </w:r>
    </w:p>
    <w:p>
      <w:pPr>
        <w:spacing w:after="0" w:line="176" w:lineRule="exact"/>
        <w:rPr>
          <w:sz w:val="20"/>
          <w:szCs w:val="20"/>
          <w:color w:val="auto"/>
        </w:rPr>
      </w:pPr>
    </w:p>
    <w:p>
      <w:pPr>
        <w:jc w:val="center"/>
        <w:ind w:right="3179"/>
        <w:spacing w:after="0" w:line="241" w:lineRule="auto"/>
        <w:rPr>
          <w:sz w:val="20"/>
          <w:szCs w:val="20"/>
          <w:color w:val="auto"/>
        </w:rPr>
      </w:pPr>
      <w:r>
        <w:rPr>
          <w:rFonts w:ascii="Courier New" w:cs="Courier New" w:eastAsia="Courier New" w:hAnsi="Courier New"/>
          <w:sz w:val="15"/>
          <w:szCs w:val="15"/>
          <w:color w:val="auto"/>
        </w:rPr>
        <w:t>UNAUDITED PRO FORMA CONDENSED COMBINED STATEMENTS OF OPERATIONS FOR THE NINE MONTHS ENDED JUNE 30, 1999 (IN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AMDOCS</w:t>
            </w:r>
          </w:p>
        </w:tc>
        <w:tc>
          <w:tcPr>
            <w:tcW w:w="12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ITDS</w:t>
            </w:r>
          </w:p>
        </w:tc>
        <w:tc>
          <w:tcPr>
            <w:tcW w:w="13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PRO FORMA</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PRO FORMA</w:t>
            </w:r>
          </w:p>
        </w:tc>
      </w:tr>
      <w:tr>
        <w:trPr>
          <w:trHeight w:val="172"/>
        </w:trPr>
        <w:tc>
          <w:tcPr>
            <w:tcW w:w="3920" w:type="dxa"/>
            <w:vAlign w:val="bottom"/>
          </w:tcPr>
          <w:p>
            <w:pPr>
              <w:spacing w:after="0"/>
              <w:rPr>
                <w:sz w:val="14"/>
                <w:szCs w:val="14"/>
                <w:color w:val="auto"/>
              </w:rPr>
            </w:pPr>
          </w:p>
        </w:tc>
        <w:tc>
          <w:tcPr>
            <w:tcW w:w="1180" w:type="dxa"/>
            <w:vAlign w:val="bottom"/>
            <w:gridSpan w:val="2"/>
          </w:tcPr>
          <w:p>
            <w:pPr>
              <w:jc w:val="center"/>
              <w:ind w:right="5"/>
              <w:spacing w:after="0"/>
              <w:rPr>
                <w:sz w:val="20"/>
                <w:szCs w:val="20"/>
                <w:color w:val="auto"/>
              </w:rPr>
            </w:pPr>
            <w:r>
              <w:rPr>
                <w:rFonts w:ascii="Courier New" w:cs="Courier New" w:eastAsia="Courier New" w:hAnsi="Courier New"/>
                <w:sz w:val="15"/>
                <w:szCs w:val="15"/>
                <w:color w:val="auto"/>
                <w:w w:val="99"/>
              </w:rPr>
              <w:t>HISTORICAL</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HISTORICAL</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ADJUSTMENTS</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COMBINED</w:t>
            </w:r>
          </w:p>
        </w:tc>
      </w:tr>
      <w:tr>
        <w:trPr>
          <w:trHeight w:val="172"/>
        </w:trPr>
        <w:tc>
          <w:tcPr>
            <w:tcW w:w="3920" w:type="dxa"/>
            <w:vAlign w:val="bottom"/>
          </w:tcPr>
          <w:p>
            <w:pPr>
              <w:spacing w:after="0"/>
              <w:rPr>
                <w:sz w:val="14"/>
                <w:szCs w:val="14"/>
                <w:color w:val="auto"/>
              </w:rPr>
            </w:pPr>
          </w:p>
        </w:tc>
        <w:tc>
          <w:tcPr>
            <w:tcW w:w="1180" w:type="dxa"/>
            <w:vAlign w:val="bottom"/>
            <w:gridSpan w:val="2"/>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Revenue....................................</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$444,139</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$101,885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$546,024</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Cost of sales..............................</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258,711</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41,531</w:t>
            </w:r>
          </w:p>
        </w:tc>
        <w:tc>
          <w:tcPr>
            <w:tcW w:w="44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300,242</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Research and development costs.............</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28,524</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20,756</w:t>
            </w:r>
          </w:p>
        </w:tc>
        <w:tc>
          <w:tcPr>
            <w:tcW w:w="44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49,280</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costs....................................</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53,336</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19,521</w:t>
            </w:r>
          </w:p>
        </w:tc>
        <w:tc>
          <w:tcPr>
            <w:tcW w:w="440" w:type="dxa"/>
            <w:vAlign w:val="bottom"/>
          </w:tcPr>
          <w:p>
            <w:pPr>
              <w:spacing w:after="0"/>
              <w:rPr>
                <w:sz w:val="14"/>
                <w:szCs w:val="14"/>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2,411(6)</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75,268</w:t>
            </w:r>
          </w:p>
        </w:tc>
      </w:tr>
      <w:tr>
        <w:trPr>
          <w:trHeight w:val="172"/>
        </w:trPr>
        <w:tc>
          <w:tcPr>
            <w:tcW w:w="3920" w:type="dxa"/>
            <w:vAlign w:val="bottom"/>
          </w:tcPr>
          <w:p>
            <w:pPr>
              <w:spacing w:after="0"/>
              <w:rPr>
                <w:sz w:val="14"/>
                <w:szCs w:val="14"/>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340,571</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81,808</w:t>
            </w:r>
          </w:p>
        </w:tc>
        <w:tc>
          <w:tcPr>
            <w:tcW w:w="44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2,411</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424,790</w:t>
            </w:r>
          </w:p>
        </w:tc>
      </w:tr>
      <w:tr>
        <w:trPr>
          <w:trHeight w:val="172"/>
        </w:trPr>
        <w:tc>
          <w:tcPr>
            <w:tcW w:w="3920" w:type="dxa"/>
            <w:vAlign w:val="bottom"/>
          </w:tcPr>
          <w:p>
            <w:pPr>
              <w:spacing w:after="0"/>
              <w:rPr>
                <w:sz w:val="14"/>
                <w:szCs w:val="14"/>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Operating income.........................</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103,568</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20,077</w:t>
            </w:r>
          </w:p>
        </w:tc>
        <w:tc>
          <w:tcPr>
            <w:tcW w:w="44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(2,411)</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121,234</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Finance and other income (expense), net....</w:t>
            </w:r>
          </w:p>
        </w:tc>
        <w:tc>
          <w:tcPr>
            <w:tcW w:w="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(5,420)</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1,113</w:t>
            </w:r>
          </w:p>
        </w:tc>
        <w:tc>
          <w:tcPr>
            <w:tcW w:w="44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(4,307)</w:t>
            </w:r>
          </w:p>
        </w:tc>
      </w:tr>
      <w:tr>
        <w:trPr>
          <w:trHeight w:val="172"/>
        </w:trPr>
        <w:tc>
          <w:tcPr>
            <w:tcW w:w="3920" w:type="dxa"/>
            <w:vAlign w:val="bottom"/>
          </w:tcPr>
          <w:p>
            <w:pPr>
              <w:spacing w:after="0"/>
              <w:rPr>
                <w:sz w:val="14"/>
                <w:szCs w:val="14"/>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Income before income taxes.................</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98,148</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21,190</w:t>
            </w:r>
          </w:p>
        </w:tc>
        <w:tc>
          <w:tcPr>
            <w:tcW w:w="440" w:type="dxa"/>
            <w:vAlign w:val="bottom"/>
          </w:tcPr>
          <w:p>
            <w:pPr>
              <w:spacing w:after="0"/>
              <w:rPr>
                <w:sz w:val="14"/>
                <w:szCs w:val="14"/>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(2,411)</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116,927</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Income taxes...............................</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29,444</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8,381</w:t>
            </w:r>
          </w:p>
        </w:tc>
        <w:tc>
          <w:tcPr>
            <w:tcW w:w="44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37,825</w:t>
            </w:r>
          </w:p>
        </w:tc>
      </w:tr>
      <w:tr>
        <w:trPr>
          <w:trHeight w:val="172"/>
        </w:trPr>
        <w:tc>
          <w:tcPr>
            <w:tcW w:w="3920" w:type="dxa"/>
            <w:vAlign w:val="bottom"/>
          </w:tcPr>
          <w:p>
            <w:pPr>
              <w:spacing w:after="0"/>
              <w:rPr>
                <w:sz w:val="14"/>
                <w:szCs w:val="14"/>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income.................................</w:t>
            </w: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$ 68,704</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$ 12,809</w:t>
            </w:r>
          </w:p>
        </w:tc>
        <w:tc>
          <w:tcPr>
            <w:tcW w:w="13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$(2,411)</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$ 79,102</w:t>
            </w:r>
          </w:p>
        </w:tc>
      </w:tr>
      <w:tr>
        <w:trPr>
          <w:trHeight w:val="172"/>
        </w:trPr>
        <w:tc>
          <w:tcPr>
            <w:tcW w:w="3920" w:type="dxa"/>
            <w:vAlign w:val="bottom"/>
          </w:tcPr>
          <w:p>
            <w:pPr>
              <w:spacing w:after="0"/>
              <w:rPr>
                <w:sz w:val="14"/>
                <w:szCs w:val="14"/>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Basic earnings per share...................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0.35</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0.39</w:t>
            </w:r>
          </w:p>
        </w:tc>
      </w:tr>
      <w:tr>
        <w:trPr>
          <w:trHeight w:val="172"/>
        </w:trPr>
        <w:tc>
          <w:tcPr>
            <w:tcW w:w="3920" w:type="dxa"/>
            <w:vAlign w:val="bottom"/>
          </w:tcPr>
          <w:p>
            <w:pPr>
              <w:spacing w:after="0"/>
              <w:rPr>
                <w:sz w:val="14"/>
                <w:szCs w:val="14"/>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Diluted earnings per share.................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0.34</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0.38</w:t>
            </w:r>
          </w:p>
        </w:tc>
      </w:tr>
      <w:tr>
        <w:trPr>
          <w:trHeight w:val="172"/>
        </w:trPr>
        <w:tc>
          <w:tcPr>
            <w:tcW w:w="3920" w:type="dxa"/>
            <w:vAlign w:val="bottom"/>
          </w:tcPr>
          <w:p>
            <w:pPr>
              <w:spacing w:after="0"/>
              <w:rPr>
                <w:sz w:val="14"/>
                <w:szCs w:val="14"/>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Shares used in computing basic earnings per</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196,976</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203,576</w:t>
            </w:r>
          </w:p>
        </w:tc>
      </w:tr>
      <w:tr>
        <w:trPr>
          <w:trHeight w:val="172"/>
        </w:trPr>
        <w:tc>
          <w:tcPr>
            <w:tcW w:w="3920" w:type="dxa"/>
            <w:vAlign w:val="bottom"/>
          </w:tcPr>
          <w:p>
            <w:pPr>
              <w:spacing w:after="0"/>
              <w:rPr>
                <w:sz w:val="14"/>
                <w:szCs w:val="14"/>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Shares used in computing diluted earnings</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39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per share................................</w:t>
            </w:r>
          </w:p>
        </w:tc>
        <w:tc>
          <w:tcPr>
            <w:tcW w:w="28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5"/>
              </w:rPr>
              <w:t>199,649</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206,304</w:t>
            </w:r>
          </w:p>
        </w:tc>
      </w:tr>
      <w:tr>
        <w:trPr>
          <w:trHeight w:val="172"/>
        </w:trPr>
        <w:tc>
          <w:tcPr>
            <w:tcW w:w="3920" w:type="dxa"/>
            <w:vAlign w:val="bottom"/>
          </w:tcPr>
          <w:p>
            <w:pPr>
              <w:spacing w:after="0"/>
              <w:rPr>
                <w:sz w:val="14"/>
                <w:szCs w:val="14"/>
                <w:color w:val="auto"/>
              </w:rPr>
            </w:pPr>
          </w:p>
        </w:tc>
        <w:tc>
          <w:tcPr>
            <w:tcW w:w="118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jc w:val="center"/>
        <w:ind w:right="3159"/>
        <w:spacing w:after="0" w:line="242" w:lineRule="auto"/>
        <w:rPr>
          <w:sz w:val="20"/>
          <w:szCs w:val="20"/>
          <w:color w:val="auto"/>
        </w:rPr>
      </w:pPr>
      <w:r>
        <w:rPr>
          <w:rFonts w:ascii="Courier New" w:cs="Courier New" w:eastAsia="Courier New" w:hAnsi="Courier New"/>
          <w:sz w:val="15"/>
          <w:szCs w:val="15"/>
          <w:color w:val="auto"/>
        </w:rPr>
        <w:t>See notes to Unaudited Pro Forma Condensed Combined Financial Statements for discussion of adjustments. 35</w:t>
      </w:r>
    </w:p>
    <w:p>
      <w:pPr>
        <w:sectPr>
          <w:pgSz w:w="11900" w:h="16838" w:orient="portrait"/>
          <w:cols w:equalWidth="0" w:num="1">
            <w:col w:w="10219"/>
          </w:cols>
          <w:pgMar w:left="240" w:top="289" w:right="1440" w:bottom="1440" w:gutter="0" w:footer="0" w:header="0"/>
        </w:sectPr>
      </w:pPr>
    </w:p>
    <w:bookmarkStart w:id="36" w:name="page37"/>
    <w:bookmarkEnd w:id="36"/>
    <w:p>
      <w:pPr>
        <w:ind w:left="268"/>
        <w:spacing w:after="0"/>
        <w:rPr>
          <w:sz w:val="20"/>
          <w:szCs w:val="20"/>
          <w:color w:val="auto"/>
        </w:rPr>
      </w:pPr>
      <w:r>
        <w:rPr>
          <w:rFonts w:ascii="Courier New" w:cs="Courier New" w:eastAsia="Courier New" w:hAnsi="Courier New"/>
          <w:sz w:val="15"/>
          <w:szCs w:val="15"/>
          <w:color w:val="auto"/>
        </w:rPr>
        <w:t>37</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UNAUDITED PRO FORMA CONDENSED COMBINED FINANCIAL STATEMENTS</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348" w:hanging="348"/>
        <w:spacing w:after="0"/>
        <w:tabs>
          <w:tab w:leader="none" w:pos="34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the carrying value of ITDS' goodwill.</w:t>
      </w:r>
    </w:p>
    <w:p>
      <w:pPr>
        <w:spacing w:after="0" w:line="175" w:lineRule="exact"/>
        <w:rPr>
          <w:rFonts w:ascii="Courier New" w:cs="Courier New" w:eastAsia="Courier New" w:hAnsi="Courier New"/>
          <w:sz w:val="15"/>
          <w:szCs w:val="15"/>
          <w:color w:val="auto"/>
        </w:rPr>
      </w:pPr>
    </w:p>
    <w:p>
      <w:pPr>
        <w:ind w:left="348" w:right="3159" w:hanging="348"/>
        <w:spacing w:after="0" w:line="241" w:lineRule="auto"/>
        <w:tabs>
          <w:tab w:leader="none" w:pos="34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excess of the estimated purchase price of the Acquisition over the estimated fair value of the net identifiable assets acquired,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100" w:type="dxa"/>
            <w:vAlign w:val="bottom"/>
          </w:tcPr>
          <w:p>
            <w:pPr>
              <w:spacing w:after="0"/>
              <w:rPr>
                <w:sz w:val="20"/>
                <w:szCs w:val="20"/>
                <w:color w:val="auto"/>
              </w:rPr>
            </w:pPr>
            <w:r>
              <w:rPr>
                <w:rFonts w:ascii="Courier New" w:cs="Courier New" w:eastAsia="Courier New" w:hAnsi="Courier New"/>
                <w:sz w:val="15"/>
                <w:szCs w:val="15"/>
                <w:color w:val="auto"/>
              </w:rPr>
              <w:t>6,600 ordinary shares valued at $27.50 per share.......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$181,500</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Fair value of vested stock options to be granted to</w:t>
            </w:r>
          </w:p>
        </w:tc>
        <w:tc>
          <w:tcPr>
            <w:tcW w:w="880" w:type="dxa"/>
            <w:vAlign w:val="bottom"/>
          </w:tcPr>
          <w:p>
            <w:pPr>
              <w:spacing w:after="0"/>
              <w:rPr>
                <w:sz w:val="14"/>
                <w:szCs w:val="14"/>
                <w:color w:val="auto"/>
              </w:rPr>
            </w:pPr>
          </w:p>
        </w:tc>
      </w:tr>
      <w:tr>
        <w:trPr>
          <w:trHeight w:val="172"/>
        </w:trPr>
        <w:tc>
          <w:tcPr>
            <w:tcW w:w="5100" w:type="dxa"/>
            <w:vAlign w:val="bottom"/>
          </w:tcPr>
          <w:p>
            <w:pPr>
              <w:ind w:left="180"/>
              <w:spacing w:after="0"/>
              <w:rPr>
                <w:sz w:val="20"/>
                <w:szCs w:val="20"/>
                <w:color w:val="auto"/>
              </w:rPr>
            </w:pPr>
            <w:r>
              <w:rPr>
                <w:rFonts w:ascii="Courier New" w:cs="Courier New" w:eastAsia="Courier New" w:hAnsi="Courier New"/>
                <w:sz w:val="15"/>
                <w:szCs w:val="15"/>
                <w:color w:val="auto"/>
              </w:rPr>
              <w:t>ITDS employees in exchange for ITDS options..........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Estimated transaction costs............................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8,000</w:t>
            </w:r>
          </w:p>
        </w:tc>
      </w:tr>
      <w:tr>
        <w:trPr>
          <w:trHeight w:val="172"/>
        </w:trPr>
        <w:tc>
          <w:tcPr>
            <w:tcW w:w="5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Total estimated purchase price.........................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193,500</w:t>
            </w:r>
          </w:p>
        </w:tc>
      </w:tr>
      <w:tr>
        <w:trPr>
          <w:trHeight w:val="172"/>
        </w:trPr>
        <w:tc>
          <w:tcPr>
            <w:tcW w:w="5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Net assets acquired....................................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142,109</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Less:</w:t>
            </w:r>
          </w:p>
        </w:tc>
        <w:tc>
          <w:tcPr>
            <w:tcW w:w="880" w:type="dxa"/>
            <w:vAlign w:val="bottom"/>
          </w:tcPr>
          <w:p>
            <w:pPr>
              <w:spacing w:after="0"/>
              <w:rPr>
                <w:sz w:val="14"/>
                <w:szCs w:val="14"/>
                <w:color w:val="auto"/>
              </w:rPr>
            </w:pP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ITDS' goodwill at book value...........................</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46,526</w:t>
            </w:r>
          </w:p>
        </w:tc>
      </w:tr>
      <w:tr>
        <w:trPr>
          <w:trHeight w:val="172"/>
        </w:trPr>
        <w:tc>
          <w:tcPr>
            <w:tcW w:w="5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95,583</w:t>
            </w:r>
          </w:p>
        </w:tc>
      </w:tr>
      <w:tr>
        <w:trPr>
          <w:trHeight w:val="172"/>
        </w:trPr>
        <w:tc>
          <w:tcPr>
            <w:tcW w:w="5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Preliminary goodwill (excess of purchase price over net</w:t>
            </w:r>
          </w:p>
        </w:tc>
        <w:tc>
          <w:tcPr>
            <w:tcW w:w="880" w:type="dxa"/>
            <w:vAlign w:val="bottom"/>
          </w:tcPr>
          <w:p>
            <w:pPr>
              <w:spacing w:after="0"/>
              <w:rPr>
                <w:sz w:val="14"/>
                <w:szCs w:val="14"/>
                <w:color w:val="auto"/>
              </w:rPr>
            </w:pPr>
          </w:p>
        </w:tc>
      </w:tr>
      <w:tr>
        <w:trPr>
          <w:trHeight w:val="172"/>
        </w:trPr>
        <w:tc>
          <w:tcPr>
            <w:tcW w:w="5100" w:type="dxa"/>
            <w:vAlign w:val="bottom"/>
          </w:tcPr>
          <w:p>
            <w:pPr>
              <w:ind w:left="180"/>
              <w:spacing w:after="0"/>
              <w:rPr>
                <w:sz w:val="20"/>
                <w:szCs w:val="20"/>
                <w:color w:val="auto"/>
              </w:rPr>
            </w:pPr>
            <w:r>
              <w:rPr>
                <w:rFonts w:ascii="Courier New" w:cs="Courier New" w:eastAsia="Courier New" w:hAnsi="Courier New"/>
                <w:sz w:val="15"/>
                <w:szCs w:val="15"/>
                <w:color w:val="auto"/>
              </w:rPr>
              <w:t>identifiable assets acquired)........................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$ 97,917</w:t>
            </w:r>
          </w:p>
        </w:tc>
      </w:tr>
      <w:tr>
        <w:trPr>
          <w:trHeight w:val="172"/>
        </w:trPr>
        <w:tc>
          <w:tcPr>
            <w:tcW w:w="5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448" w:right="3079"/>
        <w:spacing w:after="0" w:line="242" w:lineRule="auto"/>
        <w:rPr>
          <w:sz w:val="20"/>
          <w:szCs w:val="20"/>
          <w:color w:val="auto"/>
        </w:rPr>
      </w:pPr>
      <w:r>
        <w:rPr>
          <w:rFonts w:ascii="Courier New" w:cs="Courier New" w:eastAsia="Courier New" w:hAnsi="Courier New"/>
          <w:sz w:val="15"/>
          <w:szCs w:val="15"/>
          <w:color w:val="auto"/>
        </w:rPr>
        <w:t>A preliminary allocation of the estimated purchase price has been made for illustration purposes to certain identifiable tangible and intangible assets and liabilities, according to their book value. We have referred to the excess of the estimated purchase price over net identified tangible and intangible assets as preliminary goodwill. The final allocation of the excess purchase price over net tangible assets will include, if applicable, recognition of adjustments of the tangible assets and liabilities to their fair values, the fair value of identifiable intangible assets, including intellectual property and in-process research and development costs, and residual goodwill. Consideration allocated to in process research and development costs will be recorded as a charge against net income in the period the Acquisition occurs. Each $1,000 of consideration allocated to in process research and development will increase future annual income incrementally by $67 (due to the reduction in future goodwill amortization). A preliminary estimate of in process research and development and any adjustments to intangible assets will not be available until the completion of an independent evaluation as of the date of the Acquisition. We have assumed an amortization period of 15 years for preliminary goodwill.</w:t>
      </w:r>
    </w:p>
    <w:p>
      <w:pPr>
        <w:spacing w:after="0" w:line="185" w:lineRule="exact"/>
        <w:rPr>
          <w:sz w:val="20"/>
          <w:szCs w:val="20"/>
          <w:color w:val="auto"/>
        </w:rPr>
      </w:pPr>
    </w:p>
    <w:p>
      <w:pPr>
        <w:ind w:left="348" w:right="3519" w:hanging="348"/>
        <w:spacing w:after="0"/>
        <w:tabs>
          <w:tab w:leader="none" w:pos="3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estimated transaction costs to be incurred relating to the Acquisition.</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ITDS' historical shareholders' equity.</w:t>
      </w:r>
    </w:p>
    <w:p>
      <w:pPr>
        <w:spacing w:after="0" w:line="175" w:lineRule="exact"/>
        <w:rPr>
          <w:rFonts w:ascii="Courier New" w:cs="Courier New" w:eastAsia="Courier New" w:hAnsi="Courier New"/>
          <w:sz w:val="15"/>
          <w:szCs w:val="15"/>
          <w:color w:val="auto"/>
        </w:rPr>
      </w:pPr>
    </w:p>
    <w:p>
      <w:pPr>
        <w:jc w:val="both"/>
        <w:ind w:left="348" w:right="3259" w:hanging="348"/>
        <w:spacing w:after="0" w:line="265" w:lineRule="auto"/>
        <w:tabs>
          <w:tab w:leader="none" w:pos="348"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issuance of 6,600 ordinary shares at $27.50 per share and the recording of the fair value of vested stock options to be granted to ITDS' employees in exchange for outstanding ITDS' options. The fair value of the stock options was derived using a Black-Scholes option pricing model.</w:t>
      </w:r>
    </w:p>
    <w:p>
      <w:pPr>
        <w:spacing w:after="0" w:line="15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7"/>
          </w:cols>
          <w:pgMar w:left="232" w:top="289" w:right="1440" w:bottom="1440" w:gutter="0" w:footer="0" w:header="0"/>
        </w:sectPr>
      </w:pPr>
    </w:p>
    <w:bookmarkStart w:id="37" w:name="page38"/>
    <w:bookmarkEnd w:id="37"/>
    <w:p>
      <w:pPr>
        <w:ind w:left="268"/>
        <w:spacing w:after="0"/>
        <w:rPr>
          <w:sz w:val="20"/>
          <w:szCs w:val="20"/>
          <w:color w:val="auto"/>
        </w:rPr>
      </w:pPr>
      <w:r>
        <w:rPr>
          <w:rFonts w:ascii="Courier New" w:cs="Courier New" w:eastAsia="Courier New" w:hAnsi="Courier New"/>
          <w:sz w:val="15"/>
          <w:szCs w:val="15"/>
          <w:color w:val="auto"/>
        </w:rPr>
        <w:t>38</w:t>
      </w:r>
    </w:p>
    <w:p>
      <w:pPr>
        <w:spacing w:after="0" w:line="176" w:lineRule="exact"/>
        <w:rPr>
          <w:sz w:val="20"/>
          <w:szCs w:val="20"/>
          <w:color w:val="auto"/>
        </w:rPr>
      </w:pPr>
    </w:p>
    <w:p>
      <w:pPr>
        <w:ind w:left="348" w:right="3259" w:hanging="348"/>
        <w:spacing w:after="0" w:line="241" w:lineRule="auto"/>
        <w:tabs>
          <w:tab w:leader="none" w:pos="3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elimination of ITDS' historical goodwill amortization and the amortization of preliminary goodwill resulting from the Acquisition,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020" w:type="dxa"/>
            <w:vAlign w:val="bottom"/>
          </w:tcPr>
          <w:p>
            <w:pPr>
              <w:spacing w:after="0"/>
              <w:rPr>
                <w:sz w:val="14"/>
                <w:szCs w:val="14"/>
                <w:color w:val="auto"/>
              </w:rPr>
            </w:pPr>
          </w:p>
        </w:tc>
        <w:tc>
          <w:tcPr>
            <w:tcW w:w="14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8"/>
              </w:rPr>
              <w:t>NINE MONTHS</w:t>
            </w:r>
          </w:p>
        </w:tc>
        <w:tc>
          <w:tcPr>
            <w:tcW w:w="1800" w:type="dxa"/>
            <w:vAlign w:val="bottom"/>
          </w:tcPr>
          <w:p>
            <w:pPr>
              <w:spacing w:after="0"/>
              <w:rPr>
                <w:sz w:val="14"/>
                <w:szCs w:val="14"/>
                <w:color w:val="auto"/>
              </w:rPr>
            </w:pPr>
          </w:p>
        </w:tc>
      </w:tr>
      <w:tr>
        <w:trPr>
          <w:trHeight w:val="172"/>
        </w:trPr>
        <w:tc>
          <w:tcPr>
            <w:tcW w:w="4020" w:type="dxa"/>
            <w:vAlign w:val="bottom"/>
          </w:tcPr>
          <w:p>
            <w:pPr>
              <w:spacing w:after="0"/>
              <w:rPr>
                <w:sz w:val="14"/>
                <w:szCs w:val="14"/>
                <w:color w:val="auto"/>
              </w:rPr>
            </w:pPr>
          </w:p>
        </w:tc>
        <w:tc>
          <w:tcPr>
            <w:tcW w:w="1420" w:type="dxa"/>
            <w:vAlign w:val="bottom"/>
          </w:tcPr>
          <w:p>
            <w:pPr>
              <w:jc w:val="center"/>
              <w:ind w:right="5"/>
              <w:spacing w:after="0"/>
              <w:rPr>
                <w:sz w:val="20"/>
                <w:szCs w:val="20"/>
                <w:color w:val="auto"/>
              </w:rPr>
            </w:pPr>
            <w:r>
              <w:rPr>
                <w:rFonts w:ascii="Courier New" w:cs="Courier New" w:eastAsia="Courier New" w:hAnsi="Courier New"/>
                <w:sz w:val="15"/>
                <w:szCs w:val="15"/>
                <w:color w:val="auto"/>
              </w:rPr>
              <w:t>ENDED</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YEAR ENDED</w:t>
            </w:r>
          </w:p>
        </w:tc>
      </w:tr>
      <w:tr>
        <w:trPr>
          <w:trHeight w:val="172"/>
        </w:trPr>
        <w:tc>
          <w:tcPr>
            <w:tcW w:w="4020" w:type="dxa"/>
            <w:vAlign w:val="bottom"/>
          </w:tcPr>
          <w:p>
            <w:pPr>
              <w:spacing w:after="0"/>
              <w:rPr>
                <w:sz w:val="14"/>
                <w:szCs w:val="14"/>
                <w:color w:val="auto"/>
              </w:rPr>
            </w:pPr>
          </w:p>
        </w:tc>
        <w:tc>
          <w:tcPr>
            <w:tcW w:w="14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JUNE 30, 1999</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SEPTEMBER 30, 1998</w:t>
            </w:r>
          </w:p>
        </w:tc>
      </w:tr>
      <w:tr>
        <w:trPr>
          <w:trHeight w:val="172"/>
        </w:trPr>
        <w:tc>
          <w:tcPr>
            <w:tcW w:w="4020" w:type="dxa"/>
            <w:vAlign w:val="bottom"/>
          </w:tcPr>
          <w:p>
            <w:pPr>
              <w:spacing w:after="0"/>
              <w:rPr>
                <w:sz w:val="14"/>
                <w:szCs w:val="14"/>
                <w:color w:val="auto"/>
              </w:rPr>
            </w:pPr>
          </w:p>
        </w:tc>
        <w:tc>
          <w:tcPr>
            <w:tcW w:w="14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Amortization expense relating to preliminary</w:t>
            </w:r>
          </w:p>
        </w:tc>
        <w:tc>
          <w:tcPr>
            <w:tcW w:w="14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goodwill of $97,917 over 15 years.........</w:t>
            </w:r>
          </w:p>
        </w:tc>
        <w:tc>
          <w:tcPr>
            <w:tcW w:w="14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$4,896</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$6,528</w:t>
            </w:r>
          </w:p>
        </w:tc>
      </w:tr>
      <w:tr>
        <w:trPr>
          <w:trHeight w:val="172"/>
        </w:trPr>
        <w:tc>
          <w:tcPr>
            <w:tcW w:w="4020" w:type="dxa"/>
            <w:vAlign w:val="bottom"/>
          </w:tcPr>
          <w:p>
            <w:pPr>
              <w:jc w:val="right"/>
              <w:ind w:right="725"/>
              <w:spacing w:after="0"/>
              <w:rPr>
                <w:sz w:val="20"/>
                <w:szCs w:val="20"/>
                <w:color w:val="auto"/>
              </w:rPr>
            </w:pPr>
            <w:r>
              <w:rPr>
                <w:rFonts w:ascii="Courier New" w:cs="Courier New" w:eastAsia="Courier New" w:hAnsi="Courier New"/>
                <w:sz w:val="15"/>
                <w:szCs w:val="15"/>
                <w:color w:val="auto"/>
                <w:w w:val="98"/>
              </w:rPr>
              <w:t>Less historical amortization expense</w:t>
            </w:r>
          </w:p>
        </w:tc>
        <w:tc>
          <w:tcPr>
            <w:tcW w:w="14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relating to historical goodwill...........</w:t>
            </w:r>
          </w:p>
        </w:tc>
        <w:tc>
          <w:tcPr>
            <w:tcW w:w="14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2,485</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3,010</w:t>
            </w:r>
          </w:p>
        </w:tc>
      </w:tr>
      <w:tr>
        <w:trPr>
          <w:trHeight w:val="172"/>
        </w:trPr>
        <w:tc>
          <w:tcPr>
            <w:tcW w:w="4020" w:type="dxa"/>
            <w:vAlign w:val="bottom"/>
          </w:tcPr>
          <w:p>
            <w:pPr>
              <w:spacing w:after="0"/>
              <w:rPr>
                <w:sz w:val="14"/>
                <w:szCs w:val="14"/>
                <w:color w:val="auto"/>
              </w:rPr>
            </w:pPr>
          </w:p>
        </w:tc>
        <w:tc>
          <w:tcPr>
            <w:tcW w:w="14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Preliminary goodwill amortization, net......</w:t>
            </w:r>
          </w:p>
        </w:tc>
        <w:tc>
          <w:tcPr>
            <w:tcW w:w="14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$2,411</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$3,518</w:t>
            </w:r>
          </w:p>
        </w:tc>
      </w:tr>
      <w:tr>
        <w:trPr>
          <w:trHeight w:val="172"/>
        </w:trPr>
        <w:tc>
          <w:tcPr>
            <w:tcW w:w="4020" w:type="dxa"/>
            <w:vAlign w:val="bottom"/>
          </w:tcPr>
          <w:p>
            <w:pPr>
              <w:spacing w:after="0"/>
              <w:rPr>
                <w:sz w:val="14"/>
                <w:szCs w:val="14"/>
                <w:color w:val="auto"/>
              </w:rPr>
            </w:pPr>
          </w:p>
        </w:tc>
        <w:tc>
          <w:tcPr>
            <w:tcW w:w="142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348" w:right="3079" w:hanging="348"/>
        <w:spacing w:after="0" w:line="242" w:lineRule="auto"/>
        <w:tabs>
          <w:tab w:leader="none" w:pos="34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personnel and indirect acquisition costs ($4,713) and in process research and development costs ($20,800) were recorded by ITDS in January 1998 in connection with the acquisition by ITDS of CSC Intelicom, Inc. These items are non-recurring in nature. However, as these changes are not directly related to the acquisition of ITDS, they have not been eliminated for purposes of the pro forma financial statements.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7"/>
          </w:cols>
          <w:pgMar w:left="232" w:top="289"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39</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BUSINESS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6"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We are a leading provider of product-driven information system solutions to major telecommunications companies in North America, Europe and the rest of the world.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Business Support Systems, or BSS, consist of families of customized software products and services designed to meet the mission-critical needs of specific telecommunications market sectors. We provide primarily CC&amp;B Systems for network operators and service providers offering (local, long distance, international, data, Internet and Voice Over Internet Protocol, or VOIP, cellular, personal communications services, or PCS, and paging). We also support companies that offer multiple service packages, commonly referred to as convergent services (combinations of local, long distance, international, mobile, cable television, data and Internet services). In addition, we provide a full range of Directory Systems to publishers of both traditional printed yellow page and white page directories and electronic Internet directories. Due to the complexity of the process and the expertise required for system support, we also provide extensive customization, implementation, system integration, ongoing support, system enhancement, maintenance and outsourcing services.</w:t>
      </w:r>
    </w:p>
    <w:p>
      <w:pPr>
        <w:spacing w:after="0" w:line="182"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Since the inception of our business in 1982, we have concentrated on providing software products and services to major telecommunications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the telecommunications industry. Our customer base includes the largest local exchange service providers in the United States (including all the regional Bell operating companies), major foreign network operators and service providers including Deutsche Telekom (Germany), Mannesmann (Germany), Telstra (Australia) and Vodafone Group (United Kingdom) and emerging market leaders.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BSS products and related services are designed to manage and improve key aspects of the business operations of telecommunications companies, such as customer care, order management, call rating, invoice calculation, bill formatting, collections, fraud management and directory publishing services. The BSS products are tailored to address the unique needs of each telecommunications provider.</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Our products are designed to support a variety of service offerings, including wireline, wireless, data and convergent multi-service environments, in a network-independent manner.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TELECOMMUNICATIONS INDUSTRY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global telecommunications industry is becoming increasingly more competitive due to deregulation and the development of new service technologies. Competition in the U.S. market began to increase in 1984 when AT&amp;T was required to divest its local telephone operations and many new operators began to enter the long distance market. The Telecommunications Act of 1996 has increased competition in the United States even further by allowing new and existing local (e.g., competitive local exchange carriers), long distance and cable companies to offer competing services. Many companies are beginning to compete by providing multiple or convergent services, offering combinations of local exchange, long distance, wireless and data communications services to customers in single geographic markets. Deregulation is also creating opportunities for new ways of doing business, such as wholesaling and reselling telecommunications services. Internationally, privatization and deregulation are resulting in increased international competition and the emergence of newly authorized telecommunications network operators and service providers, especially in Europe, Latin America and the Asia-Pacific</w:t>
      </w:r>
    </w:p>
    <w:p>
      <w:pPr>
        <w:spacing w:after="0" w:line="18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89"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40</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region. As markets are opened to competition, new competitors within these markets typically compete for market share with more established carriers, initially by providing access to service and then by providing competitive prices, by introducing new features and services and by being more responsive to customer needs. In addition, global expansion by multinational companies and concurrent technological advances are opening markets in less developed countries to enhanced telecommunications services and competition.</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recent years, there has also been an explosion of new communications technologies, including the Internet, Virtual Private Network (VPN) services, Digital Subscriber Line (DSL) for fast Internet access and broadband, PCS, Direct Broadcast Satellites and Enhanced Specialized Mobile Radio, and improvements to existing services such as call-forwarding, caller ID and voice mail, as well as the introduction of advanced intelligent networks that offer new services such as voice activated dialing. Additionally, companies in the directory publishing industry, which is currently dominated by telecommunications companies that are owned by or affiliated with the public telecommunications carriers, generally employ a local sales force numbering thousands of representatives, serve an advertiser customer base of hundreds of thousands of businesses and publish hundreds of different directories each year. With the introduction of new technologies and distribution platforms, including Internet directories, the directory publishing industry is also experiencing significant changes.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INFORMATION SYSTEMS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a result of these developments, many telecommunications companies are seeking a new generation of information systems to support their operations and to be more competitive. Many are looking to offer single-contact, single-invoice solutions with integrated pricing plans for all services ("one-stop shopping"). Traditional telecommunications information systems are generally not able to support multiple services or convergent systems efficiently. In addition, these legacy information systems generally utilize antiquated technology, are costly to maintain, and require significant time and effort to accommodate new products or features, such as pricing changes. In this dynamic environment, integrated, flexible and scalable information systems are increasingly a means of differentiating competitors.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Many new and existing telecommunications companies do not have the financial or human resources or technological capability to internally develop efficient, flexible, cost-effective information systems on a timely basis. Moreover, as many telecommunications companies strive to become more consumer-oriented, they are concentrating their efforts and resources on marketing to consumers and expanding their service offerings, and many are turning to third-party vendors for their information systems which creates significant opportunities for us. Unlike us, however, many third-party vendors generally provide only generic software packages and maintenance services, while customization, implementation and other related and ongoing tasks are performed by a separate systems integration company.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AMDOCS SOLUTION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believe that our total solutions orientation, product-driven approach and commitment to and support of quality personnel permit us to offer effective solutions to our customers that are both highly innovative and reliable. We believe that our success derives from a combination of the following factors that differentiate us from most of our competitors.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TOTAL SOLUTIONS ORIENTATION. We offer our customers total solutions that include BSS product-driven software tailored to the customer's specific requirements, implementation services, systems integration, maintenance and ongoing support. By providing services directly to the customer, rather than through intermediaries and system integrators, we are able to utilize effectively our intensive technical knowledge of our BSS products in the overall execution of the project, significantly reducing project risk. Our product-driven software solutions approach is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89"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41</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distinctly different from the project-based strategy that has traditionally characterized many of the telecommunications information systems providers over the past twenty years. Our product-driven software solutions uses our BSS products as the starting point for each project. This approach enhances our ability to provide our customers with timely, cost-effective, low-risk solutions at a consistent level of quality.</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FUNCTIONAL AND FLEXIBLE BSS PRODUCTS. Our BSS products are based on an open, multi-tier, client-server, rule-based architecture that provides the functionality, scalability, modularity and adaptability required in today's deregulated, highly competitive telecommunications industry. Through the flexibility of our BSS products, our customers have achieved significant time-to-market advantages and reduced their dependence on technical and other staff.</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HIGHLY SKILLED PERSONNEL. We are able to offer our customers superior products and services on a worldwide basis in large part due to our highly qualified and trained technical, sales, marketing and managerial personnel. We invest significantly in the ongoing training of our personnel in key areas such as industry knowledge, software technologies and management capabilities. Primarily based on the skills and knowledge of our employees, we believe that we have developed a reputation for the reliable delivery of quality solutions within agreed time frames and budgets. We have global recruitment capabilities and have development centers in Israel, the United States and Cyprus.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Our goal is to provide advanced information technology software products and related customer service and support to the world's leading telecommunications companies. We seek to accomplish our goal by pursuing the strategies described below.</w:t>
      </w:r>
    </w:p>
    <w:p>
      <w:pPr>
        <w:spacing w:after="0" w:line="175" w:lineRule="exact"/>
        <w:rPr>
          <w:sz w:val="20"/>
          <w:szCs w:val="20"/>
          <w:color w:val="auto"/>
        </w:rPr>
      </w:pPr>
    </w:p>
    <w:p>
      <w:pPr>
        <w:ind w:left="620" w:right="3079" w:hanging="181"/>
        <w:spacing w:after="0" w:line="242"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FOCUS ON THE TELECOMMUNICATIONS INDUSTRY. We intend to continue to concentrate our resources and efforts on providing strategic information systems to the growing number of telecommunications industry participants. This strategy has enabled us to develop the specialized industry know-how and capability necessary to deliver the technologically advanced, large-scale, specifications-intensive information systems solutions required by the leading telecommunications companies in the wireless, wireline and convergent service sectors.</w:t>
      </w:r>
    </w:p>
    <w:p>
      <w:pPr>
        <w:spacing w:after="0" w:line="177"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TARGET INDUSTRY LEADERS AND PROMISING NEW ENTRANTS. We intend to continue to direct our marketing efforts principally towards the major telecommunications companies and new entrants that are believed to have the potential to be market leaders. Our customer base includes the largest local exchange service providers in the United States (including all the regional Bell operating companies), major foreign network operators and service providers (including Deutsche Telekom (Germany), Vodafone Group (United Kingdom), Mannesmann (Germany) and Telstra Corporation Ltd. (Australia)) and emerging market leaders. We believe that the development of this premier customer base has helped position us as a market leader, while contributing to the stability of our business. By targeting industry leaders and promising new entrants that require the most sophisticated information systems solutions, we believe that we are best able to ensure that we remain at the forefront of developments in the industry.</w:t>
      </w:r>
    </w:p>
    <w:p>
      <w:pPr>
        <w:spacing w:after="0" w:line="182" w:lineRule="exact"/>
        <w:rPr>
          <w:rFonts w:ascii="Courier New" w:cs="Courier New" w:eastAsia="Courier New" w:hAnsi="Courier New"/>
          <w:sz w:val="15"/>
          <w:szCs w:val="15"/>
          <w:color w:val="auto"/>
        </w:rPr>
      </w:pPr>
    </w:p>
    <w:p>
      <w:pPr>
        <w:ind w:left="620" w:right="3079" w:hanging="181"/>
        <w:spacing w:after="0" w:line="260" w:lineRule="auto"/>
        <w:tabs>
          <w:tab w:leader="none" w:pos="6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AND SUPPORT TOTAL SOLUTIONS. Our strategy is to use our BSS products as the basis for providing customers with total systems solutions. Using this product-driven solutions strategy, we strive to tailor our core software modules to the specific, individualized requirements of our customers. Working directly with the customer, development personnel prepare the detailed functional specifications of the system required by the customer. In accordance with such specifications, system modules are then adapted or customized to meet the</w:t>
      </w:r>
    </w:p>
    <w:p>
      <w:pPr>
        <w:spacing w:after="0" w:line="2" w:lineRule="exact"/>
        <w:rPr>
          <w:sz w:val="20"/>
          <w:szCs w:val="20"/>
          <w:color w:val="auto"/>
        </w:rPr>
      </w:pPr>
    </w:p>
    <w:p>
      <w:pPr>
        <w:ind w:left="620" w:right="3079"/>
        <w:spacing w:after="0" w:line="260" w:lineRule="auto"/>
        <w:rPr>
          <w:sz w:val="20"/>
          <w:szCs w:val="20"/>
          <w:color w:val="auto"/>
        </w:rPr>
      </w:pPr>
      <w:r>
        <w:rPr>
          <w:rFonts w:ascii="Courier New" w:cs="Courier New" w:eastAsia="Courier New" w:hAnsi="Courier New"/>
          <w:sz w:val="14"/>
          <w:szCs w:val="14"/>
          <w:color w:val="auto"/>
        </w:rPr>
        <w:t>customer's specific business requirements. We believe that this approach minimizes risks and increases efficiencies by drawing on field-proven BSS</w:t>
      </w:r>
    </w:p>
    <w:p>
      <w:pPr>
        <w:ind w:left="3480"/>
        <w:spacing w:after="0" w:line="238" w:lineRule="auto"/>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89"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42</w:t>
      </w:r>
    </w:p>
    <w:p>
      <w:pPr>
        <w:spacing w:after="0" w:line="176" w:lineRule="exact"/>
        <w:rPr>
          <w:sz w:val="20"/>
          <w:szCs w:val="20"/>
          <w:color w:val="auto"/>
        </w:rPr>
      </w:pPr>
    </w:p>
    <w:p>
      <w:pPr>
        <w:ind w:left="520" w:right="3079"/>
        <w:spacing w:after="0" w:line="242" w:lineRule="auto"/>
        <w:rPr>
          <w:sz w:val="20"/>
          <w:szCs w:val="20"/>
          <w:color w:val="auto"/>
        </w:rPr>
      </w:pPr>
      <w:r>
        <w:rPr>
          <w:rFonts w:ascii="Courier New" w:cs="Courier New" w:eastAsia="Courier New" w:hAnsi="Courier New"/>
          <w:sz w:val="15"/>
          <w:szCs w:val="15"/>
          <w:color w:val="auto"/>
        </w:rPr>
        <w:t>products and techniques, and also helps to create for our customers significant time-to-market and other competitive advantages. By leveraging our specialized product knowledge, we believe that we can provide more effective system integration and implementation support services to our customers.</w:t>
      </w:r>
    </w:p>
    <w:p>
      <w:pPr>
        <w:spacing w:after="0" w:line="175" w:lineRule="exact"/>
        <w:rPr>
          <w:sz w:val="20"/>
          <w:szCs w:val="20"/>
          <w:color w:val="auto"/>
        </w:rPr>
      </w:pPr>
    </w:p>
    <w:p>
      <w:pPr>
        <w:ind w:left="620" w:right="3159" w:hanging="181"/>
        <w:spacing w:after="0" w:line="242"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AND DEVELOP LONG-TERM CUSTOMER RELATIONSHIPS. We seek to maintain and develop long-term, mutually beneficial relationships with our customers. As a result of this strategy, we have been able to establish long-term working relationships with many of our customers. Of our current base of over 70 customers, 18 have been customers for five years or more. These relationships have generally involved additional product sales, as well as ongoing support, system enhancement and maintenance services. We believe that such relationships are facilitated in many cases by the mission-critical strategic nature of the systems provided by us and by the customer's reliance on our specialized skills and knowledge. In addition, our strategy is to solidify our existing customer relationships by means of long-term support and maintenance contracts.</w:t>
      </w:r>
    </w:p>
    <w:p>
      <w:pPr>
        <w:spacing w:after="0" w:line="180"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ENHANCE GLOBAL CAPABILITIES. We intend to continue to develop and enhance our global business strategy by targeting advanced telecommunications markets around the world. The worldwide demand for telecommunications services is increasing rapidly, due, in part, to the needs of many underserved national markets and, in part, to increased competition among established and new network operators and service providers in more mature markets. We believe we have developed the human and other resources required to conduct business on a global basis and we are well positioned to respond to the demands of a worldwide industry, including the increasing trend for the major telecommunications companies to invest in new national markets, often in partnership with local companies. We have also developed the capability for the rapid global deployment of appropriately skilled personnel, when and where required, to support customer projects.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developed core competencies in various advanced technologies that are used in our BSS products. By utilizing technologies such as rule-based design, multi-tier architecture, object-oriented techniques and data mining, we are able to provide telecommunications companies with the flexibility required in a highly competitive, dynamic environment. For example, the use of rule and table-based technologies allows telecommunications companies to implement changes to the key elements of their marketing and customer service activities simply and rapidly, such as the introduction of new services, price plans, discount schemes and bill formats, eliminating the need to modify system code. Similarly, by drawing on Web-enabled and Internet technologies, we have been able to improve access to information for remote users, both internally within a telecommunications company's organization and between the organization and its subscribers.</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These technologies are integrated in an open, multi-tier, client-server, service-oriented architecture. In order to support the ability of our customers to operate all of their distributed and mainframe applications, our BSS products are designed to work in a number of network and operating system environments, including UNIX, MVS and Windows NT.</w:t>
      </w:r>
    </w:p>
    <w:p>
      <w:pPr>
        <w:spacing w:after="0" w:line="175" w:lineRule="exact"/>
        <w:rPr>
          <w:sz w:val="20"/>
          <w:szCs w:val="20"/>
          <w:color w:val="auto"/>
        </w:rPr>
      </w:pPr>
    </w:p>
    <w:p>
      <w:pPr>
        <w:ind w:right="4139" w:firstLine="447"/>
        <w:spacing w:after="0"/>
        <w:rPr>
          <w:sz w:val="20"/>
          <w:szCs w:val="20"/>
          <w:color w:val="auto"/>
        </w:rPr>
      </w:pPr>
      <w:r>
        <w:rPr>
          <w:rFonts w:ascii="Courier New" w:cs="Courier New" w:eastAsia="Courier New" w:hAnsi="Courier New"/>
          <w:sz w:val="15"/>
          <w:szCs w:val="15"/>
          <w:color w:val="auto"/>
        </w:rPr>
        <w:t>The architecture of the BSS products includes the following key characteristics:</w:t>
      </w:r>
    </w:p>
    <w:p>
      <w:pPr>
        <w:spacing w:after="0" w:line="176" w:lineRule="exact"/>
        <w:rPr>
          <w:sz w:val="20"/>
          <w:szCs w:val="20"/>
          <w:color w:val="auto"/>
        </w:rPr>
      </w:pPr>
    </w:p>
    <w:p>
      <w:pPr>
        <w:ind w:left="620" w:right="3159" w:hanging="181"/>
        <w:spacing w:after="0" w:line="242"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SCALABILITY. The BSS products are designed to take full advantage of the proven scalability of the UNIX platform, allowing progressive system expansion, proportional with the customer's growth in business volumes. Using the same software, our BSS products can support operations for small as well as very large service providers.</w:t>
      </w:r>
    </w:p>
    <w:p>
      <w:pPr>
        <w:spacing w:after="0" w:line="175" w:lineRule="exact"/>
        <w:rPr>
          <w:rFonts w:ascii="Courier New" w:cs="Courier New" w:eastAsia="Courier New" w:hAnsi="Courier New"/>
          <w:sz w:val="15"/>
          <w:szCs w:val="15"/>
          <w:color w:val="auto"/>
        </w:rPr>
      </w:pPr>
    </w:p>
    <w:p>
      <w:pPr>
        <w:ind w:left="620" w:right="3079" w:hanging="181"/>
        <w:spacing w:after="0" w:line="241"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MODULARITY. The BSS products are comprised of sets of functional modules. Each module can be installed on an individual stand alone basis, interfacing with the customer's existing</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89"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43</w:t>
      </w:r>
    </w:p>
    <w:p>
      <w:pPr>
        <w:spacing w:after="0" w:line="176" w:lineRule="exact"/>
        <w:rPr>
          <w:sz w:val="20"/>
          <w:szCs w:val="20"/>
          <w:color w:val="auto"/>
        </w:rPr>
      </w:pPr>
    </w:p>
    <w:p>
      <w:pPr>
        <w:ind w:left="520" w:right="3079"/>
        <w:spacing w:after="0" w:line="242" w:lineRule="auto"/>
        <w:rPr>
          <w:sz w:val="20"/>
          <w:szCs w:val="20"/>
          <w:color w:val="auto"/>
        </w:rPr>
      </w:pPr>
      <w:r>
        <w:rPr>
          <w:rFonts w:ascii="Courier New" w:cs="Courier New" w:eastAsia="Courier New" w:hAnsi="Courier New"/>
          <w:sz w:val="15"/>
          <w:szCs w:val="15"/>
          <w:color w:val="auto"/>
        </w:rPr>
        <w:t>systems, or as part of an integrated BSS environment. This modularity provides our customers with a highly flexible and cost-effective solution that is able to incrementally expand with the customers' growing needs and capabilities. The modular approach also preserves the customer's initial investment in BSS products, while minimizing future disruptions and the overall cost of system implementation.</w:t>
      </w:r>
    </w:p>
    <w:p>
      <w:pPr>
        <w:spacing w:after="0" w:line="176" w:lineRule="exact"/>
        <w:rPr>
          <w:sz w:val="20"/>
          <w:szCs w:val="20"/>
          <w:color w:val="auto"/>
        </w:rPr>
      </w:pPr>
    </w:p>
    <w:p>
      <w:pPr>
        <w:ind w:left="620" w:right="3079" w:hanging="181"/>
        <w:spacing w:after="0" w:line="242"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PORTABILITY. The architecture of the BSS products, by utilizing a UNIX platform, ensures that our customers are able to choose from a variety of hardware vendors, including Compaq, Hewlett Packard, IBM and Sun Microsystems. In implementing solutions for wireline companies, we are also able to employ MVS and hybrid UNIX/MVS platforms. The BSS products utilize, where applicable, Java-based design and programming to augment cross-platform portability.</w:t>
      </w:r>
    </w:p>
    <w:p>
      <w:pPr>
        <w:spacing w:after="0" w:line="176"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OPEN SYSTEMS. The BSS products accommodate well-defined application program interfaces with legacy systems and with other third-party modules or packages. The systems are not dependent on any single hardware vendor or specific relational database management system, enabling our customers to select among multiple hardware platforms and a variety of network and operating system environments. Similarly, BSS products utilize standard programming languages, such as C++, to ensure compatibility with the operating environments employed in most telecommunications companies. It is also our general policy to deliver to our customers complete copies of all source code, system documentation and other product information, which permits the customer to maintain and further customize the BSS products.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developed an extensive library of BSS software products, providing comprehensive information systems functionality for local, long distance, international, cellular, PCS, paging, data, Internet and VOIP and directory publishing operations. Core elements include customer care, order management, call rating, invoice calculation, bill formatting, collections, fraud management and directory publishing services.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Specialized modules are provided to support specific functionalities required in the different network environments (roaming functionality for wireless carriers, SIM card functionality for GSM networks, value added services introduced by Advanced Intelligent Networks (AIN) and preferred interexchange carrier functionality for long distance carriers). In addition, we have developed systems to support resellers and wholesalers of telecommunication services. Our systems also support telecommunications providers that offer multiple service packages, commonly referred to as convergent services (combinations of local, long distance, international, mobile, cable television, data and Internet services).</w:t>
      </w:r>
    </w:p>
    <w:p>
      <w:pPr>
        <w:spacing w:after="0" w:line="179"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We configure individual BSS modules into families of products, which serve as marketing packages oriented to the needs of specific customer segments. We offer Ensemble, our Customer Care and Billing System, in a number of versions to serve the different needs of telecommunications operators in the various network and business segments, such as wholesale and retail operations, and local, cellular, long distance, international, data, Internet, VOIP and convergent operations. We also offer our new generation, or NG, line of "ADS (NG)/Family of Products" which provides comprehensive support for directory publishing operations. Each individual module from the product families can be installed as an independent stand-alone application, interfacing with the customer's legacy and third-party systems, or as part of an integrated Amdocs solution. We have also recently introduced a number of new products for Internet and electronic commerce applications, such as Internet-based bill viewing. We anticipate that over the next several years products developed or to be developed for such applications will make a modest but increasing contribution to revenue.</w:t>
      </w:r>
    </w:p>
    <w:p>
      <w:pPr>
        <w:spacing w:after="0" w:line="16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89"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44</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CUSTOMER CARE AND BILLING</w:t>
      </w:r>
    </w:p>
    <w:p>
      <w:pPr>
        <w:spacing w:after="0" w:line="176"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The Ensemble suite of products we offer encompasses the following key application areas:</w:t>
      </w:r>
    </w:p>
    <w:p>
      <w:pPr>
        <w:spacing w:after="0" w:line="176" w:lineRule="exact"/>
        <w:rPr>
          <w:sz w:val="20"/>
          <w:szCs w:val="20"/>
          <w:color w:val="auto"/>
        </w:rPr>
      </w:pPr>
    </w:p>
    <w:p>
      <w:pPr>
        <w:ind w:left="620" w:right="3339" w:hanging="181"/>
        <w:spacing w:after="0" w:line="267" w:lineRule="auto"/>
        <w:tabs>
          <w:tab w:leader="none" w:pos="6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Customer Care -- provides customer account information management and service support, including account initiation, on-line assistance in choosing a price plan, installation scheduling and complaint handling.</w:t>
      </w:r>
    </w:p>
    <w:p>
      <w:pPr>
        <w:spacing w:after="0" w:line="158" w:lineRule="exact"/>
        <w:rPr>
          <w:rFonts w:ascii="Courier New" w:cs="Courier New" w:eastAsia="Courier New" w:hAnsi="Courier New"/>
          <w:sz w:val="14"/>
          <w:szCs w:val="14"/>
          <w:color w:val="auto"/>
        </w:rPr>
      </w:pPr>
    </w:p>
    <w:p>
      <w:pPr>
        <w:ind w:left="620" w:right="3259" w:hanging="181"/>
        <w:spacing w:after="0" w:line="242"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Order Management -- supports the ordering of products and services for all lines of business. This module assists customer service representatives in capturing the customer's order, negotiating with the customer and monitoring service delivery.</w:t>
      </w:r>
    </w:p>
    <w:p>
      <w:pPr>
        <w:spacing w:after="0" w:line="174"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Message Processing -- calculates charges for usage (i.e., call rating) of telecommunications services, such as telephone calls and data transfer. Usage of the telecommunications network creates "messages" or call data records, which contain information such as the origin and destination of the call and its duration. In addition, this module provides for acquisition and formatting of the raw message data received from a switch, as well as calculates the charges for each call based on the service packages and price plans applicable to each individual user.</w:t>
      </w:r>
    </w:p>
    <w:p>
      <w:pPr>
        <w:spacing w:after="0" w:line="177"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Invoicing -- provides comprehensive functionality for bill preparation (totaling of usage and other charges, application of discounts, taxes and credits) and bill production, as well as the ability to offer so-called "hot billing" (or real-time billing).</w:t>
      </w:r>
    </w:p>
    <w:p>
      <w:pPr>
        <w:spacing w:after="0" w:line="174" w:lineRule="exact"/>
        <w:rPr>
          <w:rFonts w:ascii="Courier New" w:cs="Courier New" w:eastAsia="Courier New" w:hAnsi="Courier New"/>
          <w:sz w:val="15"/>
          <w:szCs w:val="15"/>
          <w:color w:val="auto"/>
        </w:rPr>
      </w:pPr>
    </w:p>
    <w:p>
      <w:pPr>
        <w:ind w:left="620" w:right="3339" w:hanging="181"/>
        <w:spacing w:after="0" w:line="242"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Flexible Bill Formatter -- enables the flexible definition and modification of bill formats, according to user requests (e.g., to combine charges from multiple services onto a single bill or to permit certain types of charges to be highlighted).</w:t>
      </w:r>
    </w:p>
    <w:p>
      <w:pPr>
        <w:spacing w:after="0" w:line="174" w:lineRule="exact"/>
        <w:rPr>
          <w:rFonts w:ascii="Courier New" w:cs="Courier New" w:eastAsia="Courier New" w:hAnsi="Courier New"/>
          <w:sz w:val="15"/>
          <w:szCs w:val="15"/>
          <w:color w:val="auto"/>
        </w:rPr>
      </w:pPr>
    </w:p>
    <w:p>
      <w:pPr>
        <w:ind w:left="620" w:right="3159" w:hanging="181"/>
        <w:spacing w:after="0" w:line="242"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Management -- provides comprehensive functionality for accounts receivable and collections, including invoice receipt, payment receipt, payment posting, financial reporting and automated handling of customers with outstanding debts.</w:t>
      </w:r>
    </w:p>
    <w:p>
      <w:pPr>
        <w:spacing w:after="0" w:line="174" w:lineRule="exact"/>
        <w:rPr>
          <w:rFonts w:ascii="Courier New" w:cs="Courier New" w:eastAsia="Courier New" w:hAnsi="Courier New"/>
          <w:sz w:val="15"/>
          <w:szCs w:val="15"/>
          <w:color w:val="auto"/>
        </w:rPr>
      </w:pPr>
    </w:p>
    <w:p>
      <w:pPr>
        <w:ind w:left="620" w:right="3259" w:hanging="181"/>
        <w:spacing w:after="0" w:line="242"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Network Resource Mediation -- manages the carrier's inventory of telephone numbers and SIM cards. This module also manages the interface between a wireless carrier's customer care and billing system and the network, transferring instructions regarding the provision or discontinuation of network services to specified users.</w:t>
      </w:r>
    </w:p>
    <w:p>
      <w:pPr>
        <w:spacing w:after="0" w:line="175" w:lineRule="exact"/>
        <w:rPr>
          <w:rFonts w:ascii="Courier New" w:cs="Courier New" w:eastAsia="Courier New" w:hAnsi="Courier New"/>
          <w:sz w:val="15"/>
          <w:szCs w:val="15"/>
          <w:color w:val="auto"/>
        </w:rPr>
      </w:pPr>
    </w:p>
    <w:p>
      <w:pPr>
        <w:jc w:val="both"/>
        <w:ind w:left="620" w:right="3079" w:hanging="181"/>
        <w:spacing w:after="0" w:line="274" w:lineRule="auto"/>
        <w:tabs>
          <w:tab w:leader="none" w:pos="6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Commission Management -- calculates and manages commissions to be paid by the wireless carrier to its authorized dealers and sales representatives.</w:t>
      </w:r>
    </w:p>
    <w:p>
      <w:pPr>
        <w:spacing w:after="0" w:line="153" w:lineRule="exact"/>
        <w:rPr>
          <w:rFonts w:ascii="Courier New" w:cs="Courier New" w:eastAsia="Courier New" w:hAnsi="Courier New"/>
          <w:sz w:val="14"/>
          <w:szCs w:val="14"/>
          <w:color w:val="auto"/>
        </w:rPr>
      </w:pPr>
    </w:p>
    <w:p>
      <w:pPr>
        <w:ind w:left="620" w:right="3259" w:hanging="181"/>
        <w:spacing w:after="0" w:line="241"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Fraud Management -- employs sophisticated data analysis tools and makes use of the integrated user database to detect the fraudulent use of phones and phone numbers.</w:t>
      </w:r>
    </w:p>
    <w:p>
      <w:pPr>
        <w:spacing w:after="0" w:line="176" w:lineRule="exact"/>
        <w:rPr>
          <w:rFonts w:ascii="Courier New" w:cs="Courier New" w:eastAsia="Courier New" w:hAnsi="Courier New"/>
          <w:sz w:val="15"/>
          <w:szCs w:val="15"/>
          <w:color w:val="auto"/>
        </w:rPr>
      </w:pPr>
    </w:p>
    <w:p>
      <w:pPr>
        <w:ind w:left="620" w:right="3439" w:hanging="181"/>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Internet-based Bill Viewing -- enables user interaction and bill view capabilities over the Internet through www.self.service.</w:t>
      </w:r>
    </w:p>
    <w:p>
      <w:pPr>
        <w:spacing w:after="0" w:line="176" w:lineRule="exact"/>
        <w:rPr>
          <w:rFonts w:ascii="Courier New" w:cs="Courier New" w:eastAsia="Courier New" w:hAnsi="Courier New"/>
          <w:sz w:val="15"/>
          <w:szCs w:val="15"/>
          <w:color w:val="auto"/>
        </w:rPr>
      </w:pPr>
    </w:p>
    <w:p>
      <w:pPr>
        <w:ind w:left="620" w:right="3439" w:hanging="181"/>
        <w:spacing w:after="0" w:line="241"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Churn Management -- uses data mining techniques to identify customers with a high probability of switching to another carrier or of disconnecting service.</w:t>
      </w:r>
    </w:p>
    <w:p>
      <w:pPr>
        <w:spacing w:after="0" w:line="176" w:lineRule="exact"/>
        <w:rPr>
          <w:rFonts w:ascii="Courier New" w:cs="Courier New" w:eastAsia="Courier New" w:hAnsi="Courier New"/>
          <w:sz w:val="15"/>
          <w:szCs w:val="15"/>
          <w:color w:val="auto"/>
        </w:rPr>
      </w:pPr>
    </w:p>
    <w:p>
      <w:pPr>
        <w:ind w:left="620" w:right="3339" w:hanging="181"/>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Intercarrier Settlement -- calculates, manages and reconciles payments for intercarrier network access.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DIRECTORY PUBLISHING</w:t>
      </w:r>
    </w:p>
    <w:p>
      <w:pPr>
        <w:spacing w:after="0" w:line="176" w:lineRule="exact"/>
        <w:rPr>
          <w:sz w:val="20"/>
          <w:szCs w:val="20"/>
          <w:color w:val="auto"/>
        </w:rPr>
      </w:pPr>
    </w:p>
    <w:p>
      <w:pPr>
        <w:ind w:right="3519" w:firstLine="447"/>
        <w:spacing w:after="0" w:line="241" w:lineRule="auto"/>
        <w:rPr>
          <w:sz w:val="20"/>
          <w:szCs w:val="20"/>
          <w:color w:val="auto"/>
        </w:rPr>
      </w:pPr>
      <w:r>
        <w:rPr>
          <w:rFonts w:ascii="Courier New" w:cs="Courier New" w:eastAsia="Courier New" w:hAnsi="Courier New"/>
          <w:sz w:val="15"/>
          <w:szCs w:val="15"/>
          <w:color w:val="auto"/>
        </w:rPr>
        <w:t>The "ADS(NG)/Family of Products," our main offering in the Directory Systems area, provides comprehensive support for yellow page and white page directory sales and publishing</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89"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45</w:t>
      </w:r>
    </w:p>
    <w:p>
      <w:pPr>
        <w:spacing w:after="0" w:line="176"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operations, as well as for Internet directories and catalogs, including fully integrated electronic commerce capabilities. The directory line of products comprises a series of modules, including:</w:t>
      </w:r>
    </w:p>
    <w:p>
      <w:pPr>
        <w:spacing w:after="0" w:line="176" w:lineRule="exact"/>
        <w:rPr>
          <w:sz w:val="20"/>
          <w:szCs w:val="20"/>
          <w:color w:val="auto"/>
        </w:rPr>
      </w:pPr>
    </w:p>
    <w:p>
      <w:pPr>
        <w:ind w:left="620" w:right="3079" w:hanging="181"/>
        <w:spacing w:after="0" w:line="242"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 addresses all aspects of managing sales to advertisers, including preparation and management of the overall sales campaign, which encompasses selecting the advertisers to be targeted, allocating the advertisers to various sales channels (such as field sales or telemarketing sales), assigning the advertisers to sales representatives, tracking advertising sales results and calculating sales commissions. These modules also provide automated support for the advertising sales representative, including laptop-based applications for use by members of the sales force in the field.</w:t>
      </w:r>
    </w:p>
    <w:p>
      <w:pPr>
        <w:spacing w:after="0" w:line="178"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Publishing -- supports the process of entering, proofing and extracting the telephone listing and advertising information that is to be published in a directory. These modules encompass contract processing, service order processing, listing information management and directory extract in preparation for the actual production of the directory.</w:t>
      </w:r>
    </w:p>
    <w:p>
      <w:pPr>
        <w:spacing w:after="0" w:line="175"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and Information Analysis -- includes corporate data warehousing techniques, online analytical processing and data mining capabilities, oriented to the specific marketing needs of the directory publisher. For example, these modules can be used to identify changed patterns of advertisement buying behavior in certain groups of customers, or to perform "what if" analyses on marketing policy parameters. These modules are also used by management to analyze the directory market and customer behavior, assisting in the planning of corporate strategy and marketing tactics.</w:t>
      </w:r>
    </w:p>
    <w:p>
      <w:pPr>
        <w:spacing w:after="0" w:line="178"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Prepress -- manages the production of advertisements that are to be published in a directory and also supports the fully automated pagination of yellow page and white page directories, including the generation of the final typesetting file so that printed copies of the documents can be produced.</w:t>
      </w:r>
    </w:p>
    <w:p>
      <w:pPr>
        <w:spacing w:after="0" w:line="175" w:lineRule="exact"/>
        <w:rPr>
          <w:rFonts w:ascii="Courier New" w:cs="Courier New" w:eastAsia="Courier New" w:hAnsi="Courier New"/>
          <w:sz w:val="15"/>
          <w:szCs w:val="15"/>
          <w:color w:val="auto"/>
        </w:rPr>
      </w:pPr>
    </w:p>
    <w:p>
      <w:pPr>
        <w:ind w:left="620" w:right="3159" w:hanging="181"/>
        <w:spacing w:after="0" w:line="241"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Service -- permits online support for handling customer inquiries and resolving customer complaints, including online correction of advertising data and billing adjustments.</w:t>
      </w:r>
    </w:p>
    <w:p>
      <w:pPr>
        <w:spacing w:after="0" w:line="176" w:lineRule="exact"/>
        <w:rPr>
          <w:rFonts w:ascii="Courier New" w:cs="Courier New" w:eastAsia="Courier New" w:hAnsi="Courier New"/>
          <w:sz w:val="15"/>
          <w:szCs w:val="15"/>
          <w:color w:val="auto"/>
        </w:rPr>
      </w:pPr>
    </w:p>
    <w:p>
      <w:pPr>
        <w:ind w:left="620" w:right="3599" w:hanging="181"/>
        <w:spacing w:after="0" w:line="274" w:lineRule="auto"/>
        <w:tabs>
          <w:tab w:leader="none" w:pos="6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Management -- specifically designed for the directory publisher's billing, accounts receivable and collections functions.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the methodology we employ to deliver BSS products is one of the key factors that enables us to achieve the time-frame, budget and quality objectives of our customers' projects. Our methodology emphasizes rigorous project management, software development, solutions implementation and integration planning, as well as active customer participation at all stages to help prioritize and implement time-critical information system solutions that address the customer's individual needs.</w:t>
      </w:r>
    </w:p>
    <w:p>
      <w:pPr>
        <w:spacing w:after="0" w:line="17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This process of customizing a system involves creating a tailored BSS product to address a customer's specific technical and business requirements. Following detailed functional design sessions with the customer, we modify our BSS software modules to provide the complete functionality needed by the customer. The process permits both Amdocs and the customer to identify and jointly plan for ongoing resource requirements, as well as jointly to create specific guidelines for the types of organizational and other changes that may be required for implementation and integration.</w:t>
      </w:r>
    </w:p>
    <w:p>
      <w:pPr>
        <w:spacing w:after="0" w:line="177"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System implementation and integration activities are conducted by joint teams from Amdocs and the customer in parallel with the customization effort. Implementation and integration activities include, for example, project management, development of training, methods and procedures, design of work flows, hardware planning and installation, network and system design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89"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46</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and installation, system conversion and documentation. In most cases, the role of Amdocs personnel is to provide support services to the customer's own implementation and integration team which has primary responsibility for the task. Customers sometimes require turn-key solutions, in which case we are able to provide full system implementation and integration services.</w:t>
      </w:r>
    </w:p>
    <w:p>
      <w:pPr>
        <w:spacing w:after="0" w:line="175"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Once the system becomes operational, we are generally retained by the customer to provide ongoing services such as maintenance, enhancement design and development, and operational support. For substantially all of our customers, the implementation and integration of an initial BSS product has been followed by the sale of additional systems and modules. In recent years, we have established long-term maintenance and support contracts with a number of our customers. These contracts have generally involved an expansion in the scope of support provided, while also ensuring a recurring source of revenue to us.</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business is conducted on a global basis. We maintain three development facilities located in Israel, the United States and Cyprus, operate a support center located in Brazil and have operations in Europe, North America, Latin America and the Asia-Pacific region. Support for implementation and integration activities is performed typically at the customer site. Once the system is operational or in production, ongoing support and maintenance are provided by a combination of remote support from the development centers with local support at the customer site.</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part of our effort to provide comprehensive solutions to our customers, we also offer outsourcing services to support the operation of the customer's BSS products. These functions would include full responsibility for the ongoing development and enhancement of our BSS products, the purchase and management of all related hardware assets and overall management of the customer's associated data centers. We concluded our first major multi-year services agreement in May 1998, entering into a six-year agreement with an affiliate of Telstra Corporation Ltd. of Australia. Under the agreement, we are responsible for software development, maintenance, support and facility management for Telstra's directory publishing activities.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sales and marketing activities are primarily directed at major telecommunications companies and at emerging network operators or services providers that are potential market leaders. As a result of the strategic importance of our information systems to the operations of such companies, a number of constituencies within a customer's organization are typically involved in purchase decisions, including senior management, information systems personnel and user groups such as the finance and marketing departments. Due to the comprehensiveness and large scale of our systems, the time between the making of an initial proposal to a prospective customer and the signing of a sales contract is typically between six and twelve months.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employ a relatively small dedicated sales force and maintain sales offices in the United States, the United Kingdom, and several other countries. Our sales activities are supported by a marketing group, which is responsible for advertising, preparation of sales proposals and market research and analysis of industry trends and developments. Our sales efforts are dependent upon close cooperation between our sales representatives and development personnel. Development personnel are intensively involved from the early stages of the sales cycle. This approach enables us to demonstrate our technical and professional skills to potential customers, while creating the opportunity to discuss with the customer its system needs. To ensure that we have a clear understanding of customer needs and expectations, it is our policy to have development personnel involved in a particular sales proposal continue to work with the customer. This approach creates continuity from the initial sales proposal through project development and beyond, into the ongoing production phase.</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89"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47</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management of our operating subsidiaries is closely involved in establishing sales policies and overseeing sales activities. Management's role includes the setting of priorities among the multiple sales opportunities available at any point in time. Management is also responsible for allocating sufficient resources to each project to meet our quality standards while also adhering to the project's cost and schedule parameters.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also interact with various third parties in our sales activities, including independent sales agents, information systems consultants engaged by our customers or prospective customers and systems integrators that provide complementary products and services to such customers. We also have value-added reseller agreements with certain hardware and database vendors.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target market is comprised of telecommunications companies that require information systems with advanced functionality and technology. The companies in this market segment are typically industry leaders or innovative, well-backed new entrants. By working with such companies, we help ensure that we remain at the forefront of developments in the telecommunications industry and that our product offerings continue to address the market's most sophisticated needs. We have an international orientation, focusing on potential customers in the developed, industrialized countries in North America, Europe, Latin America and the Asia-Pacific region.</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a world-class customer base comprising over 70 telecommunications companies. Our customers include global telecommunications leaders, as well as other leading network operators and service providers and directory publishers in the United States and around the world. Our customers include SBC and a number of its operating subsidiaries, such as Southwestern Bell Mobile Systems, Southwestern Bell Yellow Pages, Southwestern Bell Communications Services (SBC's long distance provider) and Southwestern Bell Telephone Company. Additional customers include:</w:t>
      </w:r>
    </w:p>
    <w:p>
      <w:pPr>
        <w:spacing w:after="0" w:line="17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Bell Atlantic</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BellSouth</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U.S. West</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GTE</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Sprint</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Deutsche Telekom (Germany)</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Mannesmann (Germany)</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SEAT (Italy)</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Telstra (Australia)</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Telus (Canada)</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Telecom Eireann (Ireland)</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Korean Telecom (South Korea)</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Vodafone Group (United Kingdom)</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Bezeq (Israel)</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BCP (Brazil)</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Telecom New Zealand (New Zealand)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been able to establish long-term working relationships with many of our customers. Of our total customer base, 18 have been customers for five or more years. These long-term relationships are due, in part, to our broad-based expertise and our ability to address the evolving needs of a dynamic telecommunications industry.</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single largest group of customers is SBC and its operating subsidiaries, which accounted for in the aggregate 15.7% of our revenue in the nine months ended June 30, 1999 and for 20.8%, 34.5% and 38.0% of our revenue in fiscal 1998, 1997 and 1996, respectively. Our next largest customer is Telstra, which accounted for 7.8% of our revenue in the nine months ended June 30, 1999 and for 8.2%, 13.0% and 16.0% of our revenue in fiscal 1998, 1997 and 1996, respectively. Our third largest customer is BellSouth, which accounted for 5.9% of our revenue in the nine months ended June 30, 1999 and for 15.8%, 4.5% and 1.5% of our revenue in fiscal 1998, 1997 and 1996, respectively.</w:t>
      </w:r>
    </w:p>
    <w:p>
      <w:pPr>
        <w:spacing w:after="0" w:line="178"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Revenue derived from our five largest customers, excluding SBC and its operating subsidiaries, accounted for approximately 27.6% of total revenue for the nine months ended</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89"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48</w:t>
      </w:r>
    </w:p>
    <w:p>
      <w:pPr>
        <w:spacing w:after="0" w:line="176"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June 30, 1999 and 27.1%, 33.2% and 42.7% of revenue in fiscal 1998, 1997 and 1996, respectively.</w:t>
      </w:r>
    </w:p>
    <w:p>
      <w:pPr>
        <w:spacing w:after="0" w:line="176" w:lineRule="exact"/>
        <w:rPr>
          <w:sz w:val="20"/>
          <w:szCs w:val="20"/>
          <w:color w:val="auto"/>
        </w:rPr>
      </w:pPr>
    </w:p>
    <w:p>
      <w:pPr>
        <w:ind w:right="3699" w:firstLine="447"/>
        <w:spacing w:after="0" w:line="274" w:lineRule="auto"/>
        <w:rPr>
          <w:sz w:val="20"/>
          <w:szCs w:val="20"/>
          <w:color w:val="auto"/>
        </w:rPr>
      </w:pPr>
      <w:r>
        <w:rPr>
          <w:rFonts w:ascii="Courier New" w:cs="Courier New" w:eastAsia="Courier New" w:hAnsi="Courier New"/>
          <w:sz w:val="14"/>
          <w:szCs w:val="14"/>
          <w:color w:val="auto"/>
        </w:rPr>
        <w:t>The following is a summary of revenue by geographic area. Revenue is attributed to geographic region based on the location of the customers: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YEAR ENDED</w:t>
            </w:r>
          </w:p>
        </w:tc>
        <w:tc>
          <w:tcPr>
            <w:tcW w:w="440" w:type="dxa"/>
            <w:vAlign w:val="bottom"/>
          </w:tcPr>
          <w:p>
            <w:pPr>
              <w:spacing w:after="0"/>
              <w:rPr>
                <w:sz w:val="14"/>
                <w:szCs w:val="14"/>
                <w:color w:val="auto"/>
              </w:rPr>
            </w:pPr>
          </w:p>
        </w:tc>
      </w:tr>
      <w:tr>
        <w:trPr>
          <w:trHeight w:val="172"/>
        </w:trPr>
        <w:tc>
          <w:tcPr>
            <w:tcW w:w="5000" w:type="dxa"/>
            <w:vAlign w:val="bottom"/>
          </w:tcPr>
          <w:p>
            <w:pPr>
              <w:spacing w:after="0"/>
              <w:rPr>
                <w:sz w:val="14"/>
                <w:szCs w:val="14"/>
                <w:color w:val="auto"/>
              </w:rPr>
            </w:pPr>
          </w:p>
        </w:tc>
        <w:tc>
          <w:tcPr>
            <w:tcW w:w="144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NINE MONTHS</w:t>
            </w:r>
          </w:p>
        </w:tc>
        <w:tc>
          <w:tcPr>
            <w:tcW w:w="160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SEPTEMBER 30,</w:t>
            </w:r>
          </w:p>
        </w:tc>
        <w:tc>
          <w:tcPr>
            <w:tcW w:w="440" w:type="dxa"/>
            <w:vAlign w:val="bottom"/>
          </w:tcPr>
          <w:p>
            <w:pPr>
              <w:spacing w:after="0"/>
              <w:rPr>
                <w:sz w:val="14"/>
                <w:szCs w:val="14"/>
                <w:color w:val="auto"/>
              </w:rPr>
            </w:pPr>
          </w:p>
        </w:tc>
      </w:tr>
      <w:tr>
        <w:trPr>
          <w:trHeight w:val="172"/>
        </w:trPr>
        <w:tc>
          <w:tcPr>
            <w:tcW w:w="5000" w:type="dxa"/>
            <w:vAlign w:val="bottom"/>
          </w:tcPr>
          <w:p>
            <w:pPr>
              <w:spacing w:after="0"/>
              <w:rPr>
                <w:sz w:val="14"/>
                <w:szCs w:val="14"/>
                <w:color w:val="auto"/>
              </w:rPr>
            </w:pPr>
          </w:p>
        </w:tc>
        <w:tc>
          <w:tcPr>
            <w:tcW w:w="144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ENDED</w:t>
            </w:r>
          </w:p>
        </w:tc>
        <w:tc>
          <w:tcPr>
            <w:tcW w:w="16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77"/>
              </w:rPr>
              <w:t>--------------------</w:t>
            </w:r>
          </w:p>
        </w:tc>
        <w:tc>
          <w:tcPr>
            <w:tcW w:w="440" w:type="dxa"/>
            <w:vAlign w:val="bottom"/>
          </w:tcPr>
          <w:p>
            <w:pPr>
              <w:spacing w:after="0"/>
              <w:rPr>
                <w:sz w:val="14"/>
                <w:szCs w:val="14"/>
                <w:color w:val="auto"/>
              </w:rPr>
            </w:pPr>
          </w:p>
        </w:tc>
      </w:tr>
      <w:tr>
        <w:trPr>
          <w:trHeight w:val="172"/>
        </w:trPr>
        <w:tc>
          <w:tcPr>
            <w:tcW w:w="5000" w:type="dxa"/>
            <w:vAlign w:val="bottom"/>
          </w:tcPr>
          <w:p>
            <w:pPr>
              <w:spacing w:after="0"/>
              <w:rPr>
                <w:sz w:val="14"/>
                <w:szCs w:val="14"/>
                <w:color w:val="auto"/>
              </w:rPr>
            </w:pPr>
          </w:p>
        </w:tc>
        <w:tc>
          <w:tcPr>
            <w:tcW w:w="1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JUNE 30, 1999</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000" w:type="dxa"/>
            <w:vAlign w:val="bottom"/>
          </w:tcPr>
          <w:p>
            <w:pPr>
              <w:spacing w:after="0"/>
              <w:rPr>
                <w:sz w:val="14"/>
                <w:szCs w:val="14"/>
                <w:color w:val="auto"/>
              </w:rPr>
            </w:pPr>
          </w:p>
        </w:tc>
        <w:tc>
          <w:tcPr>
            <w:tcW w:w="1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North America..........................................</w:t>
            </w:r>
          </w:p>
        </w:tc>
        <w:tc>
          <w:tcPr>
            <w:tcW w:w="144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39.5%</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52.2%</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63.8%</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67.5%</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Europe.................................................</w:t>
            </w:r>
          </w:p>
        </w:tc>
        <w:tc>
          <w:tcPr>
            <w:tcW w:w="144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39.1%</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27.2%</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11.3%</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14.5%</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144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21.4%</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20.6%</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24.9%</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18.0%</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market for telecommunications information systems is highly competitive and fragmented, and we expect competition to increase. We compete with many independent providers of information systems and services, including Alltel Corporation, American Management Systems, Convergys, IBM, Kenan Systems (a subsidiary of Lucent Technologies), LHS Group Inc., Saville Systems and SEMA Group, with system integrators, such as Andersen Consulting and EDS, and internal information systems departments of larger telecommunications carriers. We expect continued growth and competition in the telecommunications industry and the entrance of new competitors into the software information systems market in the future.</w:t>
      </w:r>
    </w:p>
    <w:p>
      <w:pPr>
        <w:spacing w:after="0" w:line="179"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We believe that we are able to differentiate ourselves from the competition by, among other things,</w:t>
      </w:r>
    </w:p>
    <w:p>
      <w:pPr>
        <w:spacing w:after="0" w:line="174" w:lineRule="exact"/>
        <w:rPr>
          <w:sz w:val="20"/>
          <w:szCs w:val="20"/>
          <w:color w:val="auto"/>
        </w:rPr>
      </w:pPr>
    </w:p>
    <w:p>
      <w:pPr>
        <w:ind w:left="620" w:hanging="181"/>
        <w:spacing w:after="0"/>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offering customers a total information system from a single vendor,</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high quality reliable, scalable products,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managing effectively the timely implementation of products,</w:t>
      </w:r>
    </w:p>
    <w:p>
      <w:pPr>
        <w:spacing w:after="0" w:line="175" w:lineRule="exact"/>
        <w:rPr>
          <w:rFonts w:ascii="Courier New" w:cs="Courier New" w:eastAsia="Courier New" w:hAnsi="Courier New"/>
          <w:sz w:val="15"/>
          <w:szCs w:val="15"/>
          <w:color w:val="auto"/>
        </w:rPr>
      </w:pPr>
    </w:p>
    <w:p>
      <w:pPr>
        <w:ind w:left="620" w:right="3699" w:hanging="181"/>
        <w:spacing w:after="0"/>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responding to customer service and support needs through a skilled professional organization, and</w:t>
      </w:r>
    </w:p>
    <w:p>
      <w:pPr>
        <w:spacing w:after="0" w:line="176" w:lineRule="exact"/>
        <w:rPr>
          <w:rFonts w:ascii="Courier New" w:cs="Courier New" w:eastAsia="Courier New" w:hAnsi="Courier New"/>
          <w:sz w:val="15"/>
          <w:szCs w:val="15"/>
          <w:color w:val="auto"/>
        </w:rPr>
      </w:pPr>
    </w:p>
    <w:p>
      <w:pPr>
        <w:ind w:left="620" w:right="3439" w:hanging="181"/>
        <w:spacing w:after="0"/>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BSS solutions independent of any specific vendor of network equipment, hardware or software.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compete with a number of companies that have longer operating histories, larger customer bases, substantially greater financial, technical, sales, marketing and other resources, and greater name recognition than us.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 acquire significant market share. As a result, our competitors may be able to adapt more quickly than we would to new or emerging technologies and changes in customer requirements, or to devote greater resources to the promotion and sale of their products. There can be no assurance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PROPRIETARY RIGHTS</w:t>
      </w:r>
    </w:p>
    <w:p>
      <w:pPr>
        <w:spacing w:after="0" w:line="176" w:lineRule="exact"/>
        <w:rPr>
          <w:sz w:val="20"/>
          <w:szCs w:val="20"/>
          <w:color w:val="auto"/>
        </w:rPr>
      </w:pPr>
    </w:p>
    <w:p>
      <w:pPr>
        <w:ind w:right="3439" w:firstLine="447"/>
        <w:spacing w:after="0" w:line="263" w:lineRule="auto"/>
        <w:rPr>
          <w:sz w:val="20"/>
          <w:szCs w:val="20"/>
          <w:color w:val="auto"/>
        </w:rPr>
      </w:pPr>
      <w:r>
        <w:rPr>
          <w:rFonts w:ascii="Courier New" w:cs="Courier New" w:eastAsia="Courier New" w:hAnsi="Courier New"/>
          <w:sz w:val="14"/>
          <w:szCs w:val="14"/>
          <w:color w:val="auto"/>
        </w:rPr>
        <w:t>We regard significant portions of our software products and systems as proprietary and rely on a combination of statutory and common law copyright, trademark and trade secret laws, customer licensing agreements, employee and third-party nondisclosure agreements and other methods to protect our proprietary rights. We generally enter into confidentiality agreements with</w:t>
      </w:r>
    </w:p>
    <w:p>
      <w:pPr>
        <w:spacing w:after="0" w:line="16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89"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49</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our employees, consultants, customers and potential customers and limit access to, and distribution of, our proprietary information. We believe that the sophistication and complexity of our systems make it very difficult to copy such information or to subject such information to unauthorized use.</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developed a unique methodology for product development. Initially, we develop a core idea and the initial modules in-house. Thereafter, we approach a customer and introduce the initial developments to a customer and further develop the product in conjunction with a project conducted for such a customer, thus allowing us to resolve and develop specific, novel information technology solutions addressing actual needs of the market. We maintain sole ownership of our products.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a result of strategic development projects conducted with SBC and some of its subsidiaries, some of our products were jointly developed and owned in the past by us and SBC subsidiaries. In September 1997, we entered into a series of agreements with such SBC subsidiaries pursuant to which we purchased certain rights from these SBC subsidiaries and terminated related future royalty payment obligations for a total consideration of $40.0 million.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As of July 31, 1999, we employed on a full-time basis approximately 4,300 software and information technology specialists, engaged in research, development, maintenance and support activities, and approximately 620 managers and administrative professionals. We employ over 2,900 software and information technology specialists in Israel, with the remaining located in North America, Europe and the Asia-Pacific region. We often maintain teams of employees at a customer's premises to work on specific projects.</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invest significant resources in recruitment, training and retention of quality personnel. Training programs cover areas such as technology, applications, development methodology, project methodology, programming standards, industry background and management development. Our management development scheme is reinforced by a divisional structure, which provides opportunities for talented managers to gain experience in general management roles at the division level. We also invest considerable resources in personnel motivation, including providing various incentive plans for senior employees. Our future success depends in large part upon our continuing ability to attract and retain highly qualified managerial, technical, sales and marketing personnel.</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have to comply with various labor and immigration laws throughout the world, including laws and regulations in Australia, Brazil, Europe, Israel, Japan and the United States. To date, compliance with such laws has not been a material burden for us. As the number of our employees increases over time, our compliance with such regulations could become more burdensome.</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operating subsidiaries are not party to any collective bargaining agreements. However, our Israeli subsidiary is subject to certain labor-related statutes and to certain provisions of collective bargaining agreements between the Histadrut (General Federation of Labor in Israel) and the Coordinating Bureau of Economic Organizations (including the Industrialists' Association), which are applicable to our Israeli employees by virtue of expansion orders of the Israeli Ministry of Labor and Welfare. A significant provision applicable to all employees in Israel under collective bargaining agreements and expansion orders is the automatic adjustment of wages in relation to increases in the CPI. The amount and frequency of these adjustments are modified from time to time. We consider our relationship with our employees to be good and have never experienced a labor dispute, strike or work stoppage.</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89"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50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goals of our research and development staff are to be responsive to customer needs, to keep abreast of industry developments, to apply technology selectively to our systems, to build transition plans for adopting new technologies and to build a system architecture that is capable of absorbing such technologies. We have historically developed new modules and product offerings in response to an identified market demand. Our product development strategy is to fund the research and development of an advanced prototype, typically based on our existing products or modules. Products are usually developed in conjunction with a customer project. By adopting this strategy, we seek to remain at the forefront of technological development by working on technologically advanced solutions with our customers. Close cooperation with customers helps to ensure the relevance and timeliness of the products developed.</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our ability to identify innovative applications for emerging technologies has yielded us considerable competitive advantages. Examples of such innovations include the application of rule and table-based techniques to network mediation systems, Web-enabled technology for Internet-based customer care and data mining technology for fraud management and churn control.</w:t>
      </w:r>
    </w:p>
    <w:p>
      <w:pPr>
        <w:spacing w:after="0" w:line="176"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We spent $28.5 million, $25.6 million, $17.4 million and $14.7 million on research and development activities in the nine months ended June 30, 1999 and in fiscal 1998, 1997 and 1996, respectively, or 6.4%, 6.3%, 6.0% and 6.9%, respectively, of total revenue in those periods. For fiscal 1999, we expect to spend approximately $40 million on research and development activities.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lease space in various facilities in Israel, aggregating approximately 650,000 square feet, pursuant to leases expiring on various dates between December 1999 and December 2008, and have various options to extend the terms of such leases. In Israel, we currently pay total yearly rental fees of approximately $12.4 million which are linked, in most cases, to the U.S. dollar. Included in these facilities are the following:</w:t>
      </w:r>
    </w:p>
    <w:p>
      <w:pPr>
        <w:spacing w:after="0" w:line="176" w:lineRule="exact"/>
        <w:rPr>
          <w:sz w:val="20"/>
          <w:szCs w:val="20"/>
          <w:color w:val="auto"/>
        </w:rPr>
      </w:pPr>
    </w:p>
    <w:p>
      <w:pPr>
        <w:ind w:left="620" w:right="3079" w:hanging="181"/>
        <w:spacing w:after="0" w:line="242"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Israeli subsidiary rents approximately 297,000 square feet in Ra'anana, Israel under a ten-year lease (commencing June 1998). In June 1998, the Israeli subsidiary relocated its main offices and most of its operations to this location. The annual rent for the Ra'anana facility is approximately $5.6 million. Subject to the modification of certain tax rules, the Israeli subsidiary will also have the option to extend the lease term for an additional eight years. In addition, the Israeli subsidiary holds, subject to certain terms and conditions, an option to acquire certain parts of the Ra'anana facility.</w:t>
      </w:r>
    </w:p>
    <w:p>
      <w:pPr>
        <w:spacing w:after="0" w:line="178" w:lineRule="exact"/>
        <w:rPr>
          <w:rFonts w:ascii="Courier New" w:cs="Courier New" w:eastAsia="Courier New" w:hAnsi="Courier New"/>
          <w:sz w:val="15"/>
          <w:szCs w:val="15"/>
          <w:color w:val="auto"/>
        </w:rPr>
      </w:pPr>
    </w:p>
    <w:p>
      <w:pPr>
        <w:jc w:val="both"/>
        <w:ind w:left="620" w:right="3439" w:hanging="181"/>
        <w:spacing w:after="0" w:line="241"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our Israeli subsidiary rents facilities in Ramat-Gan and Jerusalem. The annual rent for these facilities is approximately $2.9 million and $1.1 million, respectively.</w:t>
      </w:r>
    </w:p>
    <w:p>
      <w:pPr>
        <w:spacing w:after="0" w:line="176"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69,000 square feet of the facilities in Ramat-Gan are owned by related companies which lease these facilities to us.</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In December 1998, the Israeli subsidiary entered into a ten-year lease for an additional 55,000 square feet commencing July 2000. The annual rent is approximately $1.0 million.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subsidiary in the United States rents approximately 95,000 square feet in Chesterfield, Missouri under a seven-year lease (commencing December 1998). In June 1999, we relocated our development center and all of our administrative personnel, at the time principally centered around St. Louis, Missouri, to this facility. The annual rent for the facility will be approximately $2.5 million. We also hold a number of other leases in the United States, with an aggregate annual rent of approximately $870,000.</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89"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51</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We also lease approximately 45,000 square feet for our development facility in Cyprus at an annual rent of approximately $550,000.</w:t>
      </w:r>
    </w:p>
    <w:p>
      <w:pPr>
        <w:spacing w:after="0" w:line="176"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We lease additional office space in Australia, Brazil, Germany, Japan, Korea and the United Kingdom.</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are not involved in any material legal proceedings.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89" w:right="1440" w:bottom="1440" w:gutter="0" w:footer="0" w:header="0"/>
        </w:sectPr>
      </w:pPr>
    </w:p>
    <w:bookmarkStart w:id="51" w:name="page52"/>
    <w:bookmarkEnd w:id="51"/>
    <w:p>
      <w:pPr>
        <w:ind w:left="268"/>
        <w:spacing w:after="0"/>
        <w:rPr>
          <w:sz w:val="20"/>
          <w:szCs w:val="20"/>
          <w:color w:val="auto"/>
        </w:rPr>
      </w:pPr>
      <w:r>
        <w:rPr>
          <w:rFonts w:ascii="Courier New" w:cs="Courier New" w:eastAsia="Courier New" w:hAnsi="Courier New"/>
          <w:sz w:val="15"/>
          <w:szCs w:val="15"/>
          <w:color w:val="auto"/>
        </w:rPr>
        <w:t>52</w:t>
      </w:r>
    </w:p>
    <w:p>
      <w:pPr>
        <w:spacing w:after="0" w:line="174"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MANAGEMENT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Amdocs Limited is organized under the laws of Guernsey and, as set forth in its Articles of Association, is a holding company for the various subsidiaries that conduct our business on a worldwide basis. Our principal operating subsidiaries are Amdocs (Israel) Limited (Israel), Amdocs, Inc. (the United States), Amdocs (UK) Limited (the United Kingdom) and Amdocs Development Limited (Cyprus). We rely on the executive officers of our operating subsidiaries to manage our business. In addition, Amdocs Management Limited, our management subsidiary, performs certain executive coordination functions for all our operating subsidiaries.</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EXECUTIVE OFFICERS AND DIRECTORS AND OTHER KEY EMPLOYEES</w:t>
      </w:r>
    </w:p>
    <w:p>
      <w:pPr>
        <w:spacing w:after="0" w:line="176" w:lineRule="exact"/>
        <w:rPr>
          <w:sz w:val="20"/>
          <w:szCs w:val="20"/>
          <w:color w:val="auto"/>
        </w:rPr>
      </w:pPr>
    </w:p>
    <w:p>
      <w:pPr>
        <w:ind w:left="8" w:right="3779" w:firstLine="447"/>
        <w:spacing w:after="0"/>
        <w:rPr>
          <w:sz w:val="20"/>
          <w:szCs w:val="20"/>
          <w:color w:val="auto"/>
        </w:rPr>
      </w:pPr>
      <w:r>
        <w:rPr>
          <w:rFonts w:ascii="Courier New" w:cs="Courier New" w:eastAsia="Courier New" w:hAnsi="Courier New"/>
          <w:sz w:val="15"/>
          <w:szCs w:val="15"/>
          <w:color w:val="auto"/>
        </w:rPr>
        <w:t>The board of directors and the executive officers of Amdocs and our subsidiaries and their ages as of July 31, 1999, are as follows: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8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AGE</w:t>
            </w:r>
          </w:p>
        </w:tc>
        <w:tc>
          <w:tcPr>
            <w:tcW w:w="4560" w:type="dxa"/>
            <w:vAlign w:val="bottom"/>
          </w:tcPr>
          <w:p>
            <w:pPr>
              <w:ind w:left="1980"/>
              <w:spacing w:after="0"/>
              <w:rPr>
                <w:sz w:val="20"/>
                <w:szCs w:val="20"/>
                <w:color w:val="auto"/>
              </w:rPr>
            </w:pPr>
            <w:r>
              <w:rPr>
                <w:rFonts w:ascii="Courier New" w:cs="Courier New" w:eastAsia="Courier New" w:hAnsi="Courier New"/>
                <w:sz w:val="15"/>
                <w:szCs w:val="15"/>
                <w:color w:val="auto"/>
              </w:rPr>
              <w:t>POSITION</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4560" w:type="dxa"/>
            <w:vAlign w:val="bottom"/>
          </w:tcPr>
          <w:p>
            <w:pPr>
              <w:ind w:left="2160"/>
              <w:spacing w:after="0"/>
              <w:rPr>
                <w:sz w:val="20"/>
                <w:szCs w:val="20"/>
                <w:color w:val="auto"/>
              </w:rPr>
            </w:pPr>
            <w:r>
              <w:rPr>
                <w:rFonts w:ascii="Courier New" w:cs="Courier New" w:eastAsia="Courier New" w:hAnsi="Courier New"/>
                <w:sz w:val="15"/>
                <w:szCs w:val="15"/>
                <w:color w:val="auto"/>
              </w:rPr>
              <w:t>--------</w:t>
            </w:r>
          </w:p>
        </w:tc>
      </w:tr>
      <w:tr>
        <w:trPr>
          <w:trHeight w:val="344"/>
        </w:trPr>
        <w:tc>
          <w:tcPr>
            <w:tcW w:w="3840" w:type="dxa"/>
            <w:vAlign w:val="bottom"/>
          </w:tcPr>
          <w:p>
            <w:pPr>
              <w:spacing w:after="0"/>
              <w:rPr>
                <w:sz w:val="20"/>
                <w:szCs w:val="20"/>
                <w:color w:val="auto"/>
              </w:rPr>
            </w:pPr>
            <w:r>
              <w:rPr>
                <w:rFonts w:ascii="Courier New" w:cs="Courier New" w:eastAsia="Courier New" w:hAnsi="Courier New"/>
                <w:sz w:val="15"/>
                <w:szCs w:val="15"/>
                <w:color w:val="auto"/>
              </w:rPr>
              <w:t>Bruce K. Anderson(2)(3)...................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59</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w w:val="98"/>
              </w:rPr>
              <w:t>Chairman of the Board and Chief Executive Officer,</w:t>
            </w:r>
          </w:p>
        </w:tc>
      </w:tr>
      <w:tr>
        <w:trPr>
          <w:trHeight w:val="172"/>
        </w:trPr>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Amdocs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Robert A. Minicucci(2)(3).................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47</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 and Chief Financial Officer, Amdocs</w:t>
            </w:r>
          </w:p>
        </w:tc>
      </w:tr>
      <w:tr>
        <w:trPr>
          <w:trHeight w:val="172"/>
        </w:trPr>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Avinoam Naor..............................</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 of Amdocs Limited and Chief Executive</w:t>
            </w:r>
          </w:p>
        </w:tc>
      </w:tr>
      <w:tr>
        <w:trPr>
          <w:trHeight w:val="172"/>
        </w:trPr>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Officer of Amdocs Management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Dov Baharav...............................</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49</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w w:val="98"/>
              </w:rPr>
              <w:t>Senior Vice President and Chief Financial Officer,</w:t>
            </w:r>
          </w:p>
        </w:tc>
      </w:tr>
      <w:tr>
        <w:trPr>
          <w:trHeight w:val="172"/>
        </w:trPr>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Amdocs Management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Thomas G. O'Brien.........................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38</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Treasurer and Secretary, Amdocs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Nehemia Lemelbaum.........................</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56</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 Amdocs Management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Mario Segal...............................</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52</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 Amdocs Management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Joshua Ehrlich............................</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50</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 Amdocs Management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Simon Cassif..............................</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57</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 Amdocs (UK)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Melinos Pissourios........................</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General Manager, Amdocs Development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Adrian Gardner(1)(2)(3)...................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37</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Stephen Hermer............................</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38</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James Kahan...............................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52</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Paz Littman(2)(3).........................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43</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Revital Naveh(1)..........................</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Lawrence Perlman(1).......................</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61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Michael J. Price..........................</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42</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Urs Suter.................................</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348" w:hanging="348"/>
        <w:spacing w:after="0"/>
        <w:tabs>
          <w:tab w:leader="none" w:pos="34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Audit Committee</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Compensation Committee</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Executive Committee</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Bruce K. Anderson has been Chief Executive Officer and Chairman of the Board of Amdocs since September 1997. Since August 1978, he has been a general partner of WCAS, an investment firm which specializes in the acquisition of companies in the information services, communications and health care industries. Investment partnerships affiliated with WCAS are collectively our largest stockholder. Mr. Anderson served for nine years with Automated Data Processing, Inc., or ADP, until his resignation as Executive Vice President and a director of ADP, and President of ADP International, effective August 1978. Mr. Anderson serves on the board of directors of Medquist, Inc. and several private companies.</w:t>
      </w:r>
    </w:p>
    <w:p>
      <w:pPr>
        <w:spacing w:after="0" w:line="17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27"/>
          </w:cols>
          <w:pgMar w:left="232" w:top="289"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53</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Robert A. Minicucci has been Chief Financial Officer and a director of Amdocs since September 1997. He has been a general partner of WCAS since 1993.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Mr. Minicucci served for twelve years with Lehman Brothers (and its predecessors) until his resignation as a Managing Director in 1991. He is also a director of several private companies.</w:t>
      </w:r>
    </w:p>
    <w:p>
      <w:pPr>
        <w:spacing w:after="0" w:line="17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Avinoam Naor has been a director of Amdocs Limited since January 1999 and is Chief Executive Officer of Amdocs Management Limited having overall coordination responsibility for the operations and activities of our operating subsidiaries. Mr. Naor joined Amdocs in 1982 and initially served as a Senior Vice President. He has been involved with software development for 28 years, working on projects for the development of infrastructure software for communications systems and developing and marketing directory assistance systems. Mr. Naor was a member of the team that established the computerized system for Golden Pages, the Israel Yellow Pages company.</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Dov Baharav is a Senior Vice President and the Chief Financial Officer of Amdocs Management Limited, and has overall coordination responsibility for the financial reporting of our operating subsidiaries. Mr. Baharav joined Amdocs in 1991 in St. Louis, Missouri and until 1995 served as Vice President and President of Amdocs, Inc., our principal U.S. subsidiary. Prior to joining Amdocs, Mr. Baharav served as Chief Operating Officer of Oprotech Ltd., a publicly held company that develops, manufactures and markets electro-optical devices.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Thomas G. O'Brien is Treasurer and Secretary of Amdocs Limited and since July 1995 has held other financial management positions within Amdocs. From July 1993 to July 1995, Mr. O'Brien was Controller of Big River Minerals Corporation, a diversified natural resources company. From 1989 to 1993, Mr. O'Brien was the Assistant Controller for Big River Minerals Corporation. From 1983 to 1989, Mr. O'Brien was a certified public accountant with Arthur Young and Company (now Ernst &amp; Young LLP). Mr. O'Brien is a member of the American Institute of Certified Public Accountants and the Missouri Society of Certified Public Accountants.</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Nehemia Lemelbaum is Senior Vice President, Strategy and Corporate Development, of Amdocs Management Limited. He joined Amdocs in 1985, with initial responsibility for our U.S. operations. Mr. Lemelbaum led our development of graphic products for the Yellow Pages industry and directed our development of CC&amp;B Systems. He served for nine years with Contahal Ltd., a leading Israeli software house, first as a senior consultant, and later as Managing Director. From 1967 to 1976, Mr. Lemelbaum was employed by the Ministry of Communications of Israel (in effect the organization that is currently Bezeq, the Israel Telecommunication Corp. Ltd.), with responsibility for computer technology in the area of business data processing.</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Mario Segal is a Senior Vice President and the Chief Operating Officer of Amdocs Management Limited. He joined Amdocs in 1984 as Senior Vice President and was a leading member of the team that developed the "ADS(NG)/Family of Products" directory automation systems and the "Customer Care and Billing Platform." Mr. Segal was also an account manager for a major North American Yellow Pages publisher and prior thereto managed the computer department of a major Israeli insurance company, leading large-scale software development projects and strategic planning of automation systems.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Joshua Ehrlich is Senior Vice President, Business Development, of Amdocs Management Limited. Mr. Ehrlich has overall responsibility for coordinating new business development. He joined Amdocs in 1985. Mr. Ehrlich served as the account manager for one of our major North American installations, and subsequently had responsibility for major product development efforts. Following that, he assumed the responsibility for coordinating our sales support activities. Prior to joining Amdocs, Mr. Ehrlich managed the industrial application division of a leading Israeli</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89"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54</w:t>
      </w:r>
    </w:p>
    <w:p>
      <w:pPr>
        <w:spacing w:after="0" w:line="176"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software company, with responsibility for business development, overall project control and coordination of sales support.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Simon Cassif is a Senior Vice President of Amdocs (UK) Limited. He has principal responsibility for developing our relationships with strategic customers in Europe. Mr. Cassif joined Amdocs in January 1994 and has since been devoting most of his efforts to business development in the area of customer care and billing. Prior to joining Amdocs, Mr. Cassif was Chief Information Officer and Vice President, Systems and Computers at Bezeq, the Israel Telecommunication Corp. Ltd. Mr. Cassif held this position for twelve years, with full responsibility for Bezeq Information Technology strategy, systems development, maintenance and operations.</w:t>
      </w:r>
    </w:p>
    <w:p>
      <w:pPr>
        <w:spacing w:after="0" w:line="178"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Melinos Pissourios is General Manager of Amdocs Development Limited. Mr. Pissourios, who joined Amdocs in April 1998, is also the Financial Controller of Amdocs Development Limited in Cyprus. Prior to joining Amdocs, Mr. Pissourios was the Group Financial Controller at AEC Holland Group. He also worked for KPMG Peat Marwick for four years. Mr. Pissourios is a member of the Cyprus Institute of Certified Public Accountants and he is a registered auditor in Cyprus.</w:t>
      </w:r>
    </w:p>
    <w:p>
      <w:pPr>
        <w:spacing w:after="0" w:line="161"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Adrian Gardner has been a director of Amdocs since April 1998. Mr. Gardner is an Executive Director of Lazard Brothers &amp; Co., Limited, based in London and working with technology and telecommunications-related companies. Prior to joining Lazard Brothers in 1989, Mr. Gardner qualified as a chartered accountant with Price Waterhouse. Mr. Gardner is a member of the Institute of Chartered Accountants in England and Wales and a member of The Securities Institute.</w:t>
      </w:r>
    </w:p>
    <w:p>
      <w:pPr>
        <w:spacing w:after="0" w:line="16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Stephen Hermer has been a director of Amdocs since April 1998. In 1998, Mr. Hermer joined the law firm of Olswang, based in London, where he practices corporate and securities law. Prior to that, he was a partner with the London law firm of Frere Cholmeley Bischoff.</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James S. Kahan has been a director of Amdocs since April 1998. Mr. Kahan has worked at SBC since 1983, and currently serves as its Senior Vice President-Corporate Development, a position he has held since 1992. Prior to joining SBC Mr. Kahan held various positions at several telecommunications companies, including Western Electric, Bell Laboratories, South Central Bell and AT&amp;T.</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Paz Littman has been a director of Amdocs since September 1997. Since October 1996, he has served as President of Aurum Management and Consulting Ltd., a privately held company, which makes and manages investments for shareholders of the Aurec Group. From 1991 to 1996, Mr. Littman was an active partner with the law firm of Meitar, Littman &amp; Co.</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Revital Naveh has been a director of Amdocs since April 1998. In July 1997, Ms. Naveh joined Aurum Management and Consulting Ltd., a privately held company, which makes and manages investments for shareholders of the Aurec Group. Prior to that, Ms. Naveh was an associate at the New York law firm of Skadden, Arps, Slate, Meagher &amp; Flom LLP.</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Lawrence Perlman has been a director of Amdocs since April 1998. He has been Chairman of Ceridian Corporation since 1992, and its Chief Executive Officer since 1990. Ceridian Corporation is a provider of information services to employers to administer various human resource functions, as well as information services for the transportation and electronic media markets. Mr. Perlman is a director and Chairman of Seagate Technology, Inc., and a director of The Valspar Corporation and Computer Network Technology Corporation. Mr. Perlman has been a director of Ceridian since 1985.</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Michael J. Price has been a director of Amdocs since January 1998. He is co-Chief Executive Officer of FirstMark Communications LLC, a broadband wireless telecommunications company. Prior to that, he worked at Lazard Freres &amp; Co. L.L.C., starting in 1987, serving first as a Vice</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289"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55</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President and then as a Managing Director, where he led its technology and telecommunications group. He is also a director of SpectraSite, a leading tower management company.</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Urs Suter has been a director of Amdocs since May 1999. Mr. Suter has been the managing partner of the law firm Suter attorneys at law, in Zurich, Switzerland, since 1995. Prior to that, he was a law partner with Price Waterhouse. He is also a director of several private companies.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All directors hold office until the next annual meeting of our shareholders or until their respective successors are duly elected and qualified or their positions are earlier vacated by resignation or otherwise.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Executive officers of Amdocs are elected by the board of directors on an annual basis and serve until the next annual meeting of the board of directors or until their respective successors have been duly elected or qualified or their positions are earlier vacated by resignation or otherwise. The executive officers of each of the Amdocs subsidiaries are elected by the board of directors of such subsidiary on an annual basis and serve until the next annual meeting of such board of directors or until their respective successors have been duly elected or qualified or their positions are earlier vacated by resignation or otherwise.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COMMITTEES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Audit Committee of the board of directors reviews, acts on and reports to the board of directors with respect to various auditing and accounting matters, including the selection of our auditors, the scope of the annual audits, fees to be paid to the auditors, the performance of our independent auditors and our accounting practices.</w:t>
      </w:r>
    </w:p>
    <w:p>
      <w:pPr>
        <w:spacing w:after="0" w:line="175"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The Compensation Committee of the board of directors determines the salaries and incentive compensation of the officers of Amdocs and our subsidiaries and provides recommendations for the salaries and incentive compensation of other employees and the consultants. The Compensation Committee also administers various compensation, stock and benefit plans of Amdocs.</w:t>
      </w:r>
    </w:p>
    <w:p>
      <w:pPr>
        <w:spacing w:after="0" w:line="163"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We have also established an Executive Committee which may act from time to time instead of the full board of directors and has such responsibilities as may be delegated to it by the Board.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6"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Our Compensation Committee consists of Messrs. Anderson, Minicucci, Gardner and Littman. None of the members of the Committee was an employee of ours at any time during fiscal 1998 or the nine months ended June 30, 1999.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 AND EXECUTIVE OFFICERS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pay our non-employee directors who are not associated with any of our principal shareholders (1) $10,000 per annum and (2) $1,500 per meeting of the board of directors and $500 per meeting of a committee of the Board. We reimburse all of our directors for their reasonable travel expenses incurred in connection with attending meetings of the board of directors or committees thereof. Under certain circumstances, directors are also eligible to receive stock options. During fiscal year 1998, we granted options to two non-employee directors to purchase a total of 21,000 ordinary shares at a price of $14 per share, vesting over three years.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289"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56</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total of nine persons who served either as an executive officer or director of Amdocs during fiscal year 1998 received remuneration from Amdocs. The aggregate remuneration paid by us to such persons was approximately $4 million, which includes amounts set aside or accrued to provide pension, retirement or similar benefits, but does not include amounts expended by us for automobiles made available to our officers, expenses (including business travel, professional and business association dues) or other fringe benefits.</w:t>
      </w:r>
    </w:p>
    <w:p>
      <w:pPr>
        <w:spacing w:after="0" w:line="177" w:lineRule="exact"/>
        <w:rPr>
          <w:sz w:val="20"/>
          <w:szCs w:val="20"/>
          <w:color w:val="auto"/>
        </w:rPr>
      </w:pPr>
    </w:p>
    <w:p>
      <w:pPr>
        <w:ind w:right="3159" w:firstLine="447"/>
        <w:spacing w:after="0" w:line="267" w:lineRule="auto"/>
        <w:rPr>
          <w:sz w:val="20"/>
          <w:szCs w:val="20"/>
          <w:color w:val="auto"/>
        </w:rPr>
      </w:pPr>
      <w:r>
        <w:rPr>
          <w:rFonts w:ascii="Courier New" w:cs="Courier New" w:eastAsia="Courier New" w:hAnsi="Courier New"/>
          <w:sz w:val="14"/>
          <w:szCs w:val="14"/>
          <w:color w:val="auto"/>
        </w:rPr>
        <w:t>During fiscal 1998, we granted options to six executive officers and directors to purchase a total of 448,000 ordinary shares at an average exercise price of $8.20 per share, with vesting over three to eight-year terms.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OPTIONS</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From January, 1998 through July 31, 1999 we granted options, net of forfeitures, to purchase approximately 6,070,000 ordinary shares to our officers and employees, and options to purchase 41,000 ordinary shares to our non-employee directors and consultants, pursuant to a stock option and incentive plan adopted in January 1998. The weighted average exercise price of those options is $11.52. The options vest over a period of three to eight years commencing from the date of grant. There are currently 6,600,000 ordinary shares reserved for issuance under the stock option plan. The purpose of the stock option plan is to enable us to attract and retain qualified personnel and to motivate such persons by providing them with an equity participation in Amdocs. The stock option plan is administered by a committee appointed by the Board and expires ten years after the date of its adoption.</w:t>
      </w:r>
    </w:p>
    <w:p>
      <w:pPr>
        <w:spacing w:after="0" w:line="200" w:lineRule="exact"/>
        <w:rPr>
          <w:sz w:val="20"/>
          <w:szCs w:val="20"/>
          <w:color w:val="auto"/>
        </w:rPr>
      </w:pPr>
    </w:p>
    <w:p>
      <w:pPr>
        <w:spacing w:after="0" w:line="32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ordinary shares acquired upon exercise of an option and the restricted shares that may be granted under the stock option plan will be subject to certain restrictions on transfer, sale or hypothecation. Options will be exercisable and restrictions on disposition of shares will lapse pursuant to the terms of the individual agreements under which such options were granted or shares issued.</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TRUST AGREEMENT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September 1997, we contributed $25.8 million to an irrevocable secular trust, or the Trust, the beneficiaries of which are primarily software and information technology specialists who have played an important role in our success. The Trust will distribute on specified dates within the next five years cash amounts to those beneficiaries employed by us on those dates. The amounts to be distributed to the beneficiaries employed by us on the relevant dates will include any appreciation in the value of the Trust's assets and are dependent upon certain conditions, such as the amount of cash available and the Trust's ability to realize the value of the assets it holds. Termination of a beneficiary's employment with Amdocs will not affect entitlement to a beneficiary's minimum interest in the Trust which was fixed at the time of our contribution to the Trust, and any terminated employee will receive such interest in September 2007. In September 1997, the Trust used the contribution from Amdocs and other resources to purchase 5,720,000 ordinary shares from us for an aggregate consideration of approximately $31.6 million. The Trust is required to liquidate any investments held in respect of any beneficiary and distribute only a cash payment.</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89"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57</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CERTAIN TRANSACTIONS</w:t>
      </w:r>
    </w:p>
    <w:p>
      <w:pPr>
        <w:spacing w:after="0" w:line="174" w:lineRule="exact"/>
        <w:rPr>
          <w:sz w:val="20"/>
          <w:szCs w:val="20"/>
          <w:color w:val="auto"/>
        </w:rPr>
      </w:pPr>
    </w:p>
    <w:p>
      <w:pPr>
        <w:ind w:left="440"/>
        <w:spacing w:after="0"/>
        <w:tabs>
          <w:tab w:leader="none" w:pos="2560" w:val="left"/>
        </w:tabs>
        <w:rPr>
          <w:sz w:val="20"/>
          <w:szCs w:val="20"/>
          <w:color w:val="auto"/>
        </w:rPr>
      </w:pPr>
      <w:r>
        <w:rPr>
          <w:rFonts w:ascii="Courier New" w:cs="Courier New" w:eastAsia="Courier New" w:hAnsi="Courier New"/>
          <w:sz w:val="15"/>
          <w:szCs w:val="15"/>
          <w:color w:val="auto"/>
        </w:rPr>
        <w:t>INVESTMENT AGREEMENTS.</w:t>
      </w:r>
      <w:r>
        <w:rPr>
          <w:sz w:val="20"/>
          <w:szCs w:val="20"/>
          <w:color w:val="auto"/>
        </w:rPr>
        <w:tab/>
      </w:r>
      <w:r>
        <w:rPr>
          <w:rFonts w:ascii="Courier New" w:cs="Courier New" w:eastAsia="Courier New" w:hAnsi="Courier New"/>
          <w:sz w:val="14"/>
          <w:szCs w:val="14"/>
          <w:color w:val="auto"/>
        </w:rPr>
        <w:t>In September 1997, Amdocs and the WCAS Investors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entered into a Share Subscription Agreement under which the WCAS Investors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acquired from us on September 22, 1997, $3.27 million principal amount of our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junior promissory notes and shares representing 8.7% of our then outstanding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equity for $61.2 million. On that date, Amdocs and the WCAS Investors also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entered into a Conditional Investment Agreement, under which the WCAS Investors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subject to the satisfaction of specific revenue and cash flow targets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through November 30, 1997, to acquire additional shares of Amdocs which, when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added to the shares acquired under the Share Subscription Agreement, would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constitute 35.0% of our outstanding equity as of September 22, 1997.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Concurrently with the signing of the Conditional Investment Agreement,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of Amdocs, ESM, entered into a Note Purchase Agreement with WCAS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Partners III, L.P., an investment partnership affiliated with WCAS,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several other investors, providing for the issuance of up to $125.0 million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amount of 10% subordinated notes of ESM, subject to the satisfaction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same financial targets set forth in the Conditional Investment Agreement.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January 1998, with the financial targets having been met, ESM sold $123.5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principal amount of subordinated notes under the Note Purchase Agreement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 purchase price equal to their principal amount. On March 30, 1998, we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completed the transactions contemplated by the Conditional Investment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issuing and selling to the WCAS Investors 51,507,716 ordinary shares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$95.83 million in cash and the surrender of the $3.27 million principal amount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junior promissory notes issued by us in September 1997.</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Some entities in which several of our directors and executive officers and our subsidiaries have a beneficial interest participated in the investments made pursuant to the Share Subscription Agreement and the Conditional Investment Agreement and acquired beneficial ownership of 2,078,336 ordinary shares for a total investment of $4.0 million.</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proceeds of the equity and subordinated debt investments made under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Subscription Agreement, the Conditional Investment Agreement and the Note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Agreement were used, together with the proceeds of a senior bank debt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 and internally generated funds, (1) to acquire for $40.0 million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intellectual property rights from operating subsidiaries of SBC and (2)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fund an internal corporate reorganization. Following the reorganization,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$478.7 million in dividends were paid to our shareholders, including a total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$39.9 million to the WCAS Investors.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In September 1997, the WCAS Investors (investment partnerships affiliated with WCAS and some other investors, including certain entities in which some directors and executive officers of our subsidiaries have a beneficial interest) also granted a call option on some of the ordinary shares acquired under the Share Subscription Agreement and the Conditional Investment Agreement to our then existing shareholders, AIL, SBCI, several entities in some of which some of our executive officers have a beneficial interest and the Trust. The call option may be exercised, without the payment of any consideration to the WCAS Investors, if specific revenue and cash flow targets are met in fiscal 1998 and fiscal 1999. The targets in fiscal 1998 were satisfied in full. If fully exercised, the call option would decrease the ownership of the WCAS Investors from 59,412,656 to 44,214,616 and increase the relative ownership of AIL, SBCI and the other investors with no change in the aggregate number of ordinary shares outstanding. If the conditions of the call option agreement are satisfied in full, AIL and SBCI each have the right to receive 6,154,138 ordinary shares and the other investors have the right to receive 2,889,764 ordinary shares.</w:t>
      </w:r>
    </w:p>
    <w:p>
      <w:pPr>
        <w:spacing w:after="0" w:line="16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SHAREHOLDERS AGREEMENT. In connection with the Share Subscription Agreement and Conditional Investment Agreement, SBCI, WCAS (on behalf of the WCAS Investors), AIL and Amdocs, entered into a shareholders agreement, under which these shareholders have certain rights to have their shares registered for sale to the public under the Securities Act of 1933.</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289"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58</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RELATIONSHIP WITH SBC. Until September 1997, SBC and some of its operating subsidiaries had specified ownership and marketing rights with respect to some of our software products that were developed and owned jointly by us and such SBC subsidiaries. In September 1997, we entered into a series of agreements with these SBC subsidiaries pursuant to which we purchased certain rights from them and terminated related future royalty payment obligations for a total consideration of $40.0 million.</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March 1999, we entered into an agreement with a subsidiary of SBC, under which SBC has agreed that the level of support and development services that we will provide to SBC and its subsidiaries over the next three years will be at least equal to a substantial portion of the services we currently provide to SBC.</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SBC and some of its operating subsidiaries are also significant customers of ours. During the first nine months of fiscal 1999 and fiscal 1998, 1997 and 1996, SBC and those subsidiaries accounted for approximately 15.7%, 20.8%, 34.5% and 38.0%, respectively, of our revenue.</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1995 REORGANIZATION. Prior to 1995, Amdocs and our operating subsidiaries were operated as a group of companies owned by common shareholders. In 1995, the companies underwent a reorganization, or the 1995 Reorganization, as a result of which Amdocs Limited became the holding company for all the affiliated companies. Subsequent to the reorganization, we issued shares for a total of $16.6 million to several entities in some of which some of our officers, including one of our directors, have a beneficial interest. In connection with the 1995 Reorganization, these entities entered into shareholders agreements with SBCI and AIL, or the 1995 Shareholders Agreements, in March and September of 1995. Pursuant to the 1995 Shareholders Agreements, the parties thereto have, subject to the occurrence of specified events, call and put rights with respect to the shares issued in connection with the 1995 Reorganization, which may be exercised at a price less than the original purchase price. These rights expire ratably over time and fully expire in 1999, in the case of one such entity, and 2002, in all other cases. The exercise of such rights will not affect the number of outstanding ordinary shares.</w:t>
      </w:r>
    </w:p>
    <w:p>
      <w:pPr>
        <w:spacing w:after="0" w:line="18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OTHER RELATIONSHIPS. Since fiscal 1997, we have provided a CC&amp;B System and related customization and implementation services to GoldenLines Limited, a provider of international telephone service for calls to and from Israel. SBC and Morris S. Kahn have a significant beneficial interest in GoldenLines.</w:t>
      </w:r>
    </w:p>
    <w:p>
      <w:pPr>
        <w:spacing w:after="0" w:line="175"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SBC and Mr. Kahn also are the beneficial owners of a company that leases office facilities and provides certain miscellaneous support services to us in Israel.</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connection with the ITDS transaction AIL entered into an agreement with us under which they will compensate us in the event that our share price as determined for purposes of computing the exchange ratio in the merger falls below $27.50 (our ordinary share price on the date of the merger agreement). Under that agreement, AIL will contribute to us 55% of the number of additional ordinary shares we are required to issue in the merger as a result of our ordinary share price falling below $27.50 up to a maximum of 550,000 ordinary shares. If this offering is withdrawn or terminated without the sale in the offering of any of AIL's ordinary shares prior to the closing of the merger, AIL will contribute to us under the agreement the number of additional ordinary shares we are required to issue in the merger as a result of our ordinary share price falling below $27.50, and up to a maximum of 150,000. See "Management's Discussion and Analysis of Results of Operations and Financial</w:t>
      </w:r>
    </w:p>
    <w:p>
      <w:pPr>
        <w:spacing w:after="0" w:line="9"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Condition -- Recent Developments" for further discussion of the exchange ratio computation.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289" w:right="1440" w:bottom="1440" w:gutter="0" w:footer="0" w:header="0"/>
        </w:sectPr>
      </w:pPr>
    </w:p>
    <w:bookmarkStart w:id="58" w:name="page59"/>
    <w:bookmarkEnd w:id="58"/>
    <w:p>
      <w:pPr>
        <w:ind w:left="268"/>
        <w:spacing w:after="0"/>
        <w:rPr>
          <w:sz w:val="20"/>
          <w:szCs w:val="20"/>
          <w:color w:val="auto"/>
        </w:rPr>
      </w:pPr>
      <w:r>
        <w:rPr>
          <w:rFonts w:ascii="Courier New" w:cs="Courier New" w:eastAsia="Courier New" w:hAnsi="Courier New"/>
          <w:sz w:val="15"/>
          <w:szCs w:val="15"/>
          <w:color w:val="auto"/>
        </w:rPr>
        <w:t>59</w:t>
      </w:r>
    </w:p>
    <w:p>
      <w:pPr>
        <w:spacing w:after="0" w:line="174"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PRINCIPAL SHAREHOLDERS AND SELLING SHAREHOLDER</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All of the shares that are offered in this offering will be sold by Amdocs International Limited. In addition, Amdocs International Limited has granted to the underwriters an option to purchase an aggregate of up to 2,700,000 additional ordinary shares solely to cover over-allotments.</w:t>
      </w:r>
    </w:p>
    <w:p>
      <w:pPr>
        <w:spacing w:after="0" w:line="34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following table sets forth specified information with respect to the beneficial ownership (before and after giving effect to the sale of ordinary shares pursuant to this prospectus) as of September 30, 1999 of (i) any person known by us to be the beneficial owner of more than 10% of the outstanding ordinary shares, (ii) all of our directors and executive officers as a group and (iii) the selling shareholder.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88"/>
        <w:spacing w:after="0"/>
        <w:tabs>
          <w:tab w:leader="none" w:pos="7228" w:val="left"/>
        </w:tabs>
        <w:rPr>
          <w:sz w:val="20"/>
          <w:szCs w:val="20"/>
          <w:color w:val="auto"/>
        </w:rPr>
      </w:pPr>
      <w:r>
        <w:rPr>
          <w:rFonts w:ascii="Courier New" w:cs="Courier New" w:eastAsia="Courier New" w:hAnsi="Courier New"/>
          <w:sz w:val="15"/>
          <w:szCs w:val="15"/>
          <w:color w:val="auto"/>
        </w:rPr>
        <w:t>SHARES BENEFICIALLY OWNED</w:t>
      </w:r>
      <w:r>
        <w:rPr>
          <w:sz w:val="20"/>
          <w:szCs w:val="20"/>
          <w:color w:val="auto"/>
        </w:rPr>
        <w:tab/>
      </w:r>
      <w:r>
        <w:rPr>
          <w:rFonts w:ascii="Courier New" w:cs="Courier New" w:eastAsia="Courier New" w:hAnsi="Courier New"/>
          <w:sz w:val="14"/>
          <w:szCs w:val="14"/>
          <w:color w:val="auto"/>
        </w:rPr>
        <w:t>SHARED BENEFICIALLY OWNED</w:t>
      </w:r>
    </w:p>
    <w:p>
      <w:pPr>
        <w:spacing w:after="0" w:line="2" w:lineRule="exact"/>
        <w:rPr>
          <w:sz w:val="20"/>
          <w:szCs w:val="20"/>
          <w:color w:val="auto"/>
        </w:rPr>
      </w:pPr>
    </w:p>
    <w:p>
      <w:pPr>
        <w:ind w:left="3668"/>
        <w:spacing w:after="0"/>
        <w:tabs>
          <w:tab w:leader="none" w:pos="6248" w:val="left"/>
          <w:tab w:leader="none" w:pos="7588" w:val="left"/>
        </w:tabs>
        <w:rPr>
          <w:sz w:val="20"/>
          <w:szCs w:val="20"/>
          <w:color w:val="auto"/>
        </w:rPr>
      </w:pPr>
      <w:r>
        <w:rPr>
          <w:rFonts w:ascii="Courier New" w:cs="Courier New" w:eastAsia="Courier New" w:hAnsi="Courier New"/>
          <w:sz w:val="15"/>
          <w:szCs w:val="15"/>
          <w:color w:val="auto"/>
        </w:rPr>
        <w:t>PRIOR TO THE OFFERING</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4"/>
          <w:szCs w:val="14"/>
          <w:color w:val="auto"/>
        </w:rPr>
        <w:t>AFTER THE OFFERING</w:t>
      </w:r>
    </w:p>
    <w:p>
      <w:pPr>
        <w:spacing w:after="0" w:line="2" w:lineRule="exact"/>
        <w:rPr>
          <w:sz w:val="20"/>
          <w:szCs w:val="20"/>
          <w:color w:val="auto"/>
        </w:rPr>
      </w:pPr>
    </w:p>
    <w:p>
      <w:pPr>
        <w:ind w:left="3488"/>
        <w:spacing w:after="0"/>
        <w:tabs>
          <w:tab w:leader="none" w:pos="6248" w:val="left"/>
          <w:tab w:leader="none" w:pos="722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BEING</w:t>
      </w:r>
      <w:r>
        <w:rPr>
          <w:sz w:val="20"/>
          <w:szCs w:val="20"/>
          <w:color w:val="auto"/>
        </w:rPr>
        <w:tab/>
      </w:r>
      <w:r>
        <w:rPr>
          <w:rFonts w:ascii="Courier New" w:cs="Courier New" w:eastAsia="Courier New" w:hAnsi="Courier New"/>
          <w:sz w:val="14"/>
          <w:szCs w:val="14"/>
          <w:color w:val="auto"/>
        </w:rPr>
        <w:t>--------------------------</w:t>
      </w:r>
    </w:p>
    <w:p>
      <w:pPr>
        <w:spacing w:after="0" w:line="2" w:lineRule="exact"/>
        <w:rPr>
          <w:sz w:val="20"/>
          <w:szCs w:val="20"/>
          <w:color w:val="auto"/>
        </w:rPr>
      </w:pPr>
    </w:p>
    <w:p>
      <w:pPr>
        <w:ind w:left="8"/>
        <w:spacing w:after="0"/>
        <w:tabs>
          <w:tab w:leader="none" w:pos="3548" w:val="left"/>
          <w:tab w:leader="none" w:pos="4808" w:val="left"/>
          <w:tab w:leader="none" w:pos="6148" w:val="left"/>
          <w:tab w:leader="none" w:pos="7308" w:val="left"/>
          <w:tab w:leader="none" w:pos="8568" w:val="left"/>
        </w:tabs>
        <w:rPr>
          <w:sz w:val="20"/>
          <w:szCs w:val="20"/>
          <w:color w:val="auto"/>
        </w:rPr>
      </w:pPr>
      <w:r>
        <w:rPr>
          <w:rFonts w:ascii="Courier New" w:cs="Courier New" w:eastAsia="Courier New" w:hAnsi="Courier New"/>
          <w:sz w:val="15"/>
          <w:szCs w:val="15"/>
          <w:color w:val="auto"/>
        </w:rPr>
        <w:t>NAME AND ADDRESS</w:t>
      </w:r>
      <w:r>
        <w:rPr>
          <w:sz w:val="20"/>
          <w:szCs w:val="20"/>
          <w:color w:val="auto"/>
        </w:rPr>
        <w:tab/>
      </w:r>
      <w:r>
        <w:rPr>
          <w:rFonts w:ascii="Courier New" w:cs="Courier New" w:eastAsia="Courier New" w:hAnsi="Courier New"/>
          <w:sz w:val="15"/>
          <w:szCs w:val="15"/>
          <w:color w:val="auto"/>
        </w:rPr>
        <w:t>NUMBER(1)</w:t>
      </w:r>
      <w:r>
        <w:rPr>
          <w:sz w:val="20"/>
          <w:szCs w:val="20"/>
          <w:color w:val="auto"/>
        </w:rPr>
        <w:tab/>
      </w:r>
      <w:r>
        <w:rPr>
          <w:rFonts w:ascii="Courier New" w:cs="Courier New" w:eastAsia="Courier New" w:hAnsi="Courier New"/>
          <w:sz w:val="15"/>
          <w:szCs w:val="15"/>
          <w:color w:val="auto"/>
        </w:rPr>
        <w:t>PERCENT(2)</w:t>
      </w:r>
      <w:r>
        <w:rPr>
          <w:sz w:val="20"/>
          <w:szCs w:val="20"/>
          <w:color w:val="auto"/>
        </w:rPr>
        <w:tab/>
      </w:r>
      <w:r>
        <w:rPr>
          <w:rFonts w:ascii="Courier New" w:cs="Courier New" w:eastAsia="Courier New" w:hAnsi="Courier New"/>
          <w:sz w:val="15"/>
          <w:szCs w:val="15"/>
          <w:color w:val="auto"/>
        </w:rPr>
        <w:t>OFFERED</w:t>
      </w:r>
      <w:r>
        <w:rPr>
          <w:sz w:val="20"/>
          <w:szCs w:val="20"/>
          <w:color w:val="auto"/>
        </w:rPr>
        <w:tab/>
      </w:r>
      <w:r>
        <w:rPr>
          <w:rFonts w:ascii="Courier New" w:cs="Courier New" w:eastAsia="Courier New" w:hAnsi="Courier New"/>
          <w:sz w:val="15"/>
          <w:szCs w:val="15"/>
          <w:color w:val="auto"/>
        </w:rPr>
        <w:t>NUMBER(1)</w:t>
      </w:r>
      <w:r>
        <w:rPr>
          <w:sz w:val="20"/>
          <w:szCs w:val="20"/>
          <w:color w:val="auto"/>
        </w:rPr>
        <w:tab/>
      </w:r>
      <w:r>
        <w:rPr>
          <w:rFonts w:ascii="Courier New" w:cs="Courier New" w:eastAsia="Courier New" w:hAnsi="Courier New"/>
          <w:sz w:val="15"/>
          <w:szCs w:val="15"/>
          <w:color w:val="auto"/>
        </w:rPr>
        <w:t>PERCENT(2)</w:t>
      </w:r>
    </w:p>
    <w:p>
      <w:pPr>
        <w:spacing w:after="0" w:line="2" w:lineRule="exact"/>
        <w:rPr>
          <w:sz w:val="20"/>
          <w:szCs w:val="20"/>
          <w:color w:val="auto"/>
        </w:rPr>
      </w:pPr>
    </w:p>
    <w:p>
      <w:pPr>
        <w:ind w:left="8"/>
        <w:spacing w:after="0"/>
        <w:tabs>
          <w:tab w:leader="none" w:pos="3648" w:val="left"/>
          <w:tab w:leader="none" w:pos="4988" w:val="left"/>
          <w:tab w:leader="none" w:pos="6248" w:val="left"/>
          <w:tab w:leader="none" w:pos="7408" w:val="left"/>
          <w:tab w:leader="none" w:pos="874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Welsh, Carson, Anderson &amp;</w:t>
      </w:r>
    </w:p>
    <w:p>
      <w:pPr>
        <w:spacing w:after="0" w:line="2" w:lineRule="exact"/>
        <w:rPr>
          <w:sz w:val="20"/>
          <w:szCs w:val="20"/>
          <w:color w:val="auto"/>
        </w:rPr>
      </w:pPr>
    </w:p>
    <w:p>
      <w:pPr>
        <w:ind w:left="188"/>
        <w:spacing w:after="0"/>
        <w:tabs>
          <w:tab w:leader="none" w:pos="3548" w:val="left"/>
          <w:tab w:leader="none" w:pos="5088" w:val="left"/>
          <w:tab w:leader="none" w:pos="6768" w:val="left"/>
          <w:tab w:leader="none" w:pos="7308" w:val="left"/>
          <w:tab w:leader="none" w:pos="8828" w:val="left"/>
        </w:tabs>
        <w:rPr>
          <w:sz w:val="20"/>
          <w:szCs w:val="20"/>
          <w:color w:val="auto"/>
        </w:rPr>
      </w:pPr>
      <w:r>
        <w:rPr>
          <w:rFonts w:ascii="Courier New" w:cs="Courier New" w:eastAsia="Courier New" w:hAnsi="Courier New"/>
          <w:sz w:val="15"/>
          <w:szCs w:val="15"/>
          <w:color w:val="auto"/>
        </w:rPr>
        <w:t>Stowe(3)(5)........................</w:t>
        <w:tab/>
        <w:t>54,445,228</w:t>
      </w:r>
      <w:r>
        <w:rPr>
          <w:sz w:val="20"/>
          <w:szCs w:val="20"/>
          <w:color w:val="auto"/>
        </w:rPr>
        <w:tab/>
      </w:r>
      <w:r>
        <w:rPr>
          <w:rFonts w:ascii="Courier New" w:cs="Courier New" w:eastAsia="Courier New" w:hAnsi="Courier New"/>
          <w:sz w:val="15"/>
          <w:szCs w:val="15"/>
          <w:color w:val="auto"/>
        </w:rPr>
        <w:t>27.4%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54,445,228</w:t>
      </w:r>
      <w:r>
        <w:rPr>
          <w:sz w:val="20"/>
          <w:szCs w:val="20"/>
          <w:color w:val="auto"/>
        </w:rPr>
        <w:tab/>
      </w:r>
      <w:r>
        <w:rPr>
          <w:rFonts w:ascii="Courier New" w:cs="Courier New" w:eastAsia="Courier New" w:hAnsi="Courier New"/>
          <w:sz w:val="15"/>
          <w:szCs w:val="15"/>
          <w:color w:val="auto"/>
        </w:rPr>
        <w:t>27.4%</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320 Park Avenue, Suite 2500</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New York, New York 10022</w:t>
      </w:r>
    </w:p>
    <w:p>
      <w:pPr>
        <w:spacing w:after="0" w:line="2" w:lineRule="exact"/>
        <w:rPr>
          <w:sz w:val="20"/>
          <w:szCs w:val="20"/>
          <w:color w:val="auto"/>
        </w:rPr>
      </w:pPr>
    </w:p>
    <w:p>
      <w:pPr>
        <w:ind w:left="8"/>
        <w:spacing w:after="0"/>
        <w:tabs>
          <w:tab w:leader="none" w:pos="3548" w:val="left"/>
          <w:tab w:leader="none" w:pos="5088" w:val="left"/>
          <w:tab w:leader="none" w:pos="6768" w:val="left"/>
          <w:tab w:leader="none" w:pos="7308" w:val="left"/>
          <w:tab w:leader="none" w:pos="8828" w:val="left"/>
        </w:tabs>
        <w:rPr>
          <w:sz w:val="20"/>
          <w:szCs w:val="20"/>
          <w:color w:val="auto"/>
        </w:rPr>
      </w:pPr>
      <w:r>
        <w:rPr>
          <w:rFonts w:ascii="Courier New" w:cs="Courier New" w:eastAsia="Courier New" w:hAnsi="Courier New"/>
          <w:sz w:val="15"/>
          <w:szCs w:val="15"/>
          <w:color w:val="auto"/>
        </w:rPr>
        <w:t>SBC International, Inc.(4)...........</w:t>
        <w:tab/>
        <w:t>38,710,073</w:t>
      </w:r>
      <w:r>
        <w:rPr>
          <w:sz w:val="20"/>
          <w:szCs w:val="20"/>
          <w:color w:val="auto"/>
        </w:rPr>
        <w:tab/>
      </w:r>
      <w:r>
        <w:rPr>
          <w:rFonts w:ascii="Courier New" w:cs="Courier New" w:eastAsia="Courier New" w:hAnsi="Courier New"/>
          <w:sz w:val="15"/>
          <w:szCs w:val="15"/>
          <w:color w:val="auto"/>
        </w:rPr>
        <w:t>19.5%</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38,710,073</w:t>
      </w:r>
      <w:r>
        <w:rPr>
          <w:sz w:val="20"/>
          <w:szCs w:val="20"/>
          <w:color w:val="auto"/>
        </w:rPr>
        <w:tab/>
      </w:r>
      <w:r>
        <w:rPr>
          <w:rFonts w:ascii="Courier New" w:cs="Courier New" w:eastAsia="Courier New" w:hAnsi="Courier New"/>
          <w:sz w:val="15"/>
          <w:szCs w:val="15"/>
          <w:color w:val="auto"/>
        </w:rPr>
        <w:t>19.5%</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175 E. Houston Street</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San Antonio, Texas 78205-2233</w:t>
      </w:r>
    </w:p>
    <w:p>
      <w:pPr>
        <w:spacing w:after="0" w:line="2" w:lineRule="exact"/>
        <w:rPr>
          <w:sz w:val="20"/>
          <w:szCs w:val="20"/>
          <w:color w:val="auto"/>
        </w:rPr>
      </w:pPr>
    </w:p>
    <w:p>
      <w:pPr>
        <w:ind w:left="8"/>
        <w:spacing w:after="0"/>
        <w:tabs>
          <w:tab w:leader="none" w:pos="3548" w:val="left"/>
          <w:tab w:leader="none" w:pos="5088" w:val="left"/>
          <w:tab w:leader="none" w:pos="6068" w:val="left"/>
          <w:tab w:leader="none" w:pos="7308" w:val="left"/>
          <w:tab w:leader="none" w:pos="8928" w:val="left"/>
        </w:tabs>
        <w:rPr>
          <w:sz w:val="20"/>
          <w:szCs w:val="20"/>
          <w:color w:val="auto"/>
        </w:rPr>
      </w:pPr>
      <w:r>
        <w:rPr>
          <w:rFonts w:ascii="Courier New" w:cs="Courier New" w:eastAsia="Courier New" w:hAnsi="Courier New"/>
          <w:sz w:val="15"/>
          <w:szCs w:val="15"/>
          <w:color w:val="auto"/>
        </w:rPr>
        <w:t>Amdocs International Limited(5)(6)...</w:t>
        <w:tab/>
        <w:t>36,170,051</w:t>
      </w:r>
      <w:r>
        <w:rPr>
          <w:sz w:val="20"/>
          <w:szCs w:val="20"/>
          <w:color w:val="auto"/>
        </w:rPr>
        <w:tab/>
      </w:r>
      <w:r>
        <w:rPr>
          <w:rFonts w:ascii="Courier New" w:cs="Courier New" w:eastAsia="Courier New" w:hAnsi="Courier New"/>
          <w:sz w:val="15"/>
          <w:szCs w:val="15"/>
          <w:color w:val="auto"/>
        </w:rPr>
        <w:t>18.2%</w:t>
      </w:r>
      <w:r>
        <w:rPr>
          <w:sz w:val="20"/>
          <w:szCs w:val="20"/>
          <w:color w:val="auto"/>
        </w:rPr>
        <w:tab/>
      </w:r>
      <w:r>
        <w:rPr>
          <w:rFonts w:ascii="Courier New" w:cs="Courier New" w:eastAsia="Courier New" w:hAnsi="Courier New"/>
          <w:sz w:val="15"/>
          <w:szCs w:val="15"/>
          <w:color w:val="auto"/>
        </w:rPr>
        <w:t>18,000,000</w:t>
      </w:r>
      <w:r>
        <w:rPr>
          <w:sz w:val="20"/>
          <w:szCs w:val="20"/>
          <w:color w:val="auto"/>
        </w:rPr>
        <w:tab/>
      </w:r>
      <w:r>
        <w:rPr>
          <w:rFonts w:ascii="Courier New" w:cs="Courier New" w:eastAsia="Courier New" w:hAnsi="Courier New"/>
          <w:sz w:val="15"/>
          <w:szCs w:val="15"/>
          <w:color w:val="auto"/>
        </w:rPr>
        <w:t>18,170,051</w:t>
      </w:r>
      <w:r>
        <w:rPr>
          <w:sz w:val="20"/>
          <w:szCs w:val="20"/>
          <w:color w:val="auto"/>
        </w:rPr>
        <w:tab/>
      </w:r>
      <w:r>
        <w:rPr>
          <w:rFonts w:ascii="Courier New" w:cs="Courier New" w:eastAsia="Courier New" w:hAnsi="Courier New"/>
          <w:sz w:val="15"/>
          <w:szCs w:val="15"/>
          <w:color w:val="auto"/>
        </w:rPr>
        <w:t>9.1%</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Suite 5, Tower Hill House</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Le Bordage, St. Peter Port</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Guernsey GY1 3QT</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The Channel Islands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All directors and executive officers</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as a group (18</w:t>
      </w:r>
    </w:p>
    <w:p>
      <w:pPr>
        <w:spacing w:after="0" w:line="2" w:lineRule="exact"/>
        <w:rPr>
          <w:sz w:val="20"/>
          <w:szCs w:val="20"/>
          <w:color w:val="auto"/>
        </w:rPr>
      </w:pPr>
    </w:p>
    <w:p>
      <w:pPr>
        <w:ind w:left="188"/>
        <w:spacing w:after="0"/>
        <w:tabs>
          <w:tab w:leader="none" w:pos="3468" w:val="left"/>
          <w:tab w:leader="none" w:pos="5088" w:val="left"/>
          <w:tab w:leader="none" w:pos="6068" w:val="left"/>
          <w:tab w:leader="none" w:pos="7228" w:val="left"/>
          <w:tab w:leader="none" w:pos="8828" w:val="left"/>
        </w:tabs>
        <w:rPr>
          <w:sz w:val="20"/>
          <w:szCs w:val="20"/>
          <w:color w:val="auto"/>
        </w:rPr>
      </w:pPr>
      <w:r>
        <w:rPr>
          <w:rFonts w:ascii="Courier New" w:cs="Courier New" w:eastAsia="Courier New" w:hAnsi="Courier New"/>
          <w:sz w:val="15"/>
          <w:szCs w:val="15"/>
          <w:color w:val="auto"/>
        </w:rPr>
        <w:t>persons)(3)(4)(7)(8)...............</w:t>
        <w:tab/>
        <w:t>146,079,464</w:t>
      </w:r>
      <w:r>
        <w:rPr>
          <w:sz w:val="20"/>
          <w:szCs w:val="20"/>
          <w:color w:val="auto"/>
        </w:rPr>
        <w:tab/>
      </w:r>
      <w:r>
        <w:rPr>
          <w:rFonts w:ascii="Courier New" w:cs="Courier New" w:eastAsia="Courier New" w:hAnsi="Courier New"/>
          <w:sz w:val="15"/>
          <w:szCs w:val="15"/>
          <w:color w:val="auto"/>
        </w:rPr>
        <w:t>73.5%</w:t>
      </w:r>
      <w:r>
        <w:rPr>
          <w:sz w:val="20"/>
          <w:szCs w:val="20"/>
          <w:color w:val="auto"/>
        </w:rPr>
        <w:tab/>
      </w:r>
      <w:r>
        <w:rPr>
          <w:rFonts w:ascii="Courier New" w:cs="Courier New" w:eastAsia="Courier New" w:hAnsi="Courier New"/>
          <w:sz w:val="15"/>
          <w:szCs w:val="15"/>
          <w:color w:val="auto"/>
        </w:rPr>
        <w:t>18,000,000</w:t>
      </w:r>
      <w:r>
        <w:rPr>
          <w:sz w:val="20"/>
          <w:szCs w:val="20"/>
          <w:color w:val="auto"/>
        </w:rPr>
        <w:tab/>
      </w:r>
      <w:r>
        <w:rPr>
          <w:rFonts w:ascii="Courier New" w:cs="Courier New" w:eastAsia="Courier New" w:hAnsi="Courier New"/>
          <w:sz w:val="15"/>
          <w:szCs w:val="15"/>
          <w:color w:val="auto"/>
        </w:rPr>
        <w:t>128,079,464</w:t>
      </w:r>
      <w:r>
        <w:rPr>
          <w:sz w:val="20"/>
          <w:szCs w:val="20"/>
          <w:color w:val="auto"/>
        </w:rPr>
        <w:tab/>
      </w:r>
      <w:r>
        <w:rPr>
          <w:rFonts w:ascii="Courier New" w:cs="Courier New" w:eastAsia="Courier New" w:hAnsi="Courier New"/>
          <w:sz w:val="15"/>
          <w:szCs w:val="15"/>
          <w:color w:val="auto"/>
        </w:rPr>
        <w:t>64.4%</w:t>
      </w:r>
    </w:p>
    <w:p>
      <w:pPr>
        <w:spacing w:after="0" w:line="346" w:lineRule="exact"/>
        <w:rPr>
          <w:sz w:val="20"/>
          <w:szCs w:val="20"/>
          <w:color w:val="auto"/>
        </w:rPr>
      </w:pPr>
    </w:p>
    <w:p>
      <w:pPr>
        <w:ind w:left="188" w:hanging="188"/>
        <w:spacing w:after="0"/>
        <w:tabs>
          <w:tab w:leader="none" w:pos="18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448" w:right="3079" w:hanging="359"/>
        <w:spacing w:after="0" w:line="242" w:lineRule="auto"/>
        <w:tabs>
          <w:tab w:leader="none" w:pos="448"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indicated, the entities and individuals identified in this table have sole voting and investment power with respect to all ordinary shares and sole investment power with respect to all ordinary nonvoting shares shown as beneficially owned by them, subject to community property laws, where applicable.</w:t>
      </w:r>
    </w:p>
    <w:p>
      <w:pPr>
        <w:spacing w:after="0" w:line="347" w:lineRule="exact"/>
        <w:rPr>
          <w:rFonts w:ascii="Courier New" w:cs="Courier New" w:eastAsia="Courier New" w:hAnsi="Courier New"/>
          <w:sz w:val="15"/>
          <w:szCs w:val="15"/>
          <w:color w:val="auto"/>
        </w:rPr>
      </w:pPr>
    </w:p>
    <w:p>
      <w:pPr>
        <w:ind w:left="448" w:right="3259" w:hanging="359"/>
        <w:spacing w:after="0" w:line="274" w:lineRule="auto"/>
        <w:tabs>
          <w:tab w:leader="none" w:pos="448"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percentages shown are based on 174,589,951 ordinary voting shares and 24,210,073 ordinary nonvoting shares outstanding on September 30, 1999.</w:t>
      </w:r>
    </w:p>
    <w:p>
      <w:pPr>
        <w:spacing w:after="0" w:line="325" w:lineRule="exact"/>
        <w:rPr>
          <w:rFonts w:ascii="Courier New" w:cs="Courier New" w:eastAsia="Courier New" w:hAnsi="Courier New"/>
          <w:sz w:val="14"/>
          <w:szCs w:val="14"/>
          <w:color w:val="auto"/>
        </w:rPr>
      </w:pPr>
    </w:p>
    <w:p>
      <w:pPr>
        <w:ind w:left="448" w:right="3079" w:hanging="359"/>
        <w:spacing w:after="0" w:line="261" w:lineRule="auto"/>
        <w:tabs>
          <w:tab w:leader="none" w:pos="448"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34,792,740 ordinary voting shares held by Welsh, Carson, Anderson &amp; Stowe VII, L.P., 9,978,181 ordinary voting shares held by Welsh, Carson, Anderson &amp; Stowe VI, L.P., 6,960,999 ordinary voting shares held by WCAS Capital Partners III, L.P., 226,512 ordinary voting shares held by WCAS Information Partners, L.P. and 2,486,796 ordinary voting shares held by partners and others affiliated with WCAS. Those partners are also partners of the sole general partner of each of the foregoing limited partnerships. The partners of WCAS who are also directors of Amdocs are Bruce K. Anderson (Chairman of the Board and Chief Executive Officer of Amdocs) and Robert A. Minicucci (Chief Financial Officer of Amdocs), and each may be deemed to be a beneficial owner of the ordinary voting shares held by WCAS.</w:t>
      </w:r>
    </w:p>
    <w:p>
      <w:pPr>
        <w:spacing w:after="0" w:line="166" w:lineRule="exact"/>
        <w:rPr>
          <w:rFonts w:ascii="Courier New" w:cs="Courier New" w:eastAsia="Courier New" w:hAnsi="Courier New"/>
          <w:sz w:val="14"/>
          <w:szCs w:val="14"/>
          <w:color w:val="auto"/>
        </w:rPr>
      </w:pPr>
    </w:p>
    <w:p>
      <w:pPr>
        <w:ind w:left="448" w:right="3439" w:hanging="359"/>
        <w:spacing w:after="0" w:line="242" w:lineRule="auto"/>
        <w:tabs>
          <w:tab w:leader="none" w:pos="448"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SBCI is a wholly-owned subsidiary of SBC, a company whose shares are publicly traded on the NYSE. The number of shares shown as beneficially owned by SBCI is comprised of 14,500,000 ordinary voting shares and 24,210,073 ordinary nonvoting shares. SBCI is the only shareholder of Amdocs that holds ordinary nonvoting shares.</w:t>
      </w:r>
    </w:p>
    <w:p>
      <w:pPr>
        <w:spacing w:after="0" w:line="175" w:lineRule="exact"/>
        <w:rPr>
          <w:rFonts w:ascii="Courier New" w:cs="Courier New" w:eastAsia="Courier New" w:hAnsi="Courier New"/>
          <w:sz w:val="15"/>
          <w:szCs w:val="15"/>
          <w:color w:val="auto"/>
        </w:rPr>
      </w:pPr>
    </w:p>
    <w:p>
      <w:pPr>
        <w:ind w:left="448" w:right="3439" w:hanging="359"/>
        <w:spacing w:after="0" w:line="242" w:lineRule="auto"/>
        <w:tabs>
          <w:tab w:leader="none" w:pos="448"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our recapitalization effected as of May 20, 1998, in advance of our initial public offering in June 1998, investment partnerships affiliated with WCAS and several entities in which some members of management have a beneficial interest granted</w:t>
      </w:r>
    </w:p>
    <w:p>
      <w:pPr>
        <w:sectPr>
          <w:pgSz w:w="11900" w:h="16838" w:orient="portrait"/>
          <w:cols w:equalWidth="0" w:num="1">
            <w:col w:w="10227"/>
          </w:cols>
          <w:pgMar w:left="232" w:top="289" w:right="1440" w:bottom="1440" w:gutter="0" w:footer="0" w:header="0"/>
        </w:sectPr>
      </w:pP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27"/>
          </w:cols>
          <w:pgMar w:left="232" w:top="289" w:right="1440" w:bottom="1440" w:gutter="0" w:footer="0" w:header="0"/>
          <w:type w:val="continuous"/>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60</w:t>
      </w:r>
    </w:p>
    <w:p>
      <w:pPr>
        <w:spacing w:after="0" w:line="348"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irrevocable proxies with respect to a total of 23,521,899 and 5,691,608 ordinary voting shares, respectively, to a company which is the sole shareholder of AIL and which is beneficially owned by Morris S. Kahn. The proxies granted by the</w:t>
      </w:r>
    </w:p>
    <w:p>
      <w:pPr>
        <w:spacing w:after="0" w:line="1" w:lineRule="exact"/>
        <w:rPr>
          <w:sz w:val="20"/>
          <w:szCs w:val="20"/>
          <w:color w:val="auto"/>
        </w:rPr>
      </w:pPr>
    </w:p>
    <w:p>
      <w:pPr>
        <w:ind w:left="440" w:right="3159"/>
        <w:spacing w:after="0" w:line="242" w:lineRule="auto"/>
        <w:rPr>
          <w:sz w:val="20"/>
          <w:szCs w:val="20"/>
          <w:color w:val="auto"/>
        </w:rPr>
      </w:pPr>
      <w:r>
        <w:rPr>
          <w:rFonts w:ascii="Courier New" w:cs="Courier New" w:eastAsia="Courier New" w:hAnsi="Courier New"/>
          <w:sz w:val="15"/>
          <w:szCs w:val="15"/>
          <w:color w:val="auto"/>
        </w:rPr>
        <w:t>WCAS partnerships expire in May 2008, or sooner if at any time the WCAS entities collectively own less than 10.0% of our outstanding capital shares. The proxies granted by several entities in which some members of management have a beneficial interest expire ratably over the next one or two years. Following the offering, it is intended that the proxies granted by WCAS to AIL, as well as certain proxies granted to AIL by several entities in which some members of our management have a beneficial interest, will be transferred or otherwise granted to SBCI. Several entities in which some members of management have beneficial interests granted irrevocable proxies with respect to an additional 4,786,110 ordinary voting shares to the sole shareholder of AIL. After giving effect to the offering, the proxies with respect to the 4,786,110 ordinary shares shall no longer be in effect. After giving effect to the sale of ordinary shares in this offering, AIL and its beneficial shareholder will together have the right to vote 27.1% of our ordinary voting shares, and WCAS will have the right to vote 20.6% of such shares.</w:t>
      </w:r>
    </w:p>
    <w:p>
      <w:pPr>
        <w:spacing w:after="0" w:line="355" w:lineRule="exact"/>
        <w:rPr>
          <w:sz w:val="20"/>
          <w:szCs w:val="20"/>
          <w:color w:val="auto"/>
        </w:rPr>
      </w:pPr>
    </w:p>
    <w:p>
      <w:pPr>
        <w:ind w:left="440" w:right="3079" w:hanging="359"/>
        <w:spacing w:after="0" w:line="242" w:lineRule="auto"/>
        <w:tabs>
          <w:tab w:leader="none" w:pos="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shown as beneficially owned by AIL includes 10,000,000 ordinary shares that AIL may be required to deliver to the Amdocs Automatic Common Exchange Security Trust, or the TRACES Trust, upon the exchange of Automatic Common Exchange Securities that were issued and sold by the TRACES Trust in June 1999. The Exchange Date for the Automatic Common Exchange Securities will occur no earlier than June 11, 2002.</w:t>
      </w:r>
    </w:p>
    <w:p>
      <w:pPr>
        <w:spacing w:after="0" w:line="176" w:lineRule="exact"/>
        <w:rPr>
          <w:rFonts w:ascii="Courier New" w:cs="Courier New" w:eastAsia="Courier New" w:hAnsi="Courier New"/>
          <w:sz w:val="15"/>
          <w:szCs w:val="15"/>
          <w:color w:val="auto"/>
        </w:rPr>
      </w:pPr>
    </w:p>
    <w:p>
      <w:pPr>
        <w:ind w:left="440" w:right="3159" w:hanging="359"/>
        <w:spacing w:after="0" w:line="241" w:lineRule="auto"/>
        <w:tabs>
          <w:tab w:leader="none" w:pos="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Affiliates of WCAS, SBCI and AIL serve on our board of directors and, accordingly, those affiliates may be deemed to be the beneficial owners of the shares held by such entities.</w:t>
      </w:r>
    </w:p>
    <w:p>
      <w:pPr>
        <w:spacing w:after="0" w:line="348" w:lineRule="exact"/>
        <w:rPr>
          <w:rFonts w:ascii="Courier New" w:cs="Courier New" w:eastAsia="Courier New" w:hAnsi="Courier New"/>
          <w:sz w:val="15"/>
          <w:szCs w:val="15"/>
          <w:color w:val="auto"/>
        </w:rPr>
      </w:pPr>
    </w:p>
    <w:p>
      <w:pPr>
        <w:ind w:left="440" w:right="3079" w:hanging="359"/>
        <w:spacing w:after="0" w:line="242" w:lineRule="auto"/>
        <w:tabs>
          <w:tab w:leader="none" w:pos="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our key executive officers will receive any of the proceeds from the sale of the ordinary shares in this offering. Entities in which some of our executive officers have the economic interests and several of our directors have indicated that they intend to purchase approximately 1.0 million of the ordinary shares being offered hereby. See "Underwriting." Excluding shares that may be purchased by those entities and directors, all of our key executive officers hold, directly and indirectly, economic interests in approximately 34.0% of our outstanding shares (of which 27.4% are held beneficially by WCAS).</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289"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61</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DESCRIPTION OF SHARE CAPITAL</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Our authorized capital stock consists of 500,000,000 ordinary shares, 50,000,000 ordinary nonvoting shares and 25,000,000 preferred shares, in each case, par value L 0.01.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ORDINARY SHARES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All of our issued and outstanding ordinary shares and ordinary nonvoting shares are, and the ordinary shares being offered by us hereunder when issued and paid for will be, validly issued, fully paid and non-assessable. Neither the ordinary shares nor the ordinary nonvoting shares have pre-emptive, subscription or redemption rights. Neither our Memorandum of Association or Articles of Association nor the laws of Guernsey restrict in any way the ownership or voting of ordinary shares held by non-residents of Guernsey.</w:t>
      </w:r>
    </w:p>
    <w:p>
      <w:pPr>
        <w:spacing w:after="0" w:line="177"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Except as to voting rights, the rights of the holders of ordinary shares and ordinary nonvoting shares are identical and such securities rank on a parity.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DIVIDEND AND LIQUIDATION RIGHTS. Holders of ordinary shares and ordinary nonvoting shares are entitled to receive equally, share for share, any dividends that may be declared by the board of directors out of funds legally available therefor. If, in the future, we declare cash dividends, such dividends will be payable in U.S. dollars. In the event of our liquidation, after satisfaction of liabilities to creditors, holders of ordinary shares and ordinary nonvoting shares are entitled to share pro rata in the net assets of Amdocs. Such rights may be affected by the grant of preferential dividend or distribution rights to the holders of a class or series of preferred shares that may be authorized in the future. Declaration of a final dividend (not exceeding the amounts proposed by our board of directors) requires shareholder approval by adoption of an ordinary resolution. Failure to obtain such shareholder approval does not affect previously paid interim dividends.</w:t>
      </w:r>
    </w:p>
    <w:p>
      <w:pPr>
        <w:spacing w:after="0" w:line="181"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VOTING, SHAREHOLDER MEETINGS AND RESOLUTIONS. Holders of ordinary shares have one vote for each ordinary share held on all matters submitted to a vote of shareholders. These voting rights may be affected by the grant of any special voting rights to the holders of a class or series of preferred shares that may be authorized in the future. An annual general meeting shall be held once every calendar year at the time (within a period of not more than 15 months after the last preceding annual general meeting) and at the place as may be determined by the board of directors. The quorum required for an ordinary meeting of shareholders consists of shareholders present in person or by attorney who hold or represent between them a majority of the outstanding ordinary shares.</w:t>
      </w:r>
    </w:p>
    <w:p>
      <w:pPr>
        <w:spacing w:after="0" w:line="16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An ordinary resolution (such as a resolution for the approval of the financial reports or the declaration of dividends) requires approval by the holders of a majority of the voting rights represented at a meeting, in person or by proxy, and voting thereon. A special or extraordinary resolution (such as, for example, a resolution amending our Memorandum of Association or Articles of Association or approving any change in capitalization, or a liquidation or winding-up) requires approval of the holders of 75% of the voting rights represented at the meeting, in person or by proxy, and voting thereon. A special or extraordinary resolution can only be considered if shareholders receive at least fourteen days' prior notice of the meeting at which such resolution will be considered.</w:t>
      </w:r>
    </w:p>
    <w:p>
      <w:pPr>
        <w:spacing w:after="0" w:line="179" w:lineRule="exact"/>
        <w:rPr>
          <w:sz w:val="20"/>
          <w:szCs w:val="20"/>
          <w:color w:val="auto"/>
        </w:rPr>
      </w:pPr>
    </w:p>
    <w:p>
      <w:pPr>
        <w:jc w:val="both"/>
        <w:ind w:right="3339" w:firstLine="447"/>
        <w:spacing w:after="0" w:line="242" w:lineRule="auto"/>
        <w:rPr>
          <w:sz w:val="20"/>
          <w:szCs w:val="20"/>
          <w:color w:val="auto"/>
        </w:rPr>
      </w:pPr>
      <w:r>
        <w:rPr>
          <w:rFonts w:ascii="Courier New" w:cs="Courier New" w:eastAsia="Courier New" w:hAnsi="Courier New"/>
          <w:sz w:val="15"/>
          <w:szCs w:val="15"/>
          <w:color w:val="auto"/>
        </w:rPr>
        <w:t>Except as described below, the ordinary nonvoting shares do not have any voting rights. Each nonvoting ordinary share will be converted automatically into one ordinary share at any time that it is transferred by SBCI, the sole holder of the ordinary nonvoting shares.</w:t>
      </w:r>
    </w:p>
    <w:p>
      <w:pPr>
        <w:spacing w:after="0" w:line="175"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TRANSFER OF SHARES AND NOTICES. Fully paid ordinary shares and ordinary nonvoting shares are issued in registered form and may be freely transferred pursuant to the Articles of Association unless the transfer is restricted or prohibited by another instrument. Each shareholder of record is entitled to receive at least fourteen days' prior notice of an ordinary</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289"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62</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shareholders' meeting and at least twenty-one days' prior notice of any shareholders' meeting at which a special resolution is to be adopted. For the purposes of determining the shareholders entitled to notice and to vote at the meeting, the board of directors may fix a record date not more than 60 or less than ten days prior to the date of the meeting.</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MODIFICATION OF CLASS RIGHTS. The rights attached to any class (unless otherwise provided by the terms of issue of that class), such as voting, dividends and the like, may be varied with the consent in writing of the holders of 75% of the outstanding shares of such class, or with the adoption of an extraordinary resolution passed at a separate general meeting of the holders of the shares of that class.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ELECTION OF DIRECTORS. The ordinary shares do not have cumulative voting rights in the election of directors. As a result, the holders of ordinary shares that represent more than 50% of the voting power have the power to elect all of Amdocs' directors. See "Principal Shareholders and Selling Shareholder."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PREFERRED SHARES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Amdocs has 25,000,000 authorized preferred shares. The board of directors has the authority to issue the preferred shares in one or more series and to fix the rights, preferences, privileges and restrictions of such shares, including dividend rights, dividend rates, conversion rights, voting rights, terms of redemption, redemption prices, liquidation preferences and the number of shares constituting any series, without further vote or action by the shareholders. We currently do not have any plans to issue any preferred shares.</w:t>
      </w:r>
    </w:p>
    <w:p>
      <w:pPr>
        <w:spacing w:after="0" w:line="177"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The purpose of authorizing the board of directors to issue preferred shares and to determine their rights and preferences is to eliminate delays associated with a shareholder vote on specific issuances. The issuance of preferred shares, while providing desirable flexibility in connection with possible equity financings, acquisitions and other corporate purposes, could have the effect of making it more difficult for a third party to acquire, or of discouraging a third party from acquiring, a majority of our outstanding voting shares.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AIL, SBCI and WCAS have demand and piggyback registration rights with respect to their ordinary shares under the Securities Act. The ordinary shares being offered by AIL in the offering have been registered upon the exercise of one of these demand registration rights. Following the consummation of this offering AIL will not have any more demand registration rights. If we propose to register any of our ordinary shares under the Securities Act, AIL, SBCI and WCAS may require us to include all or a portion of their shares in the registration, although the managing underwriter of any offering has certain rights to limit the number of shares in that registration. All expenses incurred in connection with these registrations (other than underwriters' discounts and commissions and fees of counsel retained by any selling shareholder) will be borne by us. These shareholders have agreed that they will not exercise any right with respect to any of these registrations for a period ending 90 days after the effective date of the registration statement for the offering, without the prior written consent of the underwriters.</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289" w:right="1440" w:bottom="1440" w:gutter="0" w:footer="0" w:header="0"/>
        </w:sectPr>
      </w:pPr>
    </w:p>
    <w:bookmarkStart w:id="62" w:name="page63"/>
    <w:bookmarkEnd w:id="62"/>
    <w:p>
      <w:pPr>
        <w:ind w:left="268"/>
        <w:spacing w:after="0"/>
        <w:rPr>
          <w:sz w:val="20"/>
          <w:szCs w:val="20"/>
          <w:color w:val="auto"/>
        </w:rPr>
      </w:pPr>
      <w:r>
        <w:rPr>
          <w:rFonts w:ascii="Courier New" w:cs="Courier New" w:eastAsia="Courier New" w:hAnsi="Courier New"/>
          <w:sz w:val="15"/>
          <w:szCs w:val="15"/>
          <w:color w:val="auto"/>
        </w:rPr>
        <w:t>63</w:t>
      </w:r>
    </w:p>
    <w:p>
      <w:pPr>
        <w:spacing w:after="0" w:line="174"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COMPARISON OF UNITED STATES AND GUERNSEY CORPORATE LAW</w:t>
      </w:r>
    </w:p>
    <w:p>
      <w:pPr>
        <w:spacing w:after="0" w:line="17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The following discussion is a summary of the material differences between United States and Guernsey corporate law relevant to an investment in the ordinary shares and is based on the advice of Reboul, MacMurray, Hewitt, Maynard</w:t>
      </w:r>
    </w:p>
    <w:p>
      <w:pPr>
        <w:spacing w:after="0" w:line="1" w:lineRule="exact"/>
        <w:rPr>
          <w:sz w:val="20"/>
          <w:szCs w:val="20"/>
          <w:color w:val="auto"/>
        </w:rPr>
      </w:pPr>
    </w:p>
    <w:p>
      <w:pPr>
        <w:ind w:left="8" w:right="3159" w:hanging="8"/>
        <w:spacing w:after="0" w:line="242" w:lineRule="auto"/>
        <w:tabs>
          <w:tab w:leader="none" w:pos="18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Kristol, with respect to the corporate law of the United States, and Carey Langlois, with respect to the corporate law of Guernsey. The following discussion is based upon laws and relevant interpretations thereof in effect as of the date of this prospectus, all of which are subject to change.</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Under the laws of many jurisdictions in the United States, controlling shareholders generally have certain "fiduciary" responsibilities to minority shareholders. Shareholder action by controlling shareholders must be taken in good faith and actions by such shareholders that are obviously unreasonable may be declared null and void. Guernsey law protecting the interests of minority shareholders may not be as protective in all circumstances as the law protecting minority shareholders in United States jurisdictions.</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Under Guernsey law, an individual shareholder cannot, without the authority of the majority of the shareholders of the corporation, initiate litigation in the corporation's name, but an individual shareholder may seek to enforce the corporation's rights by suing in representative form on behalf of himself and all of the other shareholders of the corporation (except the wrongdoers where the complaint is against other shareholders) against the wrongdoers, who may include directors. In these circumstances, the corporation itself may be joined as a nominal defendant in order that it can be bound by the judgment and, if an action results in any property or damages recovered, such recovery goes not to the plaintiff, but to the corporation. Alternatively, Guernsey law makes specific provision to enable a shareholder to apply to the court for relief on the ground that the affairs of the corporation are being or have been conducted in a manner that is unfairly prejudicial to the interests of certain shareholders (including at least himself) or any actual or proposed act or omission of the corporation is or would be so prejudicial. In such circumstances, the court has wide discretion to make orders to regulate the conduct of the corporation's affairs in the future, to require the corporation to refrain from doing or continuing to do an act that the applicant has complained it has omitted to do, to authorize civil proceedings to be brought in the name and on behalf of the corporation and to provide for the purchase of shares of any shareholder of the corporation by other members or by the corporation itself.</w:t>
      </w:r>
    </w:p>
    <w:p>
      <w:pPr>
        <w:spacing w:after="0" w:line="18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As in most United States jurisdictions, unless approved by a special resolution of our shareholders, our directors do not have the power to take certain actions, including an amendment of our Memorandum of Association or Articles of Association or an increase or reduction in our authorized capital. Directors of a Guernsey corporation, without shareholder approval, in certain instances may, among other things, implement a reorganization and effect certain mergers or consolidations, certain sales, transfers, exchanges or dispositions of assets, property, parts of the business or securities of the corporation; or any combination thereof, if they determine any such action is in the best interests of the corporation, its creditors or its shareholders.</w:t>
      </w:r>
    </w:p>
    <w:p>
      <w:pPr>
        <w:spacing w:after="0" w:line="179"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As in most United States jurisdictions, the board of directors of a Guernsey corporation is charged with the management of the affairs of the corporation. In most United States jurisdictions, directors owe a fiduciary duty to the corporation and its shareholders, including a duty of care, pursuant to which directors must properly apprise themselves of all reasonably available information, and a duty of loyalty, pursuant to which they must protect the interests of the corporation and refrain from conduct that injures the corporation or its shareholders or that deprives the corporation or its shareholders of any profit or advantage. Many United States jurisdictions have enacted various statutory provisions that permit the monetary liability of directors to be eliminated or limited. Guernsey law protecting the interests of shareholders may not be as protective in all circumstances as the law protecting shareholders in United States</w:t>
      </w:r>
    </w:p>
    <w:p>
      <w:pPr>
        <w:spacing w:after="0" w:line="17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27"/>
          </w:cols>
          <w:pgMar w:left="232" w:top="289"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64</w:t>
      </w:r>
    </w:p>
    <w:p>
      <w:pPr>
        <w:spacing w:after="0" w:line="176"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jurisdictions. Under our Articles of Association, we are obligated to indemnify any person who is made or threatened to be made a party to a legal or administrative proceeding by virtue of being a director, officer or agent of Amdocs, provided that we have no obligation to indemnify any such persons for any claims they incur or sustain by or through their own willful act of default. See "Risk Factors -- The rights of shareholders of Guernsey corporations differ in some respects from those of shareholders of United States corporations".</w:t>
      </w:r>
    </w:p>
    <w:p>
      <w:pPr>
        <w:spacing w:after="0" w:line="1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289"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65</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SHARES ELIGIBLE FOR FUTURE SALE</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174,589,951 ordinary shares and 24,210,073 non-voting ordinary shares issued and outstanding. Of these shares, 70,720,560 ordinary shares, including the 18,000,000 ordinary shares sold in the offering plus any shares sold upon exercise of the underwriters' overallotment options, will be freely tradeable without restriction. We, substantially all of our principal shareholders, including the selling shareholder, and our officers and directors have agreed not to offer, sell, contract to sell or otherwise dispose of any ordinary shares or non-voting ordinary shares without the consent of the representatives of the underwriters for a period of 90 days after the date of this prospectus, except for the ordinary shares offered hereby, ordinary shares issuable upon the exercise of options granted or to be granted under the Amdocs stock option plan and ordinary shares that may be transferred by the WCAS Investors to SBCI, AIL and others under the call option described in "Risk Factors -- Risks applicable to our capital structure -- A few of our shareholders may be able to exercise control over all matters requiring shareholder approval". Further, the selling shareholder has agreed for an additional one-year period following the termination of the 90 day lock-up period not to offer, sell, contract to sell or otherwise dispose of any ordinary shares without the consent of our other principal shareholders, except for sales or other distributions in connection with this offering, sales made in the public market in accordance with Rule 144 and privately-negotiated transactions. These shareholders will, upon the consummation of the offering, own an aggregate 128,079,464 shares or 64.4% of the then outstanding ordinary shares and non-voting ordinary shares (excluding any shares that may be purchased in this offering by entities in which some of our executive officers have the economic interests or by several of our directors, see "Underwriting"). After this 90-day period, all our ordinary shares will be eligible for sale in the public market pursuant to Rule 144, subject to compliance with the volume and manner of sale limitations of Rule 144, or under another exemption from the registration requirements of the Securities Act. Our principal shareholders also have the right in certain circumstances to require us to register their shares under the Securities Act for resale to the public. See "Description of Share Capital -- Registration Rights".</w:t>
      </w:r>
    </w:p>
    <w:p>
      <w:pPr>
        <w:spacing w:after="0" w:line="36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In general, under Rule 144, as currently in effect, if one year has elapsed since the date of acquisition of shares that are "restricted securities" (as defined in Rule 144) from us or any "affiliate" (as defined below) of ours, the acquiror or subsequent holder of the shares (including an affiliate) is entitled to sell, within any three-month period, that number of shares that does not exceed the greater of 1% of our then outstanding ordinary shares and the average weekly trading volume of the ordinary shares on all exchanges and/or reported through the automated quotation system of a registered securities association during the four calendar weeks preceding the date on which notice of the sale is filed with the Securities and Exchange Commission. Sales under Rule 144 are also subject to restrictions relating to manner of sale, notice requirements and the availability of current public information about us. If two years have elapsed since the later of the date of acquisition of restricted shares from us or from any affiliate of ours, and the acquiror or subsequent holder thereof is deemed not to have been an affiliate of ours at any time during the 90 days preceding a sale, that person would be entitled to sell those shares in the public market under Rule 144(k) without regard to volume limitations, manner of sale provisions, public information requirements or notice requirements. As defined in Rule 144, an "affiliate" of an issuer is a person that directly, or indirectly through the use of one or more intermediaries, controls, or is controlled by, or is under common control with, that issuer.</w:t>
      </w:r>
    </w:p>
    <w:p>
      <w:pPr>
        <w:spacing w:after="0" w:line="200" w:lineRule="exact"/>
        <w:rPr>
          <w:sz w:val="20"/>
          <w:szCs w:val="20"/>
          <w:color w:val="auto"/>
        </w:rPr>
      </w:pPr>
    </w:p>
    <w:p>
      <w:pPr>
        <w:spacing w:after="0" w:line="307" w:lineRule="exact"/>
        <w:rPr>
          <w:sz w:val="20"/>
          <w:szCs w:val="20"/>
          <w:color w:val="auto"/>
        </w:rPr>
      </w:pPr>
    </w:p>
    <w:p>
      <w:pPr>
        <w:jc w:val="both"/>
        <w:ind w:right="3079" w:firstLine="447"/>
        <w:spacing w:after="0" w:line="242" w:lineRule="auto"/>
        <w:rPr>
          <w:sz w:val="20"/>
          <w:szCs w:val="20"/>
          <w:color w:val="auto"/>
        </w:rPr>
      </w:pPr>
      <w:r>
        <w:rPr>
          <w:rFonts w:ascii="Courier New" w:cs="Courier New" w:eastAsia="Courier New" w:hAnsi="Courier New"/>
          <w:sz w:val="15"/>
          <w:szCs w:val="15"/>
          <w:color w:val="auto"/>
        </w:rPr>
        <w:t>We intend to register the 6,600,000 ordinary shares reserved for issuance pursuant to the Amdocs stock option plan following the date of this prospectus, on a Form S-8 registration statement under the Securities Act. This registration statement would become effective immediately upon filing. Shares issued upon the exercise of stock options after the effective date</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289"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66</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of the Form S-8 registration statement would be eligible for resale in the public market without restriction, subject to Rule 144 limitations applicable to affiliates. The right to exercise options outstanding under the Amdocs Plan is subject to vesting requirements. See "Management -- Employee Stock Options".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June 1999, the selling shareholder entered into a forward purchase contract with the TRACES Trust under which it may be required to deliver up to 10,000,000 ordinary shares on or before the Exchange Date. The TRACES Trust will deliver these ordinary shares to the holders of its Automatic Common Exchange Securities. These ordinary shares will be freely tradeable upon their delivery to the TRACES Trust's security holders. The Exchange Date will occur no earlier than June 11, 2002.</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can make no prediction as to the effect, if any, that future sales of shares or the availability of shares for sale will have on the market price of the ordinary shares prevailing, from time to time. Nevertheless, sales of substantial amounts of the ordinary shares in the public market could adversely affect the prevailing market price of the ordinary shares and could impair our ability to raise capital through the sale of equity securities.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289"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67</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TAXATION OF THE COMPANY</w:t>
      </w:r>
    </w:p>
    <w:p>
      <w:pPr>
        <w:spacing w:after="0" w:line="176"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following is a summary of certain material tax considerations relating to us and our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Our overall effective tax rate has historically been approximately 30% due to the various corporate income tax rates of the countries in which we operate and the magnitude of our activities in those countries. Our effective tax rate for fiscal 1998 was 50% due to the incurrence of significant interest expense in tax-exempt or low tax jurisdictions. There can be no assurance that our effective tax rate will not change over time as a result of a change in corporate income tax rates or other changes in the tax laws of the various countries in which we operate. Moreover, our effective tax rate in future years may be adversely affected in the event that a tax authority challenged the manner in which items of income and expense are allocated among us and our subsidiaries. In addition, we and certain of our subsidiaries have been granted certain special tax benefits, discussed below, in Cyprus and Israel. The loss of any such tax benefits could have an adverse effect on our effective tax rate.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GUERNSEY TAX CONSIDERATIONS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qualify as an exempt company (i.e. our shareholders are not Guernsey residents and we do not carry on business in Guernsey) so we generally are not subject to taxation in Guernsey. We will retain such exempt status following the offering.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CYPRUS TAX CONSIDERATIONS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Cyprus subsidiary, Amdocs Development Ltd., operates a development center. Corporations resident in Cyprus currently are subject to a maximum 25% income tax rate. The Government of Cyprus has issued a permit to our Cyprus subsidiary pursuant to which the activities to be conducted by it will be deemed to be offshore activities for the purpose of Cyprus taxation. As a result, our Cyprus subsidiary is subject to an effective tax rate in Cyprus of 4.25%. In order for our subsidiary to remain entitled to this reduced rate of taxation pursuant to the permit, it must continue to satisfy certain requirements concerning its operations in Cyprus and it must undertake certain information reporting obligations to the Government of Cyprus.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UNITED KINGDOM TAX CONSIDERATIONS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United Kingdom subsidiary, Amdocs (UK) Limited, performs global development, contracting and marketing functions for our business, and acts as a holding company for certain of our subsidiaries, including our principal United States operating subsidiary.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GENERAL CORPORATE TAXATION IN THE UNITED KINGDOM</w:t>
      </w:r>
    </w:p>
    <w:p>
      <w:pPr>
        <w:spacing w:after="0" w:line="176"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Until March 31, 1999, the statutory United Kingdom corporation tax rate was 31%. Commencing on April 1, 1999, the statutory corporate tax rate decreased to</w:t>
      </w:r>
    </w:p>
    <w:p>
      <w:pPr>
        <w:ind w:right="3159"/>
        <w:spacing w:after="0" w:line="242" w:lineRule="auto"/>
        <w:rPr>
          <w:sz w:val="20"/>
          <w:szCs w:val="20"/>
          <w:color w:val="auto"/>
        </w:rPr>
      </w:pPr>
      <w:r>
        <w:rPr>
          <w:rFonts w:ascii="Courier New" w:cs="Courier New" w:eastAsia="Courier New" w:hAnsi="Courier New"/>
          <w:sz w:val="15"/>
          <w:szCs w:val="15"/>
          <w:color w:val="auto"/>
        </w:rPr>
        <w:t>30%. Our United Kingdom subsidiary pays UK corporation tax on its worldwide income, with a credit in certain cases for non-UK income taxes paid. Our United Kingdom subsidiary pays tax on dividends received from its subsidiaries, with a credit for underlying non-UK taxes paid by such subsidiaries and withholding taxes paid on such dividends.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289"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ISRAELI TAX CONSIDERATIONS</w:t>
      </w:r>
    </w:p>
    <w:p>
      <w:pPr>
        <w:spacing w:after="0" w:line="176" w:lineRule="exact"/>
        <w:rPr>
          <w:sz w:val="20"/>
          <w:szCs w:val="20"/>
          <w:color w:val="auto"/>
        </w:rPr>
      </w:pPr>
    </w:p>
    <w:p>
      <w:pPr>
        <w:jc w:val="both"/>
        <w:ind w:right="3599" w:firstLine="447"/>
        <w:spacing w:after="0" w:line="241" w:lineRule="auto"/>
        <w:rPr>
          <w:sz w:val="20"/>
          <w:szCs w:val="20"/>
          <w:color w:val="auto"/>
        </w:rPr>
      </w:pPr>
      <w:r>
        <w:rPr>
          <w:rFonts w:ascii="Courier New" w:cs="Courier New" w:eastAsia="Courier New" w:hAnsi="Courier New"/>
          <w:sz w:val="15"/>
          <w:szCs w:val="15"/>
          <w:color w:val="auto"/>
        </w:rPr>
        <w:t>Our Israeli subsidiary, Amdocs (Israel) Limited, operates our largest development center. Discussed below are certain Israeli tax considerations relating to our Israeli subsidiary: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GENERAL CORPORATE TAXATION IN ISRAEL</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Effective January 1, 1996, and thereafter, in general, Israeli companies are subject to "Company Tax" at the rate of 36% of taxable income. However, the effective tax rate payable by an Israeli company that derives income from an Approved Enterprise (as further discussed below) may be considerably less.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LAW FOR THE ENCOURAGEMENT OF CAPITAL INVESTMENTS, 1959</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GENERAL. Certain production and development facilities of our Israeli subsidiary have been granted "Approved Enterprise" status pursuant to the Law for the Encouragement of Capital Investments, 1959, or the Investment Law, which provides certain tax and financial benefits to investment programs that have been granted such status.</w:t>
      </w:r>
    </w:p>
    <w:p>
      <w:pPr>
        <w:spacing w:after="0" w:line="175"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Investment Law provides that capital investments in production facilities (or other eligible assets) may, upon application to the Israeli Investment Center, be designated as an Approved Enterprise. Each instrument of approval for an Approved Enterprise relates to a specific investment program delineated both by the financial scope of the investment, including source of funds, and by the physical characteristics of the facility or other assets. The tax benefits available under any instrument of approval relate only to taxable profits attributable to the specific investment program and are contingent upon compliance with the conditions set out in the instrument of approval.</w:t>
      </w:r>
    </w:p>
    <w:p>
      <w:pPr>
        <w:spacing w:after="0" w:line="162" w:lineRule="exact"/>
        <w:rPr>
          <w:sz w:val="20"/>
          <w:szCs w:val="20"/>
          <w:color w:val="auto"/>
        </w:rPr>
      </w:pPr>
    </w:p>
    <w:p>
      <w:pPr>
        <w:ind w:right="3699" w:firstLine="447"/>
        <w:spacing w:after="0"/>
        <w:rPr>
          <w:sz w:val="20"/>
          <w:szCs w:val="20"/>
          <w:color w:val="auto"/>
        </w:rPr>
      </w:pPr>
      <w:r>
        <w:rPr>
          <w:rFonts w:ascii="Courier New" w:cs="Courier New" w:eastAsia="Courier New" w:hAnsi="Courier New"/>
          <w:sz w:val="15"/>
          <w:szCs w:val="15"/>
          <w:color w:val="auto"/>
        </w:rPr>
        <w:t>TAX BENEFITS. Taxable income derived from an Approved Enterprise is subject to a reduced corporate tax rate of 25% until the earlier of</w:t>
      </w:r>
    </w:p>
    <w:p>
      <w:pPr>
        <w:spacing w:after="0" w:line="176" w:lineRule="exact"/>
        <w:rPr>
          <w:sz w:val="20"/>
          <w:szCs w:val="20"/>
          <w:color w:val="auto"/>
        </w:rPr>
      </w:pPr>
    </w:p>
    <w:p>
      <w:pPr>
        <w:ind w:left="620" w:right="3079" w:hanging="181"/>
        <w:spacing w:after="0" w:line="241" w:lineRule="auto"/>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seven consecutive years (or ten in the case of an FIC (as defined below)) commencing in the year in which the Approved Enterprise first generates taxable income,</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twelve years from the year of commencement of production or</w:t>
      </w:r>
    </w:p>
    <w:p>
      <w:pPr>
        <w:spacing w:after="0" w:line="175" w:lineRule="exact"/>
        <w:rPr>
          <w:rFonts w:ascii="Courier New" w:cs="Courier New" w:eastAsia="Courier New" w:hAnsi="Courier New"/>
          <w:sz w:val="15"/>
          <w:szCs w:val="15"/>
          <w:color w:val="auto"/>
        </w:rPr>
      </w:pPr>
    </w:p>
    <w:p>
      <w:pPr>
        <w:ind w:left="620" w:right="3259" w:hanging="181"/>
        <w:spacing w:after="0"/>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fourteen years from the year of the approval of the Approved Enterprise status.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Such income is eligible for further reductions in tax rates if the company qualifies as a Foreign Investors' Company, or FIC, depending on the percentage of the foreign ownership. Subject to certain conditions, an FIC is a company more than 25% of whose share capital (in terms of shares, rights of profits, voting and appointment of directors) and more than 25% of whose combined share and loan capital is owned by non-Israeli residents. The tax rate is 20% if the foreign investment is 49% or more but less than 74%; 15% if the foreign investment is 74% or more but less than 90%; and 10% if the foreign investment is 90% or more. The determination of foreign ownership is made on the basis of the lowest level of foreign ownership during the tax year. A company that owns an Approved Enterprise, approved after April 1, 1986 may elect to forego the entitlement to grants and apply for an alternative package of tax benefits. In addition, a company (like our Israeli subsidiary) with an enterprise outside the National Priority Regions (which is not entitled to grants) may also apply for the alternative benefits. Under the alternative benefits, undistributed income from the Approved Enterprise operations is fully tax exempt (a tax holiday) for a defined period. The tax holiday ranges between two to ten years from the first year of taxable income subject to the limitations as described above, depending principally upon the geographic location within Israel. On expiration of the tax holiday, the Approved Enterprise is eligible for a beneficial tax rate (25% or lower in the case of an FIC, as described above) for the remainder of the otherwise applicable period of benefits.</w:t>
      </w:r>
    </w:p>
    <w:p>
      <w:pPr>
        <w:spacing w:after="0" w:line="18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289" w:right="1440" w:bottom="1440" w:gutter="0" w:footer="0" w:header="0"/>
        </w:sectPr>
      </w:pPr>
    </w:p>
    <w:bookmarkStart w:id="68" w:name="page69"/>
    <w:bookmarkEnd w:id="68"/>
    <w:p>
      <w:pPr>
        <w:ind w:left="268"/>
        <w:spacing w:after="0"/>
        <w:rPr>
          <w:sz w:val="20"/>
          <w:szCs w:val="20"/>
          <w:color w:val="auto"/>
        </w:rPr>
      </w:pPr>
      <w:r>
        <w:rPr>
          <w:rFonts w:ascii="Courier New" w:cs="Courier New" w:eastAsia="Courier New" w:hAnsi="Courier New"/>
          <w:sz w:val="15"/>
          <w:szCs w:val="15"/>
          <w:color w:val="auto"/>
        </w:rPr>
        <w:t>69</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Our Israeli subsidiary has elected the alternative benefits with respect to its current Approved Enterprise and its enlargements, pursuant to which the Israeli subsidiary enjoys, in relation to its Approved Enterprise operations, certain tax holidays for a period of two years (and in some cases for a period of four years) and reduced tax rates for an additional period of up to eight years. In case our Israeli subsidiary pays a dividend, at any time, out of income earned during the tax holiday period in respect of its Approved Enterprise, it will be subject, assuming that the current level of foreign investment in Amdocs is not reduced, to corporate tax at the otherwise applicable rate of 10% of the income from which such dividend has been paid and up to 25% if such foreign investments are reduced (as detailed above). This tax is in addition to the withholding tax on dividends as described below. Under a new instrument of approval issued in December 1997 and relating to the current investment program of our Israeli subsidiary and to the income derived therefrom, our Israeli subsidiary is entitled to a reduced tax rate period of thirteen years (instead of the eight year period referred to above.) The tax benefits, available with respect to an Approved Enterprise only to taxable income attributable to that specific enterprise, are given according to an allocation formula provided for in the Investment Law or in the instrument of approval, and are contingent upon the fulfillment of the conditions stipulated by the Investment Law, the regulations published thereunder and the instruments of approval for the specific investments in the Approved Enterprises. In the event our Israeli subsidiary fails to comply with these conditions, the tax and other benefits could be canceled, in whole or in part, and the subsidiary might be required to refund the amount of the canceled benefits, with the addition of CPI linkage differences and interest. We believe that the Approved Enterprise of our Israeli subsidiary substantially complies with all such conditions currently, but there can be no assurance that it will continue to do so.</w:t>
      </w:r>
    </w:p>
    <w:p>
      <w:pPr>
        <w:spacing w:after="0" w:line="191"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From time to time, the Government of Israel has discussed reducing the benefits available to companies under the Investment Law. The termination or substantial reduction of any of the benefits available under the Investment Law could have a material adverse effect on future investments by us in Israel (although such termination or reduction would not affect our Israeli subsidiary's existing Approved Enterprise or the related benefits).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DIVIDENDS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Dividends paid out of income derived by an Approved Enterprise during the benefit periods (or out of dividends received from a company whose income is derived by an Approved Enterprise) are subject to withholding tax at a reduced rate of 15% (deductible at source). In the case of companies that do not qualify as a FIC, the reduced rate of 15% is limited to dividends paid at any time up to twelve years thereafter.</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TAXATION OF HOLDERS OF ORDINARY SHARES</w:t>
      </w:r>
    </w:p>
    <w:p>
      <w:pPr>
        <w:spacing w:after="0" w:line="176" w:lineRule="exact"/>
        <w:rPr>
          <w:sz w:val="20"/>
          <w:szCs w:val="20"/>
          <w:color w:val="auto"/>
        </w:rPr>
      </w:pPr>
    </w:p>
    <w:p>
      <w:pPr>
        <w:ind w:left="8" w:right="3519" w:firstLine="447"/>
        <w:spacing w:after="0" w:line="241" w:lineRule="auto"/>
        <w:rPr>
          <w:sz w:val="20"/>
          <w:szCs w:val="20"/>
          <w:color w:val="auto"/>
        </w:rPr>
      </w:pPr>
      <w:r>
        <w:rPr>
          <w:rFonts w:ascii="Courier New" w:cs="Courier New" w:eastAsia="Courier New" w:hAnsi="Courier New"/>
          <w:sz w:val="15"/>
          <w:szCs w:val="15"/>
          <w:color w:val="auto"/>
        </w:rPr>
        <w:t>The following discussion is a summary of certain United States federal income tax considerations and Guernsey tax considerations relating to an investment in the ordinary shares.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CERTAIN UNITED STATES FEDERAL INCOME TAX CONSIDERATIONS</w:t>
      </w:r>
    </w:p>
    <w:p>
      <w:pPr>
        <w:spacing w:after="0" w:line="176" w:lineRule="exact"/>
        <w:rPr>
          <w:sz w:val="20"/>
          <w:szCs w:val="20"/>
          <w:color w:val="auto"/>
        </w:rPr>
      </w:pPr>
    </w:p>
    <w:p>
      <w:pPr>
        <w:ind w:left="8" w:right="3599" w:firstLine="447"/>
        <w:spacing w:after="0"/>
        <w:rPr>
          <w:sz w:val="20"/>
          <w:szCs w:val="20"/>
          <w:color w:val="auto"/>
        </w:rPr>
      </w:pPr>
      <w:r>
        <w:rPr>
          <w:rFonts w:ascii="Courier New" w:cs="Courier New" w:eastAsia="Courier New" w:hAnsi="Courier New"/>
          <w:sz w:val="15"/>
          <w:szCs w:val="15"/>
          <w:color w:val="auto"/>
        </w:rPr>
        <w:t>The following discussion describes the material United States federal income tax consequences to a holder of ordinary shares that is</w:t>
      </w:r>
    </w:p>
    <w:p>
      <w:pPr>
        <w:spacing w:after="0" w:line="174" w:lineRule="exact"/>
        <w:rPr>
          <w:sz w:val="20"/>
          <w:szCs w:val="20"/>
          <w:color w:val="auto"/>
        </w:rPr>
      </w:pPr>
    </w:p>
    <w:p>
      <w:pPr>
        <w:ind w:left="448" w:hanging="359"/>
        <w:spacing w:after="0"/>
        <w:tabs>
          <w:tab w:leader="none" w:pos="448"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citizen or resident of the United States,</w:t>
      </w:r>
    </w:p>
    <w:p>
      <w:pPr>
        <w:spacing w:after="0" w:line="175" w:lineRule="exact"/>
        <w:rPr>
          <w:rFonts w:ascii="Courier New" w:cs="Courier New" w:eastAsia="Courier New" w:hAnsi="Courier New"/>
          <w:sz w:val="15"/>
          <w:szCs w:val="15"/>
          <w:color w:val="auto"/>
        </w:rPr>
      </w:pPr>
    </w:p>
    <w:p>
      <w:pPr>
        <w:ind w:left="528" w:right="3339" w:hanging="439"/>
        <w:spacing w:after="0"/>
        <w:tabs>
          <w:tab w:leader="none" w:pos="528"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created or organized in, or under the laws of, the United States or of any state thereof,</w:t>
      </w:r>
    </w:p>
    <w:p>
      <w:pPr>
        <w:spacing w:after="0" w:line="176" w:lineRule="exact"/>
        <w:rPr>
          <w:rFonts w:ascii="Courier New" w:cs="Courier New" w:eastAsia="Courier New" w:hAnsi="Courier New"/>
          <w:sz w:val="15"/>
          <w:szCs w:val="15"/>
          <w:color w:val="auto"/>
        </w:rPr>
      </w:pPr>
    </w:p>
    <w:p>
      <w:pPr>
        <w:ind w:left="528" w:right="3339" w:hanging="528"/>
        <w:spacing w:after="0"/>
        <w:tabs>
          <w:tab w:leader="none" w:pos="52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estate, the income of which is includable in gross income for United States federal income tax purposes regardless of its source, or</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27"/>
          </w:cols>
          <w:pgMar w:left="232" w:top="289" w:right="1440" w:bottom="1440" w:gutter="0" w:footer="0" w:header="0"/>
        </w:sectPr>
      </w:pPr>
    </w:p>
    <w:bookmarkStart w:id="69" w:name="page70"/>
    <w:bookmarkEnd w:id="69"/>
    <w:p>
      <w:pPr>
        <w:ind w:left="268"/>
        <w:spacing w:after="0"/>
        <w:rPr>
          <w:sz w:val="20"/>
          <w:szCs w:val="20"/>
          <w:color w:val="auto"/>
        </w:rPr>
      </w:pPr>
      <w:r>
        <w:rPr>
          <w:rFonts w:ascii="Courier New" w:cs="Courier New" w:eastAsia="Courier New" w:hAnsi="Courier New"/>
          <w:sz w:val="15"/>
          <w:szCs w:val="15"/>
          <w:color w:val="auto"/>
        </w:rPr>
        <w:t>70</w:t>
      </w:r>
    </w:p>
    <w:p>
      <w:pPr>
        <w:spacing w:after="0" w:line="176" w:lineRule="exact"/>
        <w:rPr>
          <w:sz w:val="20"/>
          <w:szCs w:val="20"/>
          <w:color w:val="auto"/>
        </w:rPr>
      </w:pPr>
    </w:p>
    <w:p>
      <w:pPr>
        <w:ind w:left="448" w:right="3339" w:hanging="448"/>
        <w:spacing w:after="0" w:line="242" w:lineRule="auto"/>
        <w:tabs>
          <w:tab w:leader="none" w:pos="448"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trust, if a court within the United States is able to exercise primary supervision over the administration of the trust and one or more U.S. persons has the authority to control all substantial decisions of the trust.</w:t>
      </w:r>
    </w:p>
    <w:p>
      <w:pPr>
        <w:spacing w:after="0" w:line="175"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This summary generally considers only U.S. holders that will own ordinary shares as capital assets. This summary does not discuss the United States federal income tax consequences to a holder of ordinary shares that is not a U.S. holder.</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This discussion is based on current provisions of the Internal Revenue Code of 1986, as amended, or the Code, current and proposed Treasury regulations promulgated thereunder, and administrative and judicial decisions as of the date hereof, all of which are subject to change, possibly on a retroactive basis. This discussion does not address all aspects of United States federal income taxation that may be relevant to a holder of ordinary shares based on such holder's particular circumstances (including potential application of the alternative minimum tax), United States federal income tax consequences to certain holders that are subject to special treatment (such as taxpayers who are broker-dealers, insurance companies, tax-exempt organizations, financial institutions, holders of securities held as part of a "straddle", "hedge" or "conversion transaction" with other investments, or holders owning directly, indirectly or by attribution at least 10% of the ordinary shares), or any aspect of state, local or non-United States tax laws. Additionally, the discussion does not consider the tax treatment of persons who hold ordinary shares through a partnership or other pass-through entity or the possible application of United States federal gift or estate taxes.</w:t>
      </w:r>
    </w:p>
    <w:p>
      <w:pPr>
        <w:spacing w:after="0" w:line="184"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EACH PROSPECTIVE INVESTOR SHOULD CONSULT ITS OWN TAX ADVISOR WITH RESPECT TO THE PARTICULAR UNITED STATES FEDERAL, STATE, LOCAL AND FOREIGN TAX CONSEQUENCES TO SUCH PERSON OF PURCHASING, HOLDING OR DISPOSING OF THE ORDINARY SHARES.</w:t>
      </w:r>
    </w:p>
    <w:p>
      <w:pPr>
        <w:spacing w:after="0" w:line="17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DIVIDENDS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general, a U.S. holder receiving a distribution with respect to the ordinary shares will be required to include such distribution (including the amount of foreign taxes, if any, withheld therefrom) in gross income as a taxable dividend to the extent such distribution is paid from our current or accumulated earnings and profits as determined under United States federal income tax principles. Any distributions in excess of such earnings and profits will first be treated, for United States federal income tax purposes, as a nontaxable return of capital to the extent of the U.S. holder's tax basis in the ordinary shares, and then, to the extent in excess of such tax basis, as gain from the sale or exchange of a capital asset. See "Disposition of Ordinary Shares" below. United States corporate shareholders will not be entitled to any deduction for distributions received as dividends on the ordinary shares.</w:t>
      </w:r>
    </w:p>
    <w:p>
      <w:pPr>
        <w:spacing w:after="0" w:line="180"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amount of foreign income taxes that may be claimed as a credit against United States federal income tax in any year is subject to certain complex limitations and restrictions, which must be determined on an individual basis by each U.S. holder. The limitations set out in the Code include, among others, rules that may limit foreign tax credits allowable with respect to specific classes of income to the United States federal income taxes otherwise payable with respect to each such class of income. Dividends paid by us generally will be foreign source "passive income" for United States foreign tax credit purposes.</w:t>
      </w:r>
    </w:p>
    <w:p>
      <w:pPr>
        <w:spacing w:after="0" w:line="176"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DISPOSITION OF ORDINARY SHARES</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Upon the sale, exchange or other disposition of ordinary shares, a U.S. holder generally will recognize capital gain or loss in an amount equal to the difference between the amount realized on the disposition by such U.S. holder and its tax basis in the ordinary shares. Such capital gain or loss will be long-term capital gain or loss if the U.S. holder has held the ordinary shares for more than one year at the time of the disposition. In the case of a U.S. holder that is an individual, trust or estate, long-term capital gains realized upon a disposition of the ordinary</w:t>
      </w:r>
    </w:p>
    <w:p>
      <w:pPr>
        <w:spacing w:after="0" w:line="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27"/>
          </w:cols>
          <w:pgMar w:left="232" w:top="289" w:right="1440" w:bottom="1440" w:gutter="0" w:footer="0" w:header="0"/>
        </w:sectPr>
      </w:pPr>
    </w:p>
    <w:bookmarkStart w:id="70" w:name="page71"/>
    <w:bookmarkEnd w:id="70"/>
    <w:p>
      <w:pPr>
        <w:ind w:left="268"/>
        <w:spacing w:after="0"/>
        <w:rPr>
          <w:sz w:val="20"/>
          <w:szCs w:val="20"/>
          <w:color w:val="auto"/>
        </w:rPr>
      </w:pPr>
      <w:r>
        <w:rPr>
          <w:rFonts w:ascii="Courier New" w:cs="Courier New" w:eastAsia="Courier New" w:hAnsi="Courier New"/>
          <w:sz w:val="15"/>
          <w:szCs w:val="15"/>
          <w:color w:val="auto"/>
        </w:rPr>
        <w:t>71</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shares generally will be subject to a maximum tax rate of 20%. Gains realized by a U.S. holder on a sale, exchange or other disposition of ordinary shares generally will be treated as United States source income for United States foreign tax credit purposes.</w:t>
      </w:r>
    </w:p>
    <w:p>
      <w:pPr>
        <w:spacing w:after="0" w:line="17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INFORMATION REPORTING AND BACKUP WITHHOLDING</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Dividend payments with respect to the ordinary shares and proceeds from the sale, exchange or redemption of ordinary shares may be subject to information reporting to the Internal Revenue Service and possible U.S. backup withholding at a 31% rate. Backup withholding will not apply, however, to a U.S. holder who furnishes a correct taxpayer identification number and makes any other required certification or who is otherwise exempt from backup withholding. Generally a U.S. holder will provide such certification on IRS Form W-9 (Request for Taxpayer Identification Number and Certification).</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Amounts withheld under the backup withholding rules may be credited against a U.S. holder's tax liability, and a U.S. holder may obtain a refund of any excess amounts withheld under the backup withholding rules by filing the appropriate claim for a refund with the Internal Revenue Service.</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CERTAIN GUERNSEY TAX CONSIDERATIONS</w:t>
      </w:r>
    </w:p>
    <w:p>
      <w:pPr>
        <w:spacing w:after="0" w:line="176" w:lineRule="exact"/>
        <w:rPr>
          <w:sz w:val="20"/>
          <w:szCs w:val="20"/>
          <w:color w:val="auto"/>
        </w:rPr>
      </w:pPr>
    </w:p>
    <w:p>
      <w:pPr>
        <w:ind w:left="8" w:right="3259" w:firstLine="447"/>
        <w:spacing w:after="0" w:line="260" w:lineRule="auto"/>
        <w:rPr>
          <w:sz w:val="20"/>
          <w:szCs w:val="20"/>
          <w:color w:val="auto"/>
        </w:rPr>
      </w:pPr>
      <w:r>
        <w:rPr>
          <w:rFonts w:ascii="Courier New" w:cs="Courier New" w:eastAsia="Courier New" w:hAnsi="Courier New"/>
          <w:sz w:val="14"/>
          <w:szCs w:val="14"/>
          <w:color w:val="auto"/>
        </w:rPr>
        <w:t>Under the laws of Guernsey as currently in effect, a holder of ordinary shares who is not a resident of Guernsey and who does not carry on business in Guernsey through a permanent establishment situated there is (1) exempt from Guernsey income tax on dividends paid with respect to the ordinary shares and</w:t>
      </w:r>
    </w:p>
    <w:p>
      <w:pPr>
        <w:spacing w:after="0" w:line="1" w:lineRule="exact"/>
        <w:rPr>
          <w:sz w:val="20"/>
          <w:szCs w:val="20"/>
          <w:color w:val="auto"/>
        </w:rPr>
      </w:pPr>
    </w:p>
    <w:p>
      <w:pPr>
        <w:ind w:left="8" w:right="3079" w:hanging="8"/>
        <w:spacing w:after="0" w:line="241" w:lineRule="auto"/>
        <w:tabs>
          <w:tab w:leader="none" w:pos="366"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liable for Guernsey income tax on gains realized on sale or disposition of such ordinary shares. In addition, Guernsey does not impose a withholding tax on dividends paid by us to holders of ordinary shares.</w:t>
      </w:r>
    </w:p>
    <w:p>
      <w:pPr>
        <w:spacing w:after="0" w:line="176" w:lineRule="exact"/>
        <w:rPr>
          <w:sz w:val="20"/>
          <w:szCs w:val="20"/>
          <w:color w:val="auto"/>
        </w:rPr>
      </w:pPr>
    </w:p>
    <w:p>
      <w:pPr>
        <w:jc w:val="both"/>
        <w:ind w:left="8" w:right="3259" w:firstLine="447"/>
        <w:spacing w:after="0" w:line="241" w:lineRule="auto"/>
        <w:rPr>
          <w:sz w:val="20"/>
          <w:szCs w:val="20"/>
          <w:color w:val="auto"/>
        </w:rPr>
      </w:pPr>
      <w:r>
        <w:rPr>
          <w:rFonts w:ascii="Courier New" w:cs="Courier New" w:eastAsia="Courier New" w:hAnsi="Courier New"/>
          <w:sz w:val="15"/>
          <w:szCs w:val="15"/>
          <w:color w:val="auto"/>
        </w:rPr>
        <w:t>There are no capital gains, gift or inheritance taxes levied by Guernsey, and the ordinary shares generally are not subject to any transfer taxes, stamp duties or similar charges on issuance or transfer.</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THE FOREGOING DISCUSSION DOES NOT ATTEMPT TO ADDRESS ALL OF THE POTENTIAL TAX CONSEQUENCES RELATING TO THE ORDINARY SHARES. EACH PROSPECTIVE INVESTOR SHOULD CONSULT ITS OWN TAX ADVISOR WITH RESPECT TO THE PARTICULAR TAX CONSEQUENCES OF PURCHASING, HOLDING OR DISPOSING OF THE ORDINARY SHARES UNDER THE LAWS OF ITS COUNTRY OF CITIZENSHIP, DOMICILE OR RESIDENCE.</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27"/>
          </w:cols>
          <w:pgMar w:left="232" w:top="289"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72</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LEGAL MATTERS</w:t>
      </w:r>
    </w:p>
    <w:p>
      <w:pPr>
        <w:spacing w:after="0" w:line="176" w:lineRule="exact"/>
        <w:rPr>
          <w:sz w:val="20"/>
          <w:szCs w:val="20"/>
          <w:color w:val="auto"/>
        </w:rPr>
      </w:pPr>
    </w:p>
    <w:p>
      <w:pPr>
        <w:ind w:right="3159" w:firstLine="447"/>
        <w:spacing w:after="0" w:line="265" w:lineRule="auto"/>
        <w:rPr>
          <w:sz w:val="20"/>
          <w:szCs w:val="20"/>
          <w:color w:val="auto"/>
        </w:rPr>
      </w:pPr>
      <w:r>
        <w:rPr>
          <w:rFonts w:ascii="Courier New" w:cs="Courier New" w:eastAsia="Courier New" w:hAnsi="Courier New"/>
          <w:sz w:val="14"/>
          <w:szCs w:val="14"/>
          <w:color w:val="auto"/>
        </w:rPr>
        <w:t>The validity of the ordinary shares offered hereby will be passed upon for us by Carey Langlois, Guernsey. Certain legal matters in connection with the offering will be passed upon for us by Reboul, MacMurray, Hewitt, Maynard &amp; Kristol and for the underwriters by Skadden, Arps, Slate, Meagher &amp; Flom LLP.</w:t>
      </w:r>
    </w:p>
    <w:p>
      <w:pPr>
        <w:spacing w:after="0" w:line="158"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EXPERTS</w:t>
      </w:r>
    </w:p>
    <w:p>
      <w:pPr>
        <w:spacing w:after="0" w:line="176" w:lineRule="exact"/>
        <w:rPr>
          <w:sz w:val="20"/>
          <w:szCs w:val="20"/>
          <w:color w:val="auto"/>
        </w:rPr>
      </w:pPr>
    </w:p>
    <w:p>
      <w:pPr>
        <w:ind w:right="3519" w:firstLine="447"/>
        <w:spacing w:after="0" w:line="263" w:lineRule="auto"/>
        <w:rPr>
          <w:sz w:val="20"/>
          <w:szCs w:val="20"/>
          <w:color w:val="auto"/>
        </w:rPr>
      </w:pPr>
      <w:r>
        <w:rPr>
          <w:rFonts w:ascii="Courier New" w:cs="Courier New" w:eastAsia="Courier New" w:hAnsi="Courier New"/>
          <w:sz w:val="14"/>
          <w:szCs w:val="14"/>
          <w:color w:val="auto"/>
        </w:rPr>
        <w:t>Ernst &amp; Young LLP, independent auditors, have audited our consolidated financial statements as of September 30, 1998 and 1997, and for each of the three years in the period ended September 30, 1998, as set forth in their report. We have included our financial statements in the prospectus and elsewhere in the registration statement in reliance on Ernst &amp; Young LLP's report, given on their authority as experts in accounting and auditing.</w:t>
      </w:r>
    </w:p>
    <w:p>
      <w:pPr>
        <w:spacing w:after="0" w:line="161"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Ernst &amp; Young LLP, independent auditors, have also audited the consolidated financial statements of ITDS at December 31, 1998 and 1997, and for each of the three years in the period ended December 31, 1998, as set forth in their report. We have included the financial statements of ITDS in the prospectus and elsewhere in the registration statement in reliance on Ernst &amp; Young LLP's report, given on their authority as experts in accounting and auditing.</w:t>
      </w:r>
    </w:p>
    <w:p>
      <w:pPr>
        <w:spacing w:after="0" w:line="160"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file annual reports, quarterly reports and current reports and other information with the Securities and Exchange Commission. You may read and copy any of our SEC filings at the SEC's Public Reference Room at 450 Fifth Street, N.W., Washington, D.C. 20549. You may call the SEC at 1-800-SEC-0330 for further information about the Public Reference Room. Our SEC filings are also available to the public on the SEC's website at http://www.sec.gov.</w:t>
      </w:r>
    </w:p>
    <w:p>
      <w:pPr>
        <w:spacing w:after="0" w:line="176" w:lineRule="exact"/>
        <w:rPr>
          <w:sz w:val="20"/>
          <w:szCs w:val="20"/>
          <w:color w:val="auto"/>
        </w:rPr>
      </w:pPr>
    </w:p>
    <w:p>
      <w:pPr>
        <w:ind w:right="3779" w:firstLine="447"/>
        <w:spacing w:after="0"/>
        <w:rPr>
          <w:sz w:val="20"/>
          <w:szCs w:val="20"/>
          <w:color w:val="auto"/>
        </w:rPr>
      </w:pPr>
      <w:r>
        <w:rPr>
          <w:rFonts w:ascii="Courier New" w:cs="Courier New" w:eastAsia="Courier New" w:hAnsi="Courier New"/>
          <w:sz w:val="15"/>
          <w:szCs w:val="15"/>
          <w:color w:val="auto"/>
        </w:rPr>
        <w:t>You may request copies of the filings, at no cost, by writing to or telephoning us as follows:</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Amdocs, Inc.</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1390 Timberlake Manor Parkway</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Chesterfield, Missouri 63017</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Telephone: (314) 212-8328</w:t>
      </w:r>
    </w:p>
    <w:p>
      <w:pPr>
        <w:spacing w:after="0" w:line="176"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This prospectus is part of a registration statement on Form F-3 that we filed with the SEC under the Securities Act. This prospectus does not contain all the information contained in the registration statement. For further information about us and our ordinary shares, you should read the registration statement and the exhibits filed with the registration statement.</w:t>
      </w:r>
    </w:p>
    <w:p>
      <w:pPr>
        <w:spacing w:after="0" w:line="161"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INCORPORATION OF DOCUMENTS BY REFERENCE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SEC allows us to "incorporate by reference" the information we file with the SEC. This permits us to disclose important information to you by referring to these filed documents. Any information incorporated by reference is considered part of this prospectus, and any information filed by us with the SEC after the date of this prospectus will automatically update and supersede this information. We incorporate by reference the following documents filed with the SEC:</w:t>
      </w:r>
    </w:p>
    <w:p>
      <w:pPr>
        <w:spacing w:after="0" w:line="175" w:lineRule="exact"/>
        <w:rPr>
          <w:sz w:val="20"/>
          <w:szCs w:val="20"/>
          <w:color w:val="auto"/>
        </w:rPr>
      </w:pPr>
    </w:p>
    <w:p>
      <w:pPr>
        <w:ind w:left="620" w:hanging="181"/>
        <w:spacing w:after="0"/>
        <w:tabs>
          <w:tab w:leader="none" w:pos="6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20-F for the year ended September 30, 1998.</w:t>
      </w:r>
    </w:p>
    <w:p>
      <w:pPr>
        <w:spacing w:after="0" w:line="175" w:lineRule="exact"/>
        <w:rPr>
          <w:rFonts w:ascii="Courier New" w:cs="Courier New" w:eastAsia="Courier New" w:hAnsi="Courier New"/>
          <w:sz w:val="15"/>
          <w:szCs w:val="15"/>
          <w:color w:val="auto"/>
        </w:rPr>
      </w:pPr>
    </w:p>
    <w:p>
      <w:pPr>
        <w:ind w:left="620" w:right="3339" w:hanging="181"/>
        <w:spacing w:after="0"/>
        <w:tabs>
          <w:tab w:leader="none" w:pos="6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quarterly reports on Form 6-K for the quarterly periods ended June 30, 1999, March 31, 1999 and December 31, 1998.</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current report on Form 6-K dated September 10, 1999.</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289"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73</w:t>
      </w:r>
    </w:p>
    <w:p>
      <w:pPr>
        <w:spacing w:after="0" w:line="176" w:lineRule="exact"/>
        <w:rPr>
          <w:sz w:val="20"/>
          <w:szCs w:val="20"/>
          <w:color w:val="auto"/>
        </w:rPr>
      </w:pPr>
    </w:p>
    <w:p>
      <w:pPr>
        <w:jc w:val="both"/>
        <w:ind w:right="3159" w:firstLine="447"/>
        <w:spacing w:after="0" w:line="242" w:lineRule="auto"/>
        <w:rPr>
          <w:sz w:val="20"/>
          <w:szCs w:val="20"/>
          <w:color w:val="auto"/>
        </w:rPr>
      </w:pPr>
      <w:r>
        <w:rPr>
          <w:rFonts w:ascii="Courier New" w:cs="Courier New" w:eastAsia="Courier New" w:hAnsi="Courier New"/>
          <w:sz w:val="15"/>
          <w:szCs w:val="15"/>
          <w:color w:val="auto"/>
        </w:rPr>
        <w:t>We also incorporate by reference documents filed with or furnished to the SEC pursuant to Sections 13(a), 13(c), 14 and 15(d) of the Securities Exchange Act of 1934, as amended, subsequent to the date of this prospectus and prior to the termination of the offering. These include:</w:t>
      </w:r>
    </w:p>
    <w:p>
      <w:pPr>
        <w:spacing w:after="0" w:line="175" w:lineRule="exact"/>
        <w:rPr>
          <w:sz w:val="20"/>
          <w:szCs w:val="20"/>
          <w:color w:val="auto"/>
        </w:rPr>
      </w:pPr>
    </w:p>
    <w:p>
      <w:pPr>
        <w:ind w:left="620" w:right="3079" w:hanging="181"/>
        <w:spacing w:after="0" w:line="241"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subsequent annual reports filed on Form 20-F, Form 40-F or Form 10-K, and all subsequent filings on Forms 10-Q and 8-K filed by us pursuant to the Exchange Act.</w:t>
      </w:r>
    </w:p>
    <w:p>
      <w:pPr>
        <w:spacing w:after="0" w:line="176" w:lineRule="exact"/>
        <w:rPr>
          <w:rFonts w:ascii="Courier New" w:cs="Courier New" w:eastAsia="Courier New" w:hAnsi="Courier New"/>
          <w:sz w:val="15"/>
          <w:szCs w:val="15"/>
          <w:color w:val="auto"/>
        </w:rPr>
      </w:pPr>
    </w:p>
    <w:p>
      <w:pPr>
        <w:ind w:left="620" w:right="3159" w:hanging="181"/>
        <w:spacing w:after="0" w:line="242"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subsequent reports on Form 6-K furnished by us pursuant to the Exchange Act that contain financial statements, and all other subsequent reports on Form 6-K unless we state in the report that it is not being incorporated by reference into this prospectus.</w:t>
      </w:r>
    </w:p>
    <w:p>
      <w:pPr>
        <w:spacing w:after="0" w:line="175" w:lineRule="exact"/>
        <w:rPr>
          <w:sz w:val="20"/>
          <w:szCs w:val="20"/>
          <w:color w:val="auto"/>
        </w:rPr>
      </w:pPr>
    </w:p>
    <w:p>
      <w:pPr>
        <w:ind w:right="3439" w:firstLine="447"/>
        <w:spacing w:after="0" w:line="263" w:lineRule="auto"/>
        <w:rPr>
          <w:sz w:val="20"/>
          <w:szCs w:val="20"/>
          <w:color w:val="auto"/>
        </w:rPr>
      </w:pPr>
      <w:r>
        <w:rPr>
          <w:rFonts w:ascii="Courier New" w:cs="Courier New" w:eastAsia="Courier New" w:hAnsi="Courier New"/>
          <w:sz w:val="14"/>
          <w:szCs w:val="14"/>
          <w:color w:val="auto"/>
        </w:rPr>
        <w:t>We will provide without charge to each person to whom a prospectus is delivered, on written or oral request, a copy of any or all of the documents incorporated by reference other than exhibits to those documents. Requests should be addressed to: Mr. Thomas G. O'Brien, Amdocs Inc., 1390 Timberlake Manor Parkway, Chesterfield, Missouri 63017 (telephone: (314) 212-8328).</w:t>
      </w:r>
    </w:p>
    <w:p>
      <w:pPr>
        <w:spacing w:after="0" w:line="161"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FORWARD-LOOKING STATEMENTS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Some of the information in this prospectus contains forward-looking statements that involve substantial risks and uncertainties. You can identify these statements by forward-looking words such as "expect," "anticipate," "plan," "believe," "seek," "estimate" and similar words. Statements that we make in this prospectus that are not statements of historical fact may also be forward-looking statements. In particular, statements that we make in "Management's Discussion and Analysis of Results of Operations and Financial Condition" may be forward-looking statements. Forward-looking statements are not guarantees of our future performance, and involve risks, uncertainties and assumptions that may cause our actual results to differ materially from the expectations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Before you invest in our ordinary shares, you should be aware that the factors we discuss in "Risk Factors" and elsewhere in this prospectus could cause our actual results to differ from any forward-looking statements.</w:t>
      </w:r>
    </w:p>
    <w:p>
      <w:pPr>
        <w:spacing w:after="0" w:line="1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289"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74</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INDEX TO FINANCIAL STATEMENTS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14"/>
                <w:szCs w:val="14"/>
                <w:color w:val="auto"/>
              </w:rPr>
            </w:pPr>
          </w:p>
        </w:tc>
        <w:tc>
          <w:tcPr>
            <w:tcW w:w="4340" w:type="dxa"/>
            <w:vAlign w:val="bottom"/>
          </w:tcPr>
          <w:p>
            <w:pPr>
              <w:ind w:left="540"/>
              <w:spacing w:after="0"/>
              <w:rPr>
                <w:sz w:val="20"/>
                <w:szCs w:val="20"/>
                <w:color w:val="auto"/>
              </w:rPr>
            </w:pPr>
            <w:r>
              <w:rPr>
                <w:rFonts w:ascii="Courier New" w:cs="Courier New" w:eastAsia="Courier New" w:hAnsi="Courier New"/>
                <w:sz w:val="15"/>
                <w:szCs w:val="15"/>
                <w:color w:val="auto"/>
                <w:w w:val="99"/>
              </w:rPr>
              <w:t>(in U.S. dollars, unless otherwise stated)</w:t>
            </w:r>
          </w:p>
        </w:tc>
        <w:tc>
          <w:tcPr>
            <w:tcW w:w="400" w:type="dxa"/>
            <w:vAlign w:val="bottom"/>
          </w:tcPr>
          <w:p>
            <w:pPr>
              <w:spacing w:after="0"/>
              <w:rPr>
                <w:sz w:val="14"/>
                <w:szCs w:val="14"/>
                <w:color w:val="auto"/>
              </w:rPr>
            </w:pPr>
          </w:p>
        </w:tc>
      </w:tr>
      <w:tr>
        <w:trPr>
          <w:trHeight w:val="688"/>
        </w:trPr>
        <w:tc>
          <w:tcPr>
            <w:tcW w:w="11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2"/>
        </w:trPr>
        <w:tc>
          <w:tcPr>
            <w:tcW w:w="11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AMDOCS LIMITED</w:t>
            </w:r>
          </w:p>
        </w:tc>
        <w:tc>
          <w:tcPr>
            <w:tcW w:w="400" w:type="dxa"/>
            <w:vAlign w:val="bottom"/>
          </w:tcPr>
          <w:p>
            <w:pPr>
              <w:spacing w:after="0"/>
              <w:rPr>
                <w:sz w:val="24"/>
                <w:szCs w:val="24"/>
                <w:color w:val="auto"/>
              </w:rPr>
            </w:pP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Audited Consolidated Financial Statements</w:t>
            </w:r>
          </w:p>
        </w:tc>
        <w:tc>
          <w:tcPr>
            <w:tcW w:w="400" w:type="dxa"/>
            <w:vAlign w:val="bottom"/>
          </w:tcPr>
          <w:p>
            <w:pPr>
              <w:spacing w:after="0"/>
              <w:rPr>
                <w:sz w:val="14"/>
                <w:szCs w:val="14"/>
                <w:color w:val="auto"/>
              </w:rPr>
            </w:pP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Report of Independent Auditors..............................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Balance Sheets as of September 30, 1998 and</w:t>
            </w:r>
          </w:p>
        </w:tc>
        <w:tc>
          <w:tcPr>
            <w:tcW w:w="400" w:type="dxa"/>
            <w:vAlign w:val="bottom"/>
          </w:tcPr>
          <w:p>
            <w:pPr>
              <w:spacing w:after="0"/>
              <w:rPr>
                <w:sz w:val="14"/>
                <w:szCs w:val="14"/>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Operations for the years ended</w:t>
            </w:r>
          </w:p>
        </w:tc>
        <w:tc>
          <w:tcPr>
            <w:tcW w:w="400" w:type="dxa"/>
            <w:vAlign w:val="bottom"/>
          </w:tcPr>
          <w:p>
            <w:pPr>
              <w:spacing w:after="0"/>
              <w:rPr>
                <w:sz w:val="14"/>
                <w:szCs w:val="14"/>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September 30, 1998, 1997, and 1996........................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Changes in Shareholders' Equity</w:t>
            </w:r>
          </w:p>
        </w:tc>
        <w:tc>
          <w:tcPr>
            <w:tcW w:w="400" w:type="dxa"/>
            <w:vAlign w:val="bottom"/>
          </w:tcPr>
          <w:p>
            <w:pPr>
              <w:spacing w:after="0"/>
              <w:rPr>
                <w:sz w:val="14"/>
                <w:szCs w:val="14"/>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(Deficit) for the years ended September 30, 1998, 1997,</w:t>
            </w:r>
          </w:p>
        </w:tc>
        <w:tc>
          <w:tcPr>
            <w:tcW w:w="400" w:type="dxa"/>
            <w:vAlign w:val="bottom"/>
          </w:tcPr>
          <w:p>
            <w:pPr>
              <w:spacing w:after="0"/>
              <w:rPr>
                <w:sz w:val="14"/>
                <w:szCs w:val="14"/>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and 1996..................................................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Cash Flows for the years ended</w:t>
            </w:r>
          </w:p>
        </w:tc>
        <w:tc>
          <w:tcPr>
            <w:tcW w:w="400" w:type="dxa"/>
            <w:vAlign w:val="bottom"/>
          </w:tcPr>
          <w:p>
            <w:pPr>
              <w:spacing w:after="0"/>
              <w:rPr>
                <w:sz w:val="14"/>
                <w:szCs w:val="14"/>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September 30, 1998, 1997, and 1996........................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F-8</w:t>
            </w: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Unaudited Consolidated Financial Statements</w:t>
            </w:r>
          </w:p>
        </w:tc>
        <w:tc>
          <w:tcPr>
            <w:tcW w:w="400" w:type="dxa"/>
            <w:vAlign w:val="bottom"/>
          </w:tcPr>
          <w:p>
            <w:pPr>
              <w:spacing w:after="0"/>
              <w:rPr>
                <w:sz w:val="14"/>
                <w:szCs w:val="1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Balance Sheet as of June 30, 1999..............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F-24</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Operations for the nine months</w:t>
            </w:r>
          </w:p>
        </w:tc>
        <w:tc>
          <w:tcPr>
            <w:tcW w:w="400" w:type="dxa"/>
            <w:vAlign w:val="bottom"/>
          </w:tcPr>
          <w:p>
            <w:pPr>
              <w:spacing w:after="0"/>
              <w:rPr>
                <w:sz w:val="14"/>
                <w:szCs w:val="14"/>
                <w:color w:val="auto"/>
              </w:rPr>
            </w:pPr>
          </w:p>
        </w:tc>
      </w:tr>
      <w:tr>
        <w:trPr>
          <w:trHeight w:val="172"/>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ended June</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30, 1999 and 1998..............................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F-25</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 of Changes in Shareholder's Equity</w:t>
            </w:r>
          </w:p>
        </w:tc>
        <w:tc>
          <w:tcPr>
            <w:tcW w:w="400" w:type="dxa"/>
            <w:vAlign w:val="bottom"/>
          </w:tcPr>
          <w:p>
            <w:pPr>
              <w:spacing w:after="0"/>
              <w:rPr>
                <w:sz w:val="14"/>
                <w:szCs w:val="14"/>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(Deficit) for the nine months ended June 30, 1999.........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F-26</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Cash Flows for the nine months</w:t>
            </w:r>
          </w:p>
        </w:tc>
        <w:tc>
          <w:tcPr>
            <w:tcW w:w="400" w:type="dxa"/>
            <w:vAlign w:val="bottom"/>
          </w:tcPr>
          <w:p>
            <w:pPr>
              <w:spacing w:after="0"/>
              <w:rPr>
                <w:sz w:val="14"/>
                <w:szCs w:val="14"/>
                <w:color w:val="auto"/>
              </w:rPr>
            </w:pPr>
          </w:p>
        </w:tc>
      </w:tr>
      <w:tr>
        <w:trPr>
          <w:trHeight w:val="172"/>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ended June</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30, 1999 and 1998..............................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F-27</w:t>
            </w: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Notes to Unaudited Consolidated Financial Statements........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F-28</w:t>
            </w: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INTERNATIONAL TELECOMMUNICATIONS DATA SYSTEMS, INC.</w:t>
            </w:r>
          </w:p>
        </w:tc>
        <w:tc>
          <w:tcPr>
            <w:tcW w:w="400" w:type="dxa"/>
            <w:vAlign w:val="bottom"/>
          </w:tcPr>
          <w:p>
            <w:pPr>
              <w:spacing w:after="0"/>
              <w:rPr>
                <w:sz w:val="14"/>
                <w:szCs w:val="14"/>
                <w:color w:val="auto"/>
              </w:rPr>
            </w:pP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Audited Consolidated Financial Statements</w:t>
            </w:r>
          </w:p>
        </w:tc>
        <w:tc>
          <w:tcPr>
            <w:tcW w:w="400" w:type="dxa"/>
            <w:vAlign w:val="bottom"/>
          </w:tcPr>
          <w:p>
            <w:pPr>
              <w:spacing w:after="0"/>
              <w:rPr>
                <w:sz w:val="14"/>
                <w:szCs w:val="14"/>
                <w:color w:val="auto"/>
              </w:rPr>
            </w:pP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Report of Independent Auditors..............................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F-31</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Balance Sheets as of December 31, 1998 and</w:t>
            </w:r>
          </w:p>
        </w:tc>
        <w:tc>
          <w:tcPr>
            <w:tcW w:w="400" w:type="dxa"/>
            <w:vAlign w:val="bottom"/>
          </w:tcPr>
          <w:p>
            <w:pPr>
              <w:spacing w:after="0"/>
              <w:rPr>
                <w:sz w:val="14"/>
                <w:szCs w:val="14"/>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F-32</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Operations for the years ended</w:t>
            </w:r>
          </w:p>
        </w:tc>
        <w:tc>
          <w:tcPr>
            <w:tcW w:w="400" w:type="dxa"/>
            <w:vAlign w:val="bottom"/>
          </w:tcPr>
          <w:p>
            <w:pPr>
              <w:spacing w:after="0"/>
              <w:rPr>
                <w:sz w:val="14"/>
                <w:szCs w:val="14"/>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December 31, 1998, 1997, and 1996.........................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F-33</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Stockholders' Equity (Deficiency)</w:t>
            </w:r>
          </w:p>
        </w:tc>
        <w:tc>
          <w:tcPr>
            <w:tcW w:w="400" w:type="dxa"/>
            <w:vAlign w:val="bottom"/>
          </w:tcPr>
          <w:p>
            <w:pPr>
              <w:spacing w:after="0"/>
              <w:rPr>
                <w:sz w:val="14"/>
                <w:szCs w:val="14"/>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 the years ended December 31, 1998, 1997, and 1996.....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F-34</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Cash Flows for the years ended</w:t>
            </w:r>
          </w:p>
        </w:tc>
        <w:tc>
          <w:tcPr>
            <w:tcW w:w="400" w:type="dxa"/>
            <w:vAlign w:val="bottom"/>
          </w:tcPr>
          <w:p>
            <w:pPr>
              <w:spacing w:after="0"/>
              <w:rPr>
                <w:sz w:val="14"/>
                <w:szCs w:val="14"/>
                <w:color w:val="auto"/>
              </w:rPr>
            </w:pPr>
          </w:p>
        </w:tc>
      </w:tr>
      <w:tr>
        <w:trPr>
          <w:trHeight w:val="172"/>
        </w:trPr>
        <w:tc>
          <w:tcPr>
            <w:tcW w:w="5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December 31, 1998, 1997, and 1996.........................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F-35</w:t>
            </w: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F-36</w:t>
            </w: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Unaudited Consolidated Financial Statements</w:t>
            </w:r>
          </w:p>
        </w:tc>
        <w:tc>
          <w:tcPr>
            <w:tcW w:w="400" w:type="dxa"/>
            <w:vAlign w:val="bottom"/>
          </w:tcPr>
          <w:p>
            <w:pPr>
              <w:spacing w:after="0"/>
              <w:rPr>
                <w:sz w:val="14"/>
                <w:szCs w:val="14"/>
                <w:color w:val="auto"/>
              </w:rPr>
            </w:pP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Balance Sheet as of June 30, 1999..............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F-48</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Operations for the six months</w:t>
            </w:r>
          </w:p>
        </w:tc>
        <w:tc>
          <w:tcPr>
            <w:tcW w:w="400" w:type="dxa"/>
            <w:vAlign w:val="bottom"/>
          </w:tcPr>
          <w:p>
            <w:pPr>
              <w:spacing w:after="0"/>
              <w:rPr>
                <w:sz w:val="14"/>
                <w:szCs w:val="14"/>
                <w:color w:val="auto"/>
              </w:rPr>
            </w:pPr>
          </w:p>
        </w:tc>
      </w:tr>
      <w:tr>
        <w:trPr>
          <w:trHeight w:val="172"/>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ended June</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30, 1999 and 1998..............................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F-50</w:t>
            </w:r>
          </w:p>
        </w:tc>
      </w:tr>
      <w:tr>
        <w:trPr>
          <w:trHeight w:val="172"/>
        </w:trPr>
        <w:tc>
          <w:tcPr>
            <w:tcW w:w="1160" w:type="dxa"/>
            <w:vAlign w:val="bottom"/>
          </w:tcPr>
          <w:p>
            <w:pPr>
              <w:spacing w:after="0"/>
              <w:rPr>
                <w:sz w:val="20"/>
                <w:szCs w:val="20"/>
                <w:color w:val="auto"/>
              </w:rPr>
            </w:pPr>
            <w:r>
              <w:rPr>
                <w:rFonts w:ascii="Courier New" w:cs="Courier New" w:eastAsia="Courier New" w:hAnsi="Courier New"/>
                <w:sz w:val="15"/>
                <w:szCs w:val="15"/>
                <w:color w:val="auto"/>
              </w:rPr>
              <w:t>Consolidated</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Statements of Cash Flows for the six months</w:t>
            </w:r>
          </w:p>
        </w:tc>
        <w:tc>
          <w:tcPr>
            <w:tcW w:w="400" w:type="dxa"/>
            <w:vAlign w:val="bottom"/>
          </w:tcPr>
          <w:p>
            <w:pPr>
              <w:spacing w:after="0"/>
              <w:rPr>
                <w:sz w:val="14"/>
                <w:szCs w:val="14"/>
                <w:color w:val="auto"/>
              </w:rPr>
            </w:pPr>
          </w:p>
        </w:tc>
      </w:tr>
      <w:tr>
        <w:trPr>
          <w:trHeight w:val="172"/>
        </w:trPr>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ended June</w:t>
            </w:r>
          </w:p>
        </w:tc>
        <w:tc>
          <w:tcPr>
            <w:tcW w:w="4340" w:type="dxa"/>
            <w:vAlign w:val="bottom"/>
          </w:tcPr>
          <w:p>
            <w:pPr>
              <w:spacing w:after="0"/>
              <w:rPr>
                <w:sz w:val="20"/>
                <w:szCs w:val="20"/>
                <w:color w:val="auto"/>
              </w:rPr>
            </w:pPr>
            <w:r>
              <w:rPr>
                <w:rFonts w:ascii="Courier New" w:cs="Courier New" w:eastAsia="Courier New" w:hAnsi="Courier New"/>
                <w:sz w:val="15"/>
                <w:szCs w:val="15"/>
                <w:color w:val="auto"/>
              </w:rPr>
              <w:t>30, 1999 and 1998..............................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F-51</w:t>
            </w:r>
          </w:p>
        </w:tc>
      </w:tr>
      <w:tr>
        <w:trPr>
          <w:trHeight w:val="172"/>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Notes to Unaudited Consolidated Financial Statements........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F-52</w:t>
            </w:r>
          </w:p>
        </w:tc>
      </w:tr>
      <w:tr>
        <w:trPr>
          <w:trHeight w:val="516"/>
        </w:trPr>
        <w:tc>
          <w:tcPr>
            <w:tcW w:w="1160" w:type="dxa"/>
            <w:vAlign w:val="bottom"/>
          </w:tcPr>
          <w:p>
            <w:pPr>
              <w:spacing w:after="0"/>
              <w:rPr>
                <w:sz w:val="24"/>
                <w:szCs w:val="24"/>
                <w:color w:val="auto"/>
              </w:rPr>
            </w:pPr>
          </w:p>
        </w:tc>
        <w:tc>
          <w:tcPr>
            <w:tcW w:w="4340" w:type="dxa"/>
            <w:vAlign w:val="bottom"/>
          </w:tcPr>
          <w:p>
            <w:pPr>
              <w:ind w:left="2320"/>
              <w:spacing w:after="0"/>
              <w:rPr>
                <w:sz w:val="20"/>
                <w:szCs w:val="20"/>
                <w:color w:val="auto"/>
              </w:rPr>
            </w:pPr>
            <w:r>
              <w:rPr>
                <w:rFonts w:ascii="Courier New" w:cs="Courier New" w:eastAsia="Courier New" w:hAnsi="Courier New"/>
                <w:sz w:val="15"/>
                <w:szCs w:val="15"/>
                <w:color w:val="auto"/>
              </w:rPr>
              <w:t>F-1</w:t>
            </w:r>
          </w:p>
        </w:tc>
        <w:tc>
          <w:tcPr>
            <w:tcW w:w="40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75</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REPORT OF INDEPENDENT AUDITORS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SHAREHOLDERS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AMDOCS LIMITED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audited the accompanying consolidated balance sheets of Amdocs Limited as of September 30, 1998 and 1997, and the related statements of operations, changes in shareholders' equity (deficit) and cash flows for each of the three years in the period ended September 30, 1998.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Amdocs Limited at September 30, 1998 and 1997, and the consolidated results of its operations and its cash flows for each of the three years in the period ended September 30, 1998, in conformity with accounting principles generally accepted in the United States.</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 ERNST &amp; YOUNG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 Louis, Missouri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8, 1998</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89"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76</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BALANCE SHEETS</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AS OF SEPTEMBER 30,</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4"/>
        </w:trPr>
        <w:tc>
          <w:tcPr>
            <w:tcW w:w="1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40" w:type="dxa"/>
            <w:vAlign w:val="bottom"/>
          </w:tcPr>
          <w:p>
            <w:pPr>
              <w:jc w:val="right"/>
              <w:ind w:right="1445"/>
              <w:spacing w:after="0"/>
              <w:rPr>
                <w:sz w:val="20"/>
                <w:szCs w:val="20"/>
                <w:color w:val="auto"/>
              </w:rPr>
            </w:pPr>
            <w:r>
              <w:rPr>
                <w:rFonts w:ascii="Courier New" w:cs="Courier New" w:eastAsia="Courier New" w:hAnsi="Courier New"/>
                <w:sz w:val="15"/>
                <w:szCs w:val="15"/>
                <w:color w:val="auto"/>
                <w:w w:val="92"/>
              </w:rPr>
              <w:t>ASSETS</w:t>
            </w: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$ 25,389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$ 53,732</w:t>
            </w: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Accounts receivable, including unbilled of $10,331 in 1998</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and $2,031 in 1997.....................................</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79,723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48,565</w:t>
            </w: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Accounts receivable from related parties, including</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unbilled of $537 in 1998 and $0 in 1997................</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10,235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15,393</w:t>
            </w: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Deferred income taxes.....................................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14,534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12,532</w:t>
            </w: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11,991</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6,161</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Total current assets..............................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141,872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136,383</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Equipment, vehicles and leasehold improvements, net.........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46,404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28,287</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Deferred income taxes</w:t>
            </w:r>
          </w:p>
        </w:tc>
        <w:tc>
          <w:tcPr>
            <w:tcW w:w="35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7,773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4,587</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Intellectual property rights................................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23,362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25,982</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Other noncurrent assets.....................................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20,555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25,343</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$239,966</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$220,582</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6480" w:type="dxa"/>
            <w:vAlign w:val="bottom"/>
            <w:gridSpan w:val="4"/>
          </w:tcPr>
          <w:p>
            <w:pPr>
              <w:jc w:val="right"/>
              <w:ind w:right="685"/>
              <w:spacing w:after="0"/>
              <w:rPr>
                <w:sz w:val="20"/>
                <w:szCs w:val="20"/>
                <w:color w:val="auto"/>
              </w:rPr>
            </w:pPr>
            <w:r>
              <w:rPr>
                <w:rFonts w:ascii="Courier New" w:cs="Courier New" w:eastAsia="Courier New" w:hAnsi="Courier New"/>
                <w:sz w:val="15"/>
                <w:szCs w:val="15"/>
                <w:color w:val="auto"/>
              </w:rPr>
              <w:t>LIABILITIES AND SHAREHOLDERS' EQUITY (DEFICIT)</w:t>
            </w:r>
          </w:p>
        </w:tc>
        <w:tc>
          <w:tcPr>
            <w:tcW w:w="94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$ 47,599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$ 30,543</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Accrued personnel costs...................................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29,948</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23,098</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Short-term financing arrangements.........................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91,565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3400" w:type="dxa"/>
            <w:vAlign w:val="bottom"/>
            <w:gridSpan w:val="2"/>
          </w:tcPr>
          <w:p>
            <w:pPr>
              <w:ind w:left="180"/>
              <w:spacing w:after="0"/>
              <w:rPr>
                <w:sz w:val="20"/>
                <w:szCs w:val="20"/>
                <w:color w:val="auto"/>
              </w:rPr>
            </w:pPr>
            <w:r>
              <w:rPr>
                <w:rFonts w:ascii="Courier New" w:cs="Courier New" w:eastAsia="Courier New" w:hAnsi="Courier New"/>
                <w:sz w:val="13"/>
                <w:szCs w:val="13"/>
                <w:color w:val="auto"/>
                <w:w w:val="70"/>
              </w:rPr>
              <w:t>Unearned revenue..........................................</w:t>
            </w: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29,241</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17,440</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Notes payable to related parties..........................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3,268</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2,952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1,954</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Forward exchange contracts................................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2,926</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Income taxes payable and deferred income taxes............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21,919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20,151</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Total current liabilities.........................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226,150</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98,452</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Long-term forward exchange contracts........................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2,222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Long-term portion of capital lease obligations..............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9,215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7,370</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Other noncurrent liabilities................................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24,268</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20,507</w:t>
            </w:r>
          </w:p>
        </w:tc>
      </w:tr>
      <w:tr>
        <w:trPr>
          <w:trHeight w:val="172"/>
        </w:trPr>
        <w:tc>
          <w:tcPr>
            <w:tcW w:w="3400" w:type="dxa"/>
            <w:vAlign w:val="bottom"/>
            <w:gridSpan w:val="2"/>
          </w:tcPr>
          <w:p>
            <w:pPr>
              <w:spacing w:after="0"/>
              <w:rPr>
                <w:sz w:val="20"/>
                <w:szCs w:val="20"/>
                <w:color w:val="auto"/>
              </w:rPr>
            </w:pPr>
            <w:r>
              <w:rPr>
                <w:rFonts w:ascii="Courier New" w:cs="Courier New" w:eastAsia="Courier New" w:hAnsi="Courier New"/>
                <w:sz w:val="15"/>
                <w:szCs w:val="15"/>
                <w:color w:val="auto"/>
              </w:rPr>
              <w:t>Shareholders' equity (deficit):</w:t>
            </w:r>
          </w:p>
        </w:tc>
        <w:tc>
          <w:tcPr>
            <w:tcW w:w="2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w w:val="98"/>
              </w:rPr>
              <w:t>Preferred Shares --</w:t>
            </w:r>
          </w:p>
        </w:tc>
        <w:tc>
          <w:tcPr>
            <w:tcW w:w="3560" w:type="dxa"/>
            <w:vAlign w:val="bottom"/>
            <w:gridSpan w:val="2"/>
          </w:tcPr>
          <w:p>
            <w:pPr>
              <w:jc w:val="right"/>
              <w:ind w:right="625"/>
              <w:spacing w:after="0"/>
              <w:rPr>
                <w:sz w:val="20"/>
                <w:szCs w:val="20"/>
                <w:color w:val="auto"/>
              </w:rPr>
            </w:pPr>
            <w:r>
              <w:rPr>
                <w:rFonts w:ascii="Courier New" w:cs="Courier New" w:eastAsia="Courier New" w:hAnsi="Courier New"/>
                <w:sz w:val="15"/>
                <w:szCs w:val="15"/>
                <w:color w:val="auto"/>
              </w:rPr>
              <w:t>Authorized 25,000 shares; pound</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sterling 0.01 par value; 0 shares issued and</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400" w:type="dxa"/>
            <w:vAlign w:val="bottom"/>
            <w:gridSpan w:val="2"/>
          </w:tcPr>
          <w:p>
            <w:pPr>
              <w:ind w:left="440"/>
              <w:spacing w:after="0"/>
              <w:rPr>
                <w:sz w:val="20"/>
                <w:szCs w:val="20"/>
                <w:color w:val="auto"/>
              </w:rPr>
            </w:pPr>
            <w:r>
              <w:rPr>
                <w:rFonts w:ascii="Courier New" w:cs="Courier New" w:eastAsia="Courier New" w:hAnsi="Courier New"/>
                <w:sz w:val="12"/>
                <w:szCs w:val="12"/>
                <w:color w:val="auto"/>
                <w:w w:val="74"/>
              </w:rPr>
              <w:t>outstanding............................................</w:t>
            </w: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Ordinary Shares --</w:t>
            </w:r>
          </w:p>
        </w:tc>
        <w:tc>
          <w:tcPr>
            <w:tcW w:w="3560" w:type="dxa"/>
            <w:vAlign w:val="bottom"/>
            <w:gridSpan w:val="2"/>
          </w:tcPr>
          <w:p>
            <w:pPr>
              <w:jc w:val="right"/>
              <w:ind w:right="625"/>
              <w:spacing w:after="0"/>
              <w:rPr>
                <w:sz w:val="20"/>
                <w:szCs w:val="20"/>
                <w:color w:val="auto"/>
              </w:rPr>
            </w:pPr>
            <w:r>
              <w:rPr>
                <w:rFonts w:ascii="Courier New" w:cs="Courier New" w:eastAsia="Courier New" w:hAnsi="Courier New"/>
                <w:sz w:val="15"/>
                <w:szCs w:val="15"/>
                <w:color w:val="auto"/>
                <w:w w:val="98"/>
              </w:rPr>
              <w:t>Authorized 550,000 shares; pound</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sterling 0.01 par value; 196,800 and 124,708</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40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6"/>
              </w:rPr>
              <w:t>outstanding, respectively (1998 --</w:t>
            </w:r>
          </w:p>
        </w:tc>
        <w:tc>
          <w:tcPr>
            <w:tcW w:w="20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30,235 Non Voting</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Ordinary Shares and 166,565 Voting Ordinary Shares)....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3,149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Additional paid-in capital..................................</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447,503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105,779</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Unrealized loss on derivative instruments...................</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(1,495)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Unearned compensation</w:t>
            </w:r>
          </w:p>
        </w:tc>
        <w:tc>
          <w:tcPr>
            <w:tcW w:w="35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(8,947)</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gridSpan w:val="2"/>
          </w:tcPr>
          <w:p>
            <w:pPr>
              <w:spacing w:after="0"/>
              <w:rPr>
                <w:sz w:val="20"/>
                <w:szCs w:val="20"/>
                <w:color w:val="auto"/>
              </w:rPr>
            </w:pPr>
            <w:r>
              <w:rPr>
                <w:rFonts w:ascii="Courier New" w:cs="Courier New" w:eastAsia="Courier New" w:hAnsi="Courier New"/>
                <w:sz w:val="13"/>
                <w:szCs w:val="13"/>
                <w:color w:val="auto"/>
                <w:w w:val="72"/>
              </w:rPr>
              <w:t>Accumulated deficit.........................................</w:t>
            </w:r>
          </w:p>
        </w:tc>
        <w:tc>
          <w:tcPr>
            <w:tcW w:w="204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(462,099)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(13,522)</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Total shareholders' equity (deficit)..............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(21,889)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94,253</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$239,966</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$220,582</w:t>
            </w:r>
          </w:p>
        </w:tc>
      </w:tr>
      <w:tr>
        <w:trPr>
          <w:trHeight w:val="172"/>
        </w:trPr>
        <w:tc>
          <w:tcPr>
            <w:tcW w:w="1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89" w:right="1440" w:bottom="1440" w:gutter="0" w:footer="0" w:header="0"/>
        </w:sectPr>
      </w:pPr>
    </w:p>
    <w:bookmarkStart w:id="76" w:name="page77"/>
    <w:bookmarkEnd w:id="76"/>
    <w:p>
      <w:pPr>
        <w:ind w:left="268"/>
        <w:spacing w:after="0"/>
        <w:rPr>
          <w:sz w:val="20"/>
          <w:szCs w:val="20"/>
          <w:color w:val="auto"/>
        </w:rPr>
      </w:pPr>
      <w:r>
        <w:rPr>
          <w:rFonts w:ascii="Courier New" w:cs="Courier New" w:eastAsia="Courier New" w:hAnsi="Courier New"/>
          <w:sz w:val="15"/>
          <w:szCs w:val="15"/>
          <w:color w:val="auto"/>
        </w:rPr>
        <w:t>77</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5"/>
          </w:tcPr>
          <w:p>
            <w:pPr>
              <w:jc w:val="right"/>
              <w:ind w:right="28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5100" w:type="dxa"/>
            <w:vAlign w:val="bottom"/>
          </w:tcPr>
          <w:p>
            <w:pPr>
              <w:spacing w:after="0"/>
              <w:rPr>
                <w:sz w:val="14"/>
                <w:szCs w:val="14"/>
                <w:color w:val="auto"/>
              </w:rPr>
            </w:pPr>
          </w:p>
        </w:tc>
        <w:tc>
          <w:tcPr>
            <w:tcW w:w="29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License(*)............................................</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$ 42,891</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$ 25,995</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$ 16,298</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Service(*)............................................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360,876</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264,107</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195,422</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403,767</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290,102</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211,720</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license(*)....................................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10,732</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3,711</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4,011</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service(*)....................................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231,360</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173,704</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129,177</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and development..............................</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25,612</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17,386</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14,695</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Selling, general and administrative(*)................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51,168</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40,769</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28,347</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Nonrecurring charges (*)..............................</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27,563</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318,872</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263,133</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176,230</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Operating income........................................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84,895</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26,969</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35,490</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Other expense, net(*)...................................</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24,126</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3,266</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476</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before income taxes and cumulative effect........</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60,769</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23,703</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35,014</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taxes............................................</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30,385</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17,827</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10,506</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before cumulative effect.........................</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30,384</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5,876</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24,508</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Cumulative effect of change in accounting principle, net</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of $277 tax...........................................</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277</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income..............................................</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$ 30,107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5,876</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$ 24,508</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Income before cumulative effect.......................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Cumulative effect of a change in accounting principle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(less than $0.01)..................................</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Diluted earnings per share Income before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cumulative effect.....................................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Cumulative effect of a change in accounting principle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(less than $0.01)..................................</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48" w:right="3439" w:hanging="348"/>
        <w:spacing w:after="0" w:line="260" w:lineRule="auto"/>
        <w:tabs>
          <w:tab w:leader="none" w:pos="348"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following income (expense) resulting from transactions with related parties for the year ended September 30, 1998, 1997 and 1996,</w:t>
      </w:r>
    </w:p>
    <w:p>
      <w:pPr>
        <w:ind w:left="348"/>
        <w:spacing w:after="0" w:line="238" w:lineRule="auto"/>
        <w:rPr>
          <w:sz w:val="20"/>
          <w:szCs w:val="20"/>
          <w:color w:val="auto"/>
        </w:rPr>
      </w:pPr>
      <w:r>
        <w:rPr>
          <w:rFonts w:ascii="Courier New" w:cs="Courier New" w:eastAsia="Courier New" w:hAnsi="Courier New"/>
          <w:sz w:val="15"/>
          <w:szCs w:val="15"/>
          <w:color w:val="auto"/>
        </w:rPr>
        <w:t>respectively: License revenue -- $2,300, $0, and $2,000; service</w:t>
      </w:r>
    </w:p>
    <w:p>
      <w:pPr>
        <w:spacing w:after="0" w:line="4" w:lineRule="exact"/>
        <w:rPr>
          <w:sz w:val="20"/>
          <w:szCs w:val="20"/>
          <w:color w:val="auto"/>
        </w:rPr>
      </w:pPr>
    </w:p>
    <w:p>
      <w:pPr>
        <w:ind w:left="348" w:right="3259"/>
        <w:spacing w:after="0" w:line="242" w:lineRule="auto"/>
        <w:rPr>
          <w:sz w:val="20"/>
          <w:szCs w:val="20"/>
          <w:color w:val="auto"/>
        </w:rPr>
      </w:pPr>
      <w:r>
        <w:rPr>
          <w:rFonts w:ascii="Courier New" w:cs="Courier New" w:eastAsia="Courier New" w:hAnsi="Courier New"/>
          <w:sz w:val="15"/>
          <w:szCs w:val="15"/>
          <w:color w:val="auto"/>
        </w:rPr>
        <w:t>revenue -- $82,100, $100,500 and $76,500; cost of license -- $0, $(3,382) and $(4,011); cost of service -- $(2,325), $(2,523) and $(1,966); selling, general and administrative -- $(510), $(377) and $(294); other expense, net -- $(6,268), $0 and $0 (Note 3); nonrecurring charges -- $0, $(1,800) and $0 (Note 3).</w:t>
      </w:r>
    </w:p>
    <w:p>
      <w:pPr>
        <w:spacing w:after="0" w:line="174"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27"/>
          </w:cols>
          <w:pgMar w:left="232" w:top="289"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78</w:t>
      </w:r>
    </w:p>
    <w:p>
      <w:pPr>
        <w:spacing w:after="0" w:line="174"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CONSOLIDATED STATEMENTS OF CHANGES IN SHAREHOLDERS' EQUITY (DEFICIT)</w:t>
      </w:r>
    </w:p>
    <w:p>
      <w:pPr>
        <w:spacing w:after="0" w:line="2"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UNREALIZED</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RETAINED</w:t>
            </w:r>
          </w:p>
        </w:tc>
        <w:tc>
          <w:tcPr>
            <w:tcW w:w="12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3480" w:type="dxa"/>
            <w:vAlign w:val="bottom"/>
          </w:tcPr>
          <w:p>
            <w:pPr>
              <w:spacing w:after="0"/>
              <w:rPr>
                <w:sz w:val="14"/>
                <w:szCs w:val="14"/>
                <w:color w:val="auto"/>
              </w:rPr>
            </w:pPr>
          </w:p>
        </w:tc>
        <w:tc>
          <w:tcPr>
            <w:tcW w:w="16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ORDINARY SHARES</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ADDITIONAL</w:t>
            </w:r>
          </w:p>
        </w:tc>
        <w:tc>
          <w:tcPr>
            <w:tcW w:w="12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LOSS ON</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EARNINGS</w:t>
            </w:r>
          </w:p>
        </w:tc>
        <w:tc>
          <w:tcPr>
            <w:tcW w:w="128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SHAREHOLDERS'</w:t>
            </w:r>
          </w:p>
        </w:tc>
      </w:tr>
      <w:tr>
        <w:trPr>
          <w:trHeight w:val="172"/>
        </w:trPr>
        <w:tc>
          <w:tcPr>
            <w:tcW w:w="3480" w:type="dxa"/>
            <w:vAlign w:val="bottom"/>
          </w:tcPr>
          <w:p>
            <w:pPr>
              <w:spacing w:after="0"/>
              <w:rPr>
                <w:sz w:val="14"/>
                <w:szCs w:val="14"/>
                <w:color w:val="auto"/>
              </w:rPr>
            </w:pPr>
          </w:p>
        </w:tc>
        <w:tc>
          <w:tcPr>
            <w:tcW w:w="16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PAID-IN</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DERIVATIVE</w:t>
            </w:r>
          </w:p>
        </w:tc>
        <w:tc>
          <w:tcPr>
            <w:tcW w:w="13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UNEARNED</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(ACCUMULATED</w:t>
            </w:r>
          </w:p>
        </w:tc>
        <w:tc>
          <w:tcPr>
            <w:tcW w:w="1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EQUITY</w:t>
            </w:r>
          </w:p>
        </w:tc>
      </w:tr>
      <w:tr>
        <w:trPr>
          <w:trHeight w:val="172"/>
        </w:trPr>
        <w:tc>
          <w:tcPr>
            <w:tcW w:w="348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AMOUNT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CAPITAL</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INSTRUMENTS</w:t>
            </w:r>
          </w:p>
        </w:tc>
        <w:tc>
          <w:tcPr>
            <w:tcW w:w="13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COMPENSATION</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DEFICIT)</w:t>
            </w:r>
          </w:p>
        </w:tc>
        <w:tc>
          <w:tcPr>
            <w:tcW w:w="12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(DEFICIT)</w:t>
            </w:r>
          </w:p>
        </w:tc>
      </w:tr>
      <w:tr>
        <w:trPr>
          <w:trHeight w:val="172"/>
        </w:trPr>
        <w:tc>
          <w:tcPr>
            <w:tcW w:w="348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at September 30, 1995.........</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107,934</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$1,727</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$ 14,348</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13,354</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29,429</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Conversion to Voting Shares...........</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24,508</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24,508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$0.35 per share...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(37,949)</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(37,949)</w:t>
            </w:r>
          </w:p>
        </w:tc>
      </w:tr>
      <w:tr>
        <w:trPr>
          <w:trHeight w:val="172"/>
        </w:trPr>
        <w:tc>
          <w:tcPr>
            <w:tcW w:w="34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at September 30, 1996.........</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107,916</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1,727</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14,348</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(87)</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15,988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5,876</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5,876</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$0.18 per share...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(19,311)</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(19,311)</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Issuance of Ordinary Shares, net......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16,792</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91,431</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91,700</w:t>
            </w:r>
          </w:p>
        </w:tc>
      </w:tr>
      <w:tr>
        <w:trPr>
          <w:trHeight w:val="172"/>
        </w:trPr>
        <w:tc>
          <w:tcPr>
            <w:tcW w:w="34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at September 30, 1997.........</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124,708</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1,996</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105,779</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(13,522)</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94,253</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30,107</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30,107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Unrealized loss on derivative</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instruments, net of $640 tax........</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(1,495)</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(1,495)</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$3.76 per share...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(478,684)</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(478,684)</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Issuance of Ordinary Shares, net......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54,092</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865</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97,583</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98,448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Initial public offering of Ordinary</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Shares, net.........................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18,000</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288</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233,902</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234,190</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Stock options granted to employees,</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net of forfeitures..................</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10,239</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4"/>
              </w:rPr>
              <w:t>(10,239)</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compensation........................</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1,292</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1,292</w:t>
            </w:r>
          </w:p>
        </w:tc>
      </w:tr>
      <w:tr>
        <w:trPr>
          <w:trHeight w:val="172"/>
        </w:trPr>
        <w:tc>
          <w:tcPr>
            <w:tcW w:w="34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at September 30, 1998.........</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196,800</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$3,149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$447,503</w:t>
            </w:r>
          </w:p>
        </w:tc>
        <w:tc>
          <w:tcPr>
            <w:tcW w:w="12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$(1,495)</w:t>
            </w:r>
          </w:p>
        </w:tc>
        <w:tc>
          <w:tcPr>
            <w:tcW w:w="13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 (8,947)</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$(462,099)</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(21,889)</w:t>
            </w:r>
          </w:p>
        </w:tc>
      </w:tr>
      <w:tr>
        <w:trPr>
          <w:trHeight w:val="172"/>
        </w:trPr>
        <w:tc>
          <w:tcPr>
            <w:tcW w:w="34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1520"/>
          </w:cols>
          <w:pgMar w:left="240" w:top="289" w:right="139"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79</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40" w:type="dxa"/>
            <w:vAlign w:val="bottom"/>
            <w:gridSpan w:val="5"/>
          </w:tcPr>
          <w:p>
            <w:pPr>
              <w:jc w:val="right"/>
              <w:ind w:right="56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4820" w:type="dxa"/>
            <w:vAlign w:val="bottom"/>
          </w:tcPr>
          <w:p>
            <w:pPr>
              <w:spacing w:after="0"/>
              <w:rPr>
                <w:sz w:val="14"/>
                <w:szCs w:val="14"/>
                <w:color w:val="auto"/>
              </w:rPr>
            </w:pPr>
          </w:p>
        </w:tc>
        <w:tc>
          <w:tcPr>
            <w:tcW w:w="332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30,107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5,876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24,508</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 by</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2705"/>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12,611</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8,066</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5,223</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16,485</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328</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sale of equipment.......................</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149</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137</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(1,991)</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(11,868)</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4,861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Write-off of purchased computer software........</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1,800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(26,000)</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(19,357)</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(8,211)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(5,244)</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1,258</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(681)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noncurrent assets.........................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(3,324)</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(3,958)</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(3,181)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23,906</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20,971</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(1,896)</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Forward exchange contracts......................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5,148</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Unearned revenue................................</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11,800</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6,730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5,697</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 payable............................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(1,429)</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11,225</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3,979</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noncurrent liabilities....................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5,760</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4,843</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3,598</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Unrealized loss on derivative instruments.......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(1,495)</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9,122</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21,712</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(695)</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provided by operating activities............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66,483</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26,051</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33,908</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leasehold improvements.............................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889</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959</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253</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leasehold improvements.............................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(26,566)</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(10,213)</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(5,526)</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Purchase of computer software and intellectual</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property rights....................................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(40,000)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used in investing activities................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(25,677)</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(49,254)</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(5,273)</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Dividends paid.......................................</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(478,684)</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(18,000)</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(40,013)</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proceeds from issuance of Ordinary Shares........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330,638</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91,700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Payments under short-term finance arrangements.......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(269,946)</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(155,190)</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(130,358)</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Borrowings under short-term finance arrangements.....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358,862</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140,360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137,872</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proceeds from issuance of long term debt.........</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364,127</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Principal payments on long term debt.................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(368,521)</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Principal payments on capital lease obligations......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(2,357)</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(1,286)</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(267)</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Proceeds from (payments on) issuance of notes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payable............................................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(3,268)</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3,268</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financing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(69,149)</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60,852</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(32,766)</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(28,343)</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37,649</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(4,131)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beginning of year.......</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53,732</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16,083</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20,214</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end of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25,389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53,732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16,083</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289"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80</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CONSOLIDATED STATEMENTS OF CASH FLOWS -- (CONTINUED)</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p>
      <w:pPr>
        <w:jc w:val="center"/>
        <w:ind w:left="2160"/>
        <w:spacing w:after="0"/>
        <w:rPr>
          <w:sz w:val="20"/>
          <w:szCs w:val="20"/>
          <w:color w:val="auto"/>
        </w:rPr>
      </w:pPr>
      <w:r>
        <w:rPr>
          <w:rFonts w:ascii="Courier New" w:cs="Courier New" w:eastAsia="Courier New" w:hAnsi="Courier New"/>
          <w:sz w:val="15"/>
          <w:szCs w:val="15"/>
          <w:color w:val="auto"/>
        </w:rPr>
        <w:t>YEAR ENDED SEPTEMBER 30,</w:t>
      </w:r>
    </w:p>
    <w:p>
      <w:pPr>
        <w:spacing w:after="0" w:line="4" w:lineRule="exact"/>
        <w:rPr>
          <w:sz w:val="20"/>
          <w:szCs w:val="20"/>
          <w:color w:val="auto"/>
        </w:rPr>
      </w:pPr>
    </w:p>
    <w:p>
      <w:pPr>
        <w:jc w:val="center"/>
        <w:ind w:left="21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left="2160"/>
        <w:spacing w:after="0"/>
        <w:tabs>
          <w:tab w:leader="none" w:pos="620" w:val="left"/>
          <w:tab w:leader="none" w:pos="62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2" w:lineRule="exact"/>
        <w:rPr>
          <w:sz w:val="20"/>
          <w:szCs w:val="20"/>
          <w:color w:val="auto"/>
        </w:rPr>
      </w:pPr>
    </w:p>
    <w:p>
      <w:pPr>
        <w:jc w:val="center"/>
        <w:ind w:left="2160"/>
        <w:spacing w:after="0"/>
        <w:tabs>
          <w:tab w:leader="none" w:pos="620" w:val="left"/>
          <w:tab w:leader="none" w:pos="6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Supplementary Cash Flow Information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and Income Taxes Paid</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Cash paid for:</w:t>
      </w:r>
    </w:p>
    <w:p>
      <w:pPr>
        <w:sectPr>
          <w:pgSz w:w="11900" w:h="16838" w:orient="portrait"/>
          <w:cols w:equalWidth="0" w:num="1">
            <w:col w:w="10219"/>
          </w:cols>
          <w:pgMar w:left="240" w:top="289" w:right="1440" w:bottom="1440" w:gutter="0" w:footer="0" w:header="0"/>
        </w:sectPr>
      </w:pP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Income taxes, net of refunds..............................</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Interest..................................................</w:t>
      </w:r>
    </w:p>
    <w:p>
      <w:pPr>
        <w:spacing w:after="0" w:line="20" w:lineRule="exact"/>
        <w:rPr>
          <w:sz w:val="20"/>
          <w:szCs w:val="20"/>
          <w:color w:val="auto"/>
        </w:rPr>
      </w:pPr>
      <w:r>
        <w:rPr>
          <w:sz w:val="20"/>
          <w:szCs w:val="20"/>
          <w:color w:val="auto"/>
        </w:rPr>
        <w:br w:type="column"/>
      </w:r>
    </w:p>
    <w:p>
      <w:pPr>
        <w:jc w:val="right"/>
        <w:spacing w:after="0" w:line="274" w:lineRule="auto"/>
        <w:rPr>
          <w:sz w:val="20"/>
          <w:szCs w:val="20"/>
          <w:color w:val="auto"/>
        </w:rPr>
      </w:pPr>
      <w:r>
        <w:rPr>
          <w:rFonts w:ascii="Courier New" w:cs="Courier New" w:eastAsia="Courier New" w:hAnsi="Courier New"/>
          <w:sz w:val="14"/>
          <w:szCs w:val="14"/>
          <w:color w:val="auto"/>
        </w:rPr>
        <w:t>$32,472 25,150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$18,352</w:t>
      </w:r>
    </w:p>
    <w:p>
      <w:pPr>
        <w:spacing w:after="0" w:line="1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1,036</w:t>
      </w:r>
    </w:p>
    <w:p>
      <w:pPr>
        <w:spacing w:after="0" w:line="20" w:lineRule="exact"/>
        <w:rPr>
          <w:sz w:val="20"/>
          <w:szCs w:val="20"/>
          <w:color w:val="auto"/>
        </w:rPr>
      </w:pPr>
      <w:r>
        <w:rPr>
          <w:sz w:val="20"/>
          <w:szCs w:val="20"/>
          <w:color w:val="auto"/>
        </w:rPr>
        <w:br w:type="column"/>
      </w:r>
    </w:p>
    <w:p>
      <w:pPr>
        <w:jc w:val="right"/>
        <w:ind w:right="2179"/>
        <w:spacing w:after="0"/>
        <w:rPr>
          <w:sz w:val="20"/>
          <w:szCs w:val="20"/>
          <w:color w:val="auto"/>
        </w:rPr>
      </w:pPr>
      <w:r>
        <w:rPr>
          <w:rFonts w:ascii="Courier New" w:cs="Courier New" w:eastAsia="Courier New" w:hAnsi="Courier New"/>
          <w:sz w:val="15"/>
          <w:szCs w:val="15"/>
          <w:color w:val="auto"/>
        </w:rPr>
        <w:t>$1,475</w:t>
      </w:r>
    </w:p>
    <w:p>
      <w:pPr>
        <w:spacing w:after="0" w:line="2" w:lineRule="exact"/>
        <w:rPr>
          <w:sz w:val="20"/>
          <w:szCs w:val="20"/>
          <w:color w:val="auto"/>
        </w:rPr>
      </w:pPr>
    </w:p>
    <w:p>
      <w:pPr>
        <w:jc w:val="right"/>
        <w:ind w:right="2179"/>
        <w:spacing w:after="0"/>
        <w:rPr>
          <w:sz w:val="20"/>
          <w:szCs w:val="20"/>
          <w:color w:val="auto"/>
        </w:rPr>
      </w:pPr>
      <w:r>
        <w:rPr>
          <w:rFonts w:ascii="Courier New" w:cs="Courier New" w:eastAsia="Courier New" w:hAnsi="Courier New"/>
          <w:sz w:val="15"/>
          <w:szCs w:val="15"/>
          <w:color w:val="auto"/>
        </w:rPr>
        <w:t>1,199</w:t>
      </w:r>
    </w:p>
    <w:p>
      <w:pPr>
        <w:spacing w:after="0" w:line="221" w:lineRule="exact"/>
        <w:rPr>
          <w:sz w:val="20"/>
          <w:szCs w:val="20"/>
          <w:color w:val="auto"/>
        </w:rPr>
      </w:pPr>
    </w:p>
    <w:p>
      <w:pPr>
        <w:sectPr>
          <w:pgSz w:w="11900" w:h="16838" w:orient="portrait"/>
          <w:cols w:equalWidth="0" w:num="4">
            <w:col w:w="5360" w:space="180"/>
            <w:col w:w="620" w:space="360"/>
            <w:col w:w="620" w:space="360"/>
            <w:col w:w="2719"/>
          </w:cols>
          <w:pgMar w:left="240" w:top="289" w:right="1440"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 CASH INVESTING AND FINANCING ACTIVITIES</w:t>
      </w:r>
    </w:p>
    <w:p>
      <w:pPr>
        <w:spacing w:after="0" w:line="176"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Capital lease obligations of $5,200, $8,516 and $2,361 were incurred during the years ended September 30, 1998, 1997 and 1996 respectively, when the Company entered into lease agreements for vehicles.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declared a dividend to its shareholders as of June 30, 1997 of certain assets, consisting principally of the net assets and liabilities of a dormant entity, totaling approximately $1,311. The estimated value of the net assets distributed, based on internally prepared estimates, approximates the net book value at the date of distribution. The dividend is aggregated in the Statement of Changes in Shareholders' Equity (Deficit) with cash dividends paid of $18,000.</w:t>
      </w:r>
    </w:p>
    <w:p>
      <w:pPr>
        <w:spacing w:after="0" w:line="17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289" w:right="1440" w:bottom="1440" w:gutter="0" w:footer="0" w:header="0"/>
          <w:type w:val="continuous"/>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81</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SEPTEMBER 30, 1998</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NATURE OF ENTITY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Amdocs Limited (the "Company") is a leading provider of product-driven information system solutions to the telecommunications industry. The Company and its subsidiaries operate in one business segment, providing computer systems integration and related services for the telecommunications industry. The Company designs, develops, markets, and supports computer software products and related services to telecommunications companies throughout the world.</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is a Guernsey corporation, which holds directly or indirectly several wholly owned subsidiaries in the United States, Europe, Canada, Israel, Japan, Cyprus and Australia. The Company's customers are mainly in the North America, Europe, South America, Australia, and the Asia-Pacific region. The Company derives approximately 55 percent of its revenue from outside the United States. The majority of the Company's production facilities are located in the State of Israel. Additional development and support centers are located in the U.S., Brazil and Cyprus.</w:t>
      </w:r>
    </w:p>
    <w:p>
      <w:pPr>
        <w:spacing w:after="0" w:line="17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SUMMARY OF SIGNIFICANT ACCOUNTING POLICIES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The consolidated financial statements of the Company have been prepared in accordance with accounting principles generally accepted in the U.S.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CONSOLIDATION</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The financial statements include the accounts of the Company and all its subsidiaries, which are wholly owned. All significant intercompany transactions and balances have been eliminated in consolidation.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FUNCTIONAL CURRENCY</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The U.S. dollar is the functional currency for the Company and its subsidiaries, as the U.S. dollar is the predominant currency of the Company's revenue.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6" w:lineRule="exact"/>
        <w:rPr>
          <w:sz w:val="20"/>
          <w:szCs w:val="20"/>
          <w:color w:val="auto"/>
        </w:rPr>
      </w:pPr>
    </w:p>
    <w:p>
      <w:pPr>
        <w:ind w:right="3259" w:firstLine="447"/>
        <w:spacing w:after="0" w:line="274" w:lineRule="auto"/>
        <w:rPr>
          <w:sz w:val="20"/>
          <w:szCs w:val="20"/>
          <w:color w:val="auto"/>
        </w:rPr>
      </w:pPr>
      <w:r>
        <w:rPr>
          <w:rFonts w:ascii="Courier New" w:cs="Courier New" w:eastAsia="Courier New" w:hAnsi="Courier New"/>
          <w:sz w:val="14"/>
          <w:szCs w:val="14"/>
          <w:color w:val="auto"/>
        </w:rPr>
        <w:t>Cash and cash equivalents consist of cash and short-term investments with insignificant interest rate risk and original maturities of 90 days or less.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EQUIPMENT AND LEASEHOLD IMPROVEMENTS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Computers, office furniture and equipment, vehicles and leasehold improvements are stated at cost. Assets under capital leases are recorded at the present value of the future minimum lease payments at the date of acquisition. Depreciation is computed using the straight-line method over the estimated useful life of the asset, which ranges from two to twelve years and includes the amortization of assets under capitalized leases. Leasehold improvements are amortized over the shorter of the estimated useful lives or the term of the lease. Management reviews property and equipment and other long-lived assets on a periodic basis to determine whether the events or changes in circumstances indicate that the carrying amount of such assets may not be recoverable.</w:t>
      </w:r>
    </w:p>
    <w:p>
      <w:pPr>
        <w:spacing w:after="0" w:line="16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289"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82</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AND COMPUTER SOFTWARE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Research and development expenditures consist of costs incurred during the development of new software modules and product offerings, usually in conjunction with a customer project. Such costs are charged to operations as incurred. Certain computer software costs are capitalized in accordance with Statement of Financial Accounting Standards (SFAS) No. 86, "Accounting for the Costs of Computer Software to be Sold, Leased or Otherwise Marketed," which requires capitalization of software development costs subsequent to the establishment of technological feasibility.</w:t>
      </w:r>
    </w:p>
    <w:p>
      <w:pPr>
        <w:spacing w:after="0" w:line="17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Based on the Company's product development process, technological feasibility is established upon completion of a detailed program design or, in the absence thereof, completion of a working model. Costs incurred by the Company after achieving technological feasibility and before the product is ready for customer release have been insignificant.</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Purchased computer software, which is reported at the lower of amortized cost or net realizable value, is amortized over its estimated useful life of three years based on the ratio of the current gross revenue for each product to the total current and anticipated future gross revenue for each product. This accounting policy results in amortization of purchased computer software on a basis faster than the straight-line method.</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Periodically, the Company considers whether there are indicators of impairment that would require the evaluation of the net realizable value of the capitalized computer software in comparison to its carrying value.</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In September 1997 the Company acquired certain intellectual properties rights. These rights are amortized over their estimated useful life of 10 years, on a straight line basis.</w:t>
      </w:r>
    </w:p>
    <w:p>
      <w:pPr>
        <w:spacing w:after="0" w:line="176"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Accumulated amortization of intellectual properties rights and computer software is $11,060 and $328 at September 30, 1998 and 1997.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SPLIT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September 1997 and May 1998, the Board of Directors of the Company authorized stock splits effected as dividends of Ordinary Shares. All references in the consolidated financial statements referring to shares, per share amounts, and contingently issuable shares have been adjusted retroactively for the stock splits.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records deferred income taxes to reflect the net tax effects of temporary differences between the carrying amounts of assets and liabilities for financial reporting purposes and for tax purposes. Deferred taxes are computed based on tax rates anticipated to be in effect (under applicable law at the time the financial statements are prepared) when the deferred taxes are expected to be paid or realized.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and also include anticipated withholding taxes due on subsidiaries' earnings when paid as dividends to their parents.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289"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83</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software products require significant customization and therefore the development projects are recognized as long term contracts in conformity with Accounting Research Bulletin (ARB) No. 45 "Long Term Construction Type Contracts" and Statement of Position (SOP) 81-1 "Accounting for Performance of Construction Type and Certain Production Type Contracts" and SOP 97-2 "Software Revenue Recognition". License revenue is recognized as work is performed, using percentage of completion accounting. Service revenue that involves significant ongoing obligations, including fees for customization, implementation and support services, is recognized as work is performed, under the percentage of completion method. Revenue related to ongoing support is recognized as work is performed. Revenue from third party hardware and software sales is recognized when products are delivered. Maintenance revenue is recognized ratably over the term of the maintenance agreement, which in most cases is one year or less. As a result of its percentage of completion accounting policies, the Company's annual and quarterly operating results may be significantly affected by the size and timing of customer projects and the Company's progress in completing such projects.</w:t>
      </w:r>
    </w:p>
    <w:p>
      <w:pPr>
        <w:spacing w:after="0" w:line="18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Losses are recognized on contracts in the period in which the liability is identified. Unearned revenue represents advance billings to customers for services and third-party products and generally is recognized within one year of receipt.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Included in service revenue are sales of third-party products totaling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$27,016 in 1996. Revenue from sales of such products in 1998 and 1997 are less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than 10 percent of total revenue and are expected to continue to be below 10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 in the future. Such products include third-party computer hardware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computer software products.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LICENSE AND COST OF SERVICE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license and service consists of all costs associated with providing services to customers, including warranty expense. Estimated costs related to warranty obligations are initially provided at the time the product is delivered and are revised to reflect subsequent changes in circumstances and estimates. Cost of license includes amortization of purchased computer software and intellectual property rights and, in 1997 and 1996 royalty expense.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Included in cost of service are costs of third-party products associated with reselling third-party computer hardware and computer software products to customers. In 1996, such costs totaled $22,124. Customers purchasing third-party products from the Company generally do so in conjunction with the purchase of services.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NONRECURRING CHARGES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Amounts reflected as nonrecurring charges in the consolidated statements of operations of the year ended September 30, 1997 represent two items: (a) the payment of a one-time special bonus of $25,763 paid to a trust for the benefit of certain officers and employees related to past services and (b) a write-off of $1,800 in connection with the acquisition of certain software rights related to in-process research and development.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MODIFICATION OF ACCOUNTING FOR INTELLECTUAL PROPERTY RIGHTS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1998, the Company revised its accounting for certain intellectual property rights acquired in 1997. The cost of such rights, $26,200, was previously reported as a nonrecurring charge in 1997. Effective September 30, 1997, the rights were capitalized and are amortized over their estimated useful life of 10 years.</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19"/>
          </w:cols>
          <w:pgMar w:left="240" w:top="289"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84</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STOCK-BASED COMPENSATION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accounts for stock-based compensation in accordance with Accounting Principles Board Opinion No. 25, "Accounting for Stock Issued to Employees." Pursuant to this accounting standard, the Company records deferred compensation for share options granted to employees at the date of grant based on the difference between the exercise price of the options and the market value of the underlying shares at that date. Deferred compensation is amortized to compensation expense over the vesting period of the underlying options. See Note 14 for pro forma disclosures required in accordance with Statement No. 123, "Accounting for Stock-Based Compensation," ("SFAS 123") of the Financial Accounting Standards Board.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financial instruments of the Company consist mainly of cash and cash equivalents, accounts receivable, short-term financing arrangements, forward exchange contracts, and lease obligations. In view of their nature, the fair value of the financial instruments included in the accounts of the Company does not significantly vary from their carrying amount.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CONCENTRATION OF CREDIT RISK</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Financial instruments that potentially subject the Company to concentration of credit risk consist principally of trade receivables. The Company invests its excess cash primarily in highly liquid U.S. dollar-denominated deposits with major U.S. and U.K. banks. The Company does not expect any credit losses in respect of these items. The Company's revenue is generated primarily in North America, Europe, Australia, Brazil and the Asia-Pacific region, and most of its customers are among the largest telecommunications and directory publishing companies in the world (or owned by them). The Company performs ongoing analysis of its customer base and generally does not require collateral.</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176" w:lineRule="exact"/>
        <w:rPr>
          <w:sz w:val="20"/>
          <w:szCs w:val="20"/>
          <w:color w:val="auto"/>
        </w:rPr>
      </w:pPr>
    </w:p>
    <w:p>
      <w:pPr>
        <w:ind w:right="3699" w:firstLine="447"/>
        <w:spacing w:after="0"/>
        <w:rPr>
          <w:sz w:val="20"/>
          <w:szCs w:val="20"/>
          <w:color w:val="auto"/>
        </w:rPr>
      </w:pPr>
      <w:r>
        <w:rPr>
          <w:rFonts w:ascii="Courier New" w:cs="Courier New" w:eastAsia="Courier New" w:hAnsi="Courier New"/>
          <w:sz w:val="15"/>
          <w:szCs w:val="15"/>
          <w:color w:val="auto"/>
        </w:rPr>
        <w:t>Certain amounts in the 1997 and 1996 financial information have been reclassified to conform to the current year presentation.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ADOPTION OF NEW ACCOUNTING STANDARDS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February 1997, the Financial Accounting Standards Board (FASB) issued SFAS No. 128, "Earnings per Share" which was adopted on December 31, 1997. SFAS No. 128 replaced previously reported primary and fully diluted earnings per share with basic and diluted earnings per share. Unlike primary earnings per share, basic earnings per share exclude the dilutive effects of options, warrants and convertible securities. Diluted earnings per share are very similar to previously reported fully diluted earnings per share. All earnings per share amounts for all periods have been presented, and where necessary restated to conform to the SFAS No. 128 requirements.</w:t>
      </w:r>
    </w:p>
    <w:p>
      <w:pPr>
        <w:spacing w:after="0" w:line="17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June 1997, the FASB issued SFAS No. 130, "Reporting Comprehensive Income" which was adopted on October 1, 1997. This new Statement establishes standards for reporting and displaying comprehensive income exclusive of net income and its components in a company's financial statements. At the present time, the only component of comprehensive income which must be included in the Company's financial statements is unrealized gains and losses on derivative instruments designated as cash flow hedges.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289"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85</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June 1997, the FASB issued SFAS No. 131, "Disclosures about Segments of an Enterprise and Related Information" which was adopted on December 31, 1997. SFAS No. 131 requires companies to provide financial and descriptive information about their operating segments. All operating segment information for all periods has been presented.</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October 1997, the AICPA issued SOP 97-2, "Software Revenue Recognition," which updates the requirements of revenue recognition effective for transactions that the Company has entered into beginning January 1, 1998. The adoption of SOP 97-2 did not have a material impact on the Company's financial position or results of operations.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June 1998, the FASB issued SFAS No. 133, "Accounting for Derivative Instruments and Hedging Activities," which is required to be adopted in years beginning after June 15, 1999. The Statement permits early adoption as of the beginning of any fiscal quarter after its issuance. The Company adopted the new Statement effective July 1, 1998. The Statement requires the Company to recognize all derivatives on the balance sheet at fair value. If the derivative meets the definition of a hedge and is so designated, depending on the nature of the hedge, changes in the fair value of derivatives will either be offset against the change in fair value of the hedged assets, liabilities, or firm commitments through earnings or recognized in other comprehensive income until the hedged item is recognized in earnings. The ineffective portion of a derivative's change in fair value will be immediately recognized in earnings.</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March 1998, the AICPA issued SOP 98-1, "Accounting For the Costs of Computer Software Developed For or Obtained For Internal-Use". The provisions of the SOP must be applied in financial statements for fiscal years beginning after December 15, 1998. The SOP will require the capitalization of certain costs incurred after the date of adoption in connection with developing or obtaining software for internal-use. The company currently expenses such costs as incurred. The Company has not yet assessed what the impact of the SOP will be on the Company's future earnings or financial position.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The Company's most significant estimates are related to contract accounting estimates used to recognize revenue under percentage of completion contracts. Actual results could differ from those estimates.</w:t>
      </w:r>
    </w:p>
    <w:p>
      <w:pPr>
        <w:spacing w:after="0" w:line="17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RELATED-PARTY TRANSACTIONS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licenses software and provides computer systems integration and related services to several affiliates of a significant shareholder of the Company (the "affiliates"). Revenue from the affiliates totaled approximately $84,400, $100,500 and $78,500 in 1998, 1997 and 1996, respectively. Through September 1997 the Company also paid royalties to the affiliates for the licensing of computer software. Royalty expense totaled approximately $3,400 and $4,000 in 1997 and 1996, respectively. Amounts due to the affiliates related to these royalties were $0 and $436 at September 30, 1998 and 1997, respectively, and were included in accounts payable and accrued expenses.</w:t>
      </w:r>
    </w:p>
    <w:p>
      <w:pPr>
        <w:spacing w:after="0" w:line="178"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On September 22, 1997, the Company purchased certain computer software and intellectual property rights from the affiliates for an aggregate amount of $40,000. As a result, the Company</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289"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86</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no longer pays royalties to the affiliates related to the purchased computer software. In process research and development, related to this transaction resulted in a nonrecurring charge of $1,800. The remainder has been capitalized as computer software and intellectual property rights.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September 22, 1997, the Company issued junior subordinated notes payable in the aggregate amount of $3,268 to certain persons affiliated with the investors party to the Share Subscription Agreement referred to in Note 13. The notes bore an interest rate of 5.75 percent per annum and were originally due September 22, 1998. The notes were paid in March 1998.</w:t>
      </w:r>
    </w:p>
    <w:p>
      <w:pPr>
        <w:spacing w:after="0" w:line="175" w:lineRule="exact"/>
        <w:rPr>
          <w:sz w:val="20"/>
          <w:szCs w:val="20"/>
          <w:color w:val="auto"/>
        </w:rPr>
      </w:pPr>
    </w:p>
    <w:p>
      <w:pPr>
        <w:jc w:val="both"/>
        <w:ind w:right="3519" w:firstLine="447"/>
        <w:spacing w:after="0" w:line="242" w:lineRule="auto"/>
        <w:rPr>
          <w:sz w:val="20"/>
          <w:szCs w:val="20"/>
          <w:color w:val="auto"/>
        </w:rPr>
      </w:pPr>
      <w:r>
        <w:rPr>
          <w:rFonts w:ascii="Courier New" w:cs="Courier New" w:eastAsia="Courier New" w:hAnsi="Courier New"/>
          <w:sz w:val="15"/>
          <w:szCs w:val="15"/>
          <w:color w:val="auto"/>
        </w:rPr>
        <w:t>In January 1998, the Company issued $123,500 in principal amount of 10 percent subordinated notes to affiliates of certain shareholders which were party to the Conditional Investment Agreement referred to in Note 13. This amount was paid as described in Note 8.</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leases office space in Israel on a month-to-month basis and purchases other miscellaneous support services from affiliates of certain shareholders. Amounts paid for rent and related maintenance and other miscellaneous support services were approximately $2,835, $2,900 and $2,260 for 1998, 1997 and 1996, respectively.</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COMPENSATING BALANCES</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The Company was required to maintain compensating cash balances of $574 at September 30, 1998 and 1997, relating to foreign currency contracts.</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EQUIPMENT, VEHICLES AND LEASEHOLD IMPROVEMENTS</w:t>
      </w:r>
    </w:p>
    <w:p>
      <w:pPr>
        <w:spacing w:after="0" w:line="176"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Components of equipment, vehicles and leasehold improvements, net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428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$ 6,852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$ 2,900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Computer equipment.............................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37,534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24,688</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Vehicles furnished to employees................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20,500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16,708</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12,353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3,481</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77,239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47,777</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30,835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19,490</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$46,404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$28,287</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subsidiary of the Company has entered into various leasing arrangements with a commercial bank of vehicles for periods of five years, carrying interest rates of LIBOR plus a varying interest rate of 0.7 percent to 1 percent (6.5 percent at September 30, 1998). The Company has accounted for these as capital leases. Capital lease payments, excluding interest, due over the next five years are as follows: $2,952 in 1999, $3,148 in 2000, $3,005 in 2001, $2,200 in 2002 and $862 in 2003.</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289"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87</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OTHER NONCURRENT ASSETS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noncurrent assets consist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4280" w:type="dxa"/>
            <w:vAlign w:val="bottom"/>
          </w:tcPr>
          <w:p>
            <w:pPr>
              <w:spacing w:after="0"/>
              <w:rPr>
                <w:sz w:val="20"/>
                <w:szCs w:val="20"/>
                <w:color w:val="auto"/>
              </w:rPr>
            </w:pPr>
            <w:r>
              <w:rPr>
                <w:rFonts w:ascii="Courier New" w:cs="Courier New" w:eastAsia="Courier New" w:hAnsi="Courier New"/>
                <w:sz w:val="15"/>
                <w:szCs w:val="15"/>
                <w:color w:val="auto"/>
              </w:rPr>
              <w:t>Funded personnel benefit costs.................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$13,622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$10,660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Computer software, net of amortization of</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$8,222 in 1998, and $110 in 1997.............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3,778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11,890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3,155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2,793</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$20,555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$25,343</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INCOME TAXES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provision for income taxes consists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276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2500" w:type="dxa"/>
            <w:vAlign w:val="bottom"/>
          </w:tcPr>
          <w:p>
            <w:pPr>
              <w:spacing w:after="0"/>
              <w:rPr>
                <w:sz w:val="14"/>
                <w:szCs w:val="14"/>
                <w:color w:val="auto"/>
              </w:rPr>
            </w:pPr>
          </w:p>
        </w:tc>
        <w:tc>
          <w:tcPr>
            <w:tcW w:w="27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1997</w:t>
            </w:r>
          </w:p>
        </w:tc>
        <w:tc>
          <w:tcPr>
            <w:tcW w:w="7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25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344"/>
        </w:trPr>
        <w:tc>
          <w:tcPr>
            <w:tcW w:w="250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$32,376</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$ 29,695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$ 5,645</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(1,991)</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(11,868)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4,861</w:t>
            </w:r>
          </w:p>
        </w:tc>
      </w:tr>
      <w:tr>
        <w:trPr>
          <w:trHeight w:val="172"/>
        </w:trPr>
        <w:tc>
          <w:tcPr>
            <w:tcW w:w="25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$30,385</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$ 17,827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$10,506</w:t>
            </w:r>
          </w:p>
        </w:tc>
      </w:tr>
      <w:tr>
        <w:trPr>
          <w:trHeight w:val="172"/>
        </w:trPr>
        <w:tc>
          <w:tcPr>
            <w:tcW w:w="25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All income taxes are from continuing operations reported by the Company in the applicable taxing jurisdiction. Income taxes also include anticipated withholding taxes due on subsidiaries' earnings when paid as dividends to their parent company.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Deferred income taxes are comprised of the following components: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DEFERRED ASSETS:</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Unearned revenue.......................................</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$ 5,849</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$ 5,900</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Accrued personnel costs................................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7,027</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6,621</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Computer software and intellectual property............</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1,735</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3,339</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Warranty and maintenance accruals......................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2,184</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5,512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1,259</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Total deferred assets..................................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22,307</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17,119</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DEFERRED LIABILITIES:</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Anticipated withholdings on subsidiaries' earnings.....</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(7,945)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(4,748)</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Total deferred liabilities.............................</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(7,945)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(4,748)</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deferred assets....................................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$14,362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$12,371</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5000" w:type="dxa"/>
            <w:vAlign w:val="bottom"/>
          </w:tcPr>
          <w:p>
            <w:pPr>
              <w:ind w:left="3400"/>
              <w:spacing w:after="0"/>
              <w:rPr>
                <w:sz w:val="20"/>
                <w:szCs w:val="20"/>
                <w:color w:val="auto"/>
              </w:rPr>
            </w:pPr>
            <w:r>
              <w:rPr>
                <w:rFonts w:ascii="Courier New" w:cs="Courier New" w:eastAsia="Courier New" w:hAnsi="Courier New"/>
                <w:sz w:val="15"/>
                <w:szCs w:val="15"/>
                <w:color w:val="auto"/>
              </w:rPr>
              <w:t>F-14</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87" w:name="page88"/>
    <w:bookmarkEnd w:id="87"/>
    <w:p>
      <w:pPr>
        <w:ind w:left="268"/>
        <w:spacing w:after="0"/>
        <w:rPr>
          <w:sz w:val="20"/>
          <w:szCs w:val="20"/>
          <w:color w:val="auto"/>
        </w:rPr>
      </w:pPr>
      <w:r>
        <w:rPr>
          <w:rFonts w:ascii="Courier New" w:cs="Courier New" w:eastAsia="Courier New" w:hAnsi="Courier New"/>
          <w:sz w:val="15"/>
          <w:szCs w:val="15"/>
          <w:color w:val="auto"/>
        </w:rPr>
        <w:t>88</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effective income tax rate varied from the statutory Guernsey tax rate</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as follows:</w:t>
            </w: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688"/>
        </w:trPr>
        <w:tc>
          <w:tcPr>
            <w:tcW w:w="3560" w:type="dxa"/>
            <w:vAlign w:val="bottom"/>
          </w:tcPr>
          <w:p>
            <w:pPr>
              <w:spacing w:after="0"/>
              <w:rPr>
                <w:sz w:val="24"/>
                <w:szCs w:val="2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356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56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w:t>
            </w:r>
          </w:p>
        </w:tc>
      </w:tr>
      <w:tr>
        <w:trPr>
          <w:trHeight w:val="172"/>
        </w:trPr>
        <w:tc>
          <w:tcPr>
            <w:tcW w:w="356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2"/>
        </w:trPr>
        <w:tc>
          <w:tcPr>
            <w:tcW w:w="356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188" w:right="3159" w:hanging="188"/>
        <w:spacing w:after="0" w:line="242" w:lineRule="auto"/>
        <w:tabs>
          <w:tab w:leader="none" w:pos="18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1998 and 1997 the Company incurred tax expense on the income of its operations in various countries and sustained a loss in a tax jurisdiction in which the Company is tax exempt, which resulted in no tax benefit to offset the expense incurred. As a result, the Company's effective income tax rate is significantly greater than the 1996 effective rate.</w:t>
      </w:r>
    </w:p>
    <w:p>
      <w:pPr>
        <w:spacing w:after="0" w:line="175" w:lineRule="exact"/>
        <w:rPr>
          <w:rFonts w:ascii="Courier New" w:cs="Courier New" w:eastAsia="Courier New" w:hAnsi="Courier New"/>
          <w:sz w:val="15"/>
          <w:szCs w:val="15"/>
          <w:color w:val="auto"/>
        </w:rPr>
      </w:pPr>
    </w:p>
    <w:p>
      <w:pPr>
        <w:ind w:left="18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Israeli subsidiary, which accounts for approximately 31 percent of the Company's income before income taxes, enjoys tax benefits from Approved Enterprise status, as established under Israeli law. The benefits from this status begin phasing out in 1999.</w:t>
      </w:r>
    </w:p>
    <w:p>
      <w:pPr>
        <w:spacing w:after="0" w:line="174" w:lineRule="exact"/>
        <w:rPr>
          <w:rFonts w:ascii="Courier New" w:cs="Courier New" w:eastAsia="Courier New" w:hAnsi="Courier New"/>
          <w:sz w:val="15"/>
          <w:szCs w:val="15"/>
          <w:color w:val="auto"/>
        </w:rPr>
      </w:pPr>
    </w:p>
    <w:p>
      <w:pPr>
        <w:ind w:left="188" w:right="333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1997, the Company settled claims from various taxing authorities resulting in an increase in taxes paid and deferred tax assets. Included in other income (expense), net for the year ended September 30, 1997 is approximately $3,000, representing interest on tax assessments relating to years prior to fiscal 1997.</w:t>
      </w:r>
    </w:p>
    <w:p>
      <w:pPr>
        <w:spacing w:after="0" w:line="175" w:lineRule="exact"/>
        <w:rPr>
          <w:sz w:val="20"/>
          <w:szCs w:val="20"/>
          <w:color w:val="auto"/>
        </w:rPr>
      </w:pPr>
    </w:p>
    <w:p>
      <w:pPr>
        <w:ind w:left="8" w:right="3339" w:firstLine="447"/>
        <w:spacing w:after="0" w:line="274" w:lineRule="auto"/>
        <w:rPr>
          <w:sz w:val="20"/>
          <w:szCs w:val="20"/>
          <w:color w:val="auto"/>
        </w:rPr>
      </w:pPr>
      <w:r>
        <w:rPr>
          <w:rFonts w:ascii="Courier New" w:cs="Courier New" w:eastAsia="Courier New" w:hAnsi="Courier New"/>
          <w:sz w:val="14"/>
          <w:szCs w:val="14"/>
          <w:color w:val="auto"/>
        </w:rPr>
        <w:t>The Company's assumption is that it is more likely than not that all the net deferred tax assets will be realized through future taxable earnings.</w:t>
      </w:r>
    </w:p>
    <w:p>
      <w:pPr>
        <w:spacing w:after="0" w:line="152" w:lineRule="exact"/>
        <w:rPr>
          <w:sz w:val="20"/>
          <w:szCs w:val="20"/>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NOTE 8</w:t>
      </w:r>
      <w:r>
        <w:rPr>
          <w:sz w:val="20"/>
          <w:szCs w:val="20"/>
          <w:color w:val="auto"/>
        </w:rPr>
        <w:tab/>
      </w:r>
      <w:r>
        <w:rPr>
          <w:rFonts w:ascii="Courier New" w:cs="Courier New" w:eastAsia="Courier New" w:hAnsi="Courier New"/>
          <w:sz w:val="14"/>
          <w:szCs w:val="14"/>
          <w:color w:val="auto"/>
        </w:rPr>
        <w:t>SHORT-TERM FINANCING ARRANGEMENTS</w:t>
      </w:r>
    </w:p>
    <w:p>
      <w:pPr>
        <w:spacing w:after="0" w:line="176" w:lineRule="exact"/>
        <w:rPr>
          <w:sz w:val="20"/>
          <w:szCs w:val="20"/>
          <w:color w:val="auto"/>
        </w:rPr>
      </w:pPr>
    </w:p>
    <w:p>
      <w:pPr>
        <w:ind w:left="8" w:right="3079" w:firstLine="447"/>
        <w:spacing w:after="0" w:line="261" w:lineRule="auto"/>
        <w:rPr>
          <w:sz w:val="20"/>
          <w:szCs w:val="20"/>
          <w:color w:val="auto"/>
        </w:rPr>
      </w:pPr>
      <w:r>
        <w:rPr>
          <w:rFonts w:ascii="Courier New" w:cs="Courier New" w:eastAsia="Courier New" w:hAnsi="Courier New"/>
          <w:sz w:val="14"/>
          <w:szCs w:val="14"/>
          <w:color w:val="auto"/>
        </w:rPr>
        <w:t>Pursuant to a July 1998 agreement (which is an amendment to the December 1997 agreement discussed below) with a syndicate of banks, the Company may borrow up to $100,000 under a revolving line of credit. This agreement expires in June 2001. The Company borrowed $66,000 under the line of credit to refinance a facility from a commercial bank, and to repay $46,000 of the subordinated debt to affiliates of the shareholders as described below. The revolving line of credit bears a variable interest rate (6.5 percent at September 30, 1998). The credit agreement has various covenants which limit the Company's ability to make investments, incur debt, pay dividends and dispose of property. The Company is also required to maintain certain financial ratios as defined in the agreement. Except for vehicles, substantially all of the Company's assets have been pledged as security under the terms of the agreement. At September 30, 1998, the outstanding balance under this credit facility was $59,000.</w:t>
      </w:r>
    </w:p>
    <w:p>
      <w:pPr>
        <w:spacing w:after="0" w:line="16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Under a credit agreement with the First International Bank of Israel,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Company's subsidiary in the State of Israel may borrow up to $40,000 under a</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short term credit line. At September 30, 1998, the outstanding balance was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$32,565. The short term credit line bears a variable interest rate (6.7 percent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at September 30, 1998).</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In addition, the Company has short term revolving credit line totaling</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$7,000 from the FIBI BANK (UK) plc. As of September 30, 1998, the Company used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approximately $4,500 of this revolving credit facility to support outstanding</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letters of credit.</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Company's financing transactions for the year are described below:</w:t>
      </w:r>
    </w:p>
    <w:p>
      <w:pPr>
        <w:spacing w:after="0" w:line="176" w:lineRule="exact"/>
        <w:rPr>
          <w:sz w:val="20"/>
          <w:szCs w:val="20"/>
          <w:color w:val="auto"/>
        </w:rPr>
      </w:pPr>
    </w:p>
    <w:p>
      <w:pPr>
        <w:ind w:left="8" w:right="3079" w:firstLine="447"/>
        <w:spacing w:after="0" w:line="241" w:lineRule="auto"/>
        <w:rPr>
          <w:sz w:val="20"/>
          <w:szCs w:val="20"/>
          <w:color w:val="auto"/>
        </w:rPr>
      </w:pPr>
      <w:r>
        <w:rPr>
          <w:rFonts w:ascii="Courier New" w:cs="Courier New" w:eastAsia="Courier New" w:hAnsi="Courier New"/>
          <w:sz w:val="15"/>
          <w:szCs w:val="15"/>
          <w:color w:val="auto"/>
        </w:rPr>
        <w:t>On September 22, 1997, the Company issued junior subordinated notes payable in the aggregate amount of $3,268 to certain entities affiliated with the investors party to the Share</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27"/>
          </w:cols>
          <w:pgMar w:left="232" w:top="289"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89</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Subscription Agreement referred to in Note 13. The notes bore an interest rate of 5.75 percent per annum, and were due September 22, 1998. The notes were paid in March 1998.</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December 1997, certain direct and indirect subsidiaries entered into a credit agreement (the 1997 Credit Agreement) with several commercial banks, which provided for three separate term loans and a revolving credit facility. Term loans of $125,000 and $100,000 with variable interest rates and quarterly principal payments due through December 2002 and June 2004, respectively, and a $90,000 term loan with a variable interest rate and principal due in May 1998. In December 1997, the Company borrowed $315,000 under the term loans and placed such proceeds in a cash collateral account maintained by one of the commercial banks subject to the 1997 Credit Agreement. The release of the cash held in the cash collateral account was subject to the occurrence of certain events, as defined. The events were met in January 1998, and the cash held in the cash collateral account was released to the Company.</w:t>
      </w:r>
    </w:p>
    <w:p>
      <w:pPr>
        <w:spacing w:after="0" w:line="180"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March 1998, the Company received the proceeds of the additional equity investment discussed in Note 13 totaling approximately $99,000 and used the proceeds to repay the term loan maturing in May 1998 and the short-term notes payable to related parties.</w:t>
      </w:r>
    </w:p>
    <w:p>
      <w:pPr>
        <w:spacing w:after="0" w:line="175"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In January 1998, the Company borrowed $20,000 under the revolving credit portion of the 1997 Credit Agreement and used the proceeds to prepay certain of the term loans. Amounts borrowed under the revolving credit facility bore a variable interest rate and were due December 5, 2002. This amount was repaid in July 1998 with the proceeds of the Company's $100,000 revolving credit facility.</w:t>
      </w:r>
    </w:p>
    <w:p>
      <w:pPr>
        <w:spacing w:after="0" w:line="163"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occurrence of certain qualifying events, as defined in the Conditional Investment Agreement as discussed in Note 13, also resulted in the issuance of unsecured long-term notes to affiliates of certain shareholders of the Company totaling $123,500, and a requirement for affiliates of certain shareholders to make an equity investment in the Company of approximately $99,000, subject to possible adjustment, as provided in the Conditional Investment Agreement. The long-term subordinated notes to affiliates carried an interest rate of 10 percent, payable quarterly with principal due September 2004. The proceeds of the long-term subordinated notes to affiliates were received in January 1998.</w:t>
      </w:r>
    </w:p>
    <w:p>
      <w:pPr>
        <w:spacing w:after="0" w:line="162"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On June 24, 1998 the Company used the proceeds from the initial public offering that was conducted on June 19, 1998 to repay $183,750 in outstanding term loans made in December 1997 and $49,000 out of the $123,500, 10 percent subordinated debt issued in January 1998.</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Subordinated debt to affiliates of the shareholders in the amount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$46,000 was repaid in July 1998 from the proceeds of the Company's revolving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facility.</w:t>
      </w:r>
    </w:p>
    <w:p>
      <w:pPr>
        <w:spacing w:after="0" w:line="176"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Effective July 31, 1998, the Company extinguished the subordinated debt with cash flows from operations.</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OTHER NONCURRENT LIABILITIES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noncurrent liabilities consist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340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344"/>
        </w:trPr>
        <w:tc>
          <w:tcPr>
            <w:tcW w:w="3400" w:type="dxa"/>
            <w:vAlign w:val="bottom"/>
          </w:tcPr>
          <w:p>
            <w:pPr>
              <w:spacing w:after="0"/>
              <w:rPr>
                <w:sz w:val="20"/>
                <w:szCs w:val="20"/>
                <w:color w:val="auto"/>
              </w:rPr>
            </w:pPr>
            <w:r>
              <w:rPr>
                <w:rFonts w:ascii="Courier New" w:cs="Courier New" w:eastAsia="Courier New" w:hAnsi="Courier New"/>
                <w:sz w:val="15"/>
                <w:szCs w:val="15"/>
                <w:color w:val="auto"/>
                <w:w w:val="96"/>
              </w:rPr>
              <w:t>Accrued personnel costs................</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$24,268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$18,507</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w w:val="96"/>
              </w:rPr>
              <w:t>Ordinary Shares subscription deposit...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340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$24,268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$20,507</w:t>
            </w:r>
          </w:p>
        </w:tc>
      </w:tr>
      <w:tr>
        <w:trPr>
          <w:trHeight w:val="172"/>
        </w:trPr>
        <w:tc>
          <w:tcPr>
            <w:tcW w:w="340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3400" w:type="dxa"/>
            <w:vAlign w:val="bottom"/>
          </w:tcPr>
          <w:p>
            <w:pPr>
              <w:spacing w:after="0"/>
              <w:rPr>
                <w:sz w:val="24"/>
                <w:szCs w:val="24"/>
                <w:color w:val="auto"/>
              </w:rPr>
            </w:pPr>
          </w:p>
        </w:tc>
        <w:tc>
          <w:tcPr>
            <w:tcW w:w="106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88"/>
              </w:rPr>
              <w:t>F-16</w:t>
            </w:r>
          </w:p>
        </w:tc>
        <w:tc>
          <w:tcPr>
            <w:tcW w:w="80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90</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10</w:t>
      </w:r>
      <w:r>
        <w:rPr>
          <w:sz w:val="20"/>
          <w:szCs w:val="20"/>
          <w:color w:val="auto"/>
        </w:rPr>
        <w:tab/>
      </w:r>
      <w:r>
        <w:rPr>
          <w:rFonts w:ascii="Courier New" w:cs="Courier New" w:eastAsia="Courier New" w:hAnsi="Courier New"/>
          <w:sz w:val="14"/>
          <w:szCs w:val="14"/>
          <w:color w:val="auto"/>
        </w:rPr>
        <w:t>OTHER EXPENSE, NET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expense, net consists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5"/>
          </w:tcPr>
          <w:p>
            <w:pPr>
              <w:jc w:val="right"/>
              <w:ind w:right="28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3220" w:type="dxa"/>
            <w:vAlign w:val="bottom"/>
          </w:tcPr>
          <w:p>
            <w:pPr>
              <w:spacing w:after="0"/>
              <w:rPr>
                <w:sz w:val="14"/>
                <w:szCs w:val="14"/>
                <w:color w:val="auto"/>
              </w:rPr>
            </w:pPr>
          </w:p>
        </w:tc>
        <w:tc>
          <w:tcPr>
            <w:tcW w:w="286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1997</w:t>
            </w:r>
          </w:p>
        </w:tc>
        <w:tc>
          <w:tcPr>
            <w:tcW w:w="22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1996</w:t>
            </w:r>
          </w:p>
        </w:tc>
      </w:tr>
      <w:tr>
        <w:trPr>
          <w:trHeight w:val="172"/>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3,445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964</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(24,947)</w:t>
            </w:r>
          </w:p>
        </w:tc>
        <w:tc>
          <w:tcPr>
            <w:tcW w:w="2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(981)</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(1,291)</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Interest expense related to</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settlement of tax claims.........</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(3,000)</w:t>
            </w:r>
          </w:p>
        </w:tc>
        <w:tc>
          <w:tcPr>
            <w:tcW w:w="22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(2,624)</w:t>
            </w:r>
          </w:p>
        </w:tc>
        <w:tc>
          <w:tcPr>
            <w:tcW w:w="2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(158)</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(149)</w:t>
            </w:r>
          </w:p>
        </w:tc>
      </w:tr>
      <w:tr>
        <w:trPr>
          <w:trHeight w:val="172"/>
        </w:trPr>
        <w:tc>
          <w:tcPr>
            <w:tcW w:w="32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(24,126)</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$(3,266)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(476)</w:t>
            </w:r>
          </w:p>
        </w:tc>
      </w:tr>
      <w:tr>
        <w:trPr>
          <w:trHeight w:val="172"/>
        </w:trPr>
        <w:tc>
          <w:tcPr>
            <w:tcW w:w="32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11</w:t>
      </w:r>
      <w:r>
        <w:rPr>
          <w:sz w:val="20"/>
          <w:szCs w:val="20"/>
          <w:color w:val="auto"/>
        </w:rPr>
        <w:tab/>
      </w:r>
      <w:r>
        <w:rPr>
          <w:rFonts w:ascii="Courier New" w:cs="Courier New" w:eastAsia="Courier New" w:hAnsi="Courier New"/>
          <w:sz w:val="14"/>
          <w:szCs w:val="14"/>
          <w:color w:val="auto"/>
        </w:rPr>
        <w:t>COMMITMENTS</w:t>
      </w:r>
    </w:p>
    <w:p>
      <w:pPr>
        <w:spacing w:after="0" w:line="176" w:lineRule="exact"/>
        <w:rPr>
          <w:sz w:val="20"/>
          <w:szCs w:val="20"/>
          <w:color w:val="auto"/>
        </w:rPr>
      </w:pPr>
    </w:p>
    <w:p>
      <w:pPr>
        <w:ind w:right="3339" w:firstLine="447"/>
        <w:spacing w:after="0" w:line="267" w:lineRule="auto"/>
        <w:rPr>
          <w:sz w:val="20"/>
          <w:szCs w:val="20"/>
          <w:color w:val="auto"/>
        </w:rPr>
      </w:pPr>
      <w:r>
        <w:rPr>
          <w:rFonts w:ascii="Courier New" w:cs="Courier New" w:eastAsia="Courier New" w:hAnsi="Courier New"/>
          <w:sz w:val="14"/>
          <w:szCs w:val="14"/>
          <w:color w:val="auto"/>
        </w:rPr>
        <w:t>The Company leases office space in various countries in which it does business under non-cancelable operating leases. Future minimum lease payments required for the five-year period beginning October 1, 1998 are as follows: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4920" w:type="dxa"/>
            <w:vAlign w:val="bottom"/>
          </w:tcPr>
          <w:p>
            <w:pPr>
              <w:jc w:val="right"/>
              <w:ind w:right="1536"/>
              <w:spacing w:after="0"/>
              <w:rPr>
                <w:sz w:val="20"/>
                <w:szCs w:val="20"/>
                <w:color w:val="auto"/>
              </w:rPr>
            </w:pPr>
            <w:r>
              <w:rPr>
                <w:rFonts w:ascii="Courier New" w:cs="Courier New" w:eastAsia="Courier New" w:hAnsi="Courier New"/>
                <w:sz w:val="15"/>
                <w:szCs w:val="15"/>
                <w:color w:val="auto"/>
              </w:rPr>
              <w:t>FOR THE YEAR ENDED SEPTEMBER 30,</w:t>
            </w:r>
          </w:p>
        </w:tc>
      </w:tr>
      <w:tr>
        <w:trPr>
          <w:trHeight w:val="172"/>
        </w:trPr>
        <w:tc>
          <w:tcPr>
            <w:tcW w:w="340" w:type="dxa"/>
            <w:vAlign w:val="bottom"/>
          </w:tcPr>
          <w:p>
            <w:pPr>
              <w:spacing w:after="0"/>
              <w:rPr>
                <w:sz w:val="14"/>
                <w:szCs w:val="14"/>
                <w:color w:val="auto"/>
              </w:rPr>
            </w:pPr>
          </w:p>
        </w:tc>
        <w:tc>
          <w:tcPr>
            <w:tcW w:w="4920" w:type="dxa"/>
            <w:vAlign w:val="bottom"/>
          </w:tcPr>
          <w:p>
            <w:pPr>
              <w:jc w:val="right"/>
              <w:ind w:right="1536"/>
              <w:spacing w:after="0"/>
              <w:rPr>
                <w:sz w:val="20"/>
                <w:szCs w:val="20"/>
                <w:color w:val="auto"/>
              </w:rPr>
            </w:pPr>
            <w:r>
              <w:rPr>
                <w:rFonts w:ascii="Courier New" w:cs="Courier New" w:eastAsia="Courier New" w:hAnsi="Courier New"/>
                <w:sz w:val="15"/>
                <w:szCs w:val="15"/>
                <w:color w:val="auto"/>
              </w:rPr>
              <w:t>--------------------------------</w:t>
            </w:r>
          </w:p>
        </w:tc>
      </w:tr>
      <w:tr>
        <w:trPr>
          <w:trHeight w:val="344"/>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1999</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$ 9,700</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2000</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10,600</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2001</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10,300</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2002</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7"/>
              </w:rPr>
              <w:t>..............................................8,400</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2003</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7"/>
              </w:rPr>
              <w:t>..............................................7,400</w:t>
            </w:r>
          </w:p>
        </w:tc>
      </w:tr>
      <w:tr>
        <w:trPr>
          <w:trHeight w:val="172"/>
        </w:trPr>
        <w:tc>
          <w:tcPr>
            <w:tcW w:w="340" w:type="dxa"/>
            <w:vAlign w:val="bottom"/>
          </w:tcPr>
          <w:p>
            <w:pPr>
              <w:spacing w:after="0"/>
              <w:rPr>
                <w:sz w:val="14"/>
                <w:szCs w:val="14"/>
                <w:color w:val="auto"/>
              </w:rPr>
            </w:pP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0" w:type="dxa"/>
            <w:vAlign w:val="bottom"/>
          </w:tcPr>
          <w:p>
            <w:pPr>
              <w:spacing w:after="0"/>
              <w:rPr>
                <w:sz w:val="14"/>
                <w:szCs w:val="14"/>
                <w:color w:val="auto"/>
              </w:rPr>
            </w:pP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$46,400</w:t>
            </w:r>
          </w:p>
        </w:tc>
      </w:tr>
      <w:tr>
        <w:trPr>
          <w:trHeight w:val="172"/>
        </w:trPr>
        <w:tc>
          <w:tcPr>
            <w:tcW w:w="340" w:type="dxa"/>
            <w:vAlign w:val="bottom"/>
          </w:tcPr>
          <w:p>
            <w:pPr>
              <w:spacing w:after="0"/>
              <w:rPr>
                <w:sz w:val="14"/>
                <w:szCs w:val="14"/>
                <w:color w:val="auto"/>
              </w:rPr>
            </w:pP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Rent expense was approximately $8,000, $5,400 and $4,900 for 1998, 1997 and 1996, respectively. The lease agreement related to the Company's principal facilities in Israel, for which the Company has provided a $2,000 guarantee, includes a purchase option.</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12</w:t>
      </w:r>
      <w:r>
        <w:rPr>
          <w:sz w:val="20"/>
          <w:szCs w:val="20"/>
          <w:color w:val="auto"/>
        </w:rPr>
        <w:tab/>
      </w:r>
      <w:r>
        <w:rPr>
          <w:rFonts w:ascii="Courier New" w:cs="Courier New" w:eastAsia="Courier New" w:hAnsi="Courier New"/>
          <w:sz w:val="14"/>
          <w:szCs w:val="14"/>
          <w:color w:val="auto"/>
        </w:rPr>
        <w:t>EMPLOYEE BENEFITS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accrues severance pay for the employees of its Israeli operations in accordance with Israeli law and certain employment procedures on the basis of the latest monthly salary paid to these employees and the length of time that they have worked for the Israeli subsidiary. The severance pay liability, which is included in other noncurrent liabilities, is partially funded by amounts on deposit with insurance companies, which are included in other noncurrent assets. Most of the deposits were funded by the Israeli subsidiary. Severance pay expenses were approximately $7,100, $5,500 and $4,200 for 1998, 1997 and 1996, respectively.</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sponsors a defined contribution benefit plan covering substantially all employees in the U.S., U.K., and Canada. The plan provides for Company matching contributions based upon a percentage of the employees' voluntary contributions. The Company's 1998, 1997 and 1996 plan contributions were not significant.</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4"/>
          <w:szCs w:val="14"/>
          <w:color w:val="auto"/>
        </w:rPr>
        <w:t>CAPITAL TRANSACTIONS</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On June 19, 1998, the Company commenced an initial public offering of 18,000 Ordinary Shares at an offering price of $14 per share. Total net proceeds, after deduction of offering expenses and underwriting commissions, amounted to $234,190. The Company used these funds</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289"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91</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to repay interest and principal relating to $183,750 outstanding term loans made in December 1997 and $49,000 out of the $123,500 10 percent subordinated debt issued in January 1998.</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July 17, 1998, pursuant to an over-allotment option granted by an existing shareholder of the Company to the underwriters involved with the Company's initial public offering, the underwriters elected to exercise their over-allotment option with respect to 1,344 nonvoting Ordinary Shares held by this shareholder. In accordance with the Company's Articles of Association, such nonvoting Ordinary Shares converted automatically into voting Ordinary Shares, upon their transfer.</w:t>
      </w:r>
    </w:p>
    <w:p>
      <w:pPr>
        <w:spacing w:after="0" w:line="177"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In May 1998, in contemplation of the Company's initial public offering, the Board of Directors took the following actions: (i) redeemed the outstanding Voting Shares at the par value thereof, (ii) amended the terms of the Ordinary Shares to create two classes: voting and non-voting; (iii) authorized 25,000 Preferred Shares, 500,000 Ordinary Shares and 50,000 non-voting Ordinary Shares; and (iv) declared a stock split of 52-for-1 for each Ordinary Share outstanding. The rights of the two classes of Ordinary Shares are identical except as to voting rights and all of the outstanding non-voting Ordinary Shares are held by a principal shareholder of the Company. All references to the number of shares and earnings per share have been restated to reflect the stock split and the redemption of Voting Shares has been given retroactive effect.</w:t>
      </w:r>
    </w:p>
    <w:p>
      <w:pPr>
        <w:spacing w:after="0" w:line="167"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In March 1998, the Company issued 51,508 Ordinary Shares according to the September 1997 Conditional Investment Agreement discussed below. Total proceeds (net of $2,600 fees) amounted to approximately $96,448.</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In January 1998, the Company's Board of Directors declared dividends of $478,684 which were paid at that time. The dividends were financed by the proceeds of the long term loans, long term notes of affiliates of certain shareholders, and surplus working capital.</w:t>
      </w:r>
    </w:p>
    <w:p>
      <w:pPr>
        <w:spacing w:after="0" w:line="175"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In January 1998, the Company issued 36 additional Voting Shares at par value which were redeemed in May 1998 as discussed above and issued the contingently issuable 2,584 Ordinary Shares which were paid in advance in the amount of $2,000 in the 1995 Stock Subscription Agreements.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September 22, 1997, the Company entered into a Share Subscription Agreement, under which 11,072 Ordinary Shares and 990 Voting Shares and $3,268 principal amount of junior promissory notes were issued to certain investors. Also, on September 22, 1997, the Company entered into a Conditional Investment Agreement whereby such investors were obligated to purchase 51,508 Ordinary Shares of the Company in the second quarter 1998 for approximately $99,000, if the Company achieved certain financial performance targets. In addition, the Company entered into a note purchase agreement with certain affiliates of the investors to issue, at its election, up to $125,000 of long-term notes, with interest at 10 percent and payable in 2004 subject to the same financial targets in the Conditional Investment Agreement. In addition, the ownership percentages between shareholders will change if the Company attains certain financial performance targets through September 30, 1999.</w:t>
      </w:r>
    </w:p>
    <w:p>
      <w:pPr>
        <w:spacing w:after="0" w:line="17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14</w:t>
      </w:r>
      <w:r>
        <w:rPr>
          <w:sz w:val="20"/>
          <w:szCs w:val="20"/>
          <w:color w:val="auto"/>
        </w:rPr>
        <w:tab/>
      </w:r>
      <w:r>
        <w:rPr>
          <w:rFonts w:ascii="Courier New" w:cs="Courier New" w:eastAsia="Courier New" w:hAnsi="Courier New"/>
          <w:sz w:val="14"/>
          <w:szCs w:val="14"/>
          <w:color w:val="auto"/>
        </w:rPr>
        <w:t>STOCK OPTION AND INCENTIVE PLAN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January 1998, the Company adopted the Amdocs Limited 1998 Stock Option and Incentive Plan ("the Plan"). Under the provisions of the Plan, 4,100 Ordinary Shares are available to be granted to officers, directors, employees and consultants. Subsequent to year end, the Company increased the number of Ordinary Shares available to be granted to 6,600 Ordinary Shares. Under the Plan, in January 1998, 1,651 options were granted to purchase Ordinary Shares at an</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19"/>
          </w:cols>
          <w:pgMar w:left="240" w:top="289"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92</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exercise price of $1.92 per share, with vesting over four years and a term of 10 years. No compensation expense is recorded for these stock options as they were granted at an exercise price equal to the fair market value of the Ordinary Shares at the time of the grant.</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June 19, 1998, under the plan, the Company granted an additional 855.4 options with the same exercise price, expiration date and vesting dates as the options granted in January 1998. The Company recorded unearned compensation expense totaling $10,333 as a separate component of shareholders' equity for the difference between the fair market value per share at the date of grant and the exercise price of $1.92. Additional Paid in Capital was increased by the same amount. The unearned compensation expense will be amortized ratably over the vesting period of 3.5 years.</w:t>
      </w:r>
    </w:p>
    <w:p>
      <w:pPr>
        <w:spacing w:after="0" w:line="177" w:lineRule="exact"/>
        <w:rPr>
          <w:sz w:val="20"/>
          <w:szCs w:val="20"/>
          <w:color w:val="auto"/>
        </w:rPr>
      </w:pPr>
    </w:p>
    <w:p>
      <w:pPr>
        <w:ind w:right="3159" w:firstLine="447"/>
        <w:spacing w:after="0" w:line="267" w:lineRule="auto"/>
        <w:rPr>
          <w:sz w:val="20"/>
          <w:szCs w:val="20"/>
          <w:color w:val="auto"/>
        </w:rPr>
      </w:pPr>
      <w:r>
        <w:rPr>
          <w:rFonts w:ascii="Courier New" w:cs="Courier New" w:eastAsia="Courier New" w:hAnsi="Courier New"/>
          <w:sz w:val="14"/>
          <w:szCs w:val="14"/>
          <w:color w:val="auto"/>
        </w:rPr>
        <w:t>On June 19, 1998, options for 21 shares were granted to two non-employee directors at an exercise price equal to the market price of the Ordinary Shares on the grant date, with vesting over three years and a term of 10 years.</w:t>
      </w:r>
    </w:p>
    <w:p>
      <w:pPr>
        <w:spacing w:after="0" w:line="15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On September 14, 1998, options for 1,000 shares were granted to employees at an exercise price of $8.75 which was equal to the market price of the Ordinary Shares on the grant date, with vesting over four and eight years and a term of 10 years.</w:t>
      </w:r>
    </w:p>
    <w:p>
      <w:pPr>
        <w:spacing w:after="0" w:line="175"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A summary of the Plan as of September 30, 1998, as well as changes during the year then ended, is presented below:</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w w:val="97"/>
              </w:rPr>
              <w:t>WEIGHTED</w:t>
            </w:r>
          </w:p>
        </w:tc>
      </w:tr>
      <w:tr>
        <w:trPr>
          <w:trHeight w:val="172"/>
        </w:trPr>
        <w:tc>
          <w:tcPr>
            <w:tcW w:w="4200" w:type="dxa"/>
            <w:vAlign w:val="bottom"/>
          </w:tcPr>
          <w:p>
            <w:pPr>
              <w:spacing w:after="0"/>
              <w:rPr>
                <w:sz w:val="14"/>
                <w:szCs w:val="14"/>
                <w:color w:val="auto"/>
              </w:rPr>
            </w:pP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rPr>
              <w:t>NUMBER OF</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AVERAGE</w:t>
            </w:r>
          </w:p>
        </w:tc>
      </w:tr>
      <w:tr>
        <w:trPr>
          <w:trHeight w:val="172"/>
        </w:trPr>
        <w:tc>
          <w:tcPr>
            <w:tcW w:w="4200" w:type="dxa"/>
            <w:vAlign w:val="bottom"/>
          </w:tcPr>
          <w:p>
            <w:pPr>
              <w:spacing w:after="0"/>
              <w:rPr>
                <w:sz w:val="14"/>
                <w:szCs w:val="14"/>
                <w:color w:val="auto"/>
              </w:rPr>
            </w:pP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rPr>
              <w:t>SHARE</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w w:val="97"/>
              </w:rPr>
              <w:t>EXERCISE</w:t>
            </w:r>
          </w:p>
        </w:tc>
      </w:tr>
      <w:tr>
        <w:trPr>
          <w:trHeight w:val="172"/>
        </w:trPr>
        <w:tc>
          <w:tcPr>
            <w:tcW w:w="4200" w:type="dxa"/>
            <w:vAlign w:val="bottom"/>
          </w:tcPr>
          <w:p>
            <w:pPr>
              <w:spacing w:after="0"/>
              <w:rPr>
                <w:sz w:val="14"/>
                <w:szCs w:val="14"/>
                <w:color w:val="auto"/>
              </w:rPr>
            </w:pP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8"/>
              </w:rPr>
              <w:t>OPTIONS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PRICE</w:t>
            </w:r>
          </w:p>
        </w:tc>
      </w:tr>
      <w:tr>
        <w:trPr>
          <w:trHeight w:val="172"/>
        </w:trPr>
        <w:tc>
          <w:tcPr>
            <w:tcW w:w="4200" w:type="dxa"/>
            <w:vAlign w:val="bottom"/>
          </w:tcPr>
          <w:p>
            <w:pPr>
              <w:spacing w:after="0"/>
              <w:rPr>
                <w:sz w:val="14"/>
                <w:szCs w:val="14"/>
                <w:color w:val="auto"/>
              </w:rPr>
            </w:pP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4200" w:type="dxa"/>
            <w:vAlign w:val="bottom"/>
          </w:tcPr>
          <w:p>
            <w:pPr>
              <w:spacing w:after="0"/>
              <w:rPr>
                <w:sz w:val="20"/>
                <w:szCs w:val="20"/>
                <w:color w:val="auto"/>
              </w:rPr>
            </w:pPr>
            <w:r>
              <w:rPr>
                <w:rFonts w:ascii="Courier New" w:cs="Courier New" w:eastAsia="Courier New" w:hAnsi="Courier New"/>
                <w:sz w:val="15"/>
                <w:szCs w:val="15"/>
                <w:color w:val="auto"/>
              </w:rPr>
              <w:t>Outstanding as of beginning of year...........</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3,527.4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3.93</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1.92</w:t>
            </w:r>
          </w:p>
        </w:tc>
      </w:tr>
      <w:tr>
        <w:trPr>
          <w:trHeight w:val="172"/>
        </w:trPr>
        <w:tc>
          <w:tcPr>
            <w:tcW w:w="420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Outstanding as of end of year.................</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3,519.6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$3.93</w:t>
            </w:r>
          </w:p>
        </w:tc>
      </w:tr>
      <w:tr>
        <w:trPr>
          <w:trHeight w:val="172"/>
        </w:trPr>
        <w:tc>
          <w:tcPr>
            <w:tcW w:w="420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The following table summarizes information about share options outstanding as of September 30, 1998:</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OUTSTANDING AS OF SEPTEMBER 30,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WEIGHTED</w:t>
      </w:r>
    </w:p>
    <w:p>
      <w:pPr>
        <w:spacing w:after="0" w:line="2" w:lineRule="exact"/>
        <w:rPr>
          <w:sz w:val="20"/>
          <w:szCs w:val="20"/>
          <w:color w:val="auto"/>
        </w:rPr>
      </w:pPr>
    </w:p>
    <w:p>
      <w:pPr>
        <w:ind w:left="2320"/>
        <w:spacing w:after="0"/>
        <w:tabs>
          <w:tab w:leader="none" w:pos="3380" w:val="left"/>
        </w:tabs>
        <w:rPr>
          <w:sz w:val="20"/>
          <w:szCs w:val="20"/>
          <w:color w:val="auto"/>
        </w:rPr>
      </w:pP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WEIGHTED</w:t>
      </w:r>
    </w:p>
    <w:p>
      <w:pPr>
        <w:spacing w:after="0" w:line="2" w:lineRule="exact"/>
        <w:rPr>
          <w:sz w:val="20"/>
          <w:szCs w:val="20"/>
          <w:color w:val="auto"/>
        </w:rPr>
      </w:pPr>
    </w:p>
    <w:p>
      <w:pPr>
        <w:ind w:left="2220"/>
        <w:spacing w:after="0"/>
        <w:tabs>
          <w:tab w:leader="none" w:pos="3380" w:val="left"/>
        </w:tabs>
        <w:rPr>
          <w:sz w:val="20"/>
          <w:szCs w:val="20"/>
          <w:color w:val="auto"/>
        </w:rPr>
      </w:pPr>
      <w:r>
        <w:rPr>
          <w:rFonts w:ascii="Courier New" w:cs="Courier New" w:eastAsia="Courier New" w:hAnsi="Courier New"/>
          <w:sz w:val="15"/>
          <w:szCs w:val="15"/>
          <w:color w:val="auto"/>
        </w:rPr>
        <w:t>REMAINING</w:t>
      </w:r>
      <w:r>
        <w:rPr>
          <w:sz w:val="20"/>
          <w:szCs w:val="20"/>
          <w:color w:val="auto"/>
        </w:rPr>
        <w:tab/>
      </w:r>
      <w:r>
        <w:rPr>
          <w:rFonts w:ascii="Courier New" w:cs="Courier New" w:eastAsia="Courier New" w:hAnsi="Courier New"/>
          <w:sz w:val="15"/>
          <w:szCs w:val="15"/>
          <w:color w:val="auto"/>
        </w:rPr>
        <w:t>AVERAGE</w:t>
      </w:r>
    </w:p>
    <w:p>
      <w:pPr>
        <w:spacing w:after="0" w:line="2" w:lineRule="exact"/>
        <w:rPr>
          <w:sz w:val="20"/>
          <w:szCs w:val="20"/>
          <w:color w:val="auto"/>
        </w:rPr>
      </w:pPr>
    </w:p>
    <w:p>
      <w:pPr>
        <w:spacing w:after="0"/>
        <w:tabs>
          <w:tab w:leader="none" w:pos="1040" w:val="left"/>
          <w:tab w:leader="none" w:pos="2120" w:val="left"/>
          <w:tab w:leader="none" w:pos="3380" w:val="left"/>
        </w:tabs>
        <w:rPr>
          <w:sz w:val="20"/>
          <w:szCs w:val="20"/>
          <w:color w:val="auto"/>
        </w:rPr>
      </w:pPr>
      <w:r>
        <w:rPr>
          <w:rFonts w:ascii="Courier New" w:cs="Courier New" w:eastAsia="Courier New" w:hAnsi="Courier New"/>
          <w:sz w:val="15"/>
          <w:szCs w:val="15"/>
          <w:color w:val="auto"/>
        </w:rPr>
        <w:t>EXERCISE</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CONTRACTUAL</w:t>
      </w:r>
      <w:r>
        <w:rPr>
          <w:sz w:val="20"/>
          <w:szCs w:val="20"/>
          <w:color w:val="auto"/>
        </w:rPr>
        <w:tab/>
      </w:r>
      <w:r>
        <w:rPr>
          <w:rFonts w:ascii="Courier New" w:cs="Courier New" w:eastAsia="Courier New" w:hAnsi="Courier New"/>
          <w:sz w:val="14"/>
          <w:szCs w:val="14"/>
          <w:color w:val="auto"/>
        </w:rPr>
        <w:t>EXERCISE</w:t>
      </w:r>
    </w:p>
    <w:p>
      <w:pPr>
        <w:spacing w:after="0" w:line="2" w:lineRule="exact"/>
        <w:rPr>
          <w:sz w:val="20"/>
          <w:szCs w:val="20"/>
          <w:color w:val="auto"/>
        </w:rPr>
      </w:pPr>
    </w:p>
    <w:p>
      <w:pPr>
        <w:ind w:left="80"/>
        <w:spacing w:after="0"/>
        <w:tabs>
          <w:tab w:leader="none" w:pos="860" w:val="left"/>
          <w:tab w:leader="none" w:pos="2380" w:val="left"/>
          <w:tab w:leader="none" w:pos="3460" w:val="left"/>
        </w:tabs>
        <w:rPr>
          <w:sz w:val="20"/>
          <w:szCs w:val="20"/>
          <w:color w:val="auto"/>
        </w:rPr>
      </w:pPr>
      <w:r>
        <w:rPr>
          <w:rFonts w:ascii="Courier New" w:cs="Courier New" w:eastAsia="Courier New" w:hAnsi="Courier New"/>
          <w:sz w:val="15"/>
          <w:szCs w:val="15"/>
          <w:color w:val="auto"/>
        </w:rPr>
        <w:t>PRICES</w:t>
        <w:tab/>
        <w:t>OUTSTANDING</w:t>
      </w:r>
      <w:r>
        <w:rPr>
          <w:sz w:val="20"/>
          <w:szCs w:val="20"/>
          <w:color w:val="auto"/>
        </w:rPr>
        <w:tab/>
      </w:r>
      <w:r>
        <w:rPr>
          <w:rFonts w:ascii="Courier New" w:cs="Courier New" w:eastAsia="Courier New" w:hAnsi="Courier New"/>
          <w:sz w:val="15"/>
          <w:szCs w:val="15"/>
          <w:color w:val="auto"/>
        </w:rPr>
        <w:t>LIFE</w:t>
      </w:r>
      <w:r>
        <w:rPr>
          <w:sz w:val="20"/>
          <w:szCs w:val="20"/>
          <w:color w:val="auto"/>
        </w:rPr>
        <w:tab/>
      </w:r>
      <w:r>
        <w:rPr>
          <w:rFonts w:ascii="Courier New" w:cs="Courier New" w:eastAsia="Courier New" w:hAnsi="Courier New"/>
          <w:sz w:val="14"/>
          <w:szCs w:val="14"/>
          <w:color w:val="auto"/>
        </w:rPr>
        <w:t>PRICE</w:t>
      </w:r>
    </w:p>
    <w:p>
      <w:pPr>
        <w:spacing w:after="0" w:line="2" w:lineRule="exact"/>
        <w:rPr>
          <w:sz w:val="20"/>
          <w:szCs w:val="20"/>
          <w:color w:val="auto"/>
        </w:rPr>
      </w:pPr>
    </w:p>
    <w:p>
      <w:pPr>
        <w:spacing w:after="0"/>
        <w:tabs>
          <w:tab w:leader="none" w:pos="1040" w:val="left"/>
          <w:tab w:leader="none" w:pos="2300" w:val="left"/>
          <w:tab w:leader="none" w:pos="3540" w:val="left"/>
        </w:tabs>
        <w:rPr>
          <w:sz w:val="20"/>
          <w:szCs w:val="20"/>
          <w:color w:val="auto"/>
        </w:rPr>
      </w:pPr>
      <w:r>
        <w:rPr>
          <w:rFonts w:ascii="Courier New" w:cs="Courier New" w:eastAsia="Courier New" w:hAnsi="Courier New"/>
          <w:sz w:val="15"/>
          <w:szCs w:val="15"/>
          <w:color w:val="auto"/>
        </w:rPr>
        <w:t>- --------</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EXERCISABLE AS OF</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SEPTEMBER 30, 1998</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WEIGHTED</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AVERAGE</w:t>
      </w:r>
    </w:p>
    <w:p>
      <w:pPr>
        <w:spacing w:after="0" w:line="2" w:lineRule="exact"/>
        <w:rPr>
          <w:sz w:val="20"/>
          <w:szCs w:val="20"/>
          <w:color w:val="auto"/>
        </w:rPr>
      </w:pPr>
    </w:p>
    <w:p>
      <w:pPr>
        <w:ind w:left="180"/>
        <w:spacing w:after="0"/>
        <w:tabs>
          <w:tab w:leader="none" w:pos="132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EXERCISE</w:t>
      </w:r>
    </w:p>
    <w:p>
      <w:pPr>
        <w:spacing w:after="0" w:line="2"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EXERCISABLE</w:t>
      </w:r>
      <w:r>
        <w:rPr>
          <w:sz w:val="20"/>
          <w:szCs w:val="20"/>
          <w:color w:val="auto"/>
        </w:rPr>
        <w:tab/>
      </w:r>
      <w:r>
        <w:rPr>
          <w:rFonts w:ascii="Courier New" w:cs="Courier New" w:eastAsia="Courier New" w:hAnsi="Courier New"/>
          <w:sz w:val="15"/>
          <w:szCs w:val="15"/>
          <w:color w:val="auto"/>
        </w:rPr>
        <w:t>PRICE</w:t>
      </w:r>
    </w:p>
    <w:p>
      <w:pPr>
        <w:spacing w:after="0" w:line="2" w:lineRule="exact"/>
        <w:rPr>
          <w:sz w:val="20"/>
          <w:szCs w:val="20"/>
          <w:color w:val="auto"/>
        </w:rPr>
      </w:pPr>
    </w:p>
    <w:p>
      <w:pPr>
        <w:ind w:left="180"/>
        <w:spacing w:after="0"/>
        <w:tabs>
          <w:tab w:leader="none" w:pos="15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0"/>
          <w:szCs w:val="20"/>
          <w:color w:val="auto"/>
        </w:rPr>
      </w:pPr>
    </w:p>
    <w:p>
      <w:pPr>
        <w:sectPr>
          <w:pgSz w:w="11900" w:h="16838" w:orient="portrait"/>
          <w:cols w:equalWidth="0" w:num="2">
            <w:col w:w="4280" w:space="100"/>
            <w:col w:w="5839"/>
          </w:cols>
          <w:pgMar w:left="240" w:top="289" w:right="1440" w:bottom="1440" w:gutter="0" w:footer="0" w:header="0"/>
          <w:type w:val="continuous"/>
        </w:sectPr>
      </w:pP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$1.92</w:t>
      </w:r>
    </w:p>
    <w:p>
      <w:pPr>
        <w:spacing w:after="0" w:line="1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14.00</w:t>
      </w:r>
    </w:p>
    <w:p>
      <w:pPr>
        <w:spacing w:after="0" w:line="1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8.75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2,498.6</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21.0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w:t>
      </w:r>
    </w:p>
    <w:p>
      <w:pPr>
        <w:spacing w:after="0" w:line="20" w:lineRule="exact"/>
        <w:rPr>
          <w:sz w:val="20"/>
          <w:szCs w:val="20"/>
          <w:color w:val="auto"/>
        </w:rPr>
      </w:pPr>
      <w:r>
        <w:rPr>
          <w:sz w:val="20"/>
          <w:szCs w:val="20"/>
          <w:color w:val="auto"/>
        </w:rPr>
        <w:br w:type="column"/>
      </w:r>
    </w:p>
    <w:p>
      <w:pPr>
        <w:spacing w:after="0"/>
        <w:tabs>
          <w:tab w:leader="none" w:pos="1060" w:val="left"/>
        </w:tabs>
        <w:rPr>
          <w:sz w:val="20"/>
          <w:szCs w:val="20"/>
          <w:color w:val="auto"/>
        </w:rPr>
      </w:pPr>
      <w:r>
        <w:rPr>
          <w:rFonts w:ascii="Courier New" w:cs="Courier New" w:eastAsia="Courier New" w:hAnsi="Courier New"/>
          <w:sz w:val="15"/>
          <w:szCs w:val="15"/>
          <w:color w:val="auto"/>
        </w:rPr>
        <w:t>9.25</w:t>
      </w:r>
      <w:r>
        <w:rPr>
          <w:sz w:val="20"/>
          <w:szCs w:val="20"/>
          <w:color w:val="auto"/>
        </w:rPr>
        <w:tab/>
      </w:r>
      <w:r>
        <w:rPr>
          <w:rFonts w:ascii="Courier New" w:cs="Courier New" w:eastAsia="Courier New" w:hAnsi="Courier New"/>
          <w:sz w:val="14"/>
          <w:szCs w:val="14"/>
          <w:color w:val="auto"/>
        </w:rPr>
        <w:t>$ 1.92</w:t>
      </w:r>
    </w:p>
    <w:p>
      <w:pPr>
        <w:spacing w:after="0" w:line="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9.75</w:t>
      </w:r>
      <w:r>
        <w:rPr>
          <w:sz w:val="20"/>
          <w:szCs w:val="20"/>
          <w:color w:val="auto"/>
        </w:rPr>
        <w:tab/>
      </w:r>
      <w:r>
        <w:rPr>
          <w:rFonts w:ascii="Courier New" w:cs="Courier New" w:eastAsia="Courier New" w:hAnsi="Courier New"/>
          <w:sz w:val="15"/>
          <w:szCs w:val="15"/>
          <w:color w:val="auto"/>
        </w:rPr>
        <w:t>14.00</w:t>
      </w:r>
    </w:p>
    <w:p>
      <w:pPr>
        <w:spacing w:after="0" w:line="2" w:lineRule="exact"/>
        <w:rPr>
          <w:sz w:val="20"/>
          <w:szCs w:val="20"/>
          <w:color w:val="auto"/>
        </w:rPr>
      </w:pPr>
    </w:p>
    <w:p>
      <w:pPr>
        <w:ind w:left="180"/>
        <w:spacing w:after="0"/>
        <w:tabs>
          <w:tab w:leader="none" w:pos="1240" w:val="left"/>
        </w:tabs>
        <w:rPr>
          <w:sz w:val="20"/>
          <w:szCs w:val="20"/>
          <w:color w:val="auto"/>
        </w:rPr>
      </w:pP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5"/>
          <w:szCs w:val="15"/>
          <w:color w:val="auto"/>
        </w:rPr>
        <w:t>8.75</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5.3</w:t>
      </w:r>
    </w:p>
    <w:p>
      <w:pPr>
        <w:spacing w:after="0" w:line="1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3879"/>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right"/>
        <w:ind w:right="3879"/>
        <w:spacing w:after="0"/>
        <w:rPr>
          <w:sz w:val="20"/>
          <w:szCs w:val="20"/>
          <w:color w:val="auto"/>
        </w:rPr>
      </w:pPr>
      <w:r>
        <w:rPr>
          <w:rFonts w:ascii="Courier New" w:cs="Courier New" w:eastAsia="Courier New" w:hAnsi="Courier New"/>
          <w:sz w:val="14"/>
          <w:szCs w:val="14"/>
          <w:color w:val="auto"/>
        </w:rPr>
        <w:t>14.00</w:t>
      </w:r>
    </w:p>
    <w:p>
      <w:pPr>
        <w:spacing w:after="0" w:line="12" w:lineRule="exact"/>
        <w:rPr>
          <w:sz w:val="20"/>
          <w:szCs w:val="20"/>
          <w:color w:val="auto"/>
        </w:rPr>
      </w:pPr>
    </w:p>
    <w:p>
      <w:pPr>
        <w:jc w:val="right"/>
        <w:ind w:right="387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6">
            <w:col w:w="700" w:space="360"/>
            <w:col w:w="640" w:space="700"/>
            <w:col w:w="1620" w:space="720"/>
            <w:col w:w="340" w:space="720"/>
            <w:col w:w="100" w:space="0"/>
            <w:col w:w="4319"/>
          </w:cols>
          <w:pgMar w:left="240" w:top="289" w:right="1440" w:bottom="1440" w:gutter="0" w:footer="0" w:header="0"/>
          <w:type w:val="continuous"/>
        </w:sectPr>
      </w:pPr>
    </w:p>
    <w:p>
      <w:pPr>
        <w:spacing w:after="0" w:line="14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F-19</w:t>
      </w:r>
    </w:p>
    <w:p>
      <w:pPr>
        <w:sectPr>
          <w:pgSz w:w="11900" w:h="16838" w:orient="portrait"/>
          <w:cols w:equalWidth="0" w:num="1">
            <w:col w:w="10219"/>
          </w:cols>
          <w:pgMar w:left="240" w:top="289" w:right="1440" w:bottom="1440" w:gutter="0" w:footer="0" w:header="0"/>
          <w:type w:val="continuous"/>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93</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weighted average grant-date fair value of the 3,527.4 options granted during the year amounted to $6.12 per option. The Company utilized the Black-Scholes option pricing model to estimate fair value, utilizing the following assumptions for the year (all in weighted averages):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5.24%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Expected life of options (in years).........................</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Expected annual volatility..................................</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0.945</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Expected dividend yield.....................................</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None</w:t>
            </w:r>
          </w:p>
        </w:tc>
      </w:tr>
    </w:tbl>
    <w:p>
      <w:pPr>
        <w:spacing w:after="0" w:line="348" w:lineRule="exact"/>
        <w:rPr>
          <w:sz w:val="20"/>
          <w:szCs w:val="20"/>
          <w:color w:val="auto"/>
        </w:rPr>
      </w:pPr>
    </w:p>
    <w:p>
      <w:pPr>
        <w:ind w:right="3159" w:firstLine="447"/>
        <w:spacing w:after="0" w:line="260" w:lineRule="auto"/>
        <w:rPr>
          <w:sz w:val="20"/>
          <w:szCs w:val="20"/>
          <w:color w:val="auto"/>
        </w:rPr>
      </w:pPr>
      <w:r>
        <w:rPr>
          <w:rFonts w:ascii="Courier New" w:cs="Courier New" w:eastAsia="Courier New" w:hAnsi="Courier New"/>
          <w:sz w:val="14"/>
          <w:szCs w:val="14"/>
          <w:color w:val="auto"/>
        </w:rPr>
        <w:t>Had compensation cost for the Company's share option plans been determined based on fair value at the grant dates for awards made in 1998 under such plans</w:t>
      </w:r>
    </w:p>
    <w:tbl>
      <w:tblPr>
        <w:tblLayout w:type="fixed"/>
        <w:tblInd w:w="0" w:type="dxa"/>
        <w:tblCellMar>
          <w:top w:w="0" w:type="dxa"/>
          <w:left w:w="0" w:type="dxa"/>
          <w:bottom w:w="0" w:type="dxa"/>
          <w:right w:w="0" w:type="dxa"/>
        </w:tblCellMar>
      </w:tblPr>
      <w:tr>
        <w:trPr>
          <w:trHeight w:val="169"/>
        </w:trPr>
        <w:tc>
          <w:tcPr>
            <w:tcW w:w="1200" w:type="dxa"/>
            <w:vAlign w:val="bottom"/>
            <w:gridSpan w:val="2"/>
          </w:tcPr>
          <w:p>
            <w:pPr>
              <w:spacing w:after="0" w:line="169" w:lineRule="exact"/>
              <w:rPr>
                <w:sz w:val="20"/>
                <w:szCs w:val="20"/>
                <w:color w:val="auto"/>
              </w:rPr>
            </w:pPr>
            <w:r>
              <w:rPr>
                <w:rFonts w:ascii="Courier New" w:cs="Courier New" w:eastAsia="Courier New" w:hAnsi="Courier New"/>
                <w:sz w:val="15"/>
                <w:szCs w:val="15"/>
                <w:color w:val="auto"/>
              </w:rPr>
              <w:t>in accordance</w:t>
            </w:r>
          </w:p>
        </w:tc>
        <w:tc>
          <w:tcPr>
            <w:tcW w:w="5940" w:type="dxa"/>
            <w:vAlign w:val="bottom"/>
            <w:gridSpan w:val="2"/>
          </w:tcPr>
          <w:p>
            <w:pPr>
              <w:ind w:left="40"/>
              <w:spacing w:after="0" w:line="169" w:lineRule="exact"/>
              <w:rPr>
                <w:sz w:val="20"/>
                <w:szCs w:val="20"/>
                <w:color w:val="auto"/>
              </w:rPr>
            </w:pPr>
            <w:r>
              <w:rPr>
                <w:rFonts w:ascii="Courier New" w:cs="Courier New" w:eastAsia="Courier New" w:hAnsi="Courier New"/>
                <w:sz w:val="15"/>
                <w:szCs w:val="15"/>
                <w:color w:val="auto"/>
                <w:w w:val="98"/>
              </w:rPr>
              <w:t>with SFAS No. 123, the Company's pro forma net income and earnings</w:t>
            </w:r>
          </w:p>
        </w:tc>
      </w:tr>
      <w:tr>
        <w:trPr>
          <w:trHeight w:val="172"/>
        </w:trPr>
        <w:tc>
          <w:tcPr>
            <w:tcW w:w="1200" w:type="dxa"/>
            <w:vAlign w:val="bottom"/>
            <w:gridSpan w:val="2"/>
          </w:tcPr>
          <w:p>
            <w:pPr>
              <w:spacing w:after="0"/>
              <w:rPr>
                <w:sz w:val="20"/>
                <w:szCs w:val="20"/>
                <w:color w:val="auto"/>
              </w:rPr>
            </w:pPr>
            <w:r>
              <w:rPr>
                <w:rFonts w:ascii="Courier New" w:cs="Courier New" w:eastAsia="Courier New" w:hAnsi="Courier New"/>
                <w:sz w:val="15"/>
                <w:szCs w:val="15"/>
                <w:color w:val="auto"/>
              </w:rPr>
              <w:t>per share for</w:t>
            </w:r>
          </w:p>
        </w:tc>
        <w:tc>
          <w:tcPr>
            <w:tcW w:w="5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year ended September 30, 1998 would have been as follows:</w:t>
            </w:r>
          </w:p>
        </w:tc>
      </w:tr>
      <w:tr>
        <w:trPr>
          <w:trHeight w:val="688"/>
        </w:trPr>
        <w:tc>
          <w:tcPr>
            <w:tcW w:w="5260" w:type="dxa"/>
            <w:vAlign w:val="bottom"/>
            <w:gridSpan w:val="3"/>
          </w:tcPr>
          <w:p>
            <w:pPr>
              <w:spacing w:after="0"/>
              <w:rPr>
                <w:sz w:val="20"/>
                <w:szCs w:val="20"/>
                <w:color w:val="auto"/>
              </w:rPr>
            </w:pPr>
            <w:r>
              <w:rPr>
                <w:rFonts w:ascii="Courier New" w:cs="Courier New" w:eastAsia="Courier New" w:hAnsi="Courier New"/>
                <w:sz w:val="15"/>
                <w:szCs w:val="15"/>
                <w:color w:val="auto"/>
              </w:rPr>
              <w:t>Pro forma net income......................................</w:t>
            </w:r>
          </w:p>
        </w:tc>
        <w:tc>
          <w:tcPr>
            <w:tcW w:w="188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$29,455</w:t>
            </w:r>
          </w:p>
        </w:tc>
      </w:tr>
      <w:tr>
        <w:trPr>
          <w:trHeight w:val="172"/>
        </w:trPr>
        <w:tc>
          <w:tcPr>
            <w:tcW w:w="300" w:type="dxa"/>
            <w:vAlign w:val="bottom"/>
          </w:tcPr>
          <w:p>
            <w:pPr>
              <w:spacing w:after="0"/>
              <w:rPr>
                <w:sz w:val="20"/>
                <w:szCs w:val="20"/>
                <w:color w:val="auto"/>
              </w:rPr>
            </w:pPr>
            <w:r>
              <w:rPr>
                <w:rFonts w:ascii="Courier New" w:cs="Courier New" w:eastAsia="Courier New" w:hAnsi="Courier New"/>
                <w:sz w:val="15"/>
                <w:szCs w:val="15"/>
                <w:color w:val="auto"/>
              </w:rPr>
              <w:t>Pro</w:t>
            </w:r>
          </w:p>
        </w:tc>
        <w:tc>
          <w:tcPr>
            <w:tcW w:w="4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forma basic earnings per share........................</w:t>
            </w:r>
          </w:p>
        </w:tc>
        <w:tc>
          <w:tcPr>
            <w:tcW w:w="188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0.19</w:t>
            </w:r>
          </w:p>
        </w:tc>
      </w:tr>
      <w:tr>
        <w:trPr>
          <w:trHeight w:val="172"/>
        </w:trPr>
        <w:tc>
          <w:tcPr>
            <w:tcW w:w="300" w:type="dxa"/>
            <w:vAlign w:val="bottom"/>
          </w:tcPr>
          <w:p>
            <w:pPr>
              <w:spacing w:after="0"/>
              <w:rPr>
                <w:sz w:val="20"/>
                <w:szCs w:val="20"/>
                <w:color w:val="auto"/>
              </w:rPr>
            </w:pPr>
            <w:r>
              <w:rPr>
                <w:rFonts w:ascii="Courier New" w:cs="Courier New" w:eastAsia="Courier New" w:hAnsi="Courier New"/>
                <w:sz w:val="15"/>
                <w:szCs w:val="15"/>
                <w:color w:val="auto"/>
              </w:rPr>
              <w:t>Pro</w:t>
            </w:r>
          </w:p>
        </w:tc>
        <w:tc>
          <w:tcPr>
            <w:tcW w:w="4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forma diluted earnings per share......................</w:t>
            </w:r>
          </w:p>
        </w:tc>
        <w:tc>
          <w:tcPr>
            <w:tcW w:w="188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0.18</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All of the Company's stock options were granted during the year ended September 30, 1998. Accordingly, the impact of the stock options on pro forma net income and earnings per share does not reflect the annualized impact of such option grants.</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15</w:t>
      </w:r>
      <w:r>
        <w:rPr>
          <w:sz w:val="20"/>
          <w:szCs w:val="20"/>
          <w:color w:val="auto"/>
        </w:rPr>
        <w:tab/>
      </w:r>
      <w:r>
        <w:rPr>
          <w:rFonts w:ascii="Courier New" w:cs="Courier New" w:eastAsia="Courier New" w:hAnsi="Courier New"/>
          <w:sz w:val="14"/>
          <w:szCs w:val="14"/>
          <w:color w:val="auto"/>
        </w:rPr>
        <w:t>EARNINGS PER SHARE</w:t>
      </w:r>
    </w:p>
    <w:p>
      <w:pPr>
        <w:spacing w:after="0" w:line="176" w:lineRule="exact"/>
        <w:rPr>
          <w:sz w:val="20"/>
          <w:szCs w:val="20"/>
          <w:color w:val="auto"/>
        </w:rPr>
      </w:pPr>
    </w:p>
    <w:p>
      <w:pPr>
        <w:ind w:right="3779" w:firstLine="447"/>
        <w:spacing w:after="0"/>
        <w:rPr>
          <w:sz w:val="20"/>
          <w:szCs w:val="20"/>
          <w:color w:val="auto"/>
        </w:rPr>
      </w:pPr>
      <w:r>
        <w:rPr>
          <w:rFonts w:ascii="Courier New" w:cs="Courier New" w:eastAsia="Courier New" w:hAnsi="Courier New"/>
          <w:sz w:val="15"/>
          <w:szCs w:val="15"/>
          <w:color w:val="auto"/>
        </w:rPr>
        <w:t>The following table sets forth the computation of basic and diluted earnings per share:</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5"/>
          </w:tcPr>
          <w:p>
            <w:pPr>
              <w:jc w:val="right"/>
              <w:ind w:right="20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1998</w:t>
            </w:r>
          </w:p>
        </w:tc>
        <w:tc>
          <w:tcPr>
            <w:tcW w:w="26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4"/>
                <w:szCs w:val="14"/>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1996</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w:t>
            </w:r>
          </w:p>
        </w:tc>
        <w:tc>
          <w:tcPr>
            <w:tcW w:w="26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420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2"/>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Income before cumulative effect............................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$30,384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5,876</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$24,508</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Denominator for basic earnings per share weighted average</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number of shares outstanding..........................</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158,528</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108,330</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107,920</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Effect of dilutive contingently issuable shares..........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2,585</w:t>
            </w: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2,585</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Effect of dilutive stock options granted.................</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914</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Denominator for dilutive earnings per share --</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7"/>
              </w:rPr>
              <w:t>adjusted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weighted average shares and assumed conversions..........</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159,442</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110,915</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110,505</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Basic earnings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Diluted earnings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16</w:t>
      </w:r>
      <w:r>
        <w:rPr>
          <w:sz w:val="20"/>
          <w:szCs w:val="20"/>
          <w:color w:val="auto"/>
        </w:rPr>
        <w:tab/>
      </w:r>
      <w:r>
        <w:rPr>
          <w:rFonts w:ascii="Courier New" w:cs="Courier New" w:eastAsia="Courier New" w:hAnsi="Courier New"/>
          <w:sz w:val="14"/>
          <w:szCs w:val="14"/>
          <w:color w:val="auto"/>
        </w:rPr>
        <w:t>SEGMENT INFORMATION AND SALES TO SIGNIFICANT CUSTOMERS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GEOGRAPHIC INFORMATION</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following is a summary of revenue and long-lived assets by geographic area. Revenue is attributed to geographic region based on the location of the customers.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19"/>
          </w:cols>
          <w:pgMar w:left="240" w:top="289" w:right="1440" w:bottom="1440" w:gutter="0" w:footer="0" w:header="0"/>
        </w:sectPr>
      </w:pPr>
    </w:p>
    <w:bookmarkStart w:id="93" w:name="page94"/>
    <w:bookmarkEnd w:id="93"/>
    <w:p>
      <w:pPr>
        <w:ind w:left="268"/>
        <w:spacing w:after="0"/>
        <w:rPr>
          <w:sz w:val="20"/>
          <w:szCs w:val="20"/>
          <w:color w:val="auto"/>
        </w:rPr>
      </w:pPr>
      <w:r>
        <w:rPr>
          <w:rFonts w:ascii="Courier New" w:cs="Courier New" w:eastAsia="Courier New" w:hAnsi="Courier New"/>
          <w:sz w:val="15"/>
          <w:szCs w:val="15"/>
          <w:color w:val="auto"/>
        </w:rPr>
        <w:t>94</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040" w:type="dxa"/>
            <w:vAlign w:val="bottom"/>
          </w:tcPr>
          <w:p>
            <w:pPr>
              <w:ind w:left="2940"/>
              <w:spacing w:after="0"/>
              <w:rPr>
                <w:sz w:val="20"/>
                <w:szCs w:val="20"/>
                <w:color w:val="auto"/>
              </w:rPr>
            </w:pPr>
            <w:r>
              <w:rPr>
                <w:rFonts w:ascii="Courier New" w:cs="Courier New" w:eastAsia="Courier New" w:hAnsi="Courier New"/>
                <w:sz w:val="15"/>
                <w:szCs w:val="15"/>
                <w:color w:val="auto"/>
              </w:rPr>
              <w:t>AMDOCS LIMITED</w:t>
            </w: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44"/>
        </w:trPr>
        <w:tc>
          <w:tcPr>
            <w:tcW w:w="5040" w:type="dxa"/>
            <w:vAlign w:val="bottom"/>
          </w:tcPr>
          <w:p>
            <w:pPr>
              <w:ind w:left="980"/>
              <w:spacing w:after="0"/>
              <w:rPr>
                <w:sz w:val="20"/>
                <w:szCs w:val="20"/>
                <w:color w:val="auto"/>
              </w:rPr>
            </w:pPr>
            <w:r>
              <w:rPr>
                <w:rFonts w:ascii="Courier New" w:cs="Courier New" w:eastAsia="Courier New" w:hAnsi="Courier New"/>
                <w:sz w:val="15"/>
                <w:szCs w:val="15"/>
                <w:color w:val="auto"/>
                <w:w w:val="99"/>
              </w:rPr>
              <w:t>NOTES TO CONSOLIDATED FINANCIAL STATEMENTS --</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(CONTINUED)</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88"/>
        </w:trPr>
        <w:tc>
          <w:tcPr>
            <w:tcW w:w="5040" w:type="dxa"/>
            <w:vAlign w:val="bottom"/>
          </w:tcPr>
          <w:p>
            <w:pPr>
              <w:spacing w:after="0"/>
              <w:rPr>
                <w:sz w:val="24"/>
                <w:szCs w:val="24"/>
                <w:color w:val="auto"/>
              </w:rPr>
            </w:pPr>
          </w:p>
        </w:tc>
        <w:tc>
          <w:tcPr>
            <w:tcW w:w="30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5040" w:type="dxa"/>
            <w:vAlign w:val="bottom"/>
          </w:tcPr>
          <w:p>
            <w:pPr>
              <w:spacing w:after="0"/>
              <w:rPr>
                <w:sz w:val="14"/>
                <w:szCs w:val="14"/>
                <w:color w:val="auto"/>
              </w:rPr>
            </w:pPr>
          </w:p>
        </w:tc>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0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North America...........................................</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$210,867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$185,119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$142,921</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Australia...............................................</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33,215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37,362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36,553</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Europe..................................................</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109,752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32,642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30,763</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49,933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34,979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1,483</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Total...................................................</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$403,767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$290,102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$211,720</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rPr>
              <w:t>LONG-LIVED ASSETS</w:t>
            </w: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Israel*.................................................</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$ 38,917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$ 26,779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$ 18,346</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North America**.........................................</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30,441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39,771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7,378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2,402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1,794</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$ 76,736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$ 68,952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$ 20,140</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348" w:hanging="348"/>
        <w:spacing w:after="0"/>
        <w:tabs>
          <w:tab w:leader="none" w:pos="34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computers and vehicles.</w:t>
      </w:r>
    </w:p>
    <w:p>
      <w:pPr>
        <w:spacing w:after="0" w:line="174" w:lineRule="exact"/>
        <w:rPr>
          <w:sz w:val="20"/>
          <w:szCs w:val="20"/>
          <w:color w:val="auto"/>
        </w:rPr>
      </w:pPr>
    </w:p>
    <w:p>
      <w:pPr>
        <w:ind w:left="348" w:hanging="348"/>
        <w:spacing w:after="0"/>
        <w:tabs>
          <w:tab w:leader="none" w:pos="34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computer software and intellectual property rights.</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10 percent of total long-lived assets.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REVENUE AND CUSTOMER INFORMATION</w:t>
      </w:r>
    </w:p>
    <w:p>
      <w:pPr>
        <w:spacing w:after="0" w:line="176" w:lineRule="exact"/>
        <w:rPr>
          <w:sz w:val="20"/>
          <w:szCs w:val="20"/>
          <w:color w:val="auto"/>
        </w:rPr>
      </w:pPr>
    </w:p>
    <w:p>
      <w:pPr>
        <w:ind w:left="8" w:right="3159" w:firstLine="447"/>
        <w:spacing w:after="0" w:line="263" w:lineRule="auto"/>
        <w:rPr>
          <w:sz w:val="20"/>
          <w:szCs w:val="20"/>
          <w:color w:val="auto"/>
        </w:rPr>
      </w:pPr>
      <w:r>
        <w:rPr>
          <w:rFonts w:ascii="Courier New" w:cs="Courier New" w:eastAsia="Courier New" w:hAnsi="Courier New"/>
          <w:sz w:val="14"/>
          <w:szCs w:val="14"/>
          <w:color w:val="auto"/>
        </w:rPr>
        <w:t>Customer care and billing systems (CC&amp;B) include systems for wireless, wireline and multiple-service or convergent network operators and service providers. Directory includes directory sales and publishing systems for publishers of both traditional printed yellow pages and white pages directories and electronic directories, such as Internet, kiosk and CD-ROM directories.</w:t>
      </w:r>
    </w:p>
    <w:p>
      <w:pPr>
        <w:spacing w:after="0" w:line="200" w:lineRule="exact"/>
        <w:rPr>
          <w:sz w:val="20"/>
          <w:szCs w:val="20"/>
          <w:color w:val="auto"/>
        </w:rPr>
      </w:pPr>
    </w:p>
    <w:p>
      <w:pPr>
        <w:spacing w:after="0" w:line="30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296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2940" w:type="dxa"/>
            <w:vAlign w:val="bottom"/>
          </w:tcPr>
          <w:p>
            <w:pPr>
              <w:spacing w:after="0"/>
              <w:rPr>
                <w:sz w:val="14"/>
                <w:szCs w:val="14"/>
                <w:color w:val="auto"/>
              </w:rPr>
            </w:pPr>
          </w:p>
        </w:tc>
        <w:tc>
          <w:tcPr>
            <w:tcW w:w="2960" w:type="dxa"/>
            <w:vAlign w:val="bottom"/>
            <w:gridSpan w:val="3"/>
          </w:tcPr>
          <w:p>
            <w:pPr>
              <w:jc w:val="center"/>
              <w:ind w:left="2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2940" w:type="dxa"/>
            <w:vAlign w:val="bottom"/>
          </w:tcPr>
          <w:p>
            <w:pPr>
              <w:spacing w:after="0"/>
              <w:rPr>
                <w:sz w:val="14"/>
                <w:szCs w:val="14"/>
                <w:color w:val="auto"/>
              </w:rPr>
            </w:pP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4"/>
              </w:rPr>
              <w:t>1998</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1996</w:t>
            </w:r>
          </w:p>
        </w:tc>
      </w:tr>
      <w:tr>
        <w:trPr>
          <w:trHeight w:val="172"/>
        </w:trPr>
        <w:tc>
          <w:tcPr>
            <w:tcW w:w="2940" w:type="dxa"/>
            <w:vAlign w:val="bottom"/>
          </w:tcPr>
          <w:p>
            <w:pPr>
              <w:spacing w:after="0"/>
              <w:rPr>
                <w:sz w:val="14"/>
                <w:szCs w:val="14"/>
                <w:color w:val="auto"/>
              </w:rPr>
            </w:pP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4"/>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CC&amp;B............................</w:t>
            </w: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7"/>
              </w:rPr>
              <w:t>$251,829</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$166,335</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$102,481</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Directory.......................</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151,938</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123,767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109,239</w:t>
            </w:r>
          </w:p>
        </w:tc>
      </w:tr>
      <w:tr>
        <w:trPr>
          <w:trHeight w:val="172"/>
        </w:trPr>
        <w:tc>
          <w:tcPr>
            <w:tcW w:w="2940" w:type="dxa"/>
            <w:vAlign w:val="bottom"/>
          </w:tcPr>
          <w:p>
            <w:pPr>
              <w:spacing w:after="0"/>
              <w:rPr>
                <w:sz w:val="14"/>
                <w:szCs w:val="14"/>
                <w:color w:val="auto"/>
              </w:rPr>
            </w:pP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7"/>
              </w:rPr>
              <w:t>$403,767</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$290,102</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$211,720</w:t>
            </w:r>
          </w:p>
        </w:tc>
      </w:tr>
      <w:tr>
        <w:trPr>
          <w:trHeight w:val="172"/>
        </w:trPr>
        <w:tc>
          <w:tcPr>
            <w:tcW w:w="2940" w:type="dxa"/>
            <w:vAlign w:val="bottom"/>
          </w:tcPr>
          <w:p>
            <w:pPr>
              <w:spacing w:after="0"/>
              <w:rPr>
                <w:sz w:val="14"/>
                <w:szCs w:val="14"/>
                <w:color w:val="auto"/>
              </w:rPr>
            </w:pP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SALES TO SIGNIFICANT CUSTOMERS</w:t>
      </w:r>
    </w:p>
    <w:p>
      <w:pPr>
        <w:spacing w:after="0" w:line="176" w:lineRule="exact"/>
        <w:rPr>
          <w:sz w:val="20"/>
          <w:szCs w:val="20"/>
          <w:color w:val="auto"/>
        </w:rPr>
      </w:pPr>
    </w:p>
    <w:p>
      <w:pPr>
        <w:ind w:left="8" w:right="3599" w:firstLine="447"/>
        <w:spacing w:after="0" w:line="274" w:lineRule="auto"/>
        <w:rPr>
          <w:sz w:val="20"/>
          <w:szCs w:val="20"/>
          <w:color w:val="auto"/>
        </w:rPr>
      </w:pPr>
      <w:r>
        <w:rPr>
          <w:rFonts w:ascii="Courier New" w:cs="Courier New" w:eastAsia="Courier New" w:hAnsi="Courier New"/>
          <w:sz w:val="14"/>
          <w:szCs w:val="14"/>
          <w:color w:val="auto"/>
        </w:rPr>
        <w:t>The following table summarizes the percentage of sales to significant customers (when they exceed 10 percent of total revenue for the year).</w:t>
      </w:r>
    </w:p>
    <w:p>
      <w:pPr>
        <w:spacing w:after="0" w:line="200" w:lineRule="exact"/>
        <w:rPr>
          <w:sz w:val="20"/>
          <w:szCs w:val="20"/>
          <w:color w:val="auto"/>
        </w:rPr>
      </w:pPr>
    </w:p>
    <w:p>
      <w:pPr>
        <w:spacing w:after="0" w:line="29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YEAR ENDED</w:t>
            </w:r>
          </w:p>
        </w:tc>
        <w:tc>
          <w:tcPr>
            <w:tcW w:w="360" w:type="dxa"/>
            <w:vAlign w:val="bottom"/>
          </w:tcPr>
          <w:p>
            <w:pPr>
              <w:spacing w:after="0"/>
              <w:rPr>
                <w:sz w:val="14"/>
                <w:szCs w:val="14"/>
                <w:color w:val="auto"/>
              </w:rPr>
            </w:pPr>
          </w:p>
        </w:tc>
      </w:tr>
      <w:tr>
        <w:trPr>
          <w:trHeight w:val="172"/>
        </w:trPr>
        <w:tc>
          <w:tcPr>
            <w:tcW w:w="500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360" w:type="dxa"/>
            <w:vAlign w:val="bottom"/>
          </w:tcPr>
          <w:p>
            <w:pPr>
              <w:spacing w:after="0"/>
              <w:rPr>
                <w:sz w:val="14"/>
                <w:szCs w:val="14"/>
                <w:color w:val="auto"/>
              </w:rPr>
            </w:pPr>
          </w:p>
        </w:tc>
      </w:tr>
      <w:tr>
        <w:trPr>
          <w:trHeight w:val="172"/>
        </w:trPr>
        <w:tc>
          <w:tcPr>
            <w:tcW w:w="500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1996</w:t>
            </w:r>
          </w:p>
        </w:tc>
      </w:tr>
      <w:tr>
        <w:trPr>
          <w:trHeight w:val="172"/>
        </w:trPr>
        <w:tc>
          <w:tcPr>
            <w:tcW w:w="50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50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8"/>
              </w:rPr>
              <w:t>Southwestern Bell Communications Services Inc. and</w:t>
            </w: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affiliates...........................................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BellSouth Telecommunications, Inc., and affiliates.....</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w:t>
            </w:r>
          </w:p>
        </w:tc>
        <w:tc>
          <w:tcPr>
            <w:tcW w:w="10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Telstra Corporation Ltd................................</w:t>
            </w:r>
          </w:p>
        </w:tc>
        <w:tc>
          <w:tcPr>
            <w:tcW w:w="5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less than 10 percent of total revenue</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27"/>
          </w:cols>
          <w:pgMar w:left="232" w:top="289"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95</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1560" w:type="dxa"/>
            <w:vAlign w:val="bottom"/>
          </w:tcPr>
          <w:p>
            <w:pPr>
              <w:jc w:val="right"/>
              <w:ind w:right="230"/>
              <w:spacing w:after="0"/>
              <w:rPr>
                <w:sz w:val="20"/>
                <w:szCs w:val="20"/>
                <w:color w:val="auto"/>
              </w:rPr>
            </w:pPr>
            <w:r>
              <w:rPr>
                <w:rFonts w:ascii="Courier New" w:cs="Courier New" w:eastAsia="Courier New" w:hAnsi="Courier New"/>
                <w:sz w:val="15"/>
                <w:szCs w:val="15"/>
                <w:color w:val="auto"/>
                <w:w w:val="98"/>
              </w:rPr>
              <w:t>AMDOCS LIMITED</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4"/>
        </w:trPr>
        <w:tc>
          <w:tcPr>
            <w:tcW w:w="4820" w:type="dxa"/>
            <w:vAlign w:val="bottom"/>
            <w:gridSpan w:val="3"/>
          </w:tcPr>
          <w:p>
            <w:pPr>
              <w:ind w:left="98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18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w w:val="98"/>
              </w:rPr>
              <w:t>-- (CONTINUED)</w:t>
            </w:r>
          </w:p>
        </w:tc>
        <w:tc>
          <w:tcPr>
            <w:tcW w:w="800" w:type="dxa"/>
            <w:vAlign w:val="bottom"/>
          </w:tcPr>
          <w:p>
            <w:pPr>
              <w:spacing w:after="0"/>
              <w:rPr>
                <w:sz w:val="24"/>
                <w:szCs w:val="24"/>
                <w:color w:val="auto"/>
              </w:rPr>
            </w:pPr>
          </w:p>
        </w:tc>
      </w:tr>
      <w:tr>
        <w:trPr>
          <w:trHeight w:val="344"/>
        </w:trPr>
        <w:tc>
          <w:tcPr>
            <w:tcW w:w="4820" w:type="dxa"/>
            <w:vAlign w:val="bottom"/>
            <w:gridSpan w:val="3"/>
          </w:tcPr>
          <w:p>
            <w:pPr>
              <w:spacing w:after="0"/>
              <w:rPr>
                <w:sz w:val="20"/>
                <w:szCs w:val="20"/>
                <w:color w:val="auto"/>
              </w:rPr>
            </w:pPr>
            <w:r>
              <w:rPr>
                <w:rFonts w:ascii="Courier New" w:cs="Courier New" w:eastAsia="Courier New" w:hAnsi="Courier New"/>
                <w:sz w:val="15"/>
                <w:szCs w:val="15"/>
                <w:color w:val="auto"/>
                <w:w w:val="98"/>
              </w:rPr>
              <w:t>NOTE 17  SELECTED QUARTERLY FINANCIAL DATA (UNAUDITED)</w:t>
            </w: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88"/>
        </w:trPr>
        <w:tc>
          <w:tcPr>
            <w:tcW w:w="2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QUARTER ENDED</w:t>
            </w:r>
          </w:p>
        </w:tc>
        <w:tc>
          <w:tcPr>
            <w:tcW w:w="800" w:type="dxa"/>
            <w:vAlign w:val="bottom"/>
          </w:tcPr>
          <w:p>
            <w:pPr>
              <w:spacing w:after="0"/>
              <w:rPr>
                <w:sz w:val="24"/>
                <w:szCs w:val="24"/>
                <w:color w:val="auto"/>
              </w:rPr>
            </w:pPr>
          </w:p>
        </w:tc>
      </w:tr>
      <w:tr>
        <w:trPr>
          <w:trHeight w:val="172"/>
        </w:trPr>
        <w:tc>
          <w:tcPr>
            <w:tcW w:w="2940" w:type="dxa"/>
            <w:vAlign w:val="bottom"/>
          </w:tcPr>
          <w:p>
            <w:pPr>
              <w:spacing w:after="0"/>
              <w:rPr>
                <w:sz w:val="14"/>
                <w:szCs w:val="14"/>
                <w:color w:val="auto"/>
              </w:rPr>
            </w:pPr>
          </w:p>
        </w:tc>
        <w:tc>
          <w:tcPr>
            <w:tcW w:w="45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940" w:type="dxa"/>
            <w:vAlign w:val="bottom"/>
          </w:tcPr>
          <w:p>
            <w:pPr>
              <w:spacing w:after="0"/>
              <w:rPr>
                <w:sz w:val="14"/>
                <w:szCs w:val="14"/>
                <w:color w:val="auto"/>
              </w:rPr>
            </w:pP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SEPT 30,</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JUNE 30,</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MARCH 31,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DEC 31,</w:t>
            </w:r>
          </w:p>
        </w:tc>
      </w:tr>
      <w:tr>
        <w:trPr>
          <w:trHeight w:val="172"/>
        </w:trPr>
        <w:tc>
          <w:tcPr>
            <w:tcW w:w="2940" w:type="dxa"/>
            <w:vAlign w:val="bottom"/>
          </w:tcPr>
          <w:p>
            <w:pPr>
              <w:spacing w:after="0"/>
              <w:rPr>
                <w:sz w:val="14"/>
                <w:szCs w:val="14"/>
                <w:color w:val="auto"/>
              </w:rPr>
            </w:pP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Revenue...............................</w:t>
            </w: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$116,704</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$106,497</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$94,008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$86,558</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Operating income......................</w:t>
            </w: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26,104</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22,821</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19,125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16,845</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Net income............................</w:t>
            </w: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11,598</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6,443</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4,105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7,961</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Basic earnings per share..............</w:t>
            </w: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0.06</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0.04</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Diluted earnings per share............</w:t>
            </w: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0.06</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0.04</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Revenue...............................</w:t>
            </w:r>
          </w:p>
        </w:tc>
        <w:tc>
          <w:tcPr>
            <w:tcW w:w="1560" w:type="dxa"/>
            <w:vAlign w:val="bottom"/>
          </w:tcPr>
          <w:p>
            <w:pPr>
              <w:jc w:val="right"/>
              <w:ind w:right="150"/>
              <w:spacing w:after="0"/>
              <w:rPr>
                <w:sz w:val="20"/>
                <w:szCs w:val="20"/>
                <w:color w:val="auto"/>
              </w:rPr>
            </w:pPr>
            <w:r>
              <w:rPr>
                <w:rFonts w:ascii="Courier New" w:cs="Courier New" w:eastAsia="Courier New" w:hAnsi="Courier New"/>
                <w:sz w:val="15"/>
                <w:szCs w:val="15"/>
                <w:color w:val="auto"/>
              </w:rPr>
              <w:t>$ 87,987</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$ 77,089</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$62,489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$62,537</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Operating income (loss)...............</w:t>
            </w:r>
          </w:p>
        </w:tc>
        <w:tc>
          <w:tcPr>
            <w:tcW w:w="1560" w:type="dxa"/>
            <w:vAlign w:val="bottom"/>
          </w:tcPr>
          <w:p>
            <w:pPr>
              <w:jc w:val="right"/>
              <w:ind w:right="50"/>
              <w:spacing w:after="0"/>
              <w:rPr>
                <w:sz w:val="20"/>
                <w:szCs w:val="20"/>
                <w:color w:val="auto"/>
              </w:rPr>
            </w:pPr>
            <w:r>
              <w:rPr>
                <w:rFonts w:ascii="Courier New" w:cs="Courier New" w:eastAsia="Courier New" w:hAnsi="Courier New"/>
                <w:sz w:val="15"/>
                <w:szCs w:val="15"/>
                <w:color w:val="auto"/>
              </w:rPr>
              <w:t>(10,586)</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13,363</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12,179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12,013</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Net income (loss).....................</w:t>
            </w:r>
          </w:p>
        </w:tc>
        <w:tc>
          <w:tcPr>
            <w:tcW w:w="1560" w:type="dxa"/>
            <w:vAlign w:val="bottom"/>
          </w:tcPr>
          <w:p>
            <w:pPr>
              <w:jc w:val="right"/>
              <w:ind w:right="50"/>
              <w:spacing w:after="0"/>
              <w:rPr>
                <w:sz w:val="20"/>
                <w:szCs w:val="20"/>
                <w:color w:val="auto"/>
              </w:rPr>
            </w:pPr>
            <w:r>
              <w:rPr>
                <w:rFonts w:ascii="Courier New" w:cs="Courier New" w:eastAsia="Courier New" w:hAnsi="Courier New"/>
                <w:sz w:val="15"/>
                <w:szCs w:val="15"/>
                <w:color w:val="auto"/>
              </w:rPr>
              <w:t>(18,307)</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7,378</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8,236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8,569</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85"/>
              </w:rPr>
              <w:t>Basic earnings (loss) per share.......</w:t>
            </w:r>
          </w:p>
        </w:tc>
        <w:tc>
          <w:tcPr>
            <w:tcW w:w="1560" w:type="dxa"/>
            <w:vAlign w:val="bottom"/>
          </w:tcPr>
          <w:p>
            <w:pPr>
              <w:jc w:val="right"/>
              <w:ind w:right="50"/>
              <w:spacing w:after="0"/>
              <w:rPr>
                <w:sz w:val="20"/>
                <w:szCs w:val="20"/>
                <w:color w:val="auto"/>
              </w:rPr>
            </w:pPr>
            <w:r>
              <w:rPr>
                <w:rFonts w:ascii="Courier New" w:cs="Courier New" w:eastAsia="Courier New" w:hAnsi="Courier New"/>
                <w:sz w:val="15"/>
                <w:szCs w:val="15"/>
                <w:color w:val="auto"/>
              </w:rPr>
              <w:t>(0.17)</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0.07</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w w:val="98"/>
              </w:rPr>
              <w:t>Diluted earnings (loss) per share</w:t>
            </w:r>
          </w:p>
        </w:tc>
        <w:tc>
          <w:tcPr>
            <w:tcW w:w="1560" w:type="dxa"/>
            <w:vAlign w:val="bottom"/>
          </w:tcPr>
          <w:p>
            <w:pPr>
              <w:jc w:val="right"/>
              <w:ind w:right="50"/>
              <w:spacing w:after="0"/>
              <w:rPr>
                <w:sz w:val="20"/>
                <w:szCs w:val="20"/>
                <w:color w:val="auto"/>
              </w:rPr>
            </w:pPr>
            <w:r>
              <w:rPr>
                <w:rFonts w:ascii="Courier New" w:cs="Courier New" w:eastAsia="Courier New" w:hAnsi="Courier New"/>
                <w:sz w:val="15"/>
                <w:szCs w:val="15"/>
                <w:color w:val="auto"/>
                <w:w w:val="99"/>
              </w:rPr>
              <w:t>.....(0.17)</w:t>
            </w:r>
          </w:p>
        </w:tc>
        <w:tc>
          <w:tcPr>
            <w:tcW w:w="32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0.07</w:t>
            </w: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0.07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r>
    </w:tbl>
    <w:p>
      <w:pPr>
        <w:spacing w:after="0" w:line="348"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The fiscal quarter ended September 30, 1997 includes nonrecurring charges of $27,563.</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18</w:t>
      </w:r>
      <w:r>
        <w:rPr>
          <w:sz w:val="20"/>
          <w:szCs w:val="20"/>
          <w:color w:val="auto"/>
        </w:rPr>
        <w:tab/>
      </w:r>
      <w:r>
        <w:rPr>
          <w:rFonts w:ascii="Courier New" w:cs="Courier New" w:eastAsia="Courier New" w:hAnsi="Courier New"/>
          <w:sz w:val="14"/>
          <w:szCs w:val="14"/>
          <w:color w:val="auto"/>
        </w:rPr>
        <w:t>FINANCIAL INSTRUMENTS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Most of the Company's revenue and expenses are denominated in U.S. dollars. However, as the Company does business world-wide, the Company enters into various foreign exchange contracts in managing its foreign exchange risks. The derivative financial instruments are afforded hedge accounting treatment because they are effective in managing foreign exchange risks and are appropriately designated to the underlying exposures. The Company does not enter into derivative contracts for speculative purposes, nor is it a party to any leveraged derivative instrument. Through its foreign currency hedging activities, the Company seeks to minimize the risk that fair value of the sales of products and services and cash flow required for the Company's expenses denominated in a currency different from the functional currency will be affected by changes in exchange rates. Cash flow hedges protect the Company from fluctuations in expenses expected to be incurred in subsidiaries that operate in non U.S. dollar-based environments. Fair value hedges protect cash flows generated by firm commitments from customers who purchase services in non U.S. dollar-based currencies.</w:t>
      </w:r>
    </w:p>
    <w:p>
      <w:pPr>
        <w:spacing w:after="0" w:line="183"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For its qualifying fair value hedges, the fair value of the derivative instrument and firm commitment are recorded as assets and liabilities on the balance sheet. The change in the fair value of the forward contract related to the ineffective portion of the hedging contracts is recorded in Other expense, net. For the year ended September 30, 1998, this amounted to an expense of $98.</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For its qualifying cash flow hedges, the fair value of the derivative instrument is recorded as an asset or liability on the balance sheet. The change in fair value of the derivative instrument related to the ineffective portion of the hedging contracts is recorded in Other expense, net. For the year ended September 30, 1998, this amounted to income of $300. The remaining change in fair value is reported in Other comprehensive income and will be recorded into earnings, as a component of the line item which contains the hedged item in the same period the forecasted transactions affect earnings. It is expected that $634 of net unrealized losses included in Other comprehensive income at September 30, 1998 will be recognized during the period ended</w:t>
      </w:r>
    </w:p>
    <w:p>
      <w:pPr>
        <w:spacing w:after="0" w:line="17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19"/>
          </w:cols>
          <w:pgMar w:left="240" w:top="289"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96</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jc w:val="both"/>
        <w:ind w:right="3079"/>
        <w:spacing w:after="0" w:line="241" w:lineRule="auto"/>
        <w:rPr>
          <w:sz w:val="20"/>
          <w:szCs w:val="20"/>
          <w:color w:val="auto"/>
        </w:rPr>
      </w:pPr>
      <w:r>
        <w:rPr>
          <w:rFonts w:ascii="Courier New" w:cs="Courier New" w:eastAsia="Courier New" w:hAnsi="Courier New"/>
          <w:sz w:val="15"/>
          <w:szCs w:val="15"/>
          <w:color w:val="auto"/>
        </w:rPr>
        <w:t>September 30, 1999. At September 30, 1998 the maximum length of time over which the Company is hedging its exposure to the variability of future cash flows is 4 years.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At September 30, 1998, the Company had forward exchange contracts to exchange various foreign currencies for U.S. dollars. The value of New Israeli shekels and Australian dollars to be purchased was $121,868 and the value of Great Britain pounds, Austrian shillings, Japanese yen, and Canadian dollars to be sold is $60,599. The fair value of forward derivatives as of September 30, 1998 is $(4,671).</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19"/>
          </w:cols>
          <w:pgMar w:left="240" w:top="289"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97</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CONSOLIDATED BALANCE SHEET (UNAUDITED)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80" w:type="dxa"/>
            <w:vAlign w:val="bottom"/>
          </w:tcPr>
          <w:p>
            <w:pPr>
              <w:spacing w:after="0"/>
              <w:rPr>
                <w:sz w:val="14"/>
                <w:szCs w:val="14"/>
                <w:color w:val="auto"/>
              </w:rPr>
            </w:pPr>
          </w:p>
        </w:tc>
        <w:tc>
          <w:tcPr>
            <w:tcW w:w="356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(IN THOUSANDS, EXCEPT PER SHARE DATA)</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88"/>
        </w:trPr>
        <w:tc>
          <w:tcPr>
            <w:tcW w:w="18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JUNE 30,</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344"/>
        </w:trPr>
        <w:tc>
          <w:tcPr>
            <w:tcW w:w="1880" w:type="dxa"/>
            <w:vAlign w:val="bottom"/>
          </w:tcPr>
          <w:p>
            <w:pPr>
              <w:spacing w:after="0"/>
              <w:rPr>
                <w:sz w:val="24"/>
                <w:szCs w:val="24"/>
                <w:color w:val="auto"/>
              </w:rPr>
            </w:pPr>
          </w:p>
        </w:tc>
        <w:tc>
          <w:tcPr>
            <w:tcW w:w="3560" w:type="dxa"/>
            <w:vAlign w:val="bottom"/>
          </w:tcPr>
          <w:p>
            <w:pPr>
              <w:jc w:val="right"/>
              <w:ind w:right="1965"/>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71,078</w:t>
            </w: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Accounts receivable, including unbilled of $2,478.........</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144,326</w:t>
            </w: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Accounts receivable from related parties, including</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unbilled of $0.........................................</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9,775</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16,894</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20,613</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262,686</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Equipment, vehicles and leasehold improvements, net.........</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70,704</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Deferred income taxes</w:t>
            </w:r>
          </w:p>
        </w:tc>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5,614</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Intellectual property rights................................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21,397</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Other noncurrent assets.....................................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26,381</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$ 386,782</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jc w:val="right"/>
              <w:ind w:right="625"/>
              <w:spacing w:after="0"/>
              <w:rPr>
                <w:sz w:val="20"/>
                <w:szCs w:val="20"/>
                <w:color w:val="auto"/>
              </w:rPr>
            </w:pPr>
            <w:r>
              <w:rPr>
                <w:rFonts w:ascii="Courier New" w:cs="Courier New" w:eastAsia="Courier New" w:hAnsi="Courier New"/>
                <w:sz w:val="15"/>
                <w:szCs w:val="15"/>
                <w:color w:val="auto"/>
              </w:rPr>
              <w:t>LIABILITIES AND SHAREHOLDERS' EQUITY</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64,446</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Accrued personnel costs...................................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34,607</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Short-term financing arrangements.........................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26,561</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92,744</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4,459</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Forward exchange contracts................................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1,488</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Income taxes payable and deferred income taxes............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23,077</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247,382</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Long-term forward exchange contracts........................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507</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Long-term portion of capital lease obligations..............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12,649</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Other noncurrent liabilities................................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29,972</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Shareholders' equity:</w:t>
            </w: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w w:val="98"/>
              </w:rPr>
              <w:t>Preferred Shares --</w:t>
            </w:r>
          </w:p>
        </w:tc>
        <w:tc>
          <w:tcPr>
            <w:tcW w:w="35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Authorized 25,000 shares; L0.01 par</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1880" w:type="dxa"/>
            <w:vAlign w:val="bottom"/>
          </w:tcPr>
          <w:p>
            <w:pPr>
              <w:ind w:left="440"/>
              <w:spacing w:after="0"/>
              <w:rPr>
                <w:sz w:val="20"/>
                <w:szCs w:val="20"/>
                <w:color w:val="auto"/>
              </w:rPr>
            </w:pPr>
            <w:r>
              <w:rPr>
                <w:rFonts w:ascii="Courier New" w:cs="Courier New" w:eastAsia="Courier New" w:hAnsi="Courier New"/>
                <w:sz w:val="15"/>
                <w:szCs w:val="15"/>
                <w:color w:val="auto"/>
              </w:rPr>
              <w:t>value; 0 issued</w:t>
            </w:r>
          </w:p>
        </w:tc>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and outstanding........................</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Ordinary Shares --</w:t>
            </w:r>
          </w:p>
        </w:tc>
        <w:tc>
          <w:tcPr>
            <w:tcW w:w="356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8"/>
              </w:rPr>
              <w:t>Authorized 550,000 shares; L0.01 par</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value; 198,800 outstanding.............................</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3,181</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489,073</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Unrealized gain on derivative instruments.................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2,558</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Unearned compensation.....................................</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(5,145)</w:t>
            </w:r>
          </w:p>
        </w:tc>
      </w:tr>
      <w:tr>
        <w:trPr>
          <w:trHeight w:val="172"/>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w w:val="98"/>
              </w:rPr>
              <w:t>Accumulated deficit</w:t>
            </w:r>
          </w:p>
        </w:tc>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(393,395)</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Total shareholders' equity........................</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96,272</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$ 386,782</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19"/>
          </w:cols>
          <w:pgMar w:left="240" w:top="289" w:right="1440" w:bottom="1440" w:gutter="0" w:footer="0" w:header="0"/>
        </w:sectPr>
      </w:pPr>
    </w:p>
    <w:bookmarkStart w:id="97" w:name="page98"/>
    <w:bookmarkEnd w:id="97"/>
    <w:p>
      <w:pPr>
        <w:ind w:left="268"/>
        <w:spacing w:after="0"/>
        <w:rPr>
          <w:sz w:val="20"/>
          <w:szCs w:val="20"/>
          <w:color w:val="auto"/>
        </w:rPr>
      </w:pPr>
      <w:r>
        <w:rPr>
          <w:rFonts w:ascii="Courier New" w:cs="Courier New" w:eastAsia="Courier New" w:hAnsi="Courier New"/>
          <w:sz w:val="15"/>
          <w:szCs w:val="15"/>
          <w:color w:val="auto"/>
        </w:rPr>
        <w:t>98</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CONSOLIDATED STATEMENTS OF OPERATIONS (UNAUDITED)</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w w:val="98"/>
              </w:rPr>
              <w:t>NINE MONTHS ENDED</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tcPr>
          <w:p>
            <w:pPr>
              <w:jc w:val="right"/>
              <w:ind w:right="565"/>
              <w:spacing w:after="0"/>
              <w:rPr>
                <w:sz w:val="20"/>
                <w:szCs w:val="20"/>
                <w:color w:val="auto"/>
              </w:rPr>
            </w:pPr>
            <w:r>
              <w:rPr>
                <w:rFonts w:ascii="Courier New" w:cs="Courier New" w:eastAsia="Courier New" w:hAnsi="Courier New"/>
                <w:sz w:val="15"/>
                <w:szCs w:val="15"/>
                <w:color w:val="auto"/>
              </w:rPr>
              <w:t>JUNE 30,</w:t>
            </w:r>
          </w:p>
        </w:tc>
      </w:tr>
      <w:tr>
        <w:trPr>
          <w:trHeight w:val="172"/>
        </w:trPr>
        <w:tc>
          <w:tcPr>
            <w:tcW w:w="5440" w:type="dxa"/>
            <w:vAlign w:val="bottom"/>
          </w:tcPr>
          <w:p>
            <w:pPr>
              <w:spacing w:after="0"/>
              <w:rPr>
                <w:sz w:val="14"/>
                <w:szCs w:val="14"/>
                <w:color w:val="auto"/>
              </w:rPr>
            </w:pPr>
          </w:p>
        </w:tc>
        <w:tc>
          <w:tcPr>
            <w:tcW w:w="198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License (*)...............................................</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$ 51,987</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$ 29,741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Service (*)...............................................</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392,152</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257,322</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444,139</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287,063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Cost of license...........................................</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4,060</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8,521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Cost of service (*).......................................</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254,651</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165,268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28,524</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18,127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Selling, general and administrative (*)...................</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53,336</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36,356</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340,571</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228,272</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Operating income............................................</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103,568</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58,791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Other expense (income), net:</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Interest expense, net (*)...................................</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3,736</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23,013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net..................................................</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1,684</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(1,241)</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Income before income taxes..................................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98,148</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37,019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Income taxes................................................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29,444</w:t>
            </w:r>
          </w:p>
        </w:tc>
        <w:tc>
          <w:tcPr>
            <w:tcW w:w="26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18,510</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income..................................................</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$ 68,704</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$ 18,509</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Basic earnings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0.13</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Diluted earnings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0.13</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48" w:right="3439" w:hanging="348"/>
        <w:spacing w:after="0"/>
        <w:tabs>
          <w:tab w:leader="none" w:pos="34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following income (expense) resulting from transactions with related parties for the nine months ended June 30, 1999 and 1998,</w:t>
      </w:r>
    </w:p>
    <w:p>
      <w:pPr>
        <w:spacing w:after="0" w:line="4" w:lineRule="exact"/>
        <w:rPr>
          <w:sz w:val="20"/>
          <w:szCs w:val="20"/>
          <w:color w:val="auto"/>
        </w:rPr>
      </w:pPr>
    </w:p>
    <w:p>
      <w:pPr>
        <w:ind w:left="348" w:right="3079"/>
        <w:spacing w:after="0" w:line="267" w:lineRule="auto"/>
        <w:rPr>
          <w:sz w:val="20"/>
          <w:szCs w:val="20"/>
          <w:color w:val="auto"/>
        </w:rPr>
      </w:pPr>
      <w:r>
        <w:rPr>
          <w:rFonts w:ascii="Courier New" w:cs="Courier New" w:eastAsia="Courier New" w:hAnsi="Courier New"/>
          <w:sz w:val="14"/>
          <w:szCs w:val="14"/>
          <w:color w:val="auto"/>
        </w:rPr>
        <w:t>respectively: license revenue -- $418 and $2,290; service revenue -- $68,422 and $62,680; cost of service -- $(2,044) and $(2,036); selling, general and administrative -- $(428) and $(304); interest expense -- $(0) and $(4,150).</w:t>
      </w:r>
    </w:p>
    <w:p>
      <w:pPr>
        <w:spacing w:after="0" w:line="157"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27"/>
          </w:cols>
          <w:pgMar w:left="232" w:top="289"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99</w:t>
      </w:r>
    </w:p>
    <w:p>
      <w:pPr>
        <w:spacing w:after="0" w:line="174"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CONSOLIDATED STATEMENT OF CHANGES</w:t>
      </w:r>
    </w:p>
    <w:p>
      <w:pPr>
        <w:spacing w:after="0" w:line="2"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IN SHAREHOLDERS' EQUITY (DEFICIT) (UNAUDITED)</w:t>
      </w:r>
    </w:p>
    <w:p>
      <w:pPr>
        <w:spacing w:after="0" w:line="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UNREALIZED</w:t>
            </w: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INCOME</w:t>
            </w: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3560" w:type="dxa"/>
            <w:vAlign w:val="bottom"/>
          </w:tcPr>
          <w:p>
            <w:pPr>
              <w:spacing w:after="0"/>
              <w:rPr>
                <w:sz w:val="14"/>
                <w:szCs w:val="14"/>
                <w:color w:val="auto"/>
              </w:rPr>
            </w:pPr>
          </w:p>
        </w:tc>
        <w:tc>
          <w:tcPr>
            <w:tcW w:w="16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ORDINARY SHARES</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ADDITIONAL</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(LOSS) ON</w:t>
            </w: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SHAREHOLDERS'</w:t>
            </w:r>
          </w:p>
        </w:tc>
      </w:tr>
      <w:tr>
        <w:trPr>
          <w:trHeight w:val="172"/>
        </w:trPr>
        <w:tc>
          <w:tcPr>
            <w:tcW w:w="3560" w:type="dxa"/>
            <w:vAlign w:val="bottom"/>
          </w:tcPr>
          <w:p>
            <w:pPr>
              <w:spacing w:after="0"/>
              <w:rPr>
                <w:sz w:val="14"/>
                <w:szCs w:val="14"/>
                <w:color w:val="auto"/>
              </w:rPr>
            </w:pPr>
          </w:p>
        </w:tc>
        <w:tc>
          <w:tcPr>
            <w:tcW w:w="16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PAID-IN</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DERIVATIVE</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UNEARNED</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ACCUMULATED</w:t>
            </w:r>
          </w:p>
        </w:tc>
        <w:tc>
          <w:tcPr>
            <w:tcW w:w="1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EQUITY</w:t>
            </w:r>
          </w:p>
        </w:tc>
      </w:tr>
      <w:tr>
        <w:trPr>
          <w:trHeight w:val="172"/>
        </w:trPr>
        <w:tc>
          <w:tcPr>
            <w:tcW w:w="356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SHARES</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AMOUNT</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CAPITAL</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INSTRUMENTS</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COMPENSATION</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DEFICIT</w:t>
            </w:r>
          </w:p>
        </w:tc>
        <w:tc>
          <w:tcPr>
            <w:tcW w:w="12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(DEFICIT)</w:t>
            </w:r>
          </w:p>
        </w:tc>
      </w:tr>
      <w:tr>
        <w:trPr>
          <w:trHeight w:val="172"/>
        </w:trPr>
        <w:tc>
          <w:tcPr>
            <w:tcW w:w="356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3560" w:type="dxa"/>
            <w:vAlign w:val="bottom"/>
          </w:tcPr>
          <w:p>
            <w:pPr>
              <w:spacing w:after="0"/>
              <w:rPr>
                <w:sz w:val="20"/>
                <w:szCs w:val="20"/>
                <w:color w:val="auto"/>
              </w:rPr>
            </w:pPr>
            <w:r>
              <w:rPr>
                <w:rFonts w:ascii="Courier New" w:cs="Courier New" w:eastAsia="Courier New" w:hAnsi="Courier New"/>
                <w:sz w:val="15"/>
                <w:szCs w:val="15"/>
                <w:color w:val="auto"/>
              </w:rPr>
              <w:t>Balance at September 30, 1998..........</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196,800</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$3,149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$447,503</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$(1,495)</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(8,947)</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$(462,099)</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(21,889)</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68,704</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68,704</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Issuance of Ordinary Shares, net.......</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2,000</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41,352</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41,384</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Unrealized income on derivative</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instruments, net of $1,737 tax.......</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4,053</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4,053</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Stock options granted, net of</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forfeitures..........................</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218</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(163)</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55</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Amortization of unearned compensation..</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3,965</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3,965</w:t>
            </w:r>
          </w:p>
        </w:tc>
      </w:tr>
      <w:tr>
        <w:trPr>
          <w:trHeight w:val="172"/>
        </w:trPr>
        <w:tc>
          <w:tcPr>
            <w:tcW w:w="356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Balance at June 30, 1999 (unaudited)...</w:t>
            </w: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198,800</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$3,181</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$489,073</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$ 2,558</w:t>
            </w:r>
          </w:p>
        </w:tc>
        <w:tc>
          <w:tcPr>
            <w:tcW w:w="13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(5,145)</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$(393,395)</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96,272</w:t>
            </w:r>
          </w:p>
        </w:tc>
      </w:tr>
      <w:tr>
        <w:trPr>
          <w:trHeight w:val="172"/>
        </w:trPr>
        <w:tc>
          <w:tcPr>
            <w:tcW w:w="356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1520"/>
          </w:cols>
          <w:pgMar w:left="240" w:top="289" w:right="139"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100</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CONSOLIDATED STATEMENTS OF CASH FLOWS (UNAUDITED)</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3"/>
          </w:tcPr>
          <w:p>
            <w:pPr>
              <w:jc w:val="right"/>
              <w:ind w:right="385"/>
              <w:spacing w:after="0"/>
              <w:rPr>
                <w:sz w:val="20"/>
                <w:szCs w:val="20"/>
                <w:color w:val="auto"/>
              </w:rPr>
            </w:pPr>
            <w:r>
              <w:rPr>
                <w:rFonts w:ascii="Courier New" w:cs="Courier New" w:eastAsia="Courier New" w:hAnsi="Courier New"/>
                <w:sz w:val="15"/>
                <w:szCs w:val="15"/>
                <w:color w:val="auto"/>
              </w:rPr>
              <w:t>NINE MONTHS ENDED</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JUNE 30,</w:t>
            </w:r>
          </w:p>
        </w:tc>
        <w:tc>
          <w:tcPr>
            <w:tcW w:w="82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234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1999</w:t>
            </w:r>
          </w:p>
        </w:tc>
        <w:tc>
          <w:tcPr>
            <w:tcW w:w="30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68,704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18,509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 by</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tcPr>
          <w:p>
            <w:pPr>
              <w:jc w:val="right"/>
              <w:ind w:right="3325"/>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13,763</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8,659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8,211</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12,916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sale of equipment.................................</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518</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1,368</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(1,750)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(64,143)</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(19,656)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(8,848)</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(594)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noncurrent assets...................................</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(6,827)</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(2,834)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20,357</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17,241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Forward exchange contracts................................</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(3,153)</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63,503</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16,072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 payable......................................</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(2,146)</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(1,464)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noncurrent liabilities..............................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5,704</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4,170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Unrealized loss on derivative instruments.................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5,789</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10,236</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12,935</w:t>
            </w:r>
          </w:p>
        </w:tc>
      </w:tr>
      <w:tr>
        <w:trPr>
          <w:trHeight w:val="172"/>
        </w:trPr>
        <w:tc>
          <w:tcPr>
            <w:tcW w:w="5440" w:type="dxa"/>
            <w:vAlign w:val="bottom"/>
          </w:tcPr>
          <w:p>
            <w:pPr>
              <w:spacing w:after="0"/>
              <w:rPr>
                <w:sz w:val="14"/>
                <w:szCs w:val="14"/>
                <w:color w:val="auto"/>
              </w:rPr>
            </w:pP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provided by operating activities...................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102,800</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51,368</w:t>
            </w:r>
          </w:p>
        </w:tc>
      </w:tr>
      <w:tr>
        <w:trPr>
          <w:trHeight w:val="172"/>
        </w:trPr>
        <w:tc>
          <w:tcPr>
            <w:tcW w:w="5440" w:type="dxa"/>
            <w:vAlign w:val="bottom"/>
          </w:tcPr>
          <w:p>
            <w:pPr>
              <w:spacing w:after="0"/>
              <w:rPr>
                <w:sz w:val="14"/>
                <w:szCs w:val="14"/>
                <w:color w:val="auto"/>
              </w:rPr>
            </w:pP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 leasehold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improvements..............................................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1,212</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721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 and leasehold</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improvements and other....................................</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(32,913)</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(18,232)</w:t>
            </w:r>
          </w:p>
        </w:tc>
      </w:tr>
      <w:tr>
        <w:trPr>
          <w:trHeight w:val="172"/>
        </w:trPr>
        <w:tc>
          <w:tcPr>
            <w:tcW w:w="5440" w:type="dxa"/>
            <w:vAlign w:val="bottom"/>
          </w:tcPr>
          <w:p>
            <w:pPr>
              <w:spacing w:after="0"/>
              <w:rPr>
                <w:sz w:val="14"/>
                <w:szCs w:val="14"/>
                <w:color w:val="auto"/>
              </w:rPr>
            </w:pP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used in investing activities.......................</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(31,701)</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(17,511)</w:t>
            </w:r>
          </w:p>
        </w:tc>
      </w:tr>
      <w:tr>
        <w:trPr>
          <w:trHeight w:val="172"/>
        </w:trPr>
        <w:tc>
          <w:tcPr>
            <w:tcW w:w="5440" w:type="dxa"/>
            <w:vAlign w:val="bottom"/>
          </w:tcPr>
          <w:p>
            <w:pPr>
              <w:spacing w:after="0"/>
              <w:rPr>
                <w:sz w:val="14"/>
                <w:szCs w:val="14"/>
                <w:color w:val="auto"/>
              </w:rPr>
            </w:pP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proceeds from issuance of Ordinary Shares...............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42,535</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332,223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Dividends paid..............................................</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(478,684)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Payments under short-term financing arrangements............</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(293,012)</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(208,449)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Borrowings under short-term financing arrangements..........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228,008</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223,921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Payments under long-term financing arrangements.............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(267,763)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proceeds from issuance of long-term debt................</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357,877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Payments on notes payable to related parties................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(3,268)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Principal payments under capital lease obligations..........</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(2,941)</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(1,753)</w:t>
            </w:r>
          </w:p>
        </w:tc>
      </w:tr>
      <w:tr>
        <w:trPr>
          <w:trHeight w:val="172"/>
        </w:trPr>
        <w:tc>
          <w:tcPr>
            <w:tcW w:w="5440" w:type="dxa"/>
            <w:vAlign w:val="bottom"/>
          </w:tcPr>
          <w:p>
            <w:pPr>
              <w:spacing w:after="0"/>
              <w:rPr>
                <w:sz w:val="14"/>
                <w:szCs w:val="14"/>
                <w:color w:val="auto"/>
              </w:rPr>
            </w:pP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used in financing activities.......................</w:t>
            </w:r>
          </w:p>
        </w:tc>
        <w:tc>
          <w:tcPr>
            <w:tcW w:w="18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(25,410)</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(45,896)</w:t>
            </w:r>
          </w:p>
        </w:tc>
      </w:tr>
      <w:tr>
        <w:trPr>
          <w:trHeight w:val="172"/>
        </w:trPr>
        <w:tc>
          <w:tcPr>
            <w:tcW w:w="5440" w:type="dxa"/>
            <w:vAlign w:val="bottom"/>
          </w:tcPr>
          <w:p>
            <w:pPr>
              <w:spacing w:after="0"/>
              <w:rPr>
                <w:sz w:val="14"/>
                <w:szCs w:val="14"/>
                <w:color w:val="auto"/>
              </w:rPr>
            </w:pP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increase (decrease) in cash and cash equivalents........</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45,689</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(12,039)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beginning of period............</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25,389</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53,732</w:t>
            </w:r>
          </w:p>
        </w:tc>
      </w:tr>
      <w:tr>
        <w:trPr>
          <w:trHeight w:val="172"/>
        </w:trPr>
        <w:tc>
          <w:tcPr>
            <w:tcW w:w="5440" w:type="dxa"/>
            <w:vAlign w:val="bottom"/>
          </w:tcPr>
          <w:p>
            <w:pPr>
              <w:spacing w:after="0"/>
              <w:rPr>
                <w:sz w:val="14"/>
                <w:szCs w:val="14"/>
                <w:color w:val="auto"/>
              </w:rPr>
            </w:pP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end of period..................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71,078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41,693</w:t>
            </w:r>
          </w:p>
        </w:tc>
      </w:tr>
      <w:tr>
        <w:trPr>
          <w:trHeight w:val="172"/>
        </w:trPr>
        <w:tc>
          <w:tcPr>
            <w:tcW w:w="5440" w:type="dxa"/>
            <w:vAlign w:val="bottom"/>
          </w:tcPr>
          <w:p>
            <w:pPr>
              <w:spacing w:after="0"/>
              <w:rPr>
                <w:sz w:val="14"/>
                <w:szCs w:val="14"/>
                <w:color w:val="auto"/>
              </w:rPr>
            </w:pPr>
          </w:p>
        </w:tc>
        <w:tc>
          <w:tcPr>
            <w:tcW w:w="12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Supplementary cash flow information Cash paid for:</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 net of refunds..............................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26,710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21,857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4,582</w:t>
            </w:r>
          </w:p>
        </w:tc>
        <w:tc>
          <w:tcPr>
            <w:tcW w:w="30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20,891</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NONCASH INVESTING AND FINANCING ACTIVITIES</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Capital lease obligations of $7,881 and $2,106 were incurred during the nine months ended June 30, 1999 and 1998, respectively, when the Company entered into lease agreements for the purchase of fixed assets.</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As of June 30, 1999 and 1998, the Company incurred stock issuance costs of $1,150 and $1,586 respectively, which had not been paid as of that date.</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19"/>
          </w:cols>
          <w:pgMar w:left="240" w:top="289" w:right="1440" w:bottom="1440" w:gutter="0" w:footer="0" w:header="0"/>
        </w:sectPr>
      </w:pPr>
    </w:p>
    <w:bookmarkStart w:id="100" w:name="page101"/>
    <w:bookmarkEnd w:id="100"/>
    <w:p>
      <w:pPr>
        <w:ind w:left="268"/>
        <w:spacing w:after="0"/>
        <w:rPr>
          <w:sz w:val="20"/>
          <w:szCs w:val="20"/>
          <w:color w:val="auto"/>
        </w:rPr>
      </w:pPr>
      <w:r>
        <w:rPr>
          <w:rFonts w:ascii="Courier New" w:cs="Courier New" w:eastAsia="Courier New" w:hAnsi="Courier New"/>
          <w:sz w:val="15"/>
          <w:szCs w:val="15"/>
          <w:color w:val="auto"/>
        </w:rPr>
        <w:t>101</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2"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JUNE 30, 1999</w:t>
      </w:r>
    </w:p>
    <w:p>
      <w:pPr>
        <w:spacing w:after="0" w:line="174" w:lineRule="exact"/>
        <w:rPr>
          <w:sz w:val="20"/>
          <w:szCs w:val="20"/>
          <w:color w:val="auto"/>
        </w:rPr>
      </w:pPr>
    </w:p>
    <w:p>
      <w:pPr>
        <w:ind w:left="348" w:hanging="348"/>
        <w:spacing w:after="0"/>
        <w:tabs>
          <w:tab w:leader="none" w:pos="34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AMDOCS Limited (the "Company") is a leading provider of product-driven information system solutions to the telecommunications industry. The Company and its subsidiaries operate in one business segment, providing computer systems integration and related services for the telecommunications industry. The Company designs, develops, markets and supports computer software products and related services to telecommunications companies throughout the world.</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The unaudited consolidated financial statements of the Company have been prepared in accordance with accounting principles generally accepted in the United States. In the opinion of management, all adjustments considered necessary for a fair presentation of the unaudited interim consolidated financial statements have been included therein and are of a normal recurring nature. The results of operations for the interim periods presented herein are not necessarily indicative of the results to be expected for the full year. These statements, however, do not include all information and footnotes necessary for a complete presentation of financial position, results of operations and cash flows in conformity with generally accepted accounting principles. These statements should be read in conjunction with the Company's consolidated financial statements for the year ended September 30, 1998.</w:t>
      </w:r>
    </w:p>
    <w:p>
      <w:pPr>
        <w:spacing w:after="0" w:line="178" w:lineRule="exact"/>
        <w:rPr>
          <w:sz w:val="20"/>
          <w:szCs w:val="20"/>
          <w:color w:val="auto"/>
        </w:rPr>
      </w:pPr>
    </w:p>
    <w:p>
      <w:pPr>
        <w:ind w:left="348" w:hanging="348"/>
        <w:spacing w:after="0"/>
        <w:tabs>
          <w:tab w:leader="none" w:pos="34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ADOPTION OF NEW ACCOUNTING STANDARDS</w:t>
      </w:r>
    </w:p>
    <w:p>
      <w:pPr>
        <w:spacing w:after="0" w:line="176" w:lineRule="exact"/>
        <w:rPr>
          <w:sz w:val="20"/>
          <w:szCs w:val="20"/>
          <w:color w:val="auto"/>
        </w:rPr>
      </w:pPr>
    </w:p>
    <w:p>
      <w:pPr>
        <w:ind w:left="8" w:right="3079" w:firstLine="447"/>
        <w:spacing w:after="0" w:line="262" w:lineRule="auto"/>
        <w:rPr>
          <w:sz w:val="20"/>
          <w:szCs w:val="20"/>
          <w:color w:val="auto"/>
        </w:rPr>
      </w:pPr>
      <w:r>
        <w:rPr>
          <w:rFonts w:ascii="Courier New" w:cs="Courier New" w:eastAsia="Courier New" w:hAnsi="Courier New"/>
          <w:sz w:val="14"/>
          <w:szCs w:val="14"/>
          <w:color w:val="auto"/>
        </w:rPr>
        <w:t>Effective October 1, 1998, the Company adopted the provisions of Statement of Position (SOP) 98-1, "Accounting for the Costs of Computer Software Developed for or Obtained for Internal-Use". The SOP requires the capitalization of certain costs incurred after the date of adoption in connection with developing or obtaining software for internal use. In accordance with the SOP, the Company capitalized approximately $1,700 of internally developed software costs in the nine-month period ended June 30, 1999.</w:t>
      </w:r>
    </w:p>
    <w:p>
      <w:pPr>
        <w:spacing w:after="0" w:line="162" w:lineRule="exact"/>
        <w:rPr>
          <w:sz w:val="20"/>
          <w:szCs w:val="20"/>
          <w:color w:val="auto"/>
        </w:rPr>
      </w:pPr>
    </w:p>
    <w:p>
      <w:pPr>
        <w:ind w:left="348" w:hanging="348"/>
        <w:spacing w:after="0"/>
        <w:tabs>
          <w:tab w:leader="none" w:pos="34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Effective October 1, 1998, the Company adopted the provisions of Statement of Financial Accounting Standards No. 130, "Reporting Comprehensive Income" (Statement 130), which established standards for the reporting and display of comprehensive income and its components. 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77" w:lineRule="exact"/>
        <w:rPr>
          <w:sz w:val="20"/>
          <w:szCs w:val="20"/>
          <w:color w:val="auto"/>
        </w:rPr>
      </w:pPr>
    </w:p>
    <w:p>
      <w:pPr>
        <w:ind w:left="8" w:right="3699" w:firstLine="447"/>
        <w:spacing w:after="0"/>
        <w:rPr>
          <w:sz w:val="20"/>
          <w:szCs w:val="20"/>
          <w:color w:val="auto"/>
        </w:rPr>
      </w:pPr>
      <w:r>
        <w:rPr>
          <w:rFonts w:ascii="Courier New" w:cs="Courier New" w:eastAsia="Courier New" w:hAnsi="Courier New"/>
          <w:sz w:val="15"/>
          <w:szCs w:val="15"/>
          <w:color w:val="auto"/>
        </w:rPr>
        <w:t>The following table sets forth the reconciliation from net income to comprehensive income:</w:t>
      </w:r>
    </w:p>
    <w:p>
      <w:pPr>
        <w:spacing w:after="0" w:line="200" w:lineRule="exact"/>
        <w:rPr>
          <w:sz w:val="20"/>
          <w:szCs w:val="20"/>
          <w:color w:val="auto"/>
        </w:rPr>
      </w:pPr>
    </w:p>
    <w:p>
      <w:pPr>
        <w:spacing w:after="0" w:line="318" w:lineRule="exact"/>
        <w:rPr>
          <w:sz w:val="20"/>
          <w:szCs w:val="20"/>
          <w:color w:val="auto"/>
        </w:rPr>
      </w:pPr>
    </w:p>
    <w:p>
      <w:pPr>
        <w:ind w:left="5728"/>
        <w:spacing w:after="0"/>
        <w:rPr>
          <w:sz w:val="20"/>
          <w:szCs w:val="20"/>
          <w:color w:val="auto"/>
        </w:rPr>
      </w:pPr>
      <w:r>
        <w:rPr>
          <w:rFonts w:ascii="Courier New" w:cs="Courier New" w:eastAsia="Courier New" w:hAnsi="Courier New"/>
          <w:sz w:val="15"/>
          <w:szCs w:val="15"/>
          <w:color w:val="auto"/>
        </w:rPr>
        <w:t>NINE MONTHS ENDED</w:t>
      </w:r>
    </w:p>
    <w:p>
      <w:pPr>
        <w:spacing w:after="0" w:line="2" w:lineRule="exact"/>
        <w:rPr>
          <w:sz w:val="20"/>
          <w:szCs w:val="20"/>
          <w:color w:val="auto"/>
        </w:rPr>
      </w:pPr>
    </w:p>
    <w:p>
      <w:pPr>
        <w:ind w:left="6168"/>
        <w:spacing w:after="0"/>
        <w:rPr>
          <w:sz w:val="20"/>
          <w:szCs w:val="20"/>
          <w:color w:val="auto"/>
        </w:rPr>
      </w:pPr>
      <w:r>
        <w:rPr>
          <w:rFonts w:ascii="Courier New" w:cs="Courier New" w:eastAsia="Courier New" w:hAnsi="Courier New"/>
          <w:sz w:val="15"/>
          <w:szCs w:val="15"/>
          <w:color w:val="auto"/>
        </w:rPr>
        <w:t>JUNE 30,</w:t>
      </w:r>
    </w:p>
    <w:p>
      <w:pPr>
        <w:spacing w:after="0" w:line="4" w:lineRule="exact"/>
        <w:rPr>
          <w:sz w:val="20"/>
          <w:szCs w:val="20"/>
          <w:color w:val="auto"/>
        </w:rPr>
      </w:pPr>
    </w:p>
    <w:p>
      <w:pPr>
        <w:ind w:left="572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5808"/>
        <w:spacing w:after="0"/>
        <w:tabs>
          <w:tab w:leader="none" w:pos="6768"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2" w:lineRule="exact"/>
        <w:rPr>
          <w:sz w:val="20"/>
          <w:szCs w:val="20"/>
          <w:color w:val="auto"/>
        </w:rPr>
      </w:pPr>
    </w:p>
    <w:p>
      <w:pPr>
        <w:ind w:left="5808"/>
        <w:spacing w:after="0"/>
        <w:tabs>
          <w:tab w:leader="none" w:pos="676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27"/>
          </w:cols>
          <w:pgMar w:left="232" w:top="289" w:right="1440" w:bottom="1440" w:gutter="0" w:footer="0" w:header="0"/>
        </w:sectPr>
      </w:pP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Net income..................................................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$68,704</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$18,509</w:t>
      </w:r>
    </w:p>
    <w:p>
      <w:pPr>
        <w:spacing w:after="0" w:line="13" w:lineRule="exact"/>
        <w:rPr>
          <w:sz w:val="20"/>
          <w:szCs w:val="20"/>
          <w:color w:val="auto"/>
        </w:rPr>
      </w:pPr>
    </w:p>
    <w:p>
      <w:pPr>
        <w:sectPr>
          <w:pgSz w:w="11900" w:h="16838" w:orient="portrait"/>
          <w:cols w:equalWidth="0" w:num="3">
            <w:col w:w="5368" w:space="360"/>
            <w:col w:w="620" w:space="360"/>
            <w:col w:w="3519"/>
          </w:cols>
          <w:pgMar w:left="232" w:top="289" w:right="1440" w:bottom="144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Change in unrealized income on derivative instruments, net</w:t>
      </w:r>
    </w:p>
    <w:p>
      <w:pPr>
        <w:sectPr>
          <w:pgSz w:w="11900" w:h="16838" w:orient="portrait"/>
          <w:cols w:equalWidth="0" w:num="1">
            <w:col w:w="10227"/>
          </w:cols>
          <w:pgMar w:left="232" w:top="289" w:right="1440" w:bottom="1440" w:gutter="0" w:footer="0" w:header="0"/>
          <w:type w:val="continuous"/>
        </w:sectPr>
      </w:pPr>
    </w:p>
    <w:p>
      <w:pPr>
        <w:spacing w:after="0" w:line="13" w:lineRule="exact"/>
        <w:rPr>
          <w:sz w:val="20"/>
          <w:szCs w:val="20"/>
          <w:color w:val="auto"/>
        </w:rPr>
      </w:pPr>
    </w:p>
    <w:p>
      <w:pPr>
        <w:ind w:left="188"/>
        <w:spacing w:after="0"/>
        <w:rPr>
          <w:sz w:val="20"/>
          <w:szCs w:val="20"/>
          <w:color w:val="auto"/>
        </w:rPr>
      </w:pPr>
      <w:r>
        <w:rPr>
          <w:rFonts w:ascii="Courier New" w:cs="Courier New" w:eastAsia="Courier New" w:hAnsi="Courier New"/>
          <w:sz w:val="14"/>
          <w:szCs w:val="14"/>
          <w:color w:val="auto"/>
        </w:rPr>
        <w:t>of tax....................................................</w:t>
      </w:r>
    </w:p>
    <w:p>
      <w:pPr>
        <w:spacing w:after="0" w:line="18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Comprehensive income........................................</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4,053</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$72,757</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$18,509</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5368" w:space="360"/>
            <w:col w:w="620" w:space="360"/>
            <w:col w:w="3519"/>
          </w:cols>
          <w:pgMar w:left="232" w:top="289" w:right="1440" w:bottom="1440" w:gutter="0" w:footer="0" w:header="0"/>
          <w:type w:val="continuous"/>
        </w:sectPr>
      </w:pPr>
    </w:p>
    <w:p>
      <w:pPr>
        <w:spacing w:after="0" w:line="157" w:lineRule="exact"/>
        <w:rPr>
          <w:sz w:val="20"/>
          <w:szCs w:val="20"/>
          <w:color w:val="auto"/>
        </w:rPr>
      </w:pPr>
    </w:p>
    <w:p>
      <w:pPr>
        <w:ind w:left="3408"/>
        <w:spacing w:after="0"/>
        <w:rPr>
          <w:sz w:val="20"/>
          <w:szCs w:val="20"/>
          <w:color w:val="auto"/>
        </w:rPr>
      </w:pPr>
      <w:r>
        <w:rPr>
          <w:rFonts w:ascii="Courier New" w:cs="Courier New" w:eastAsia="Courier New" w:hAnsi="Courier New"/>
          <w:sz w:val="14"/>
          <w:szCs w:val="14"/>
          <w:color w:val="auto"/>
        </w:rPr>
        <w:t>F-28</w:t>
      </w:r>
    </w:p>
    <w:p>
      <w:pPr>
        <w:sectPr>
          <w:pgSz w:w="11900" w:h="16838" w:orient="portrait"/>
          <w:cols w:equalWidth="0" w:num="1">
            <w:col w:w="10227"/>
          </w:cols>
          <w:pgMar w:left="232" w:top="289" w:right="1440" w:bottom="1440" w:gutter="0" w:footer="0" w:header="0"/>
          <w:type w:val="continuous"/>
        </w:sectPr>
      </w:pPr>
    </w:p>
    <w:bookmarkStart w:id="101" w:name="page102"/>
    <w:bookmarkEnd w:id="101"/>
    <w:p>
      <w:pPr>
        <w:ind w:left="268"/>
        <w:spacing w:after="0"/>
        <w:rPr>
          <w:sz w:val="20"/>
          <w:szCs w:val="20"/>
          <w:color w:val="auto"/>
        </w:rPr>
      </w:pPr>
      <w:r>
        <w:rPr>
          <w:rFonts w:ascii="Courier New" w:cs="Courier New" w:eastAsia="Courier New" w:hAnsi="Courier New"/>
          <w:sz w:val="15"/>
          <w:szCs w:val="15"/>
          <w:color w:val="auto"/>
        </w:rPr>
        <w:t>102</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74" w:lineRule="exact"/>
        <w:rPr>
          <w:sz w:val="20"/>
          <w:szCs w:val="20"/>
          <w:color w:val="auto"/>
        </w:rPr>
      </w:pPr>
    </w:p>
    <w:p>
      <w:pPr>
        <w:ind w:left="348" w:hanging="348"/>
        <w:spacing w:after="0"/>
        <w:tabs>
          <w:tab w:leader="none" w:pos="34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left="8" w:right="3339" w:firstLine="447"/>
        <w:spacing w:after="0"/>
        <w:rPr>
          <w:sz w:val="20"/>
          <w:szCs w:val="20"/>
          <w:color w:val="auto"/>
        </w:rPr>
      </w:pPr>
      <w:r>
        <w:rPr>
          <w:rFonts w:ascii="Courier New" w:cs="Courier New" w:eastAsia="Courier New" w:hAnsi="Courier New"/>
          <w:sz w:val="15"/>
          <w:szCs w:val="15"/>
          <w:color w:val="auto"/>
        </w:rPr>
        <w:t>The provision for income taxes for the following periods consists of the following:</w:t>
      </w:r>
    </w:p>
    <w:p>
      <w:pPr>
        <w:spacing w:after="0" w:line="200" w:lineRule="exact"/>
        <w:rPr>
          <w:sz w:val="20"/>
          <w:szCs w:val="20"/>
          <w:color w:val="auto"/>
        </w:rPr>
      </w:pPr>
    </w:p>
    <w:p>
      <w:pPr>
        <w:spacing w:after="0" w:line="318" w:lineRule="exact"/>
        <w:rPr>
          <w:sz w:val="20"/>
          <w:szCs w:val="20"/>
          <w:color w:val="auto"/>
        </w:rPr>
      </w:pPr>
    </w:p>
    <w:p>
      <w:pPr>
        <w:jc w:val="right"/>
        <w:ind w:right="2979"/>
        <w:spacing w:after="0"/>
        <w:rPr>
          <w:sz w:val="20"/>
          <w:szCs w:val="20"/>
          <w:color w:val="auto"/>
        </w:rPr>
      </w:pPr>
      <w:r>
        <w:rPr>
          <w:rFonts w:ascii="Courier New" w:cs="Courier New" w:eastAsia="Courier New" w:hAnsi="Courier New"/>
          <w:sz w:val="15"/>
          <w:szCs w:val="15"/>
          <w:color w:val="auto"/>
        </w:rPr>
        <w:t>NINE MONTHS ENDED</w:t>
      </w:r>
    </w:p>
    <w:p>
      <w:pPr>
        <w:spacing w:after="0" w:line="2" w:lineRule="exact"/>
        <w:rPr>
          <w:sz w:val="20"/>
          <w:szCs w:val="20"/>
          <w:color w:val="auto"/>
        </w:rPr>
      </w:pPr>
    </w:p>
    <w:p>
      <w:pPr>
        <w:ind w:left="6168"/>
        <w:spacing w:after="0"/>
        <w:rPr>
          <w:sz w:val="20"/>
          <w:szCs w:val="20"/>
          <w:color w:val="auto"/>
        </w:rPr>
      </w:pPr>
      <w:r>
        <w:rPr>
          <w:rFonts w:ascii="Courier New" w:cs="Courier New" w:eastAsia="Courier New" w:hAnsi="Courier New"/>
          <w:sz w:val="15"/>
          <w:szCs w:val="15"/>
          <w:color w:val="auto"/>
        </w:rPr>
        <w:t>JUNE 30,</w:t>
      </w:r>
    </w:p>
    <w:p>
      <w:pPr>
        <w:spacing w:after="0" w:line="2" w:lineRule="exact"/>
        <w:rPr>
          <w:sz w:val="20"/>
          <w:szCs w:val="20"/>
          <w:color w:val="auto"/>
        </w:rPr>
      </w:pPr>
    </w:p>
    <w:p>
      <w:pPr>
        <w:ind w:left="572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both"/>
        <w:ind w:left="5808"/>
        <w:spacing w:after="0"/>
        <w:tabs>
          <w:tab w:leader="none" w:pos="6768" w:val="left"/>
        </w:tabs>
        <w:rPr>
          <w:sz w:val="20"/>
          <w:szCs w:val="20"/>
          <w:color w:val="auto"/>
        </w:rPr>
      </w:pPr>
      <w:r>
        <w:rPr>
          <w:rFonts w:ascii="Courier New" w:cs="Courier New" w:eastAsia="Courier New" w:hAnsi="Courier New"/>
          <w:sz w:val="15"/>
          <w:szCs w:val="15"/>
          <w:color w:val="auto"/>
        </w:rPr>
        <w:t>1999</w:t>
      </w:r>
      <w:r>
        <w:rPr>
          <w:sz w:val="20"/>
          <w:szCs w:val="20"/>
          <w:color w:val="auto"/>
        </w:rPr>
        <w:tab/>
      </w:r>
      <w:r>
        <w:rPr>
          <w:rFonts w:ascii="Courier New" w:cs="Courier New" w:eastAsia="Courier New" w:hAnsi="Courier New"/>
          <w:sz w:val="15"/>
          <w:szCs w:val="15"/>
          <w:color w:val="auto"/>
        </w:rPr>
        <w:t>1998</w:t>
      </w:r>
    </w:p>
    <w:p>
      <w:pPr>
        <w:spacing w:after="0" w:line="2" w:lineRule="exact"/>
        <w:rPr>
          <w:sz w:val="20"/>
          <w:szCs w:val="20"/>
          <w:color w:val="auto"/>
        </w:rPr>
      </w:pPr>
    </w:p>
    <w:p>
      <w:pPr>
        <w:ind w:left="5808"/>
        <w:spacing w:after="0"/>
        <w:tabs>
          <w:tab w:leader="none" w:pos="676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0"/>
          <w:szCs w:val="20"/>
          <w:color w:val="auto"/>
        </w:rPr>
      </w:pPr>
    </w:p>
    <w:p>
      <w:pPr>
        <w:ind w:left="8"/>
        <w:spacing w:after="0"/>
        <w:tabs>
          <w:tab w:leader="none" w:pos="5708" w:val="left"/>
          <w:tab w:leader="none" w:pos="6688" w:val="left"/>
        </w:tabs>
        <w:rPr>
          <w:sz w:val="20"/>
          <w:szCs w:val="20"/>
          <w:color w:val="auto"/>
        </w:rPr>
      </w:pPr>
      <w:r>
        <w:rPr>
          <w:rFonts w:ascii="Courier New" w:cs="Courier New" w:eastAsia="Courier New" w:hAnsi="Courier New"/>
          <w:sz w:val="15"/>
          <w:szCs w:val="15"/>
          <w:color w:val="auto"/>
        </w:rPr>
        <w:t>Current.....................................................</w:t>
      </w:r>
      <w:r>
        <w:rPr>
          <w:sz w:val="20"/>
          <w:szCs w:val="20"/>
          <w:color w:val="auto"/>
        </w:rPr>
        <w:tab/>
      </w:r>
      <w:r>
        <w:rPr>
          <w:rFonts w:ascii="Courier New" w:cs="Courier New" w:eastAsia="Courier New" w:hAnsi="Courier New"/>
          <w:sz w:val="15"/>
          <w:szCs w:val="15"/>
          <w:color w:val="auto"/>
        </w:rPr>
        <w:t>$28,076</w:t>
      </w:r>
      <w:r>
        <w:rPr>
          <w:sz w:val="20"/>
          <w:szCs w:val="20"/>
          <w:color w:val="auto"/>
        </w:rPr>
        <w:tab/>
      </w:r>
      <w:r>
        <w:rPr>
          <w:rFonts w:ascii="Courier New" w:cs="Courier New" w:eastAsia="Courier New" w:hAnsi="Courier New"/>
          <w:sz w:val="14"/>
          <w:szCs w:val="14"/>
          <w:color w:val="auto"/>
        </w:rPr>
        <w:t>$20,260</w:t>
      </w:r>
    </w:p>
    <w:p>
      <w:pPr>
        <w:spacing w:after="0" w:line="2" w:lineRule="exact"/>
        <w:rPr>
          <w:sz w:val="20"/>
          <w:szCs w:val="20"/>
          <w:color w:val="auto"/>
        </w:rPr>
      </w:pPr>
    </w:p>
    <w:p>
      <w:pPr>
        <w:ind w:left="8"/>
        <w:spacing w:after="0"/>
        <w:tabs>
          <w:tab w:leader="none" w:pos="5888" w:val="left"/>
          <w:tab w:leader="none" w:pos="6768" w:val="left"/>
        </w:tabs>
        <w:rPr>
          <w:sz w:val="20"/>
          <w:szCs w:val="20"/>
          <w:color w:val="auto"/>
        </w:rPr>
      </w:pPr>
      <w:r>
        <w:rPr>
          <w:rFonts w:ascii="Courier New" w:cs="Courier New" w:eastAsia="Courier New" w:hAnsi="Courier New"/>
          <w:sz w:val="15"/>
          <w:szCs w:val="15"/>
          <w:color w:val="auto"/>
        </w:rPr>
        <w:t>Deferred....................................................</w:t>
      </w:r>
      <w:r>
        <w:rPr>
          <w:sz w:val="20"/>
          <w:szCs w:val="20"/>
          <w:color w:val="auto"/>
        </w:rPr>
        <w:tab/>
      </w:r>
      <w:r>
        <w:rPr>
          <w:rFonts w:ascii="Courier New" w:cs="Courier New" w:eastAsia="Courier New" w:hAnsi="Courier New"/>
          <w:sz w:val="15"/>
          <w:szCs w:val="15"/>
          <w:color w:val="auto"/>
        </w:rPr>
        <w:t>1,368</w:t>
      </w:r>
      <w:r>
        <w:rPr>
          <w:sz w:val="20"/>
          <w:szCs w:val="20"/>
          <w:color w:val="auto"/>
        </w:rPr>
        <w:tab/>
      </w:r>
      <w:r>
        <w:rPr>
          <w:rFonts w:ascii="Courier New" w:cs="Courier New" w:eastAsia="Courier New" w:hAnsi="Courier New"/>
          <w:sz w:val="15"/>
          <w:szCs w:val="15"/>
          <w:color w:val="auto"/>
        </w:rPr>
        <w:t>(1,750)</w:t>
      </w:r>
    </w:p>
    <w:p>
      <w:pPr>
        <w:spacing w:after="0" w:line="2" w:lineRule="exact"/>
        <w:rPr>
          <w:sz w:val="20"/>
          <w:szCs w:val="20"/>
          <w:color w:val="auto"/>
        </w:rPr>
      </w:pPr>
    </w:p>
    <w:p>
      <w:pPr>
        <w:ind w:left="5728"/>
        <w:spacing w:after="0"/>
        <w:tabs>
          <w:tab w:leader="none" w:pos="668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jc w:val="right"/>
        <w:ind w:right="2899"/>
        <w:spacing w:after="0"/>
        <w:tabs>
          <w:tab w:leader="none" w:pos="700" w:val="left"/>
        </w:tabs>
        <w:rPr>
          <w:sz w:val="20"/>
          <w:szCs w:val="20"/>
          <w:color w:val="auto"/>
        </w:rPr>
      </w:pPr>
      <w:r>
        <w:rPr>
          <w:rFonts w:ascii="Courier New" w:cs="Courier New" w:eastAsia="Courier New" w:hAnsi="Courier New"/>
          <w:sz w:val="15"/>
          <w:szCs w:val="15"/>
          <w:color w:val="auto"/>
        </w:rPr>
        <w:t>$29,444</w:t>
      </w:r>
      <w:r>
        <w:rPr>
          <w:sz w:val="20"/>
          <w:szCs w:val="20"/>
          <w:color w:val="auto"/>
        </w:rPr>
        <w:tab/>
      </w:r>
      <w:r>
        <w:rPr>
          <w:rFonts w:ascii="Courier New" w:cs="Courier New" w:eastAsia="Courier New" w:hAnsi="Courier New"/>
          <w:sz w:val="14"/>
          <w:szCs w:val="14"/>
          <w:color w:val="auto"/>
        </w:rPr>
        <w:t>$18,510</w:t>
      </w:r>
    </w:p>
    <w:p>
      <w:pPr>
        <w:spacing w:after="0" w:line="2" w:lineRule="exact"/>
        <w:rPr>
          <w:sz w:val="20"/>
          <w:szCs w:val="20"/>
          <w:color w:val="auto"/>
        </w:rPr>
      </w:pPr>
    </w:p>
    <w:p>
      <w:pPr>
        <w:jc w:val="both"/>
        <w:ind w:left="5728"/>
        <w:spacing w:after="0"/>
        <w:tabs>
          <w:tab w:leader="none" w:pos="668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48" w:lineRule="exact"/>
        <w:rPr>
          <w:sz w:val="20"/>
          <w:szCs w:val="20"/>
          <w:color w:val="auto"/>
        </w:rPr>
      </w:pPr>
    </w:p>
    <w:p>
      <w:pPr>
        <w:ind w:left="8" w:right="3259" w:firstLine="447"/>
        <w:spacing w:after="0"/>
        <w:rPr>
          <w:sz w:val="20"/>
          <w:szCs w:val="20"/>
          <w:color w:val="auto"/>
        </w:rPr>
      </w:pPr>
      <w:r>
        <w:rPr>
          <w:rFonts w:ascii="Courier New" w:cs="Courier New" w:eastAsia="Courier New" w:hAnsi="Courier New"/>
          <w:sz w:val="15"/>
          <w:szCs w:val="15"/>
          <w:color w:val="auto"/>
        </w:rPr>
        <w:t>The effective income tax rate varied from the statutory Guernsey tax rate as follows for the following periods: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620" w:type="dxa"/>
            <w:vAlign w:val="bottom"/>
          </w:tcPr>
          <w:p>
            <w:pPr>
              <w:spacing w:after="0"/>
              <w:rPr>
                <w:sz w:val="14"/>
                <w:szCs w:val="14"/>
                <w:color w:val="auto"/>
              </w:rPr>
            </w:pPr>
          </w:p>
        </w:tc>
        <w:tc>
          <w:tcPr>
            <w:tcW w:w="15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NINE MONTHS</w:t>
            </w:r>
          </w:p>
        </w:tc>
      </w:tr>
      <w:tr>
        <w:trPr>
          <w:trHeight w:val="172"/>
        </w:trPr>
        <w:tc>
          <w:tcPr>
            <w:tcW w:w="56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520" w:type="dxa"/>
            <w:vAlign w:val="bottom"/>
          </w:tcPr>
          <w:p>
            <w:pPr>
              <w:spacing w:after="0"/>
              <w:rPr>
                <w:sz w:val="14"/>
                <w:szCs w:val="14"/>
                <w:color w:val="auto"/>
              </w:rPr>
            </w:pPr>
          </w:p>
        </w:tc>
      </w:tr>
      <w:tr>
        <w:trPr>
          <w:trHeight w:val="172"/>
        </w:trPr>
        <w:tc>
          <w:tcPr>
            <w:tcW w:w="5620" w:type="dxa"/>
            <w:vAlign w:val="bottom"/>
          </w:tcPr>
          <w:p>
            <w:pPr>
              <w:spacing w:after="0"/>
              <w:rPr>
                <w:sz w:val="14"/>
                <w:szCs w:val="14"/>
                <w:color w:val="auto"/>
              </w:rPr>
            </w:pPr>
          </w:p>
        </w:tc>
        <w:tc>
          <w:tcPr>
            <w:tcW w:w="15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JUNE 30,</w:t>
            </w:r>
          </w:p>
        </w:tc>
      </w:tr>
      <w:tr>
        <w:trPr>
          <w:trHeight w:val="172"/>
        </w:trPr>
        <w:tc>
          <w:tcPr>
            <w:tcW w:w="5620" w:type="dxa"/>
            <w:vAlign w:val="bottom"/>
          </w:tcPr>
          <w:p>
            <w:pPr>
              <w:spacing w:after="0"/>
              <w:rPr>
                <w:sz w:val="14"/>
                <w:szCs w:val="14"/>
                <w:color w:val="auto"/>
              </w:rPr>
            </w:pPr>
          </w:p>
        </w:tc>
        <w:tc>
          <w:tcPr>
            <w:tcW w:w="15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62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1999</w:t>
            </w: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1998</w:t>
            </w:r>
          </w:p>
        </w:tc>
      </w:tr>
      <w:tr>
        <w:trPr>
          <w:trHeight w:val="172"/>
        </w:trPr>
        <w:tc>
          <w:tcPr>
            <w:tcW w:w="562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w:t>
            </w:r>
          </w:p>
        </w:tc>
      </w:tr>
      <w:tr>
        <w:trPr>
          <w:trHeight w:val="344"/>
        </w:trPr>
        <w:tc>
          <w:tcPr>
            <w:tcW w:w="562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w:t>
            </w: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w:t>
            </w: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(20)</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2"/>
        </w:trPr>
        <w:tc>
          <w:tcPr>
            <w:tcW w:w="5620" w:type="dxa"/>
            <w:vAlign w:val="bottom"/>
          </w:tcPr>
          <w:p>
            <w:pPr>
              <w:spacing w:after="0"/>
              <w:rPr>
                <w:sz w:val="14"/>
                <w:szCs w:val="14"/>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88"/>
              </w:rPr>
              <w:t>---</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w:t>
            </w: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w:t>
            </w:r>
          </w:p>
        </w:tc>
      </w:tr>
      <w:tr>
        <w:trPr>
          <w:trHeight w:val="172"/>
        </w:trPr>
        <w:tc>
          <w:tcPr>
            <w:tcW w:w="5620" w:type="dxa"/>
            <w:vAlign w:val="bottom"/>
          </w:tcPr>
          <w:p>
            <w:pPr>
              <w:spacing w:after="0"/>
              <w:rPr>
                <w:sz w:val="14"/>
                <w:szCs w:val="14"/>
                <w:color w:val="auto"/>
              </w:rPr>
            </w:pPr>
          </w:p>
        </w:tc>
        <w:tc>
          <w:tcPr>
            <w:tcW w:w="10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88"/>
              </w:rPr>
              <w:t>===</w:t>
            </w:r>
          </w:p>
        </w:tc>
      </w:tr>
    </w:tbl>
    <w:p>
      <w:pPr>
        <w:spacing w:after="0" w:line="348" w:lineRule="exact"/>
        <w:rPr>
          <w:sz w:val="20"/>
          <w:szCs w:val="20"/>
          <w:color w:val="auto"/>
        </w:rPr>
      </w:pPr>
    </w:p>
    <w:p>
      <w:pPr>
        <w:ind w:left="348" w:right="3079" w:hanging="348"/>
        <w:spacing w:after="0" w:line="242" w:lineRule="auto"/>
        <w:tabs>
          <w:tab w:leader="none" w:pos="348"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fiscal 1998, the Company incurred tax expense on the income of its operations in various countries and sustained a loss in a tax jurisdiction in which the Company is tax-exempt, which resulted in no tax benefit to offset the expense incurred. As a result, the Company's effective income tax rate in fiscal 1998 was significantly greater than the estimated fiscal 1999 effective tax rate.</w:t>
      </w:r>
    </w:p>
    <w:p>
      <w:pPr>
        <w:spacing w:after="0" w:line="174" w:lineRule="exact"/>
        <w:rPr>
          <w:sz w:val="20"/>
          <w:szCs w:val="20"/>
          <w:color w:val="auto"/>
        </w:rPr>
      </w:pPr>
    </w:p>
    <w:p>
      <w:pPr>
        <w:ind w:left="348" w:hanging="348"/>
        <w:spacing w:after="0"/>
        <w:tabs>
          <w:tab w:leader="none" w:pos="348"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6" w:lineRule="exact"/>
        <w:rPr>
          <w:sz w:val="20"/>
          <w:szCs w:val="20"/>
          <w:color w:val="auto"/>
        </w:rPr>
      </w:pPr>
    </w:p>
    <w:p>
      <w:pPr>
        <w:ind w:left="8" w:right="3779" w:firstLine="447"/>
        <w:spacing w:after="0"/>
        <w:rPr>
          <w:sz w:val="20"/>
          <w:szCs w:val="20"/>
          <w:color w:val="auto"/>
        </w:rPr>
      </w:pPr>
      <w:r>
        <w:rPr>
          <w:rFonts w:ascii="Courier New" w:cs="Courier New" w:eastAsia="Courier New" w:hAnsi="Courier New"/>
          <w:sz w:val="15"/>
          <w:szCs w:val="15"/>
          <w:color w:val="auto"/>
        </w:rPr>
        <w:t>The following table sets forth the computation of basic and diluted earnings per share:</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100" w:type="dxa"/>
            <w:vAlign w:val="bottom"/>
          </w:tcPr>
          <w:p>
            <w:pPr>
              <w:spacing w:after="0"/>
              <w:rPr>
                <w:sz w:val="14"/>
                <w:szCs w:val="14"/>
                <w:color w:val="auto"/>
              </w:rPr>
            </w:pPr>
          </w:p>
        </w:tc>
        <w:tc>
          <w:tcPr>
            <w:tcW w:w="3040" w:type="dxa"/>
            <w:vAlign w:val="bottom"/>
            <w:gridSpan w:val="4"/>
          </w:tcPr>
          <w:p>
            <w:pPr>
              <w:ind w:left="1440"/>
              <w:spacing w:after="0"/>
              <w:rPr>
                <w:sz w:val="20"/>
                <w:szCs w:val="20"/>
                <w:color w:val="auto"/>
              </w:rPr>
            </w:pPr>
            <w:r>
              <w:rPr>
                <w:rFonts w:ascii="Courier New" w:cs="Courier New" w:eastAsia="Courier New" w:hAnsi="Courier New"/>
                <w:sz w:val="15"/>
                <w:szCs w:val="15"/>
                <w:color w:val="auto"/>
              </w:rPr>
              <w:t>NINE MONTHS ENDED</w:t>
            </w:r>
          </w:p>
        </w:tc>
      </w:tr>
      <w:tr>
        <w:trPr>
          <w:trHeight w:val="172"/>
        </w:trPr>
        <w:tc>
          <w:tcPr>
            <w:tcW w:w="4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JUNE 30,</w:t>
            </w:r>
          </w:p>
        </w:tc>
      </w:tr>
      <w:tr>
        <w:trPr>
          <w:trHeight w:val="172"/>
        </w:trPr>
        <w:tc>
          <w:tcPr>
            <w:tcW w:w="4100" w:type="dxa"/>
            <w:vAlign w:val="bottom"/>
          </w:tcPr>
          <w:p>
            <w:pPr>
              <w:spacing w:after="0"/>
              <w:rPr>
                <w:sz w:val="14"/>
                <w:szCs w:val="14"/>
                <w:color w:val="auto"/>
              </w:rPr>
            </w:pPr>
          </w:p>
        </w:tc>
        <w:tc>
          <w:tcPr>
            <w:tcW w:w="30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1999</w:t>
            </w:r>
          </w:p>
        </w:tc>
        <w:tc>
          <w:tcPr>
            <w:tcW w:w="280" w:type="dxa"/>
            <w:vAlign w:val="bottom"/>
          </w:tcPr>
          <w:p>
            <w:pPr>
              <w:spacing w:after="0"/>
              <w:rPr>
                <w:sz w:val="14"/>
                <w:szCs w:val="14"/>
                <w:color w:val="auto"/>
              </w:rPr>
            </w:pP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1998</w:t>
            </w:r>
          </w:p>
        </w:tc>
      </w:tr>
      <w:tr>
        <w:trPr>
          <w:trHeight w:val="172"/>
        </w:trPr>
        <w:tc>
          <w:tcPr>
            <w:tcW w:w="4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w:t>
            </w:r>
          </w:p>
        </w:tc>
        <w:tc>
          <w:tcPr>
            <w:tcW w:w="280" w:type="dxa"/>
            <w:vAlign w:val="bottom"/>
          </w:tcPr>
          <w:p>
            <w:pPr>
              <w:spacing w:after="0"/>
              <w:rPr>
                <w:sz w:val="14"/>
                <w:szCs w:val="14"/>
                <w:color w:val="auto"/>
              </w:rPr>
            </w:pPr>
          </w:p>
        </w:tc>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w:t>
            </w:r>
          </w:p>
        </w:tc>
      </w:tr>
      <w:tr>
        <w:trPr>
          <w:trHeight w:val="344"/>
        </w:trPr>
        <w:tc>
          <w:tcPr>
            <w:tcW w:w="410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w w:val="74"/>
              </w:rPr>
              <w:t>Net income................................................</w:t>
            </w: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$68,704</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$18,509</w:t>
            </w:r>
          </w:p>
        </w:tc>
      </w:tr>
      <w:tr>
        <w:trPr>
          <w:trHeight w:val="172"/>
        </w:trPr>
        <w:tc>
          <w:tcPr>
            <w:tcW w:w="4100" w:type="dxa"/>
            <w:vAlign w:val="bottom"/>
          </w:tcPr>
          <w:p>
            <w:pPr>
              <w:spacing w:after="0"/>
              <w:rPr>
                <w:sz w:val="14"/>
                <w:szCs w:val="14"/>
                <w:color w:val="auto"/>
              </w:rPr>
            </w:pP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1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Denominator for basic earnings per share --</w:t>
            </w:r>
          </w:p>
        </w:tc>
        <w:tc>
          <w:tcPr>
            <w:tcW w:w="1520" w:type="dxa"/>
            <w:vAlign w:val="bottom"/>
          </w:tcPr>
          <w:p>
            <w:pPr>
              <w:spacing w:after="0"/>
              <w:rPr>
                <w:sz w:val="20"/>
                <w:szCs w:val="20"/>
                <w:color w:val="auto"/>
              </w:rPr>
            </w:pPr>
            <w:r>
              <w:rPr>
                <w:rFonts w:ascii="Courier New" w:cs="Courier New" w:eastAsia="Courier New" w:hAnsi="Courier New"/>
                <w:sz w:val="15"/>
                <w:szCs w:val="15"/>
                <w:color w:val="auto"/>
              </w:rPr>
              <w:t>weighted</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4100" w:type="dxa"/>
            <w:vAlign w:val="bottom"/>
          </w:tcPr>
          <w:p>
            <w:pPr>
              <w:ind w:left="440"/>
              <w:spacing w:after="0"/>
              <w:rPr>
                <w:sz w:val="20"/>
                <w:szCs w:val="20"/>
                <w:color w:val="auto"/>
              </w:rPr>
            </w:pPr>
            <w:r>
              <w:rPr>
                <w:rFonts w:ascii="Courier New" w:cs="Courier New" w:eastAsia="Courier New" w:hAnsi="Courier New"/>
                <w:sz w:val="15"/>
                <w:szCs w:val="15"/>
                <w:color w:val="auto"/>
                <w:w w:val="73"/>
              </w:rPr>
              <w:t>average shares.........................................</w:t>
            </w: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196,976</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145,630</w:t>
            </w:r>
          </w:p>
        </w:tc>
      </w:tr>
      <w:tr>
        <w:trPr>
          <w:trHeight w:val="172"/>
        </w:trPr>
        <w:tc>
          <w:tcPr>
            <w:tcW w:w="56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Effect of dilutive stock options granted..................</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2,673</w:t>
            </w: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821</w:t>
            </w:r>
          </w:p>
        </w:tc>
      </w:tr>
      <w:tr>
        <w:trPr>
          <w:trHeight w:val="172"/>
        </w:trPr>
        <w:tc>
          <w:tcPr>
            <w:tcW w:w="4100" w:type="dxa"/>
            <w:vAlign w:val="bottom"/>
          </w:tcPr>
          <w:p>
            <w:pPr>
              <w:spacing w:after="0"/>
              <w:rPr>
                <w:sz w:val="14"/>
                <w:szCs w:val="14"/>
                <w:color w:val="auto"/>
              </w:rPr>
            </w:pP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rPr>
              <w:t>Denominator for dilutive earnings per share</w:t>
            </w:r>
          </w:p>
        </w:tc>
        <w:tc>
          <w:tcPr>
            <w:tcW w:w="1520" w:type="dxa"/>
            <w:vAlign w:val="bottom"/>
          </w:tcPr>
          <w:p>
            <w:pPr>
              <w:spacing w:after="0"/>
              <w:rPr>
                <w:sz w:val="20"/>
                <w:szCs w:val="20"/>
                <w:color w:val="auto"/>
              </w:rPr>
            </w:pPr>
            <w:r>
              <w:rPr>
                <w:rFonts w:ascii="Courier New" w:cs="Courier New" w:eastAsia="Courier New" w:hAnsi="Courier New"/>
                <w:sz w:val="15"/>
                <w:szCs w:val="15"/>
                <w:color w:val="auto"/>
              </w:rPr>
              <w:t>-- adjusted</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4100" w:type="dxa"/>
            <w:vAlign w:val="bottom"/>
          </w:tcPr>
          <w:p>
            <w:pPr>
              <w:ind w:left="440"/>
              <w:spacing w:after="0"/>
              <w:rPr>
                <w:sz w:val="20"/>
                <w:szCs w:val="20"/>
                <w:color w:val="auto"/>
              </w:rPr>
            </w:pPr>
            <w:r>
              <w:rPr>
                <w:rFonts w:ascii="Courier New" w:cs="Courier New" w:eastAsia="Courier New" w:hAnsi="Courier New"/>
                <w:sz w:val="15"/>
                <w:szCs w:val="15"/>
                <w:color w:val="auto"/>
                <w:w w:val="73"/>
              </w:rPr>
              <w:t>average shares and assumed conversions.................</w:t>
            </w: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199,649</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146,451</w:t>
            </w:r>
          </w:p>
        </w:tc>
      </w:tr>
      <w:tr>
        <w:trPr>
          <w:trHeight w:val="172"/>
        </w:trPr>
        <w:tc>
          <w:tcPr>
            <w:tcW w:w="4100" w:type="dxa"/>
            <w:vAlign w:val="bottom"/>
          </w:tcPr>
          <w:p>
            <w:pPr>
              <w:spacing w:after="0"/>
              <w:rPr>
                <w:sz w:val="14"/>
                <w:szCs w:val="14"/>
                <w:color w:val="auto"/>
              </w:rPr>
            </w:pP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w w:val="74"/>
              </w:rPr>
              <w:t>Basic earnings per share..................................</w:t>
            </w:r>
          </w:p>
        </w:tc>
        <w:tc>
          <w:tcPr>
            <w:tcW w:w="1520" w:type="dxa"/>
            <w:vAlign w:val="bottom"/>
          </w:tcPr>
          <w:p>
            <w:pPr>
              <w:ind w:left="14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0.13</w:t>
            </w:r>
          </w:p>
        </w:tc>
      </w:tr>
      <w:tr>
        <w:trPr>
          <w:trHeight w:val="172"/>
        </w:trPr>
        <w:tc>
          <w:tcPr>
            <w:tcW w:w="4100" w:type="dxa"/>
            <w:vAlign w:val="bottom"/>
          </w:tcPr>
          <w:p>
            <w:pPr>
              <w:spacing w:after="0"/>
              <w:rPr>
                <w:sz w:val="14"/>
                <w:szCs w:val="14"/>
                <w:color w:val="auto"/>
              </w:rPr>
            </w:pP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100" w:type="dxa"/>
            <w:vAlign w:val="bottom"/>
          </w:tcPr>
          <w:p>
            <w:pPr>
              <w:ind w:left="180"/>
              <w:spacing w:after="0"/>
              <w:rPr>
                <w:sz w:val="20"/>
                <w:szCs w:val="20"/>
                <w:color w:val="auto"/>
              </w:rPr>
            </w:pPr>
            <w:r>
              <w:rPr>
                <w:rFonts w:ascii="Courier New" w:cs="Courier New" w:eastAsia="Courier New" w:hAnsi="Courier New"/>
                <w:sz w:val="15"/>
                <w:szCs w:val="15"/>
                <w:color w:val="auto"/>
                <w:w w:val="74"/>
              </w:rPr>
              <w:t>Diluted earnings per share................................</w:t>
            </w:r>
          </w:p>
        </w:tc>
        <w:tc>
          <w:tcPr>
            <w:tcW w:w="1520" w:type="dxa"/>
            <w:vAlign w:val="bottom"/>
          </w:tcPr>
          <w:p>
            <w:pPr>
              <w:ind w:left="14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0.13</w:t>
            </w:r>
          </w:p>
        </w:tc>
      </w:tr>
      <w:tr>
        <w:trPr>
          <w:trHeight w:val="172"/>
        </w:trPr>
        <w:tc>
          <w:tcPr>
            <w:tcW w:w="4100" w:type="dxa"/>
            <w:vAlign w:val="bottom"/>
          </w:tcPr>
          <w:p>
            <w:pPr>
              <w:spacing w:after="0"/>
              <w:rPr>
                <w:sz w:val="14"/>
                <w:szCs w:val="14"/>
                <w:color w:val="auto"/>
              </w:rPr>
            </w:pPr>
          </w:p>
        </w:tc>
        <w:tc>
          <w:tcPr>
            <w:tcW w:w="2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27"/>
          </w:cols>
          <w:pgMar w:left="232" w:top="289" w:right="1440" w:bottom="1440" w:gutter="0" w:footer="0" w:header="0"/>
        </w:sectPr>
      </w:pPr>
    </w:p>
    <w:p>
      <w:pPr>
        <w:spacing w:after="0" w:line="148" w:lineRule="exact"/>
        <w:rPr>
          <w:sz w:val="20"/>
          <w:szCs w:val="20"/>
          <w:color w:val="auto"/>
        </w:rPr>
      </w:pPr>
    </w:p>
    <w:p>
      <w:pPr>
        <w:ind w:left="3408"/>
        <w:spacing w:after="0"/>
        <w:rPr>
          <w:sz w:val="20"/>
          <w:szCs w:val="20"/>
          <w:color w:val="auto"/>
        </w:rPr>
      </w:pPr>
      <w:r>
        <w:rPr>
          <w:rFonts w:ascii="Courier New" w:cs="Courier New" w:eastAsia="Courier New" w:hAnsi="Courier New"/>
          <w:sz w:val="14"/>
          <w:szCs w:val="14"/>
          <w:color w:val="auto"/>
        </w:rPr>
        <w:t>F-29</w:t>
      </w:r>
    </w:p>
    <w:p>
      <w:pPr>
        <w:sectPr>
          <w:pgSz w:w="11900" w:h="16838" w:orient="portrait"/>
          <w:cols w:equalWidth="0" w:num="1">
            <w:col w:w="10227"/>
          </w:cols>
          <w:pgMar w:left="232" w:top="289" w:right="1440" w:bottom="1440" w:gutter="0" w:footer="0" w:header="0"/>
          <w:type w:val="continuous"/>
        </w:sectPr>
      </w:pPr>
    </w:p>
    <w:bookmarkStart w:id="102" w:name="page103"/>
    <w:bookmarkEnd w:id="102"/>
    <w:p>
      <w:pPr>
        <w:ind w:left="268"/>
        <w:spacing w:after="0"/>
        <w:rPr>
          <w:sz w:val="20"/>
          <w:szCs w:val="20"/>
          <w:color w:val="auto"/>
        </w:rPr>
      </w:pPr>
      <w:r>
        <w:rPr>
          <w:rFonts w:ascii="Courier New" w:cs="Courier New" w:eastAsia="Courier New" w:hAnsi="Courier New"/>
          <w:sz w:val="15"/>
          <w:szCs w:val="15"/>
          <w:color w:val="auto"/>
        </w:rPr>
        <w:t>103</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74" w:lineRule="exact"/>
        <w:rPr>
          <w:sz w:val="20"/>
          <w:szCs w:val="20"/>
          <w:color w:val="auto"/>
        </w:rPr>
      </w:pPr>
    </w:p>
    <w:p>
      <w:pPr>
        <w:ind w:left="348" w:hanging="348"/>
        <w:spacing w:after="0"/>
        <w:tabs>
          <w:tab w:leader="none" w:pos="34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TRANSACTION</w:t>
      </w:r>
    </w:p>
    <w:p>
      <w:pPr>
        <w:spacing w:after="0" w:line="176" w:lineRule="exact"/>
        <w:rPr>
          <w:sz w:val="20"/>
          <w:szCs w:val="20"/>
          <w:color w:val="auto"/>
        </w:rPr>
      </w:pPr>
    </w:p>
    <w:p>
      <w:pPr>
        <w:ind w:left="8" w:right="3159" w:firstLine="447"/>
        <w:spacing w:after="0" w:line="263" w:lineRule="auto"/>
        <w:rPr>
          <w:sz w:val="20"/>
          <w:szCs w:val="20"/>
          <w:color w:val="auto"/>
        </w:rPr>
      </w:pPr>
      <w:r>
        <w:rPr>
          <w:rFonts w:ascii="Courier New" w:cs="Courier New" w:eastAsia="Courier New" w:hAnsi="Courier New"/>
          <w:sz w:val="14"/>
          <w:szCs w:val="14"/>
          <w:color w:val="auto"/>
        </w:rPr>
        <w:t>On June 7, 1999 the Company and certain shareholders of the Company completed a public offering by which the Company sold 2,000 Ordinary Shares and the certain shareholders of the Company sold 18,426 Ordinary Shares, including an exercise of an over-allotment of 426 Ordinary Shares that was completed in July 1999, at an offering price of $22.44 per share. The total net proceeds to the Company, after deduction of issuance costs, amounted to $41,384.</w:t>
      </w:r>
    </w:p>
    <w:p>
      <w:pPr>
        <w:spacing w:after="0" w:line="160" w:lineRule="exact"/>
        <w:rPr>
          <w:sz w:val="20"/>
          <w:szCs w:val="20"/>
          <w:color w:val="auto"/>
        </w:rPr>
      </w:pPr>
    </w:p>
    <w:p>
      <w:pPr>
        <w:ind w:left="348" w:hanging="348"/>
        <w:spacing w:after="0"/>
        <w:tabs>
          <w:tab w:leader="none" w:pos="34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September 3, 1999, the Company signed an agreement to acquire International Telecommunication Data Systems, Inc. (ITDS), in a stock-for-stock transaction, which will be accounted for under the purchase method of accounting. The Company will issue approximately 6,600 ordinary shares and 1,200 options for ordinary shares in connection with the consummation of the transaction. Closing of the transaction is subject to the approval of ITDS' shareholders and requires regulatory approvals, as well as certain other customary closing conditions.</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ITDS is a leading provider of billing and customer care service bureau solutions to wireless and satellite telecommunication service providers. ITDS' revenue and net loss for its fiscal year ended December 31, 1998 were $115,460 and $3,926, respectively. For the six months ended June 30, 1999, ITDS had revenue and net income of $68,623 and $8,714 respectively. ITDS had total assets of $164,541 at June 30, 1999.</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27"/>
          </w:cols>
          <w:pgMar w:left="232" w:top="289"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104</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REPORT OF INDEPENDENT AUDITORS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STOCKHOLDERS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We have audited the accompanying consolidated balance sheets of International Telecommunication Data Systems, Inc. as of December 31, 1998 and 1997, and the related consolidated statements of operations, stockholders' equity and cash flows for each of the three years in the period ended December 31, 1998.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3"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International Telecommunication Data Systems, Inc. at December 31, 1998 and 1997, and the results of their operations and their cash flows for each of the three years in the period ended December 31, 1998, in conformity with generally accepted accounting principles.</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 ERNST &amp; YOUNG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Stamford, Connecticut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16, 1999</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19"/>
          </w:cols>
          <w:pgMar w:left="240" w:top="289"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105</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BALANCE SHEETS</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88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4"/>
        </w:trPr>
        <w:tc>
          <w:tcPr>
            <w:tcW w:w="880" w:type="dxa"/>
            <w:vAlign w:val="bottom"/>
          </w:tcPr>
          <w:p>
            <w:pPr>
              <w:spacing w:after="0"/>
              <w:rPr>
                <w:sz w:val="24"/>
                <w:szCs w:val="24"/>
                <w:color w:val="auto"/>
              </w:rPr>
            </w:pPr>
          </w:p>
        </w:tc>
        <w:tc>
          <w:tcPr>
            <w:tcW w:w="4560" w:type="dxa"/>
            <w:vAlign w:val="bottom"/>
          </w:tcPr>
          <w:p>
            <w:pPr>
              <w:jc w:val="right"/>
              <w:ind w:right="1525"/>
              <w:spacing w:after="0"/>
              <w:rPr>
                <w:sz w:val="20"/>
                <w:szCs w:val="20"/>
                <w:color w:val="auto"/>
              </w:rPr>
            </w:pPr>
            <w:r>
              <w:rPr>
                <w:rFonts w:ascii="Courier New" w:cs="Courier New" w:eastAsia="Courier New" w:hAnsi="Courier New"/>
                <w:sz w:val="15"/>
                <w:szCs w:val="15"/>
                <w:color w:val="auto"/>
              </w:rPr>
              <w:t>ASSETS</w:t>
            </w: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$ 40,735</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$28,967</w:t>
            </w: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Accounts receivable, net of allowances for doubtful</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accounts of $2,362 and $486, respectively..............</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34,713</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5,008</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1,843</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741</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220</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80" w:type="dxa"/>
            <w:vAlign w:val="bottom"/>
          </w:tcPr>
          <w:p>
            <w:pPr>
              <w:spacing w:after="0"/>
              <w:rPr>
                <w:sz w:val="14"/>
                <w:szCs w:val="14"/>
                <w:color w:val="auto"/>
              </w:rPr>
            </w:pPr>
          </w:p>
        </w:tc>
        <w:tc>
          <w:tcPr>
            <w:tcW w:w="4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Total current assets..............................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78,131</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34,936</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Property and equipment computers, including leased property</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under capital leases of $1,150 and $1,105, respectively...</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9,506</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4,844</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Furniture and fixtures....................................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2,005</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447</w:t>
            </w: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Equipment, including leased property under capital leases</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of $54 in 1998 and 1997................................</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706</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373</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Leasehold improvements....................................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589</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13,187</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6,253</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5,450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2,319</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7,737</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3,934</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Other assets:</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Goodwill</w:t>
            </w:r>
          </w:p>
        </w:tc>
        <w:tc>
          <w:tcPr>
            <w:tcW w:w="4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net of accumulated amortization of $3,010 in</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1998...................................................</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42,249</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Product development costs--at cost, net of accumulated</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amortization of $5,810 and $1,105 at December 31, 1998</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and December 31, 1997, respectively....................</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22,511</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3,698</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Deferred income taxes.......................................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4,138</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Other.......................................................</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1,884</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69,288</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5,582</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80" w:type="dxa"/>
            <w:vAlign w:val="bottom"/>
          </w:tcPr>
          <w:p>
            <w:pPr>
              <w:spacing w:after="0"/>
              <w:rPr>
                <w:sz w:val="14"/>
                <w:szCs w:val="14"/>
                <w:color w:val="auto"/>
              </w:rPr>
            </w:pPr>
          </w:p>
        </w:tc>
        <w:tc>
          <w:tcPr>
            <w:tcW w:w="4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Total assets......................................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$155,156</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$44,452</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80" w:type="dxa"/>
            <w:vAlign w:val="bottom"/>
          </w:tcPr>
          <w:p>
            <w:pPr>
              <w:spacing w:after="0"/>
              <w:rPr>
                <w:sz w:val="14"/>
                <w:szCs w:val="14"/>
                <w:color w:val="auto"/>
              </w:rPr>
            </w:pPr>
          </w:p>
        </w:tc>
        <w:tc>
          <w:tcPr>
            <w:tcW w:w="4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LIABILITIES AND STOCKHOLDERS' EQUITY</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Accounts payable..........................................</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$ 10,921</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$ 1,192</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Accrued expenses and income taxes payable.................</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2,919</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560</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Accrued compensation......................................</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3,026</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333</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Customer advances and deferred revenue....................</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3,862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Current maturities of capital lease obligations...........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74</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279</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Other.......................................................</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504</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80" w:type="dxa"/>
            <w:vAlign w:val="bottom"/>
          </w:tcPr>
          <w:p>
            <w:pPr>
              <w:spacing w:after="0"/>
              <w:rPr>
                <w:sz w:val="14"/>
                <w:szCs w:val="14"/>
                <w:color w:val="auto"/>
              </w:rPr>
            </w:pPr>
          </w:p>
        </w:tc>
        <w:tc>
          <w:tcPr>
            <w:tcW w:w="4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Total current liabilities.........................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21,306</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2,364</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Capital lease obligations...................................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Deferred income taxes.......................................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1,667</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Other.......................................................</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 common stock, $0.01 par value; 40,000</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shares authorized, 17,313 and 12,787 shares issued and</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outstanding at December 31, 1998 and December 31, 1997,</w:t>
            </w: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respectively..............................................</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173</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128</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Additional paid-in capital..................................</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141,662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44,447</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Retained deficit............................................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(7,952)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(4,026)</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Unearned compensation.......................................</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(231)</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80" w:type="dxa"/>
            <w:vAlign w:val="bottom"/>
          </w:tcPr>
          <w:p>
            <w:pPr>
              <w:spacing w:after="0"/>
              <w:rPr>
                <w:sz w:val="14"/>
                <w:szCs w:val="14"/>
                <w:color w:val="auto"/>
              </w:rPr>
            </w:pPr>
          </w:p>
        </w:tc>
        <w:tc>
          <w:tcPr>
            <w:tcW w:w="4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Total stockholders' equity........................</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133,825</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40,318</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880" w:type="dxa"/>
            <w:vAlign w:val="bottom"/>
          </w:tcPr>
          <w:p>
            <w:pPr>
              <w:spacing w:after="0"/>
              <w:rPr>
                <w:sz w:val="14"/>
                <w:szCs w:val="14"/>
                <w:color w:val="auto"/>
              </w:rPr>
            </w:pPr>
          </w:p>
        </w:tc>
        <w:tc>
          <w:tcPr>
            <w:tcW w:w="4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Total liabilities and stockholders' equity........</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$155,156</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$44,452</w:t>
            </w:r>
          </w:p>
        </w:tc>
      </w:tr>
      <w:tr>
        <w:trPr>
          <w:trHeight w:val="172"/>
        </w:trPr>
        <w:tc>
          <w:tcPr>
            <w:tcW w:w="8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19"/>
          </w:cols>
          <w:pgMar w:left="240" w:top="289"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106</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5"/>
          </w:tcPr>
          <w:p>
            <w:pPr>
              <w:jc w:val="right"/>
              <w:ind w:right="36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86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240" w:type="dxa"/>
            <w:vAlign w:val="bottom"/>
          </w:tcPr>
          <w:p>
            <w:pPr>
              <w:spacing w:after="0"/>
              <w:rPr>
                <w:sz w:val="14"/>
                <w:szCs w:val="14"/>
                <w:color w:val="auto"/>
              </w:rPr>
            </w:pPr>
          </w:p>
        </w:tc>
        <w:tc>
          <w:tcPr>
            <w:tcW w:w="76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88"/>
              </w:rPr>
              <w:t>1997</w:t>
            </w:r>
          </w:p>
        </w:tc>
        <w:tc>
          <w:tcPr>
            <w:tcW w:w="220" w:type="dxa"/>
            <w:vAlign w:val="bottom"/>
          </w:tcPr>
          <w:p>
            <w:pPr>
              <w:spacing w:after="0"/>
              <w:rPr>
                <w:sz w:val="14"/>
                <w:szCs w:val="1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1996</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76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Revenue....................................................</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$115,460</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$23,429</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$16,689</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44,334</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5,617</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4,283</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General, administrative and selling expenses.............</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20,798</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6,760</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6,523</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10,846</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1,596</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1,054</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Systems development and programming costs................</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16,974</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2,911</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2,115</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Personnel and indirect acquisition costs.................</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4,713</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In-process research and development......................</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20,800</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Total costs and expenses...................................</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118,465</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2"/>
              </w:rPr>
              <w:t>16,884</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13,975</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Operating income (loss)....................................</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(3,005)</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6,545</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2,714</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Other income...............................................</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1,550</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1,702</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316</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Interest expense...........................................</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(2,740)</w:t>
            </w:r>
          </w:p>
        </w:tc>
        <w:tc>
          <w:tcPr>
            <w:tcW w:w="24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(120)</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(416)</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Income (loss) before income taxes and extraordinary item...</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(4,195)</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8,127</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2,614</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Income tax expense (benefit)...............................</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(1,095)</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3,326</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1,112</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Income (loss) before extraordinary item....................</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(3,100)</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4,801</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1,502</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Extraordinary loss (net of $562 tax benefit)...............</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(826)</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Net income (loss)..........................................</w:t>
            </w:r>
          </w:p>
        </w:tc>
        <w:tc>
          <w:tcPr>
            <w:tcW w:w="10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 (3,926)</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$ 4,801</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$ 1,502</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(loss) per common share --</w:t>
            </w:r>
          </w:p>
        </w:tc>
        <w:tc>
          <w:tcPr>
            <w:tcW w:w="232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Income (loss) before extraordinary item..................</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(0.20)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0.15</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Extraordinary loss.......................................</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(0.05)</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(0.25)</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0.15</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Shares used in computing basic income (loss) per common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15,607</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2"/>
              </w:rPr>
              <w:t>12,728</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9,890</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(loss) per common share --</w:t>
            </w:r>
          </w:p>
        </w:tc>
        <w:tc>
          <w:tcPr>
            <w:tcW w:w="232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Income (loss) before extraordinary item..................</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(0.20)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0.15</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Extraordinary loss.......................................</w:t>
            </w:r>
          </w:p>
        </w:tc>
        <w:tc>
          <w:tcPr>
            <w:tcW w:w="18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(0.05)</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(0.25)</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0.36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0.15</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Shares used in computing diluted income (loss) per common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15,607</w:t>
            </w:r>
          </w:p>
        </w:tc>
        <w:tc>
          <w:tcPr>
            <w:tcW w:w="240" w:type="dxa"/>
            <w:vAlign w:val="bottom"/>
          </w:tcPr>
          <w:p>
            <w:pPr>
              <w:spacing w:after="0"/>
              <w:rPr>
                <w:sz w:val="14"/>
                <w:szCs w:val="14"/>
                <w:color w:val="auto"/>
              </w:rPr>
            </w:pPr>
          </w:p>
        </w:tc>
        <w:tc>
          <w:tcPr>
            <w:tcW w:w="7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2"/>
              </w:rPr>
              <w:t>13,193</w:t>
            </w:r>
          </w:p>
        </w:tc>
        <w:tc>
          <w:tcPr>
            <w:tcW w:w="22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10,109</w:t>
            </w:r>
          </w:p>
        </w:tc>
      </w:tr>
      <w:tr>
        <w:trPr>
          <w:trHeight w:val="172"/>
        </w:trPr>
        <w:tc>
          <w:tcPr>
            <w:tcW w:w="3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219"/>
          </w:cols>
          <w:pgMar w:left="240" w:top="289"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5"/>
          <w:szCs w:val="15"/>
          <w:color w:val="auto"/>
        </w:rPr>
        <w:t>107</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2"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PREFERRED STOCK</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4600" w:type="dxa"/>
            <w:vAlign w:val="bottom"/>
            <w:gridSpan w:val="6"/>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2140" w:type="dxa"/>
            <w:vAlign w:val="bottom"/>
            <w:gridSpan w:val="3"/>
          </w:tcPr>
          <w:p>
            <w:pPr>
              <w:jc w:val="right"/>
              <w:ind w:right="645"/>
              <w:spacing w:after="0"/>
              <w:rPr>
                <w:sz w:val="20"/>
                <w:szCs w:val="20"/>
                <w:color w:val="auto"/>
              </w:rPr>
            </w:pPr>
            <w:r>
              <w:rPr>
                <w:rFonts w:ascii="Courier New" w:cs="Courier New" w:eastAsia="Courier New" w:hAnsi="Courier New"/>
                <w:sz w:val="15"/>
                <w:szCs w:val="15"/>
                <w:color w:val="auto"/>
              </w:rPr>
              <w:t>CLASS A</w:t>
            </w:r>
          </w:p>
        </w:tc>
        <w:tc>
          <w:tcPr>
            <w:tcW w:w="2460" w:type="dxa"/>
            <w:vAlign w:val="bottom"/>
            <w:gridSpan w:val="3"/>
          </w:tcPr>
          <w:p>
            <w:pPr>
              <w:jc w:val="right"/>
              <w:ind w:right="765"/>
              <w:spacing w:after="0"/>
              <w:rPr>
                <w:sz w:val="20"/>
                <w:szCs w:val="20"/>
                <w:color w:val="auto"/>
              </w:rPr>
            </w:pPr>
            <w:r>
              <w:rPr>
                <w:rFonts w:ascii="Courier New" w:cs="Courier New" w:eastAsia="Courier New" w:hAnsi="Courier New"/>
                <w:sz w:val="15"/>
                <w:szCs w:val="15"/>
                <w:color w:val="auto"/>
              </w:rPr>
              <w:t>CLASS B</w:t>
            </w:r>
          </w:p>
        </w:tc>
        <w:tc>
          <w:tcPr>
            <w:tcW w:w="220" w:type="dxa"/>
            <w:vAlign w:val="bottom"/>
          </w:tcPr>
          <w:p>
            <w:pPr>
              <w:spacing w:after="0"/>
              <w:rPr>
                <w:sz w:val="14"/>
                <w:szCs w:val="14"/>
                <w:color w:val="auto"/>
              </w:rPr>
            </w:pPr>
          </w:p>
        </w:tc>
        <w:tc>
          <w:tcPr>
            <w:tcW w:w="2100" w:type="dxa"/>
            <w:vAlign w:val="bottom"/>
            <w:gridSpan w:val="2"/>
          </w:tcPr>
          <w:p>
            <w:pPr>
              <w:jc w:val="right"/>
              <w:ind w:right="585"/>
              <w:spacing w:after="0"/>
              <w:rPr>
                <w:sz w:val="20"/>
                <w:szCs w:val="20"/>
                <w:color w:val="auto"/>
              </w:rPr>
            </w:pPr>
            <w:r>
              <w:rPr>
                <w:rFonts w:ascii="Courier New" w:cs="Courier New" w:eastAsia="Courier New" w:hAnsi="Courier New"/>
                <w:sz w:val="15"/>
                <w:szCs w:val="15"/>
                <w:color w:val="auto"/>
              </w:rPr>
              <w:t>COMMON STOCK</w:t>
            </w:r>
          </w:p>
        </w:tc>
        <w:tc>
          <w:tcPr>
            <w:tcW w:w="104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w:t>
            </w:r>
          </w:p>
        </w:tc>
        <w:tc>
          <w:tcPr>
            <w:tcW w:w="980" w:type="dxa"/>
            <w:vAlign w:val="bottom"/>
          </w:tcPr>
          <w:p>
            <w:pPr>
              <w:spacing w:after="0"/>
              <w:rPr>
                <w:sz w:val="14"/>
                <w:szCs w:val="14"/>
                <w:color w:val="auto"/>
              </w:rPr>
            </w:pPr>
          </w:p>
        </w:tc>
        <w:tc>
          <w:tcPr>
            <w:tcW w:w="246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32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NUMBER</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NUMBER</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NUMBER</w:t>
            </w:r>
          </w:p>
        </w:tc>
        <w:tc>
          <w:tcPr>
            <w:tcW w:w="10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ADDITIONAL</w:t>
            </w:r>
          </w:p>
        </w:tc>
      </w:tr>
      <w:tr>
        <w:trPr>
          <w:trHeight w:val="172"/>
        </w:trPr>
        <w:tc>
          <w:tcPr>
            <w:tcW w:w="28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OF SHARES</w:t>
            </w:r>
          </w:p>
        </w:tc>
        <w:tc>
          <w:tcPr>
            <w:tcW w:w="10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$25,000</w:t>
            </w:r>
          </w:p>
        </w:tc>
        <w:tc>
          <w:tcPr>
            <w:tcW w:w="116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8"/>
              </w:rPr>
              <w:t>OF SHARES</w:t>
            </w:r>
          </w:p>
        </w:tc>
        <w:tc>
          <w:tcPr>
            <w:tcW w:w="100" w:type="dxa"/>
            <w:vAlign w:val="bottom"/>
          </w:tcPr>
          <w:p>
            <w:pPr>
              <w:spacing w:after="0"/>
              <w:rPr>
                <w:sz w:val="14"/>
                <w:szCs w:val="14"/>
                <w:color w:val="auto"/>
              </w:rPr>
            </w:pP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$250</w:t>
            </w:r>
          </w:p>
        </w:tc>
        <w:tc>
          <w:tcPr>
            <w:tcW w:w="2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OF SHARES</w:t>
            </w:r>
          </w:p>
        </w:tc>
        <w:tc>
          <w:tcPr>
            <w:tcW w:w="1060" w:type="dxa"/>
            <w:vAlign w:val="bottom"/>
          </w:tcPr>
          <w:p>
            <w:pPr>
              <w:spacing w:after="0"/>
              <w:rPr>
                <w:sz w:val="14"/>
                <w:szCs w:val="14"/>
                <w:color w:val="auto"/>
              </w:rPr>
            </w:pP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PAID-IN</w:t>
            </w:r>
          </w:p>
        </w:tc>
      </w:tr>
      <w:tr>
        <w:trPr>
          <w:trHeight w:val="172"/>
        </w:trPr>
        <w:tc>
          <w:tcPr>
            <w:tcW w:w="286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w w:val="96"/>
              </w:rPr>
              <w:t>OUTSTANDING</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PAR VALUE</w:t>
            </w:r>
          </w:p>
        </w:tc>
        <w:tc>
          <w:tcPr>
            <w:tcW w:w="1260" w:type="dxa"/>
            <w:vAlign w:val="bottom"/>
            <w:gridSpan w:val="2"/>
          </w:tcPr>
          <w:p>
            <w:pPr>
              <w:jc w:val="center"/>
              <w:ind w:left="185"/>
              <w:spacing w:after="0"/>
              <w:rPr>
                <w:sz w:val="20"/>
                <w:szCs w:val="20"/>
                <w:color w:val="auto"/>
              </w:rPr>
            </w:pPr>
            <w:r>
              <w:rPr>
                <w:rFonts w:ascii="Courier New" w:cs="Courier New" w:eastAsia="Courier New" w:hAnsi="Courier New"/>
                <w:sz w:val="15"/>
                <w:szCs w:val="15"/>
                <w:color w:val="auto"/>
              </w:rPr>
              <w:t>OUTSTANDING</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PAR VALUE</w:t>
            </w: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OUTSTANDING</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PAR VALUE</w:t>
            </w:r>
          </w:p>
        </w:tc>
        <w:tc>
          <w:tcPr>
            <w:tcW w:w="10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CAPITAL</w:t>
            </w:r>
          </w:p>
        </w:tc>
      </w:tr>
      <w:tr>
        <w:trPr>
          <w:trHeight w:val="172"/>
        </w:trPr>
        <w:tc>
          <w:tcPr>
            <w:tcW w:w="286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w w:val="96"/>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center"/>
              <w:ind w:left="18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Balance at December 31, 1995...</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w:t>
            </w:r>
          </w:p>
        </w:tc>
        <w:tc>
          <w:tcPr>
            <w:tcW w:w="10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$ 400</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1,500</w:t>
            </w:r>
          </w:p>
        </w:tc>
        <w:tc>
          <w:tcPr>
            <w:tcW w:w="100" w:type="dxa"/>
            <w:vAlign w:val="bottom"/>
          </w:tcPr>
          <w:p>
            <w:pPr>
              <w:spacing w:after="0"/>
              <w:rPr>
                <w:sz w:val="24"/>
                <w:szCs w:val="2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$ 328</w:t>
            </w:r>
          </w:p>
        </w:tc>
        <w:tc>
          <w:tcPr>
            <w:tcW w:w="220" w:type="dxa"/>
            <w:vAlign w:val="bottom"/>
          </w:tcPr>
          <w:p>
            <w:pPr>
              <w:spacing w:after="0"/>
              <w:rPr>
                <w:sz w:val="24"/>
                <w:szCs w:val="2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7,313</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$ 76</w:t>
            </w:r>
          </w:p>
        </w:tc>
        <w:tc>
          <w:tcPr>
            <w:tcW w:w="1040" w:type="dxa"/>
            <w:vAlign w:val="bottom"/>
          </w:tcPr>
          <w:p>
            <w:pPr>
              <w:spacing w:after="0"/>
              <w:rPr>
                <w:sz w:val="24"/>
                <w:szCs w:val="2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Net unrealized loss on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securities available for</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sale........................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Comprehensive income..........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Preferred stock dividends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declared....................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Retirement of treasury</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stock.......................</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(398)</w:t>
            </w: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Recapitalization of Class A &amp;</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 preferred stock...........</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w:t>
            </w:r>
          </w:p>
        </w:tc>
        <w:tc>
          <w:tcPr>
            <w:tcW w:w="10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(400)</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(1,500)</w:t>
            </w:r>
          </w:p>
        </w:tc>
        <w:tc>
          <w:tcPr>
            <w:tcW w:w="100" w:type="dxa"/>
            <w:vAlign w:val="bottom"/>
          </w:tcPr>
          <w:p>
            <w:pPr>
              <w:spacing w:after="0"/>
              <w:rPr>
                <w:sz w:val="14"/>
                <w:szCs w:val="14"/>
                <w:color w:val="auto"/>
              </w:rPr>
            </w:pPr>
          </w:p>
        </w:tc>
        <w:tc>
          <w:tcPr>
            <w:tcW w:w="12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(328)</w:t>
            </w: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1,279</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10,115</w:t>
            </w: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Compensation paid in common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stock.......................</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106</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969</w:t>
            </w: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Conversion of Class C</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convertible preferred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stock.......................</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155</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638</w:t>
            </w: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Exercise of warrants..........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502</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818</w:t>
            </w: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Sale of common stock, net of</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expenses....................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3,300</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31,648</w:t>
            </w:r>
          </w:p>
        </w:tc>
      </w:tr>
      <w:tr>
        <w:trPr>
          <w:trHeight w:val="172"/>
        </w:trPr>
        <w:tc>
          <w:tcPr>
            <w:tcW w:w="286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Balance at December 31, 1996...</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12,655</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127</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43,790</w:t>
            </w: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Net unrealized gain on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securities available for</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sale........................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Comprehensive income..........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Secondary sale of common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stock.......................</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172</w:t>
            </w: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Employee stock purchase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plan........................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w:t>
            </w:r>
          </w:p>
        </w:tc>
        <w:tc>
          <w:tcPr>
            <w:tcW w:w="106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113</w:t>
            </w: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Exercise of stock options.....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w:t>
            </w:r>
          </w:p>
        </w:tc>
        <w:tc>
          <w:tcPr>
            <w:tcW w:w="106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372</w:t>
            </w: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Amortization of unearned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compensation................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Balance at December 31, 1997...</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12,787</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128</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44,447</w:t>
            </w: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(loss)....................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Comprehensive (loss)..........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Shares issued in connection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with Intelicom</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acquisition.................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606</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9,894</w:t>
            </w: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Secondary sale of common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stock.......................</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3,663</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83,107</w:t>
            </w: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Employee stock purchase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plan........................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24</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456</w:t>
            </w: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Exercise of stock options.....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233</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1,887</w:t>
            </w: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Tax benefit from stock</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options.....................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1,871</w:t>
            </w: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Amortization of unearned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compensation................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Balance at December 31, 1998...</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17,313</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$173</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$141,662</w:t>
            </w:r>
          </w:p>
        </w:tc>
      </w:tr>
      <w:tr>
        <w:trPr>
          <w:trHeight w:val="172"/>
        </w:trPr>
        <w:tc>
          <w:tcPr>
            <w:tcW w:w="286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688"/>
        </w:trPr>
        <w:tc>
          <w:tcPr>
            <w:tcW w:w="2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7"/>
              </w:rPr>
              <w:t>UNEARNED</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COMPENSA-</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TION</w:t>
            </w:r>
          </w:p>
        </w:tc>
        <w:tc>
          <w:tcPr>
            <w:tcW w:w="100" w:type="dxa"/>
            <w:vAlign w:val="bottom"/>
          </w:tcPr>
          <w:p>
            <w:pPr>
              <w:spacing w:after="0"/>
              <w:rPr>
                <w:sz w:val="14"/>
                <w:szCs w:val="14"/>
                <w:color w:val="auto"/>
              </w:rPr>
            </w:pPr>
          </w:p>
        </w:tc>
        <w:tc>
          <w:tcPr>
            <w:tcW w:w="12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ACCUMULATED</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TREASURY</w:t>
            </w:r>
          </w:p>
        </w:tc>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RETAINED</w:t>
            </w: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RESTRICTED</w:t>
            </w:r>
          </w:p>
        </w:tc>
        <w:tc>
          <w:tcPr>
            <w:tcW w:w="100" w:type="dxa"/>
            <w:vAlign w:val="bottom"/>
          </w:tcPr>
          <w:p>
            <w:pPr>
              <w:spacing w:after="0"/>
              <w:rPr>
                <w:sz w:val="14"/>
                <w:szCs w:val="14"/>
                <w:color w:val="auto"/>
              </w:rPr>
            </w:pPr>
          </w:p>
        </w:tc>
        <w:tc>
          <w:tcPr>
            <w:tcW w:w="120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7"/>
              </w:rPr>
              <w:t>OTHER</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STOCK AT</w:t>
            </w:r>
          </w:p>
        </w:tc>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EARNINGS</w:t>
            </w: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STOCK</w:t>
            </w:r>
          </w:p>
        </w:tc>
        <w:tc>
          <w:tcPr>
            <w:tcW w:w="1300" w:type="dxa"/>
            <w:vAlign w:val="bottom"/>
            <w:gridSpan w:val="2"/>
          </w:tcPr>
          <w:p>
            <w:pPr>
              <w:jc w:val="center"/>
              <w:ind w:right="65"/>
              <w:spacing w:after="0"/>
              <w:rPr>
                <w:sz w:val="20"/>
                <w:szCs w:val="20"/>
                <w:color w:val="auto"/>
              </w:rPr>
            </w:pPr>
            <w:r>
              <w:rPr>
                <w:rFonts w:ascii="Courier New" w:cs="Courier New" w:eastAsia="Courier New" w:hAnsi="Courier New"/>
                <w:sz w:val="15"/>
                <w:szCs w:val="15"/>
                <w:color w:val="auto"/>
                <w:w w:val="99"/>
              </w:rPr>
              <w:t>COMPREHENSIVE</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COST</w:t>
            </w:r>
          </w:p>
        </w:tc>
        <w:tc>
          <w:tcPr>
            <w:tcW w:w="1080" w:type="dxa"/>
            <w:vAlign w:val="bottom"/>
            <w:gridSpan w:val="2"/>
          </w:tcPr>
          <w:p>
            <w:pPr>
              <w:spacing w:after="0"/>
              <w:rPr>
                <w:sz w:val="20"/>
                <w:szCs w:val="20"/>
                <w:color w:val="auto"/>
              </w:rPr>
            </w:pPr>
            <w:r>
              <w:rPr>
                <w:rFonts w:ascii="Courier New" w:cs="Courier New" w:eastAsia="Courier New" w:hAnsi="Courier New"/>
                <w:sz w:val="15"/>
                <w:szCs w:val="15"/>
                <w:color w:val="auto"/>
              </w:rPr>
              <w:t>(DEFICIT)</w:t>
            </w: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AWARDS</w:t>
            </w:r>
          </w:p>
        </w:tc>
        <w:tc>
          <w:tcPr>
            <w:tcW w:w="10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INCOME</w:t>
            </w:r>
          </w:p>
        </w:tc>
        <w:tc>
          <w:tcPr>
            <w:tcW w:w="2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8"/>
              </w:rPr>
              <w:t>---------</w:t>
            </w:r>
          </w:p>
        </w:tc>
        <w:tc>
          <w:tcPr>
            <w:tcW w:w="116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w w:val="97"/>
              </w:rPr>
              <w:t>-------------</w:t>
            </w:r>
          </w:p>
        </w:tc>
        <w:tc>
          <w:tcPr>
            <w:tcW w:w="12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44"/>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Balance at December 31, 1995...</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$(400)</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379</w:t>
            </w: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1,502</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1,502</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Net unrealized loss on</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securities available for</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sale........................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ind w:left="260"/>
              <w:spacing w:after="0"/>
              <w:rPr>
                <w:sz w:val="20"/>
                <w:szCs w:val="20"/>
                <w:color w:val="auto"/>
              </w:rPr>
            </w:pPr>
            <w:r>
              <w:rPr>
                <w:rFonts w:ascii="Courier New" w:cs="Courier New" w:eastAsia="Courier New" w:hAnsi="Courier New"/>
                <w:sz w:val="15"/>
                <w:szCs w:val="15"/>
                <w:color w:val="auto"/>
              </w:rPr>
              <w:t>$(37)</w:t>
            </w:r>
          </w:p>
        </w:tc>
        <w:tc>
          <w:tcPr>
            <w:tcW w:w="22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(37)</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Comprehensive income..........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1,465</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Preferred stock dividends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declared....................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(79)</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(79)</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Retirement of treasury</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stock.......................</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400</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ind w:left="80"/>
              <w:spacing w:after="0"/>
              <w:rPr>
                <w:sz w:val="20"/>
                <w:szCs w:val="20"/>
                <w:color w:val="auto"/>
              </w:rPr>
            </w:pPr>
            <w:r>
              <w:rPr>
                <w:rFonts w:ascii="Courier New" w:cs="Courier New" w:eastAsia="Courier New" w:hAnsi="Courier New"/>
                <w:sz w:val="15"/>
                <w:szCs w:val="15"/>
                <w:color w:val="auto"/>
              </w:rPr>
              <w:t>Recapitalization of Class A &amp;</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2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 preferred stock...........</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(10,225)</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(825)</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ectPr>
          <w:pgSz w:w="11900" w:h="16838" w:orient="portrait"/>
          <w:cols w:equalWidth="0" w:num="1">
            <w:col w:w="10820"/>
          </w:cols>
          <w:pgMar w:left="240" w:top="289" w:right="839" w:bottom="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Compensation paid in common</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stock.......................</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$(336)</w:t>
            </w: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634</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Conversion of Class C</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convertible preferred</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stock.......................</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640</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Exercise of warrants..........</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823</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Sale of common stock, net of</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expenses....................</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31,680</w:t>
            </w:r>
          </w:p>
        </w:tc>
      </w:tr>
      <w:tr>
        <w:trPr>
          <w:trHeight w:val="172"/>
        </w:trPr>
        <w:tc>
          <w:tcPr>
            <w:tcW w:w="290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Balance at December 31, 1996...</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(8,827)</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(336)</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(37)</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34,717</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Net income....................</w:t>
            </w:r>
          </w:p>
        </w:tc>
        <w:tc>
          <w:tcPr>
            <w:tcW w:w="800" w:type="dxa"/>
            <w:vAlign w:val="bottom"/>
          </w:tcPr>
          <w:p>
            <w:pPr>
              <w:spacing w:after="0"/>
              <w:rPr>
                <w:sz w:val="14"/>
                <w:szCs w:val="14"/>
                <w:color w:val="auto"/>
              </w:rPr>
            </w:pP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4,801</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4,801</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Net unrealized gain on</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securities available for</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sale........................</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37</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w:t>
            </w:r>
          </w:p>
        </w:tc>
      </w:tr>
      <w:tr>
        <w:trPr>
          <w:trHeight w:val="172"/>
        </w:trPr>
        <w:tc>
          <w:tcPr>
            <w:tcW w:w="2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Comprehensive income..........</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4,838</w:t>
            </w:r>
          </w:p>
        </w:tc>
      </w:tr>
      <w:tr>
        <w:trPr>
          <w:trHeight w:val="172"/>
        </w:trPr>
        <w:tc>
          <w:tcPr>
            <w:tcW w:w="2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Secondary sale of common</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stock.......................</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173</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Employee stock purchase</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plan........................</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113</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Exercise of stock options.....</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372</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Amortization of unearned</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compensation................</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105</w:t>
            </w: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w:t>
            </w:r>
          </w:p>
        </w:tc>
      </w:tr>
      <w:tr>
        <w:trPr>
          <w:trHeight w:val="172"/>
        </w:trPr>
        <w:tc>
          <w:tcPr>
            <w:tcW w:w="290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Balance at December 31, 1997...</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(4,026)</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(231)</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40,318</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Net (loss)....................</w:t>
            </w:r>
          </w:p>
        </w:tc>
        <w:tc>
          <w:tcPr>
            <w:tcW w:w="800" w:type="dxa"/>
            <w:vAlign w:val="bottom"/>
          </w:tcPr>
          <w:p>
            <w:pPr>
              <w:spacing w:after="0"/>
              <w:rPr>
                <w:sz w:val="14"/>
                <w:szCs w:val="14"/>
                <w:color w:val="auto"/>
              </w:rPr>
            </w:pP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(3,926)</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(3,926)</w:t>
            </w:r>
          </w:p>
        </w:tc>
      </w:tr>
      <w:tr>
        <w:trPr>
          <w:trHeight w:val="172"/>
        </w:trPr>
        <w:tc>
          <w:tcPr>
            <w:tcW w:w="2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Comprehensive (loss)..........</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(3,926)</w:t>
            </w:r>
          </w:p>
        </w:tc>
      </w:tr>
      <w:tr>
        <w:trPr>
          <w:trHeight w:val="172"/>
        </w:trPr>
        <w:tc>
          <w:tcPr>
            <w:tcW w:w="2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Shares issued in connection</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with Intelicom</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acquisition.................</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9,900</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Secondary sale of common</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stock.......................</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83,144</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Employee stock purchase</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plan........................</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456</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Exercise of stock options.....</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1,889</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Tax benefit from stock</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options.....................</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1,871</w:t>
            </w:r>
          </w:p>
        </w:tc>
      </w:tr>
      <w:tr>
        <w:trPr>
          <w:trHeight w:val="172"/>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Amortization of unearned</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900" w:type="dxa"/>
            <w:vAlign w:val="bottom"/>
          </w:tcPr>
          <w:p>
            <w:pPr>
              <w:ind w:left="260"/>
              <w:spacing w:after="0"/>
              <w:rPr>
                <w:sz w:val="20"/>
                <w:szCs w:val="20"/>
                <w:color w:val="auto"/>
              </w:rPr>
            </w:pPr>
            <w:r>
              <w:rPr>
                <w:rFonts w:ascii="Courier New" w:cs="Courier New" w:eastAsia="Courier New" w:hAnsi="Courier New"/>
                <w:sz w:val="15"/>
                <w:szCs w:val="15"/>
                <w:color w:val="auto"/>
              </w:rPr>
              <w:t>compensation................</w:t>
            </w: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173</w:t>
            </w:r>
          </w:p>
        </w:tc>
        <w:tc>
          <w:tcPr>
            <w:tcW w:w="1160" w:type="dxa"/>
            <w:vAlign w:val="bottom"/>
          </w:tcPr>
          <w:p>
            <w:pPr>
              <w:spacing w:after="0"/>
              <w:rPr>
                <w:sz w:val="14"/>
                <w:szCs w:val="14"/>
                <w:color w:val="auto"/>
              </w:rPr>
            </w:pP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173</w:t>
            </w:r>
          </w:p>
        </w:tc>
      </w:tr>
      <w:tr>
        <w:trPr>
          <w:trHeight w:val="172"/>
        </w:trPr>
        <w:tc>
          <w:tcPr>
            <w:tcW w:w="290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Balance at December 31, 1998...</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(7,952)</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(58)</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$133,825</w:t>
            </w:r>
          </w:p>
        </w:tc>
      </w:tr>
      <w:tr>
        <w:trPr>
          <w:trHeight w:val="172"/>
        </w:trPr>
        <w:tc>
          <w:tcPr>
            <w:tcW w:w="290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See accompanying notes.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F-34</w:t>
      </w:r>
    </w:p>
    <w:p>
      <w:pPr>
        <w:sectPr>
          <w:pgSz w:w="11900" w:h="16838" w:orient="portrait"/>
          <w:cols w:equalWidth="0" w:num="1">
            <w:col w:w="10219"/>
          </w:cols>
          <w:pgMar w:left="240" w:top="140"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5"/>
          <w:szCs w:val="15"/>
          <w:color w:val="auto"/>
        </w:rPr>
        <w:t>108</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80" w:type="dxa"/>
            <w:vAlign w:val="bottom"/>
            <w:gridSpan w:val="5"/>
          </w:tcPr>
          <w:p>
            <w:pPr>
              <w:jc w:val="right"/>
              <w:ind w:right="46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5100" w:type="dxa"/>
            <w:vAlign w:val="bottom"/>
          </w:tcPr>
          <w:p>
            <w:pPr>
              <w:spacing w:after="0"/>
              <w:rPr>
                <w:sz w:val="14"/>
                <w:szCs w:val="14"/>
                <w:color w:val="auto"/>
              </w:rPr>
            </w:pPr>
          </w:p>
        </w:tc>
        <w:tc>
          <w:tcPr>
            <w:tcW w:w="304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8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1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0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(3,926)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4,801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1,502</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(loss) to net cash</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100" w:type="dxa"/>
            <w:vAlign w:val="bottom"/>
          </w:tcPr>
          <w:p>
            <w:pPr>
              <w:ind w:left="180"/>
              <w:spacing w:after="0"/>
              <w:rPr>
                <w:sz w:val="20"/>
                <w:szCs w:val="20"/>
                <w:color w:val="auto"/>
              </w:rPr>
            </w:pPr>
            <w:r>
              <w:rPr>
                <w:rFonts w:ascii="Courier New" w:cs="Courier New" w:eastAsia="Courier New" w:hAnsi="Courier New"/>
                <w:sz w:val="15"/>
                <w:szCs w:val="15"/>
                <w:color w:val="auto"/>
              </w:rPr>
              <w:t>provided by operating activities: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Extraordinary loss....................................</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826</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Write-off in process research and development.........</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20,800</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10,846</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1,596</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1,054</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Amortization of unearned compensation.................</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173</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105</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Compensation paid in Common Stock.....................</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634</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Deferred income taxes.................................</w:t>
            </w:r>
          </w:p>
        </w:tc>
        <w:tc>
          <w:tcPr>
            <w:tcW w:w="1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(6,425)</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1,084</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612</w:t>
            </w:r>
          </w:p>
        </w:tc>
      </w:tr>
      <w:tr>
        <w:trPr>
          <w:trHeight w:val="172"/>
        </w:trPr>
        <w:tc>
          <w:tcPr>
            <w:tcW w:w="5100" w:type="dxa"/>
            <w:vAlign w:val="bottom"/>
          </w:tcPr>
          <w:p>
            <w:pPr>
              <w:ind w:left="180"/>
              <w:spacing w:after="0"/>
              <w:rPr>
                <w:sz w:val="20"/>
                <w:szCs w:val="20"/>
                <w:color w:val="auto"/>
              </w:rPr>
            </w:pPr>
            <w:r>
              <w:rPr>
                <w:rFonts w:ascii="Courier New" w:cs="Courier New" w:eastAsia="Courier New" w:hAnsi="Courier New"/>
                <w:sz w:val="15"/>
                <w:szCs w:val="15"/>
                <w:color w:val="auto"/>
              </w:rPr>
              <w:t>Change in operating assets and liabilities: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Accounts receivable................................</w:t>
            </w:r>
          </w:p>
        </w:tc>
        <w:tc>
          <w:tcPr>
            <w:tcW w:w="1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(23,996)</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(1,775)</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(1,884)</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(900)</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414</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(875)</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Accounts payable and accrued expenses..............</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8,900</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320</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391</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Customer advances..................................</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2,766</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assets and liabilities, net..................</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1,580</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(1,789)</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w:t>
            </w:r>
          </w:p>
        </w:tc>
      </w:tr>
      <w:tr>
        <w:trPr>
          <w:trHeight w:val="172"/>
        </w:trPr>
        <w:tc>
          <w:tcPr>
            <w:tcW w:w="51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cash provided by operating activities...............</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10,644</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4,756</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1,446</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Capital expenditures....................................</w:t>
            </w:r>
          </w:p>
        </w:tc>
        <w:tc>
          <w:tcPr>
            <w:tcW w:w="1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(3,749)</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(2,738)</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(1,853)</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Purchase of securities available for sale...............</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(25,329)</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(25,060)</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Purchase of investments held to maturity................</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(3,062)</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(353)</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Proceeds from maturities of investments.................</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3,411</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300</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Proceeds from maturities of securities available for</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sale..................................................</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50,389</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Purchase of Intelicom...................................</w:t>
            </w:r>
          </w:p>
        </w:tc>
        <w:tc>
          <w:tcPr>
            <w:tcW w:w="1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(73,832)</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Product development costs...............................</w:t>
            </w:r>
          </w:p>
        </w:tc>
        <w:tc>
          <w:tcPr>
            <w:tcW w:w="1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(6,918)</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(2,872)</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(859)</w:t>
            </w:r>
          </w:p>
        </w:tc>
      </w:tr>
      <w:tr>
        <w:trPr>
          <w:trHeight w:val="172"/>
        </w:trPr>
        <w:tc>
          <w:tcPr>
            <w:tcW w:w="51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cash (used for) provided by investing activities....</w:t>
            </w:r>
          </w:p>
        </w:tc>
        <w:tc>
          <w:tcPr>
            <w:tcW w:w="1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(84,499)</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19,799</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(27,825)</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Principal payments on long-term debt....................</w:t>
            </w:r>
          </w:p>
        </w:tc>
        <w:tc>
          <w:tcPr>
            <w:tcW w:w="1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(70,000)</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(1,811)</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Proceeds from long-term debt............................</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70,000</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Tax benefit associated with stock options...............</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1,871</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Financing fee related to acquisition....................</w:t>
            </w:r>
          </w:p>
        </w:tc>
        <w:tc>
          <w:tcPr>
            <w:tcW w:w="1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(1,484)</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Payment to retire Preferred Stock.......................</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(825)</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Principal payments on notes payable.....................</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Principal payments on capital lease obligations.........</w:t>
            </w:r>
          </w:p>
        </w:tc>
        <w:tc>
          <w:tcPr>
            <w:tcW w:w="16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(253)</w:t>
            </w:r>
          </w:p>
        </w:tc>
        <w:tc>
          <w:tcPr>
            <w:tcW w:w="22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(385)</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(362)</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Proceeds from sale of Common Stock......................</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85,489</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658</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32,502</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Dividends paid..........................................</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r>
      <w:tr>
        <w:trPr>
          <w:trHeight w:val="172"/>
        </w:trPr>
        <w:tc>
          <w:tcPr>
            <w:tcW w:w="51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cash provided by financing activities...............</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85,623</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273</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29,345</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increase in cash and cash equivalents...............</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11,768</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24,828</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2,966</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Cash and cash equivalents at beginning of year..........</w:t>
            </w:r>
          </w:p>
        </w:tc>
        <w:tc>
          <w:tcPr>
            <w:tcW w:w="16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28,967</w:t>
            </w:r>
          </w:p>
        </w:tc>
        <w:tc>
          <w:tcPr>
            <w:tcW w:w="22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4,139</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1,173</w:t>
            </w:r>
          </w:p>
        </w:tc>
      </w:tr>
      <w:tr>
        <w:trPr>
          <w:trHeight w:val="172"/>
        </w:trPr>
        <w:tc>
          <w:tcPr>
            <w:tcW w:w="51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Cash and cash equivalents at end of year................</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$ 40,735</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$ 28,967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4,139</w:t>
            </w:r>
          </w:p>
        </w:tc>
      </w:tr>
      <w:tr>
        <w:trPr>
          <w:trHeight w:val="172"/>
        </w:trPr>
        <w:tc>
          <w:tcPr>
            <w:tcW w:w="51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SUPPLEMENTAL DISCLOSURES OF CASH FLOW INFORMATION:</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Cash paid during the year for interest..................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2,738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434</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Cash paid during the year for taxes.....................</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1,420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2,342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820</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DISCLOSURE OF NONCASH FINANCING ACTIVITIES: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Capital lease obligations totaling $686 in the year ended December 31,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w:t>
      </w:r>
    </w:p>
    <w:p>
      <w:pPr>
        <w:spacing w:after="0" w:line="4" w:lineRule="exact"/>
        <w:rPr>
          <w:sz w:val="20"/>
          <w:szCs w:val="20"/>
          <w:color w:val="auto"/>
        </w:rPr>
      </w:pPr>
    </w:p>
    <w:p>
      <w:pPr>
        <w:jc w:val="right"/>
        <w:ind w:right="5659"/>
        <w:spacing w:after="0"/>
        <w:rPr>
          <w:sz w:val="20"/>
          <w:szCs w:val="20"/>
          <w:color w:val="auto"/>
        </w:rPr>
      </w:pPr>
      <w:r>
        <w:rPr>
          <w:rFonts w:ascii="Courier New" w:cs="Courier New" w:eastAsia="Courier New" w:hAnsi="Courier New"/>
          <w:sz w:val="14"/>
          <w:szCs w:val="14"/>
          <w:color w:val="auto"/>
        </w:rPr>
        <w:t>were incurred for the acquisition of new equipment.</w:t>
      </w:r>
    </w:p>
    <w:p>
      <w:pPr>
        <w:spacing w:after="0" w:line="12" w:lineRule="exact"/>
        <w:rPr>
          <w:sz w:val="20"/>
          <w:szCs w:val="20"/>
          <w:color w:val="auto"/>
        </w:rPr>
      </w:pPr>
    </w:p>
    <w:p>
      <w:pPr>
        <w:jc w:val="right"/>
        <w:ind w:right="5659"/>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F-35</w:t>
      </w:r>
    </w:p>
    <w:p>
      <w:pPr>
        <w:sectPr>
          <w:pgSz w:w="11900" w:h="16838" w:orient="portrait"/>
          <w:cols w:equalWidth="0" w:num="1">
            <w:col w:w="10219"/>
          </w:cols>
          <w:pgMar w:left="240" w:top="289" w:right="1440" w:bottom="1440" w:gutter="0" w:footer="0" w:header="0"/>
        </w:sectPr>
      </w:pPr>
    </w:p>
    <w:bookmarkStart w:id="109" w:name="page110"/>
    <w:bookmarkEnd w:id="109"/>
    <w:p>
      <w:pPr>
        <w:ind w:left="268"/>
        <w:spacing w:after="0"/>
        <w:rPr>
          <w:sz w:val="20"/>
          <w:szCs w:val="20"/>
          <w:color w:val="auto"/>
        </w:rPr>
      </w:pPr>
      <w:r>
        <w:rPr>
          <w:rFonts w:ascii="Courier New" w:cs="Courier New" w:eastAsia="Courier New" w:hAnsi="Courier New"/>
          <w:sz w:val="15"/>
          <w:szCs w:val="15"/>
          <w:color w:val="auto"/>
        </w:rPr>
        <w:t>109</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6" w:lineRule="exact"/>
        <w:rPr>
          <w:sz w:val="20"/>
          <w:szCs w:val="20"/>
          <w:color w:val="auto"/>
        </w:rPr>
      </w:pPr>
    </w:p>
    <w:p>
      <w:pPr>
        <w:ind w:left="8" w:right="5939" w:hanging="8"/>
        <w:spacing w:after="0" w:line="483" w:lineRule="auto"/>
        <w:tabs>
          <w:tab w:leader="none" w:pos="366"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AND SIGNIFICANT ACCOUNTING POLICIES DESCRIPTION OF BUSINESS</w:t>
      </w:r>
    </w:p>
    <w:p>
      <w:pPr>
        <w:spacing w:after="0" w:line="4"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International Telecommunication Data Systems, Inc. ("ITDS" or the "Company") is a leading provider of comprehensive transactional billing and management information solutions to providers of wireless and satellite telecommunications services. The Company uses its proprietary software technology to develop billing solutions which address customer requirements as they evolve, regardless of the market segment, geographic area or mix of network features and billing options. Typically, the Company provides its services under contracts with terms ranging from two to five years, and bills customers monthly, on a per-subscriber and fixed fee basis. As a result, substantially all of the Company's revenue is recurring in nature, and increases as a provider's subscriber base grows.</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BASIS OF PRESENTATION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PROPERTY AND EQUIPMENT</w:t>
      </w:r>
    </w:p>
    <w:p>
      <w:pPr>
        <w:spacing w:after="0" w:line="176" w:lineRule="exact"/>
        <w:rPr>
          <w:sz w:val="20"/>
          <w:szCs w:val="20"/>
          <w:color w:val="auto"/>
        </w:rPr>
      </w:pPr>
    </w:p>
    <w:p>
      <w:pPr>
        <w:jc w:val="both"/>
        <w:ind w:left="8" w:right="3159" w:firstLine="447"/>
        <w:spacing w:after="0" w:line="242" w:lineRule="auto"/>
        <w:rPr>
          <w:sz w:val="20"/>
          <w:szCs w:val="20"/>
          <w:color w:val="auto"/>
        </w:rPr>
      </w:pPr>
      <w:r>
        <w:rPr>
          <w:rFonts w:ascii="Courier New" w:cs="Courier New" w:eastAsia="Courier New" w:hAnsi="Courier New"/>
          <w:sz w:val="15"/>
          <w:szCs w:val="15"/>
          <w:color w:val="auto"/>
        </w:rPr>
        <w:t>Property and equipment are carried at cost, less accumulated depreciation computed using the straight-line method over the estimated useful lives of the assets. Amortization of assets under capital leases is included in depreciation expense.</w:t>
      </w:r>
    </w:p>
    <w:p>
      <w:pPr>
        <w:spacing w:after="0" w:line="175"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Company capitalizes software development costs incurred in the development of software used in its product and service line only after establishing commercial and technical viability and ceases when the product is available for general release. The capitalized costs include salaries and related payroll costs incurred in the development activities. Software development costs are carried at cost less accumulated amortization. Amortization is computed by using the greater of the amount that results from applying the ratio that current revenue for the product bears to total revenue for the product or the straight-line method over the remaining useful life of the product. Generally, such deferred costs are amortized over five years. During the years ended December 31, 1998, 1997 and 1996, $4.7 million, $518,398 and $300,105, respectively, of capitalized software development costs were amortized.</w:t>
      </w:r>
    </w:p>
    <w:p>
      <w:pPr>
        <w:spacing w:after="0" w:line="17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REVENUE RECOGNITION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Revenues and costs associated with the recurring process of providing billing and other service/software solutions are recognized at the time services are performed. Custom programming contracts are accounted for upon completion of short-term projects. For longer-term custom programming projects, the percentage of completion method is used. Accounts receivable at December 31, 1998 and 1997 include $12.3 million and $2.3 million, respectively, for services rendered prior to December 31 which were billed in January of the following year when the billing cycles were complete.</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CASH EQUIVALENTS</w:t>
      </w:r>
    </w:p>
    <w:p>
      <w:pPr>
        <w:spacing w:after="0" w:line="176" w:lineRule="exact"/>
        <w:rPr>
          <w:sz w:val="20"/>
          <w:szCs w:val="20"/>
          <w:color w:val="auto"/>
        </w:rPr>
      </w:pPr>
    </w:p>
    <w:p>
      <w:pPr>
        <w:ind w:left="8" w:right="3519" w:firstLine="447"/>
        <w:spacing w:after="0"/>
        <w:rPr>
          <w:sz w:val="20"/>
          <w:szCs w:val="20"/>
          <w:color w:val="auto"/>
        </w:rPr>
      </w:pPr>
      <w:r>
        <w:rPr>
          <w:rFonts w:ascii="Courier New" w:cs="Courier New" w:eastAsia="Courier New" w:hAnsi="Courier New"/>
          <w:sz w:val="15"/>
          <w:szCs w:val="15"/>
          <w:color w:val="auto"/>
        </w:rPr>
        <w:t>The Company considers all highly liquid investments with a maturity of three months or less when purchased to be cash equivalents.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CONSOLIDATION</w:t>
      </w:r>
    </w:p>
    <w:p>
      <w:pPr>
        <w:spacing w:after="0" w:line="176" w:lineRule="exact"/>
        <w:rPr>
          <w:sz w:val="20"/>
          <w:szCs w:val="20"/>
          <w:color w:val="auto"/>
        </w:rPr>
      </w:pPr>
    </w:p>
    <w:p>
      <w:pPr>
        <w:ind w:left="8" w:right="3519" w:firstLine="447"/>
        <w:spacing w:after="0" w:line="274" w:lineRule="auto"/>
        <w:rPr>
          <w:sz w:val="20"/>
          <w:szCs w:val="20"/>
          <w:color w:val="auto"/>
        </w:rPr>
      </w:pPr>
      <w:r>
        <w:rPr>
          <w:rFonts w:ascii="Courier New" w:cs="Courier New" w:eastAsia="Courier New" w:hAnsi="Courier New"/>
          <w:sz w:val="14"/>
          <w:szCs w:val="14"/>
          <w:color w:val="auto"/>
        </w:rPr>
        <w:t>The financial statements include the accounts of ITDS and consolidated subsidiaries after elimination of intercompany accounts and transactions.</w:t>
      </w:r>
    </w:p>
    <w:p>
      <w:pPr>
        <w:spacing w:after="0" w:line="152"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F-36</w:t>
      </w:r>
    </w:p>
    <w:p>
      <w:pPr>
        <w:sectPr>
          <w:pgSz w:w="11900" w:h="16838" w:orient="portrait"/>
          <w:cols w:equalWidth="0" w:num="1">
            <w:col w:w="10227"/>
          </w:cols>
          <w:pgMar w:left="232" w:top="289"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5"/>
          <w:szCs w:val="15"/>
          <w:color w:val="auto"/>
        </w:rPr>
        <w:t>110</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COSTS</w:t>
      </w:r>
    </w:p>
    <w:p>
      <w:pPr>
        <w:spacing w:after="0" w:line="176" w:lineRule="exact"/>
        <w:rPr>
          <w:sz w:val="20"/>
          <w:szCs w:val="20"/>
          <w:color w:val="auto"/>
        </w:rPr>
      </w:pPr>
    </w:p>
    <w:p>
      <w:pPr>
        <w:jc w:val="both"/>
        <w:ind w:right="3339" w:firstLine="447"/>
        <w:spacing w:after="0" w:line="241" w:lineRule="auto"/>
        <w:rPr>
          <w:sz w:val="20"/>
          <w:szCs w:val="20"/>
          <w:color w:val="auto"/>
        </w:rPr>
      </w:pPr>
      <w:r>
        <w:rPr>
          <w:rFonts w:ascii="Courier New" w:cs="Courier New" w:eastAsia="Courier New" w:hAnsi="Courier New"/>
          <w:sz w:val="15"/>
          <w:szCs w:val="15"/>
          <w:color w:val="auto"/>
        </w:rPr>
        <w:t>The Company expenses advertising costs as incurred. Advertising expenses for the years ended December 31, 1998, 1997, and 1996 were $670,542, $233,673 and $194,097, respectively.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Other income for the years ended December 31, 1998, 1997 and 1996 includes $1.4 million, $1.6 million and $313,132, respectively, of investment income, primarily interest income.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amounts and disclosures reported in the financial statements and accompanying notes. Actual results could differ from those estimates.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 CUSTOMERS</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Revenues generated from Nextel and Western Wireless accounted for approximately 30.2% and 11.9%, respectively, of 1998 revenues. For the year ended 1997 revenues from Aliant Communications and Sygnet Communications accounted for 18.4% and 11.7%, respectively, and for the year ended 1996 Aliant Communications and Horizon Cellular accounted for 19.1% and 12.5%, respectively, of revenues. The loss of either Nextel or Western Wireless could have an adverse impact on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June 1998, the Financial Accounting Standards Board ("FASB") issued Statement No. 133, Accounting for Derivative Instruments and Hedging Activities, which is required to be adopted in years beginning after June 15, 1999. Because of the Company's limited use of derivatives, management does not anticipate that the adoption of the new Statement will have a significant effect on earnings or the financial position of the Company.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Effective January 1, 1998, the Company adopted the FASB's Statement of Financial Accounting Standards No. 131, Disclosures about Segments of an Enterprise and Related Information ("SFAS 131"). SFAS 131 superseded SFAS 14, Financial Reporting for Segments of a Business Enterprise. SFAS 131 establishes standards for the way that public business enterprises report information about operating segments in annual financial statements and requires that those enterprises report selected information about operating segments in interim financial reports. SFAS 131 also establishes standards for related disclosures about products and services, geographic areas, and major customers. The adoption of SFAS 131 did not affect results of operations or financial position. The operating results of the Company are regularly reviewed by the chief operating decision maker as one well-defined line of business. Therefore, the Company has determined that under the requirements of SFAS 131, it continues to have only one operating segment.</w:t>
      </w:r>
    </w:p>
    <w:p>
      <w:pPr>
        <w:spacing w:after="0" w:line="182" w:lineRule="exact"/>
        <w:rPr>
          <w:sz w:val="20"/>
          <w:szCs w:val="20"/>
          <w:color w:val="auto"/>
        </w:rPr>
      </w:pPr>
    </w:p>
    <w:p>
      <w:pPr>
        <w:ind w:right="3699" w:firstLine="447"/>
        <w:spacing w:after="0" w:line="241" w:lineRule="auto"/>
        <w:rPr>
          <w:sz w:val="20"/>
          <w:szCs w:val="20"/>
          <w:color w:val="auto"/>
        </w:rPr>
      </w:pPr>
      <w:r>
        <w:rPr>
          <w:rFonts w:ascii="Courier New" w:cs="Courier New" w:eastAsia="Courier New" w:hAnsi="Courier New"/>
          <w:sz w:val="15"/>
          <w:szCs w:val="15"/>
          <w:color w:val="auto"/>
        </w:rPr>
        <w:t>As of January 1, 1998, the Company adopted SFAS 130, Reporting Comprehensive Income ("SFAS 130"). SFAS 130 establishes new rules for the reporting and display of comprehensive income and its components.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F-37</w:t>
      </w:r>
    </w:p>
    <w:p>
      <w:pPr>
        <w:sectPr>
          <w:pgSz w:w="11900" w:h="16838" w:orient="portrait"/>
          <w:cols w:equalWidth="0" w:num="1">
            <w:col w:w="10219"/>
          </w:cols>
          <w:pgMar w:left="240" w:top="289" w:right="1440" w:bottom="1440" w:gutter="0" w:footer="0" w:header="0"/>
        </w:sectPr>
      </w:pPr>
    </w:p>
    <w:bookmarkStart w:id="111" w:name="page112"/>
    <w:bookmarkEnd w:id="111"/>
    <w:p>
      <w:pPr>
        <w:ind w:left="268"/>
        <w:spacing w:after="0"/>
        <w:rPr>
          <w:sz w:val="20"/>
          <w:szCs w:val="20"/>
          <w:color w:val="auto"/>
        </w:rPr>
      </w:pPr>
      <w:r>
        <w:rPr>
          <w:rFonts w:ascii="Courier New" w:cs="Courier New" w:eastAsia="Courier New" w:hAnsi="Courier New"/>
          <w:sz w:val="15"/>
          <w:szCs w:val="15"/>
          <w:color w:val="auto"/>
        </w:rPr>
        <w:t>111</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348" w:hanging="348"/>
        <w:spacing w:after="0"/>
        <w:tabs>
          <w:tab w:leader="none" w:pos="34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January 2, 1998, the Company acquired a subsidiary of Computer Sciences Corporation ("CSC"), a provider of billing and customer care software, by acquiring all of the outstanding Capital Stock of CSC Intelicom Inc. (now known as ITDS Intelicom Services, Inc.) ("Intelicom"). This acquisition was accounted for using the purchase method of accounting. The purchase price, after working capital adjustments aggregating approximately $14.2 million, aggregated $83.7 million, before direct costs of approximately $1.2 million and consisted of 606,673 shares of Common Stock of the Company valued at $10 million (before registration costs of $100,000) and $73.8 million in cash. In addition, the Company made a $6 million payment in January 1999, which was contingent upon certain performance factors. The assets acquired and liabilities assumed were recorded at their estimated fair value on the date of acquisition and the purchase price in excess of the fair market value of the assets acquired of approximately $45.3 million is being amortized over 15 years. In connection with the acquisition the Company received current assets of $5.9 million, product development costs of $16.6 million, and other non-current assets of $3 million and accrued liabilities of $7.9 million. In addition, purchased research and development costs of $20.8 million, before income tax benefit, and personnel and other indirect transaction costs of $4.7 million, before income tax benefit, (principally hiring and temporary staff of $1.8 million, special bonuses paid to the Company's employees and management of $2.3 million and systems and other costs of $600,000) associated with the Intelicom acquisition have been expensed in 1998. The operations of Intelicom are included with the Company's financial statements since the date of acquisition. All of the personnel and indirect acquisition costs were paid during 1998 with the exception of approximately $220,000. Assuming the acquisition occurred on January 1, 1997, revenues, net income and diluted earnings per share for 1997 would have been $80.4 million, $5.2 million and $0.37, respectively.</w:t>
      </w:r>
    </w:p>
    <w:p>
      <w:pPr>
        <w:spacing w:after="0" w:line="191"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 portion of the cash purchase price for Intelicom was obtained by the Company under a credit agreement dated January 2, 1998, with certain lenders and Lehman Commercial Paper, Inc., as Administrative Agent and Arranger (the "Credit Agreement"). The Company subsequently amended the Credit Agreement with an Amended and Restated Credit Agreement dated as of March 18, 1998 (the "Amended Credit Agreement") which provided for a $70 million term loan and a $30 million line of credit. The Amended Credit Agreement contains normal covenants which include meeting certain financial ratios.</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During the quarter ended March 31, 1998, the Company entered into a hedging agreement with a third party, expiring in March 2001, to limit exposure to interest rate volatility on the Amended Credit Agreement (the "Hedge Agreement").</w:t>
      </w:r>
    </w:p>
    <w:p>
      <w:pPr>
        <w:spacing w:after="0" w:line="175"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On June 8, 1998 as a result of the follow-on offering described in Note 4, the Company retired the $70 million term loan and terminated the Hedge Agreement. In connection with repaying the $70 million term loan, and canceling the Hedge Agreement, the Company recorded an after tax extraordinary charge of $826,198.</w:t>
      </w:r>
    </w:p>
    <w:p>
      <w:pPr>
        <w:spacing w:after="0" w:line="175" w:lineRule="exact"/>
        <w:rPr>
          <w:sz w:val="20"/>
          <w:szCs w:val="20"/>
          <w:color w:val="auto"/>
        </w:rPr>
      </w:pPr>
    </w:p>
    <w:p>
      <w:pPr>
        <w:ind w:left="8" w:right="3079" w:firstLine="447"/>
        <w:spacing w:after="0"/>
        <w:rPr>
          <w:sz w:val="20"/>
          <w:szCs w:val="20"/>
          <w:color w:val="auto"/>
        </w:rPr>
      </w:pPr>
      <w:r>
        <w:rPr>
          <w:rFonts w:ascii="Courier New" w:cs="Courier New" w:eastAsia="Courier New" w:hAnsi="Courier New"/>
          <w:sz w:val="15"/>
          <w:szCs w:val="15"/>
          <w:color w:val="auto"/>
        </w:rPr>
        <w:t>The $30 million line of credit remains outstanding at December 31, 1998. No amounts were drawn on the line of credit during 1998.</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Costs for acquired in-process research and development ("in-process R&amp;D") for projects that did not have future alternative uses were $20.8 million. This allocation represents the estimated fair market value based on risk-adjusted cash flows related to the in-process R&amp;D projects. At the date of acquisition, the development of these projects had not yet reached technological feasibility, and the in-process R&amp;D had no alternative future uses. Accordingly, these costs were written off in the quarter ended March 31, 1998.</w:t>
      </w:r>
    </w:p>
    <w:p>
      <w:pPr>
        <w:spacing w:after="0" w:line="175"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F-38</w:t>
      </w:r>
    </w:p>
    <w:p>
      <w:pPr>
        <w:sectPr>
          <w:pgSz w:w="11900" w:h="16838" w:orient="portrait"/>
          <w:cols w:equalWidth="0" w:num="1">
            <w:col w:w="10227"/>
          </w:cols>
          <w:pgMar w:left="232" w:top="289" w:right="1440" w:bottom="1440" w:gutter="0" w:footer="0" w:header="0"/>
        </w:sectPr>
      </w:pPr>
    </w:p>
    <w:bookmarkStart w:id="112" w:name="page113"/>
    <w:bookmarkEnd w:id="112"/>
    <w:p>
      <w:pPr>
        <w:ind w:left="268"/>
        <w:spacing w:after="0"/>
        <w:rPr>
          <w:sz w:val="20"/>
          <w:szCs w:val="20"/>
          <w:color w:val="auto"/>
        </w:rPr>
      </w:pPr>
      <w:r>
        <w:rPr>
          <w:rFonts w:ascii="Courier New" w:cs="Courier New" w:eastAsia="Courier New" w:hAnsi="Courier New"/>
          <w:sz w:val="15"/>
          <w:szCs w:val="15"/>
          <w:color w:val="auto"/>
        </w:rPr>
        <w:t>112</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left="8" w:right="3259" w:firstLine="447"/>
        <w:spacing w:after="0" w:line="261" w:lineRule="auto"/>
        <w:rPr>
          <w:sz w:val="20"/>
          <w:szCs w:val="20"/>
          <w:color w:val="auto"/>
        </w:rPr>
      </w:pPr>
      <w:r>
        <w:rPr>
          <w:rFonts w:ascii="Courier New" w:cs="Courier New" w:eastAsia="Courier New" w:hAnsi="Courier New"/>
          <w:sz w:val="14"/>
          <w:szCs w:val="14"/>
          <w:color w:val="auto"/>
        </w:rPr>
        <w:t>On the date of its acquisition, Intelicom's in-process R&amp;D value was comprised of three primary R&amp;D programs that were expected to reach completion between late 1998 and 2000. These projects included the introduction of new technology aimed at customer care and billing technology. At the acquisition date, Intelicom's R&amp;D programs ranged in completion from 35% to 80%, and total continuing R&amp;D commitments to complete the projects were expected to be approximately $5.5 million. On the acquisition date, expenditures to complete the Intelicom's projects were expected to be approximately $3 million, $2 million and $500,000 in 1998 through 2000, respectively. These estimates are subject to change, given the uncertainties of the development process, and no assurance can be given that deviations from these estimates will not occur. Additionally, these projects will require maintenance expenditures when and if they reach a state of technological and commercial feasibility. Based on the activities during 1998, the Company believes that the assumptions used in the valuation are reasonable.</w:t>
      </w:r>
    </w:p>
    <w:p>
      <w:pPr>
        <w:spacing w:after="0" w:line="33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Management believes the Company is positioned to complete each of the major R&amp;D programs. However, there is risk associated with the completion of the projects, and there is no assurance that any project will meet with either technological or commercial success. The substantial delay or outright failure of the Intelicom R&amp;D could adversely impact the Company's financial condition.</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value assigned to purchased in-process R&amp;D was determined by estimating the costs to develop Intelicom's purchased in-process R&amp;D into commercially viable products, estimating the resulting net cash flows from the projects and discounting the net cash flows to their present value. The revenue estimates used to value the in-process R&amp;D were based on estimates of relevant market sizes and growth factors, expected trends in technology and the nature and expected timing of new product introductions by the Company and its competitors. The valuation anticipates revenues beginning in 1998.</w:t>
      </w:r>
    </w:p>
    <w:p>
      <w:pPr>
        <w:spacing w:after="0" w:line="177" w:lineRule="exact"/>
        <w:rPr>
          <w:sz w:val="20"/>
          <w:szCs w:val="20"/>
          <w:color w:val="auto"/>
        </w:rPr>
      </w:pPr>
    </w:p>
    <w:p>
      <w:pPr>
        <w:ind w:left="8" w:right="3159" w:firstLine="447"/>
        <w:spacing w:after="0" w:line="262" w:lineRule="auto"/>
        <w:rPr>
          <w:sz w:val="20"/>
          <w:szCs w:val="20"/>
          <w:color w:val="auto"/>
        </w:rPr>
      </w:pPr>
      <w:r>
        <w:rPr>
          <w:rFonts w:ascii="Courier New" w:cs="Courier New" w:eastAsia="Courier New" w:hAnsi="Courier New"/>
          <w:sz w:val="14"/>
          <w:szCs w:val="14"/>
          <w:color w:val="auto"/>
        </w:rPr>
        <w:t>The rates utilized to discount the net cash flows to their present value are based on Intelicom's weighted average cost of capital. Given the nature of the risks associated with the estimated growth, profitability and developmental projects, Intelicom's weighted average cost of capital was adjusted. A discount rate of 30% was deemed appropriate for Intelicom's business enterprise. This discount rate is intended to be commensurate with Intelicom's maturity and the uncertainties in the economic estimates described above.</w:t>
      </w:r>
    </w:p>
    <w:p>
      <w:pPr>
        <w:spacing w:after="0" w:line="164"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estimates used by the Company in valuing in-process R&amp;D were based upon assumptions the Company believes to be reasonable but which are inherently uncertain and unpredictable. The Company's assumptions may be incomplete or inaccurate, and no assurance can be given that unanticipated events and circumstances will not occur. Accordingly, actual results may vary from the projected results. Any such variance may result in a material adverse effect on the financial condition and results of operations of the Company.</w:t>
      </w:r>
    </w:p>
    <w:p>
      <w:pPr>
        <w:spacing w:after="0" w:line="175" w:lineRule="exact"/>
        <w:rPr>
          <w:sz w:val="20"/>
          <w:szCs w:val="20"/>
          <w:color w:val="auto"/>
        </w:rPr>
      </w:pPr>
    </w:p>
    <w:p>
      <w:pPr>
        <w:ind w:left="348" w:hanging="348"/>
        <w:spacing w:after="0"/>
        <w:tabs>
          <w:tab w:leader="none" w:pos="348"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LINE OF CREDIT</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Amended Credit Agreement (see Note 2) provides for a $30 million line of credit which contains normal covenants including meeting certain financial ratios. This agreement requires the Company to pay interest at LIBOR plus up to two and one quarter percent and expires on December 31, 2002. As of December 31, 1998, no amounts were drawn on the line of credit.</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F-39</w:t>
      </w:r>
    </w:p>
    <w:p>
      <w:pPr>
        <w:sectPr>
          <w:pgSz w:w="11900" w:h="16838" w:orient="portrait"/>
          <w:cols w:equalWidth="0" w:num="1">
            <w:col w:w="10227"/>
          </w:cols>
          <w:pgMar w:left="232" w:top="289" w:right="1440" w:bottom="1440" w:gutter="0" w:footer="0" w:header="0"/>
        </w:sectPr>
      </w:pPr>
    </w:p>
    <w:bookmarkStart w:id="113" w:name="page114"/>
    <w:bookmarkEnd w:id="113"/>
    <w:p>
      <w:pPr>
        <w:ind w:left="268"/>
        <w:spacing w:after="0"/>
        <w:rPr>
          <w:sz w:val="20"/>
          <w:szCs w:val="20"/>
          <w:color w:val="auto"/>
        </w:rPr>
      </w:pPr>
      <w:r>
        <w:rPr>
          <w:rFonts w:ascii="Courier New" w:cs="Courier New" w:eastAsia="Courier New" w:hAnsi="Courier New"/>
          <w:sz w:val="15"/>
          <w:szCs w:val="15"/>
          <w:color w:val="auto"/>
        </w:rPr>
        <w:t>113</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left="8" w:right="8699" w:hanging="8"/>
        <w:spacing w:after="0" w:line="520" w:lineRule="auto"/>
        <w:tabs>
          <w:tab w:leader="none" w:pos="366"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STOCK STOCK SPLIT</w:t>
      </w:r>
    </w:p>
    <w:p>
      <w:pPr>
        <w:spacing w:after="0" w:line="1" w:lineRule="exact"/>
        <w:rPr>
          <w:sz w:val="20"/>
          <w:szCs w:val="20"/>
          <w:color w:val="auto"/>
        </w:rPr>
      </w:pPr>
    </w:p>
    <w:p>
      <w:pPr>
        <w:ind w:left="8" w:right="3519" w:firstLine="447"/>
        <w:spacing w:after="0" w:line="242" w:lineRule="auto"/>
        <w:rPr>
          <w:sz w:val="20"/>
          <w:szCs w:val="20"/>
          <w:color w:val="auto"/>
        </w:rPr>
      </w:pPr>
      <w:r>
        <w:rPr>
          <w:rFonts w:ascii="Courier New" w:cs="Courier New" w:eastAsia="Courier New" w:hAnsi="Courier New"/>
          <w:sz w:val="15"/>
          <w:szCs w:val="15"/>
          <w:color w:val="auto"/>
        </w:rPr>
        <w:t>The Company effected a three-for-two stock split, in the form of a 50% stock dividend, distributed on March 9, 1998 to stockholders of record on February 23, 1998. Accordingly, all share and per share amounts have been adjusted to reflect this split.</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PUBLIC OFFERINGS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Company completed its Initial Public Offering ("IPO") in October 1996. The Company sold 3 million shares at $10.67 per share, resulting in proceeds to the Company of approximately $28.7 million, after deducting expenses. In addition, on November 18, 1996 the Company received approximately $3.0 million, net of expenses, upon the exercise of the underwriters' over-allotment option to purchase 300,000 shares of Common Stock from the Company in connection with the IPO.</w:t>
      </w:r>
    </w:p>
    <w:p>
      <w:pPr>
        <w:spacing w:after="0" w:line="175"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In connection with the IPO, the Company's Certificate of Incorporation was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amended to authorize the issuance of up to 40,000,000 shares of Common Stock,</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$.01 par value per share and the issuance of up to 2,000,000 shares of Preferred</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 $.01 par value per share.</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 portion of the proceeds from the Company's IPO were used to retire substantially all of the Company's outstanding debt. In addition, the Company's Class A and B Preferred Stock was retired and the holders of such shares were issued an aggregate of 1,279,218 shares of the Company's Common Stock and were paid an aggregate amount of $825,000. The distribution of the 1,279,218 shares of the Company's Common Stock, valued at $8 per share, for an aggregate of $10.2 million, resulted in a one-time, noncash charge to retained earnings and a corresponding increase to additional paid-in-capital. Further, immediately prior to the IPO, Connecticut Innovations Incorporated ("CII") exercised outstanding warrants to purchase 501,786 shares of the Company's Common Stock at an aggregate purchase price of $822,959. In addition, upon the closing of the IPO all of the outstanding shares of Series C Preferred Stock of the Company (all of which were held by CII) converted into an aggregate of 154,800 shares of Common Stock.</w:t>
      </w:r>
    </w:p>
    <w:p>
      <w:pPr>
        <w:spacing w:after="0" w:line="18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FOLLOW-ON OFFERINGS</w:t>
      </w:r>
    </w:p>
    <w:p>
      <w:pPr>
        <w:spacing w:after="0" w:line="176" w:lineRule="exact"/>
        <w:rPr>
          <w:sz w:val="20"/>
          <w:szCs w:val="20"/>
          <w:color w:val="auto"/>
        </w:rPr>
      </w:pPr>
    </w:p>
    <w:p>
      <w:pPr>
        <w:ind w:left="8" w:right="3259" w:firstLine="447"/>
        <w:spacing w:after="0"/>
        <w:rPr>
          <w:sz w:val="20"/>
          <w:szCs w:val="20"/>
          <w:color w:val="auto"/>
        </w:rPr>
      </w:pPr>
      <w:r>
        <w:rPr>
          <w:rFonts w:ascii="Courier New" w:cs="Courier New" w:eastAsia="Courier New" w:hAnsi="Courier New"/>
          <w:sz w:val="15"/>
          <w:szCs w:val="15"/>
          <w:color w:val="auto"/>
        </w:rPr>
        <w:t>During April 1997, the Company received net proceeds of $172,876 from the sale of 75,000 shares of its Common Stock in a follow-on offering.</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June 1998, the Company successfully completed a follow-on offering of 3,662,750 shares of Common Stock resulting in net proceeds to the Company of approximately $83.1 million, after deducting expenses of $579,834. With the proceeds, the Company retired the $70 million term loan obtained in connection with the January 2, 1998 Intelicom acquisition, and the remaining funds were used for working capital. In addition to the follow-on offering and shares issued in connection with the Intelicom acquisition, shares were issued in connection with the exercise of stock options during the year ended December 31, 1998.</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EARNINGS PER SHARE</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February 1997, the FASB issued Statement of Financial Accounting Standards SFAS No. 128, "Earnings Per Share" ("SFAS 128"), which revises the methodology of calculating earnings per share. The Company adopted SFAS 128 in the fourth quarter of 1997. All earnings per share amounts for all prior periods have been presented in accordance with and where appropriate, restated to conform to the SFAS 128 requirements. In accordance with SFAS 128,</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F-40</w:t>
      </w:r>
    </w:p>
    <w:p>
      <w:pPr>
        <w:sectPr>
          <w:pgSz w:w="11900" w:h="16838" w:orient="portrait"/>
          <w:cols w:equalWidth="0" w:num="1">
            <w:col w:w="10227"/>
          </w:cols>
          <w:pgMar w:left="232" w:top="289" w:right="1440" w:bottom="1440" w:gutter="0" w:footer="0" w:header="0"/>
        </w:sectPr>
      </w:pPr>
    </w:p>
    <w:bookmarkStart w:id="114" w:name="page115"/>
    <w:bookmarkEnd w:id="114"/>
    <w:p>
      <w:pPr>
        <w:ind w:left="268"/>
        <w:spacing w:after="0"/>
        <w:rPr>
          <w:sz w:val="20"/>
          <w:szCs w:val="20"/>
          <w:color w:val="auto"/>
        </w:rPr>
      </w:pPr>
      <w:r>
        <w:rPr>
          <w:rFonts w:ascii="Courier New" w:cs="Courier New" w:eastAsia="Courier New" w:hAnsi="Courier New"/>
          <w:sz w:val="15"/>
          <w:szCs w:val="15"/>
          <w:color w:val="auto"/>
        </w:rPr>
        <w:t>114</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left="8" w:right="3259"/>
        <w:spacing w:after="0"/>
        <w:rPr>
          <w:sz w:val="20"/>
          <w:szCs w:val="20"/>
          <w:color w:val="auto"/>
        </w:rPr>
      </w:pPr>
      <w:r>
        <w:rPr>
          <w:rFonts w:ascii="Courier New" w:cs="Courier New" w:eastAsia="Courier New" w:hAnsi="Courier New"/>
          <w:sz w:val="15"/>
          <w:szCs w:val="15"/>
          <w:color w:val="auto"/>
        </w:rPr>
        <w:t>all common stock equivalents that have a dilutive effect on earnings per share are included in the calculation for diluted income per share.</w:t>
      </w:r>
    </w:p>
    <w:p>
      <w:pPr>
        <w:spacing w:after="0" w:line="176" w:lineRule="exact"/>
        <w:rPr>
          <w:sz w:val="20"/>
          <w:szCs w:val="20"/>
          <w:color w:val="auto"/>
        </w:rPr>
      </w:pPr>
    </w:p>
    <w:p>
      <w:pPr>
        <w:ind w:left="8" w:right="3079" w:firstLine="447"/>
        <w:spacing w:after="0"/>
        <w:rPr>
          <w:sz w:val="20"/>
          <w:szCs w:val="20"/>
          <w:color w:val="auto"/>
        </w:rPr>
      </w:pPr>
      <w:r>
        <w:rPr>
          <w:rFonts w:ascii="Courier New" w:cs="Courier New" w:eastAsia="Courier New" w:hAnsi="Courier New"/>
          <w:sz w:val="15"/>
          <w:szCs w:val="15"/>
          <w:color w:val="auto"/>
        </w:rPr>
        <w:t>The following table set forth the computation of basic and diluted earnings (loss) per share (in thousands, except per share amounts):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52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1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5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4"/>
              </w:rPr>
              <w:t>1997</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1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4"/>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124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4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Numerator for basic and diluted earnings (loss) per</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share -- earnings (loss) before extraordinary item.....</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$(3,100)</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$4,801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$1,502</w:t>
            </w:r>
          </w:p>
        </w:tc>
      </w:tr>
      <w:tr>
        <w:trPr>
          <w:trHeight w:val="172"/>
        </w:trPr>
        <w:tc>
          <w:tcPr>
            <w:tcW w:w="1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4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Denominator for basic earnings (loss) per</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share -- weighted-average shares.......................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15,607</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12,728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9,890</w:t>
            </w: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Effect of dilutive securities:</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Employee stock options.................................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219</w:t>
            </w:r>
          </w:p>
        </w:tc>
      </w:tr>
      <w:tr>
        <w:trPr>
          <w:trHeight w:val="172"/>
        </w:trPr>
        <w:tc>
          <w:tcPr>
            <w:tcW w:w="1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Denominator for diluted earnings (loss) per</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1240" w:type="dxa"/>
            <w:vAlign w:val="bottom"/>
          </w:tcPr>
          <w:p>
            <w:pPr>
              <w:ind w:left="440"/>
              <w:spacing w:after="0"/>
              <w:rPr>
                <w:sz w:val="20"/>
                <w:szCs w:val="20"/>
                <w:color w:val="auto"/>
              </w:rPr>
            </w:pPr>
            <w:r>
              <w:rPr>
                <w:rFonts w:ascii="Courier New" w:cs="Courier New" w:eastAsia="Courier New" w:hAnsi="Courier New"/>
                <w:sz w:val="15"/>
                <w:szCs w:val="15"/>
                <w:color w:val="auto"/>
              </w:rPr>
              <w:t>share --</w:t>
            </w:r>
          </w:p>
        </w:tc>
        <w:tc>
          <w:tcPr>
            <w:tcW w:w="42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adjusted weighted-average shares and assumed</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conversions............................................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15,607</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13,193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10,109</w:t>
            </w:r>
          </w:p>
        </w:tc>
      </w:tr>
      <w:tr>
        <w:trPr>
          <w:trHeight w:val="172"/>
        </w:trPr>
        <w:tc>
          <w:tcPr>
            <w:tcW w:w="1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Basic income (loss) per common share before extraordinary</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item......................................................</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(0.20)</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$ 0.38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$ 0.15</w:t>
            </w:r>
          </w:p>
        </w:tc>
      </w:tr>
      <w:tr>
        <w:trPr>
          <w:trHeight w:val="172"/>
        </w:trPr>
        <w:tc>
          <w:tcPr>
            <w:tcW w:w="1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Diluted income (loss) per common share before extraordinary</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item......................................................</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 (0.20)</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$ 0.36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$ 0.15</w:t>
            </w:r>
          </w:p>
        </w:tc>
      </w:tr>
      <w:tr>
        <w:trPr>
          <w:trHeight w:val="172"/>
        </w:trPr>
        <w:tc>
          <w:tcPr>
            <w:tcW w:w="1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Income per common share for the year ended December 31, 1996 is calculated using the weighted average number of shares of common stock outstanding after giving effect to the retirement of the Company's Class A and B Preferred Stock and the conversion of the Series C Preferred Stock in conjunction with the Company's IPO.</w:t>
      </w:r>
    </w:p>
    <w:p>
      <w:pPr>
        <w:spacing w:after="0" w:line="174" w:lineRule="exact"/>
        <w:rPr>
          <w:sz w:val="20"/>
          <w:szCs w:val="20"/>
          <w:color w:val="auto"/>
        </w:rPr>
      </w:pPr>
    </w:p>
    <w:p>
      <w:pPr>
        <w:ind w:left="348" w:hanging="348"/>
        <w:spacing w:after="0"/>
        <w:tabs>
          <w:tab w:leader="none" w:pos="348"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PLANS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Company's 1998, 1997 and 1996 Stock Plans authorize the grant of options to employees, directors and consultants for up to 1,125,000, 1,500,000 shares and 1,125,000 shares, respectively, of the Company's Common Stock. All options granted have 10 year terms and vest and become fully exercisable at the end of 4 years of continued service. In addition, a total of 300,000 shares of Common Stock have been authorized for issuance under the Company's 1996 Employee Stock Purchase Plan. The 1998 and 1996 plans are incentive plans, the 1997 is a non-qualified plan.</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Under the employee stock purchase plan, shares of the Company's Common Stock may be purchased at six-month intervals at 85% of the lower of the fair market value on the first or the last business day of each six-month period. Employees may purchase shares having a value not exceeding 10% of their gross compensation, up to $25,000 of fair market value of such Common Stock, during an offering period.</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F-41</w:t>
      </w:r>
    </w:p>
    <w:p>
      <w:pPr>
        <w:sectPr>
          <w:pgSz w:w="11900" w:h="16838" w:orient="portrait"/>
          <w:cols w:equalWidth="0" w:num="1">
            <w:col w:w="10227"/>
          </w:cols>
          <w:pgMar w:left="232" w:top="289"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5"/>
          <w:szCs w:val="15"/>
          <w:color w:val="auto"/>
        </w:rPr>
        <w:t>115</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159" w:firstLine="447"/>
        <w:spacing w:after="0" w:line="274" w:lineRule="auto"/>
        <w:rPr>
          <w:sz w:val="20"/>
          <w:szCs w:val="20"/>
          <w:color w:val="auto"/>
        </w:rPr>
      </w:pPr>
      <w:r>
        <w:rPr>
          <w:rFonts w:ascii="Courier New" w:cs="Courier New" w:eastAsia="Courier New" w:hAnsi="Courier New"/>
          <w:sz w:val="14"/>
          <w:szCs w:val="14"/>
          <w:color w:val="auto"/>
        </w:rPr>
        <w:t>A summary of the Company's activity in the stock option plans, and related information for the years ended December 31, 1998, 1997 and 1996 follows: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8"/>
              </w:rPr>
              <w:t>WEIGHTED-AVERAGE</w:t>
            </w:r>
          </w:p>
        </w:tc>
      </w:tr>
      <w:tr>
        <w:trPr>
          <w:trHeight w:val="172"/>
        </w:trPr>
        <w:tc>
          <w:tcPr>
            <w:tcW w:w="500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OPTIONS</w:t>
            </w:r>
          </w:p>
        </w:tc>
        <w:tc>
          <w:tcPr>
            <w:tcW w:w="16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EXERCISE PRICE</w:t>
            </w:r>
          </w:p>
        </w:tc>
      </w:tr>
      <w:tr>
        <w:trPr>
          <w:trHeight w:val="172"/>
        </w:trPr>
        <w:tc>
          <w:tcPr>
            <w:tcW w:w="500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Outstanding at December 31, 1995.......................</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590,550</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$ 9.29</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2,250</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9.33</w:t>
            </w:r>
          </w:p>
        </w:tc>
      </w:tr>
      <w:tr>
        <w:trPr>
          <w:trHeight w:val="172"/>
        </w:trPr>
        <w:tc>
          <w:tcPr>
            <w:tcW w:w="500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Outstanding at December 31, 1996.......................</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588,300</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9.29</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2,607,643</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12.33</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47,906</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7.77</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Cancelled..............................................</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534,754</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10.52</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124,184</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7.88</w:t>
            </w:r>
          </w:p>
        </w:tc>
      </w:tr>
      <w:tr>
        <w:trPr>
          <w:trHeight w:val="172"/>
        </w:trPr>
        <w:tc>
          <w:tcPr>
            <w:tcW w:w="500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Outstanding at December 31, 1997.......................</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2,489,099</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12.33</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1,037,800</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25.69</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232,768</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8.12</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344,286</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15.11</w:t>
            </w:r>
          </w:p>
        </w:tc>
      </w:tr>
      <w:tr>
        <w:trPr>
          <w:trHeight w:val="172"/>
        </w:trPr>
        <w:tc>
          <w:tcPr>
            <w:tcW w:w="500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Outstanding at December 31, 1998.......................</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2,949,845</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$17.21</w:t>
            </w:r>
          </w:p>
        </w:tc>
      </w:tr>
      <w:tr>
        <w:trPr>
          <w:trHeight w:val="172"/>
        </w:trPr>
        <w:tc>
          <w:tcPr>
            <w:tcW w:w="500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Options exercisable at December 31, 1998...............</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682,521</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$11.69</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Options exercisable at December 31, 1997...............</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111,583</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$ 9.19</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Options exercisable at December 31, 1996...............</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24,093</w:t>
            </w: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$12.24</w:t>
            </w:r>
          </w:p>
        </w:tc>
      </w:tr>
    </w:tbl>
    <w:p>
      <w:pPr>
        <w:spacing w:after="0" w:line="34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May 1997, 534,750 options previously issued were exchanged for new options covering an equal number of shares and an exercise price equal to the then current market price. The repriced options were included in the number of shares granted and cancelled for 1997.</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20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OPTIONS OUTSTANDING</w:t>
            </w:r>
          </w:p>
        </w:tc>
        <w:tc>
          <w:tcPr>
            <w:tcW w:w="17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20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w:t>
            </w:r>
          </w:p>
        </w:tc>
        <w:tc>
          <w:tcPr>
            <w:tcW w:w="17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WEIGHTED-AVERAGE</w:t>
            </w:r>
          </w:p>
        </w:tc>
        <w:tc>
          <w:tcPr>
            <w:tcW w:w="1700" w:type="dxa"/>
            <w:vAlign w:val="bottom"/>
          </w:tcPr>
          <w:p>
            <w:pPr>
              <w:spacing w:after="0"/>
              <w:rPr>
                <w:sz w:val="14"/>
                <w:szCs w:val="1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RANGE OF</w:t>
            </w:r>
          </w:p>
        </w:tc>
        <w:tc>
          <w:tcPr>
            <w:tcW w:w="206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OUTSTANDING</w:t>
            </w:r>
          </w:p>
        </w:tc>
        <w:tc>
          <w:tcPr>
            <w:tcW w:w="17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REMAINING</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WEIGHTED-AVERAGE</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EXERCISE PRICES</w:t>
            </w:r>
          </w:p>
        </w:tc>
        <w:tc>
          <w:tcPr>
            <w:tcW w:w="2060" w:type="dxa"/>
            <w:vAlign w:val="bottom"/>
          </w:tcPr>
          <w:p>
            <w:pPr>
              <w:ind w:left="260"/>
              <w:spacing w:after="0"/>
              <w:rPr>
                <w:sz w:val="20"/>
                <w:szCs w:val="20"/>
                <w:color w:val="auto"/>
              </w:rPr>
            </w:pPr>
            <w:r>
              <w:rPr>
                <w:rFonts w:ascii="Courier New" w:cs="Courier New" w:eastAsia="Courier New" w:hAnsi="Courier New"/>
                <w:sz w:val="15"/>
                <w:szCs w:val="15"/>
                <w:color w:val="auto"/>
              </w:rPr>
              <w:t>AS OF 12/31/98</w:t>
            </w:r>
          </w:p>
        </w:tc>
        <w:tc>
          <w:tcPr>
            <w:tcW w:w="17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CONTRACTUAL LIFE</w:t>
            </w:r>
          </w:p>
        </w:tc>
        <w:tc>
          <w:tcPr>
            <w:tcW w:w="1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EXERCISE PRICE</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0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$ 7.50-$10.00.........................</w:t>
            </w: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612,997</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8.0</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$ 7.75</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$10.00-$12.50.........................</w:t>
            </w: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176,000</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8.4</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11.50</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$12.50-$15.00.........................</w:t>
            </w: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0</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0</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$15.00-$17.50.........................</w:t>
            </w: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1,127,548</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8.9</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15.47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$22.50-$25.00.........................</w:t>
            </w: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450,600</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9.4</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24.17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$25.00-$27.50.........................</w:t>
            </w: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559,000</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9.3</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26.70</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$27.50-$30.00.........................</w:t>
            </w: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6,200</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9.5</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28.16</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$30.00-$32.50.........................</w:t>
            </w: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16,500</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9.5</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32.16</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$32.50-$35.00.........................</w:t>
            </w: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1,000</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9.5</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34.75</w:t>
            </w:r>
          </w:p>
        </w:tc>
      </w:tr>
      <w:tr>
        <w:trPr>
          <w:trHeight w:val="172"/>
        </w:trPr>
        <w:tc>
          <w:tcPr>
            <w:tcW w:w="3480" w:type="dxa"/>
            <w:vAlign w:val="bottom"/>
          </w:tcPr>
          <w:p>
            <w:pPr>
              <w:spacing w:after="0"/>
              <w:rPr>
                <w:sz w:val="14"/>
                <w:szCs w:val="14"/>
                <w:color w:val="auto"/>
              </w:rPr>
            </w:pP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2,949,845</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8.8</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$17.21</w:t>
            </w:r>
          </w:p>
        </w:tc>
      </w:tr>
      <w:tr>
        <w:trPr>
          <w:trHeight w:val="172"/>
        </w:trPr>
        <w:tc>
          <w:tcPr>
            <w:tcW w:w="3480" w:type="dxa"/>
            <w:vAlign w:val="bottom"/>
          </w:tcPr>
          <w:p>
            <w:pPr>
              <w:spacing w:after="0"/>
              <w:rPr>
                <w:sz w:val="14"/>
                <w:szCs w:val="14"/>
                <w:color w:val="auto"/>
              </w:rPr>
            </w:pPr>
          </w:p>
        </w:tc>
        <w:tc>
          <w:tcPr>
            <w:tcW w:w="206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Exercise prices for options outstanding as of December 31, 1998 ranged from $7.75 to $34.75 per share. The weighted average remaining contractual life of those options is 8.8 years.</w:t>
      </w:r>
    </w:p>
    <w:p>
      <w:pPr>
        <w:spacing w:after="0" w:line="176"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The Company has elected to follow Accounting Principles Board Opinion No. 25, "Accounting for Stock Issued to Employees" (APB 25) and related Interpretations in accounting for its employee stock options because, as discussed below, the alternative fair value accounting provided for under FASB Statement No. 123, "Accounting for Stock-Based Compensation," requires use of option valuation models that were not developed for use in valuing employee</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F-42</w:t>
      </w:r>
    </w:p>
    <w:p>
      <w:pPr>
        <w:sectPr>
          <w:pgSz w:w="11900" w:h="16838" w:orient="portrait"/>
          <w:cols w:equalWidth="0" w:num="1">
            <w:col w:w="10219"/>
          </w:cols>
          <w:pgMar w:left="240" w:top="289" w:right="1440" w:bottom="1440" w:gutter="0" w:footer="0" w:header="0"/>
        </w:sectPr>
      </w:pPr>
    </w:p>
    <w:bookmarkStart w:id="116" w:name="page117"/>
    <w:bookmarkEnd w:id="116"/>
    <w:p>
      <w:pPr>
        <w:ind w:left="268"/>
        <w:spacing w:after="0"/>
        <w:rPr>
          <w:sz w:val="20"/>
          <w:szCs w:val="20"/>
          <w:color w:val="auto"/>
        </w:rPr>
      </w:pPr>
      <w:r>
        <w:rPr>
          <w:rFonts w:ascii="Courier New" w:cs="Courier New" w:eastAsia="Courier New" w:hAnsi="Courier New"/>
          <w:sz w:val="15"/>
          <w:szCs w:val="15"/>
          <w:color w:val="auto"/>
        </w:rPr>
        <w:t>116</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jc w:val="both"/>
        <w:ind w:left="8" w:right="3439"/>
        <w:spacing w:after="0" w:line="241" w:lineRule="auto"/>
        <w:rPr>
          <w:sz w:val="20"/>
          <w:szCs w:val="20"/>
          <w:color w:val="auto"/>
        </w:rPr>
      </w:pPr>
      <w:r>
        <w:rPr>
          <w:rFonts w:ascii="Courier New" w:cs="Courier New" w:eastAsia="Courier New" w:hAnsi="Courier New"/>
          <w:sz w:val="15"/>
          <w:szCs w:val="15"/>
          <w:color w:val="auto"/>
        </w:rPr>
        <w:t>stock options. Under APB 25, if the exercise price of the Company's employee stock options equals the market price of the underlying stock on the date of grant, no compensation expense is recognized.</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Pro forma information regarding net income and earnings per share is required by Statement 123, and has been determined as if the Company had accounted for its employee stock options under the fair value method of the Statement. The fair value for these options was estimated at the date of grant using a Black-Scholes option pricing model with the following weighted average assumptions: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2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26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Dividend yield............................................</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0.0</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Expected volatility of market price of company's common</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260" w:type="dxa"/>
            <w:vAlign w:val="bottom"/>
          </w:tcPr>
          <w:p>
            <w:pPr>
              <w:ind w:left="180"/>
              <w:spacing w:after="0"/>
              <w:rPr>
                <w:sz w:val="20"/>
                <w:szCs w:val="20"/>
                <w:color w:val="auto"/>
              </w:rPr>
            </w:pPr>
            <w:r>
              <w:rPr>
                <w:rFonts w:ascii="Courier New" w:cs="Courier New" w:eastAsia="Courier New" w:hAnsi="Courier New"/>
                <w:sz w:val="15"/>
                <w:szCs w:val="15"/>
                <w:color w:val="auto"/>
              </w:rPr>
              <w:t>stock...................................................</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0.72</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0.63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0.71</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Expected option life......................................</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 years</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 years</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 years</w:t>
            </w:r>
          </w:p>
        </w:tc>
      </w:tr>
      <w:tr>
        <w:trPr>
          <w:trHeight w:val="172"/>
        </w:trPr>
        <w:tc>
          <w:tcPr>
            <w:tcW w:w="5260" w:type="dxa"/>
            <w:vAlign w:val="bottom"/>
          </w:tcPr>
          <w:p>
            <w:pPr>
              <w:spacing w:after="0"/>
              <w:rPr>
                <w:sz w:val="20"/>
                <w:szCs w:val="20"/>
                <w:color w:val="auto"/>
              </w:rPr>
            </w:pPr>
            <w:r>
              <w:rPr>
                <w:rFonts w:ascii="Courier New" w:cs="Courier New" w:eastAsia="Courier New" w:hAnsi="Courier New"/>
                <w:sz w:val="15"/>
                <w:szCs w:val="15"/>
                <w:color w:val="auto"/>
              </w:rPr>
              <w:t>Weighted average fair value per share of options granted</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260" w:type="dxa"/>
            <w:vAlign w:val="bottom"/>
          </w:tcPr>
          <w:p>
            <w:pPr>
              <w:ind w:left="180"/>
              <w:spacing w:after="0"/>
              <w:rPr>
                <w:sz w:val="20"/>
                <w:szCs w:val="20"/>
                <w:color w:val="auto"/>
              </w:rPr>
            </w:pPr>
            <w:r>
              <w:rPr>
                <w:rFonts w:ascii="Courier New" w:cs="Courier New" w:eastAsia="Courier New" w:hAnsi="Courier New"/>
                <w:sz w:val="15"/>
                <w:szCs w:val="15"/>
                <w:color w:val="auto"/>
              </w:rPr>
              <w:t>during year.............................................</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$16.47</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$7.31</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$4.86</w:t>
            </w:r>
          </w:p>
        </w:tc>
      </w:tr>
    </w:tbl>
    <w:p>
      <w:pPr>
        <w:spacing w:after="0" w:line="34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78" w:lineRule="exact"/>
        <w:rPr>
          <w:sz w:val="20"/>
          <w:szCs w:val="20"/>
          <w:color w:val="auto"/>
        </w:rPr>
      </w:pPr>
    </w:p>
    <w:p>
      <w:pPr>
        <w:ind w:left="8" w:right="3159" w:firstLine="447"/>
        <w:spacing w:after="0" w:line="267" w:lineRule="auto"/>
        <w:rPr>
          <w:sz w:val="20"/>
          <w:szCs w:val="20"/>
          <w:color w:val="auto"/>
        </w:rPr>
      </w:pPr>
      <w:r>
        <w:rPr>
          <w:rFonts w:ascii="Courier New" w:cs="Courier New" w:eastAsia="Courier New" w:hAnsi="Courier New"/>
          <w:sz w:val="14"/>
          <w:szCs w:val="14"/>
          <w:color w:val="auto"/>
        </w:rPr>
        <w:t>For purposes of pro forma disclosures, the estimated fair value of the options is amortized to expense over the options' vesting period. The Company's pro forma information follows (in thousands, except per share amounts):</w:t>
      </w:r>
    </w:p>
    <w:p>
      <w:pPr>
        <w:spacing w:after="0" w:line="200" w:lineRule="exact"/>
        <w:rPr>
          <w:sz w:val="20"/>
          <w:szCs w:val="20"/>
          <w:color w:val="auto"/>
        </w:rPr>
      </w:pPr>
    </w:p>
    <w:p>
      <w:pPr>
        <w:spacing w:after="0" w:line="30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c>
          <w:tcPr>
            <w:tcW w:w="720" w:type="dxa"/>
            <w:vAlign w:val="bottom"/>
          </w:tcPr>
          <w:p>
            <w:pPr>
              <w:jc w:val="center"/>
              <w:ind w:left="85"/>
              <w:spacing w:after="0"/>
              <w:rPr>
                <w:sz w:val="20"/>
                <w:szCs w:val="20"/>
                <w:color w:val="auto"/>
              </w:rPr>
            </w:pPr>
            <w:r>
              <w:rPr>
                <w:rFonts w:ascii="Courier New" w:cs="Courier New" w:eastAsia="Courier New" w:hAnsi="Courier New"/>
                <w:sz w:val="15"/>
                <w:szCs w:val="15"/>
                <w:color w:val="auto"/>
                <w:w w:val="99"/>
              </w:rPr>
              <w:t>1996</w:t>
            </w:r>
          </w:p>
        </w:tc>
      </w:tr>
      <w:tr>
        <w:trPr>
          <w:trHeight w:val="172"/>
        </w:trPr>
        <w:tc>
          <w:tcPr>
            <w:tcW w:w="492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4920" w:type="dxa"/>
            <w:vAlign w:val="bottom"/>
          </w:tcPr>
          <w:p>
            <w:pPr>
              <w:spacing w:after="0"/>
              <w:rPr>
                <w:sz w:val="20"/>
                <w:szCs w:val="20"/>
                <w:color w:val="auto"/>
              </w:rPr>
            </w:pPr>
            <w:r>
              <w:rPr>
                <w:rFonts w:ascii="Courier New" w:cs="Courier New" w:eastAsia="Courier New" w:hAnsi="Courier New"/>
                <w:sz w:val="15"/>
                <w:szCs w:val="15"/>
                <w:color w:val="auto"/>
              </w:rPr>
              <w:t>Pro forma net income (loss)...........................</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$(7,381)</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9"/>
              </w:rPr>
              <w:t>$3,441</w:t>
            </w:r>
          </w:p>
        </w:tc>
        <w:tc>
          <w:tcPr>
            <w:tcW w:w="72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$1,190</w:t>
            </w:r>
          </w:p>
        </w:tc>
      </w:tr>
      <w:tr>
        <w:trPr>
          <w:trHeight w:val="172"/>
        </w:trPr>
        <w:tc>
          <w:tcPr>
            <w:tcW w:w="492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Pro forma earnings per share:</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Pro forma basic earnings (loss) per share.............</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 (0.47)</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9"/>
              </w:rPr>
              <w:t>$ 0.27</w:t>
            </w:r>
          </w:p>
        </w:tc>
        <w:tc>
          <w:tcPr>
            <w:tcW w:w="72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$ 0.12</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Pro forma diluted earnings (loss) per share...........</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 (0.47)</w:t>
            </w:r>
          </w:p>
        </w:tc>
        <w:tc>
          <w:tcPr>
            <w:tcW w:w="840" w:type="dxa"/>
            <w:vAlign w:val="bottom"/>
          </w:tcPr>
          <w:p>
            <w:pPr>
              <w:jc w:val="center"/>
              <w:spacing w:after="0"/>
              <w:rPr>
                <w:sz w:val="20"/>
                <w:szCs w:val="20"/>
                <w:color w:val="auto"/>
              </w:rPr>
            </w:pPr>
            <w:r>
              <w:rPr>
                <w:rFonts w:ascii="Courier New" w:cs="Courier New" w:eastAsia="Courier New" w:hAnsi="Courier New"/>
                <w:sz w:val="15"/>
                <w:szCs w:val="15"/>
                <w:color w:val="auto"/>
                <w:w w:val="99"/>
              </w:rPr>
              <w:t>$ 0.26</w:t>
            </w:r>
          </w:p>
        </w:tc>
        <w:tc>
          <w:tcPr>
            <w:tcW w:w="72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$ 0.12</w:t>
            </w:r>
          </w:p>
        </w:tc>
      </w:tr>
    </w:tbl>
    <w:p>
      <w:pPr>
        <w:spacing w:after="0" w:line="346" w:lineRule="exact"/>
        <w:rPr>
          <w:sz w:val="20"/>
          <w:szCs w:val="20"/>
          <w:color w:val="auto"/>
        </w:rPr>
      </w:pPr>
    </w:p>
    <w:p>
      <w:pPr>
        <w:ind w:left="348" w:hanging="348"/>
        <w:spacing w:after="0"/>
        <w:tabs>
          <w:tab w:leader="none" w:pos="34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COMPENSATION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accordance with the terms of his employment agreement, as amended on September 30, 1996, an employee became entitled to receive a payment of $275,000 on or before December 31, 1996 and, as a result of the public offering of the Company's Common Stock, the right to purchase 27,500 shares of the Company's Common Stock for $.01 per share. In addition, during 1996 an employee was given the right to purchase 42,652 shares of the Company's Common Stock for $.01 per share. During 1996, these employees acquired the shares and the difference between the exercise price and the fair value on the date of grant was charged to compensation expense. In connection with an employment agreement entered into during 1996, an employee was awarded 36,000 shares of the Company's Common Stock with a fair value of $336,000 when awarded. The shares vest 25% on April 1, 1997, 25% on October 31, 1998, 25% on October 31, 1999, and 25% on October 31, 2000. The fair value of the shares on the date of award is being amortized as compensation expense over the vesting period.</w:t>
      </w:r>
    </w:p>
    <w:p>
      <w:pPr>
        <w:spacing w:after="0" w:line="180"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F-43</w:t>
      </w:r>
    </w:p>
    <w:p>
      <w:pPr>
        <w:sectPr>
          <w:pgSz w:w="11900" w:h="16838" w:orient="portrait"/>
          <w:cols w:equalWidth="0" w:num="1">
            <w:col w:w="10227"/>
          </w:cols>
          <w:pgMar w:left="232" w:top="289" w:right="1440" w:bottom="1440" w:gutter="0" w:footer="0" w:header="0"/>
        </w:sectPr>
      </w:pPr>
    </w:p>
    <w:bookmarkStart w:id="117" w:name="page118"/>
    <w:bookmarkEnd w:id="117"/>
    <w:p>
      <w:pPr>
        <w:ind w:left="268"/>
        <w:spacing w:after="0"/>
        <w:rPr>
          <w:sz w:val="20"/>
          <w:szCs w:val="20"/>
          <w:color w:val="auto"/>
        </w:rPr>
      </w:pPr>
      <w:r>
        <w:rPr>
          <w:rFonts w:ascii="Courier New" w:cs="Courier New" w:eastAsia="Courier New" w:hAnsi="Courier New"/>
          <w:sz w:val="15"/>
          <w:szCs w:val="15"/>
          <w:color w:val="auto"/>
        </w:rPr>
        <w:t>117</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348" w:hanging="348"/>
        <w:spacing w:after="0"/>
        <w:tabs>
          <w:tab w:leader="none" w:pos="34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CAPITALIZED LEASE OBLIGATIONS</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Company leases computer equipment and office furniture under capital leases expiring in various years through 1999. The assets and liabilities under capital leases are recorded at the lower of the present value of the minimum lease payments or the fair value of the asset. Depreciation of assets under capital leases is included in depreciation expense.</w:t>
      </w:r>
    </w:p>
    <w:p>
      <w:pPr>
        <w:spacing w:after="0" w:line="175" w:lineRule="exact"/>
        <w:rPr>
          <w:sz w:val="20"/>
          <w:szCs w:val="20"/>
          <w:color w:val="auto"/>
        </w:rPr>
      </w:pPr>
    </w:p>
    <w:p>
      <w:pPr>
        <w:ind w:left="8" w:right="3259" w:firstLine="447"/>
        <w:spacing w:after="0"/>
        <w:rPr>
          <w:sz w:val="20"/>
          <w:szCs w:val="20"/>
          <w:color w:val="auto"/>
        </w:rPr>
      </w:pPr>
      <w:r>
        <w:rPr>
          <w:rFonts w:ascii="Courier New" w:cs="Courier New" w:eastAsia="Courier New" w:hAnsi="Courier New"/>
          <w:sz w:val="15"/>
          <w:szCs w:val="15"/>
          <w:color w:val="auto"/>
        </w:rPr>
        <w:t>Maturities of capital lease obligations are as follows as of December 31, 1998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$ 81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w:t>
            </w:r>
          </w:p>
        </w:tc>
      </w:tr>
      <w:tr>
        <w:trPr>
          <w:trHeight w:val="172"/>
        </w:trPr>
        <w:tc>
          <w:tcPr>
            <w:tcW w:w="544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Total lease obligations.....................................</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109</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Less: amount representing interest..........................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2"/>
        </w:trPr>
        <w:tc>
          <w:tcPr>
            <w:tcW w:w="544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Present value of minimum lease payments.....................</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$ 99</w:t>
            </w:r>
          </w:p>
        </w:tc>
      </w:tr>
      <w:tr>
        <w:trPr>
          <w:trHeight w:val="172"/>
        </w:trPr>
        <w:tc>
          <w:tcPr>
            <w:tcW w:w="544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348" w:hanging="348"/>
        <w:spacing w:after="0"/>
        <w:tabs>
          <w:tab w:leader="none" w:pos="348"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June 11, 1996, the Company entered into a noncancelable lease expiring on August 31, 2000 for 48,222 square feet of office space in Stamford, Connecticut. In connection therewith, the Company obtained a letter of credit in the initial amount of $362,000 as security for the lease. Minimum future rental payments due under such lease are $723,330 per year.</w:t>
      </w:r>
    </w:p>
    <w:p>
      <w:pPr>
        <w:spacing w:after="0" w:line="175"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In conjunction with the Intelicom acquisition of January 2, 1998, ITDS acquired from CSC two noncancelable leases expiring in August 2003 for 60,400 square feet of office space in Champaign, Illinois. The Company also leases Connecticut office facilities under a noncancelable operating lease expiring in April 1999. The Company recognizes rental expense on a straight line basis over the term of the lease. Rent expense was $1.6 million, $738,582 and $591,729 for the years ended December 31, 1998, 1997 and 1996, respectively.</w:t>
      </w:r>
    </w:p>
    <w:p>
      <w:pPr>
        <w:spacing w:after="0" w:line="177" w:lineRule="exact"/>
        <w:rPr>
          <w:sz w:val="20"/>
          <w:szCs w:val="20"/>
          <w:color w:val="auto"/>
        </w:rPr>
      </w:pPr>
    </w:p>
    <w:p>
      <w:pPr>
        <w:ind w:left="8" w:right="3439" w:firstLine="447"/>
        <w:spacing w:after="0"/>
        <w:rPr>
          <w:sz w:val="20"/>
          <w:szCs w:val="20"/>
          <w:color w:val="auto"/>
        </w:rPr>
      </w:pPr>
      <w:r>
        <w:rPr>
          <w:rFonts w:ascii="Courier New" w:cs="Courier New" w:eastAsia="Courier New" w:hAnsi="Courier New"/>
          <w:sz w:val="15"/>
          <w:szCs w:val="15"/>
          <w:color w:val="auto"/>
        </w:rPr>
        <w:t>Minimum future rental payments due under such leases as of December 31, 1998 are as follows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3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$2,002</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1,734</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1,218</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1,218</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812</w:t>
            </w:r>
          </w:p>
        </w:tc>
      </w:tr>
      <w:tr>
        <w:trPr>
          <w:trHeight w:val="172"/>
        </w:trPr>
        <w:tc>
          <w:tcPr>
            <w:tcW w:w="53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6,984</w:t>
            </w:r>
          </w:p>
        </w:tc>
      </w:tr>
      <w:tr>
        <w:trPr>
          <w:trHeight w:val="172"/>
        </w:trPr>
        <w:tc>
          <w:tcPr>
            <w:tcW w:w="5360" w:type="dxa"/>
            <w:vAlign w:val="bottom"/>
          </w:tcPr>
          <w:p>
            <w:pPr>
              <w:spacing w:after="0"/>
              <w:rPr>
                <w:sz w:val="20"/>
                <w:szCs w:val="20"/>
                <w:color w:val="auto"/>
              </w:rPr>
            </w:pPr>
            <w:r>
              <w:rPr>
                <w:rFonts w:ascii="Courier New" w:cs="Courier New" w:eastAsia="Courier New" w:hAnsi="Courier New"/>
                <w:sz w:val="15"/>
                <w:szCs w:val="15"/>
                <w:color w:val="auto"/>
              </w:rPr>
              <w:t>Less: sublease income.....................................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2"/>
        </w:trPr>
        <w:tc>
          <w:tcPr>
            <w:tcW w:w="53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$6,919</w:t>
            </w:r>
          </w:p>
        </w:tc>
      </w:tr>
      <w:tr>
        <w:trPr>
          <w:trHeight w:val="172"/>
        </w:trPr>
        <w:tc>
          <w:tcPr>
            <w:tcW w:w="536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079" w:firstLine="447"/>
        <w:spacing w:after="0"/>
        <w:rPr>
          <w:sz w:val="20"/>
          <w:szCs w:val="20"/>
          <w:color w:val="auto"/>
        </w:rPr>
      </w:pPr>
      <w:r>
        <w:rPr>
          <w:rFonts w:ascii="Courier New" w:cs="Courier New" w:eastAsia="Courier New" w:hAnsi="Courier New"/>
          <w:sz w:val="15"/>
          <w:szCs w:val="15"/>
          <w:color w:val="auto"/>
        </w:rPr>
        <w:t>The Company is also obligated to pay utilities and property taxes above the landlords' base year costs.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Company has entered into employment contracts with various officers and other employees. The contracts expire in one to four years and require the Company to pay base compensation of approximately $2.1 million per year plus benefits. The contracts provide for</w:t>
      </w:r>
    </w:p>
    <w:p>
      <w:pPr>
        <w:spacing w:after="0" w:line="17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F-44</w:t>
      </w:r>
    </w:p>
    <w:p>
      <w:pPr>
        <w:sectPr>
          <w:pgSz w:w="11900" w:h="16838" w:orient="portrait"/>
          <w:cols w:equalWidth="0" w:num="1">
            <w:col w:w="10227"/>
          </w:cols>
          <w:pgMar w:left="232" w:top="289" w:right="1440" w:bottom="1440" w:gutter="0" w:footer="0" w:header="0"/>
        </w:sectPr>
      </w:pPr>
    </w:p>
    <w:bookmarkStart w:id="118" w:name="page119"/>
    <w:bookmarkEnd w:id="118"/>
    <w:p>
      <w:pPr>
        <w:ind w:left="268"/>
        <w:spacing w:after="0"/>
        <w:rPr>
          <w:sz w:val="20"/>
          <w:szCs w:val="20"/>
          <w:color w:val="auto"/>
        </w:rPr>
      </w:pPr>
      <w:r>
        <w:rPr>
          <w:rFonts w:ascii="Courier New" w:cs="Courier New" w:eastAsia="Courier New" w:hAnsi="Courier New"/>
          <w:sz w:val="15"/>
          <w:szCs w:val="15"/>
          <w:color w:val="auto"/>
        </w:rPr>
        <w:t>118</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discretionary bonuses if approved by the Board of Directors. In addition, as of December 31, 1998, the Company has loans and advances to officers aggregating $374,750 (including $29,324 in interest), which is included in Accounts Receivable.</w:t>
      </w:r>
    </w:p>
    <w:p>
      <w:pPr>
        <w:spacing w:after="0" w:line="175"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Company maintains an employee savings plan that qualifies as a cash or deferred salary arrangement under Section 401(k) of the Internal Revenue Code. Under the plan, participating employees may defer up to 15% of their pre-tax compensation, but not more than $10,000 for 1998 and 1997 calendar years. The Company does not contribute to the plan.</w:t>
      </w:r>
    </w:p>
    <w:p>
      <w:pPr>
        <w:spacing w:after="0" w:line="174" w:lineRule="exact"/>
        <w:rPr>
          <w:sz w:val="20"/>
          <w:szCs w:val="20"/>
          <w:color w:val="auto"/>
        </w:rPr>
      </w:pPr>
    </w:p>
    <w:p>
      <w:pPr>
        <w:ind w:left="348" w:hanging="348"/>
        <w:spacing w:after="0"/>
        <w:tabs>
          <w:tab w:leader="none" w:pos="348"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EXTRAORDINARY ITEM</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June 8, 1998, as a result of the follow-on offering described in Note 4, the Company retired the $70 million term loan and terminated the Hedge Agreement obtained in conjunction with the Intelicom acquisition (see Note 2). In connection with repaying the $70 million term loan and canceling the Hedge Agreement, the Company recorded an after tax extraordinary charge of $826,198.</w:t>
      </w:r>
    </w:p>
    <w:p>
      <w:pPr>
        <w:spacing w:after="0" w:line="174" w:lineRule="exact"/>
        <w:rPr>
          <w:sz w:val="20"/>
          <w:szCs w:val="20"/>
          <w:color w:val="auto"/>
        </w:rPr>
      </w:pPr>
    </w:p>
    <w:p>
      <w:pPr>
        <w:ind w:left="448" w:hanging="448"/>
        <w:spacing w:after="0"/>
        <w:tabs>
          <w:tab w:leader="none" w:pos="448"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left="8" w:right="3079" w:firstLine="447"/>
        <w:spacing w:after="0"/>
        <w:rPr>
          <w:sz w:val="20"/>
          <w:szCs w:val="20"/>
          <w:color w:val="auto"/>
        </w:rPr>
      </w:pPr>
      <w:r>
        <w:rPr>
          <w:rFonts w:ascii="Courier New" w:cs="Courier New" w:eastAsia="Courier New" w:hAnsi="Courier New"/>
          <w:sz w:val="15"/>
          <w:szCs w:val="15"/>
          <w:color w:val="auto"/>
        </w:rPr>
        <w:t>Significant components of income tax expense (benefit) before extraordinary item are as follows (in thousands):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250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YEAR ENDED DECEMBER 31,</w:t>
            </w:r>
          </w:p>
        </w:tc>
      </w:tr>
      <w:tr>
        <w:trPr>
          <w:trHeight w:val="172"/>
        </w:trPr>
        <w:tc>
          <w:tcPr>
            <w:tcW w:w="4920" w:type="dxa"/>
            <w:vAlign w:val="bottom"/>
          </w:tcPr>
          <w:p>
            <w:pPr>
              <w:spacing w:after="0"/>
              <w:rPr>
                <w:sz w:val="14"/>
                <w:szCs w:val="14"/>
                <w:color w:val="auto"/>
              </w:rPr>
            </w:pPr>
          </w:p>
        </w:tc>
        <w:tc>
          <w:tcPr>
            <w:tcW w:w="25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1997</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9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92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Federal.............................................</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$ 4,661</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$1,667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382</w:t>
            </w: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State...............................................</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669</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118</w:t>
            </w:r>
          </w:p>
        </w:tc>
      </w:tr>
      <w:tr>
        <w:trPr>
          <w:trHeight w:val="172"/>
        </w:trPr>
        <w:tc>
          <w:tcPr>
            <w:tcW w:w="49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5,330</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2,242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500</w:t>
            </w:r>
          </w:p>
        </w:tc>
      </w:tr>
      <w:tr>
        <w:trPr>
          <w:trHeight w:val="172"/>
        </w:trPr>
        <w:tc>
          <w:tcPr>
            <w:tcW w:w="49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Federal.............................................</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(6,007)</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437</w:t>
            </w: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State...............................................</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(418)</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278</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175</w:t>
            </w:r>
          </w:p>
        </w:tc>
      </w:tr>
      <w:tr>
        <w:trPr>
          <w:trHeight w:val="172"/>
        </w:trPr>
        <w:tc>
          <w:tcPr>
            <w:tcW w:w="49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(6,425)</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1,084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612</w:t>
            </w:r>
          </w:p>
        </w:tc>
      </w:tr>
      <w:tr>
        <w:trPr>
          <w:trHeight w:val="172"/>
        </w:trPr>
        <w:tc>
          <w:tcPr>
            <w:tcW w:w="49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9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Total tax expense (benefit)...........................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$(1,095)</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$3,326</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$1,112</w:t>
            </w:r>
          </w:p>
        </w:tc>
      </w:tr>
      <w:tr>
        <w:trPr>
          <w:trHeight w:val="172"/>
        </w:trPr>
        <w:tc>
          <w:tcPr>
            <w:tcW w:w="49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159" w:firstLine="447"/>
        <w:spacing w:after="0" w:line="241" w:lineRule="auto"/>
        <w:rPr>
          <w:sz w:val="20"/>
          <w:szCs w:val="20"/>
          <w:color w:val="auto"/>
        </w:rPr>
      </w:pPr>
      <w:r>
        <w:rPr>
          <w:rFonts w:ascii="Courier New" w:cs="Courier New" w:eastAsia="Courier New" w:hAnsi="Courier New"/>
          <w:sz w:val="15"/>
          <w:szCs w:val="15"/>
          <w:color w:val="auto"/>
        </w:rPr>
        <w:t>A reconciliation of the applicable federal statutory rate to the Company's effective tax (benefit) rate from income before income tax expense and extraordinary item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1997</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440" w:type="dxa"/>
            <w:vAlign w:val="bottom"/>
          </w:tcPr>
          <w:p>
            <w:pPr>
              <w:spacing w:after="0"/>
              <w:rPr>
                <w:sz w:val="14"/>
                <w:szCs w:val="14"/>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Statutory rate..............................................</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(35.0)%</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34.0%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State income taxes, net of federal income tax benefit.......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3.9</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Meals and entertainment.....................................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w:t>
            </w:r>
          </w:p>
        </w:tc>
      </w:tr>
      <w:tr>
        <w:trPr>
          <w:trHeight w:val="172"/>
        </w:trPr>
        <w:tc>
          <w:tcPr>
            <w:tcW w:w="5440" w:type="dxa"/>
            <w:vAlign w:val="bottom"/>
          </w:tcPr>
          <w:p>
            <w:pPr>
              <w:spacing w:after="0"/>
              <w:rPr>
                <w:sz w:val="14"/>
                <w:szCs w:val="14"/>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(26.1)%</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42.5%</w:t>
            </w:r>
          </w:p>
        </w:tc>
      </w:tr>
      <w:tr>
        <w:trPr>
          <w:trHeight w:val="172"/>
        </w:trPr>
        <w:tc>
          <w:tcPr>
            <w:tcW w:w="5440" w:type="dxa"/>
            <w:vAlign w:val="bottom"/>
          </w:tcPr>
          <w:p>
            <w:pPr>
              <w:spacing w:after="0"/>
              <w:rPr>
                <w:sz w:val="14"/>
                <w:szCs w:val="14"/>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5440" w:type="dxa"/>
            <w:vAlign w:val="bottom"/>
          </w:tcPr>
          <w:p>
            <w:pPr>
              <w:ind w:left="3400"/>
              <w:spacing w:after="0"/>
              <w:rPr>
                <w:sz w:val="20"/>
                <w:szCs w:val="20"/>
                <w:color w:val="auto"/>
              </w:rPr>
            </w:pPr>
            <w:r>
              <w:rPr>
                <w:rFonts w:ascii="Courier New" w:cs="Courier New" w:eastAsia="Courier New" w:hAnsi="Courier New"/>
                <w:sz w:val="15"/>
                <w:szCs w:val="15"/>
                <w:color w:val="auto"/>
              </w:rPr>
              <w:t>F-45</w:t>
            </w: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0227"/>
          </w:cols>
          <w:pgMar w:left="232" w:top="289" w:right="1440" w:bottom="1440" w:gutter="0" w:footer="0" w:header="0"/>
        </w:sectPr>
      </w:pPr>
    </w:p>
    <w:bookmarkStart w:id="119" w:name="page120"/>
    <w:bookmarkEnd w:id="119"/>
    <w:p>
      <w:pPr>
        <w:ind w:left="268"/>
        <w:spacing w:after="0"/>
        <w:rPr>
          <w:sz w:val="20"/>
          <w:szCs w:val="20"/>
          <w:color w:val="auto"/>
        </w:rPr>
      </w:pPr>
      <w:r>
        <w:rPr>
          <w:rFonts w:ascii="Courier New" w:cs="Courier New" w:eastAsia="Courier New" w:hAnsi="Courier New"/>
          <w:sz w:val="15"/>
          <w:szCs w:val="15"/>
          <w:color w:val="auto"/>
        </w:rPr>
        <w:t>119</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Significant components of the Company's deferred tax assets and liabilities</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are as follows (in thousands):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88"/>
        </w:trPr>
        <w:tc>
          <w:tcPr>
            <w:tcW w:w="5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5440" w:type="dxa"/>
            <w:vAlign w:val="bottom"/>
          </w:tcPr>
          <w:p>
            <w:pPr>
              <w:spacing w:after="0"/>
              <w:rPr>
                <w:sz w:val="14"/>
                <w:szCs w:val="14"/>
                <w:color w:val="auto"/>
              </w:rPr>
            </w:pPr>
          </w:p>
        </w:tc>
        <w:tc>
          <w:tcPr>
            <w:tcW w:w="180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1998</w:t>
            </w:r>
          </w:p>
        </w:tc>
        <w:tc>
          <w:tcPr>
            <w:tcW w:w="280" w:type="dxa"/>
            <w:vAlign w:val="bottom"/>
          </w:tcPr>
          <w:p>
            <w:pPr>
              <w:spacing w:after="0"/>
              <w:rPr>
                <w:sz w:val="14"/>
                <w:szCs w:val="14"/>
                <w:color w:val="auto"/>
              </w:rPr>
            </w:pPr>
          </w:p>
        </w:tc>
        <w:tc>
          <w:tcPr>
            <w:tcW w:w="6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88"/>
              </w:rPr>
              <w:t>1997</w:t>
            </w:r>
          </w:p>
        </w:tc>
      </w:tr>
      <w:tr>
        <w:trPr>
          <w:trHeight w:val="172"/>
        </w:trPr>
        <w:tc>
          <w:tcPr>
            <w:tcW w:w="544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charges..........................................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1,623</w:t>
            </w:r>
          </w:p>
        </w:tc>
        <w:tc>
          <w:tcPr>
            <w:tcW w:w="2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compensation......................................</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w:t>
            </w:r>
          </w:p>
        </w:tc>
        <w:tc>
          <w:tcPr>
            <w:tcW w:w="2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Reserve for doubtful accounts.............................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748</w:t>
            </w:r>
          </w:p>
        </w:tc>
        <w:tc>
          <w:tcPr>
            <w:tcW w:w="2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c>
          <w:tcPr>
            <w:tcW w:w="2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Purchased software development costs......................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845</w:t>
            </w:r>
          </w:p>
        </w:tc>
        <w:tc>
          <w:tcPr>
            <w:tcW w:w="2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 process research and development.......................</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7,435</w:t>
            </w:r>
          </w:p>
        </w:tc>
        <w:tc>
          <w:tcPr>
            <w:tcW w:w="2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deferred tax assets...................................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10,742</w:t>
            </w:r>
          </w:p>
        </w:tc>
        <w:tc>
          <w:tcPr>
            <w:tcW w:w="2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1,056</w:t>
            </w:r>
          </w:p>
        </w:tc>
      </w:tr>
      <w:tr>
        <w:trPr>
          <w:trHeight w:val="172"/>
        </w:trPr>
        <w:tc>
          <w:tcPr>
            <w:tcW w:w="544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Software development costs................................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5,051</w:t>
            </w:r>
          </w:p>
        </w:tc>
        <w:tc>
          <w:tcPr>
            <w:tcW w:w="2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1,966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Capitalized leases........................................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713</w:t>
            </w:r>
          </w:p>
        </w:tc>
        <w:tc>
          <w:tcPr>
            <w:tcW w:w="2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537</w:t>
            </w:r>
          </w:p>
        </w:tc>
      </w:tr>
      <w:tr>
        <w:trPr>
          <w:trHeight w:val="172"/>
        </w:trPr>
        <w:tc>
          <w:tcPr>
            <w:tcW w:w="544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deferred tax liabilities..............................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5,764</w:t>
            </w:r>
          </w:p>
        </w:tc>
        <w:tc>
          <w:tcPr>
            <w:tcW w:w="28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2,503</w:t>
            </w:r>
          </w:p>
        </w:tc>
      </w:tr>
      <w:tr>
        <w:trPr>
          <w:trHeight w:val="172"/>
        </w:trPr>
        <w:tc>
          <w:tcPr>
            <w:tcW w:w="544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deferred tax asset (liability)..........................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4,978</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$(1,447)</w:t>
            </w:r>
          </w:p>
        </w:tc>
      </w:tr>
      <w:tr>
        <w:trPr>
          <w:trHeight w:val="172"/>
        </w:trPr>
        <w:tc>
          <w:tcPr>
            <w:tcW w:w="544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448" w:hanging="448"/>
        <w:spacing w:after="0"/>
        <w:tabs>
          <w:tab w:leader="none" w:pos="44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PROCEEDINGS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April 2, 1998, the Company was served with a complaint in Connecticut Superior Court alleging that the Company had breached the terms of its employment contact with Alan K. Greene, the Company's former Chief Financial Officer, and breached other obligations to Greene. The Company intends to vigorously defend itself in the action and has filed a response to the claim and asserted a counterclaim against Mr. Greene. The parties are currently in the discovery phase of the litigation. In addition, on September 11, 1998, Mr. Greene filed an age discrimination suit against the Company in the Connecticut Commission on Human Rights and Opportunities and in the Equal Employment Opportunities Commission. The Company filed its Answer and Position Statement, disclaiming any liability relating to age discrimination, on November 5, 1998.</w:t>
      </w:r>
    </w:p>
    <w:p>
      <w:pPr>
        <w:spacing w:after="0" w:line="179"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addition, Intelicom, a wholly-owned subsidiary of the Company acquired in January 1998 from Computer Sciences Corporation ("CSC"), is party to litigation and has been threatened with litigation in connection with the operation of its business prior to its acquisition by the Company. Pursuant to the terms of the acquisition, CSC and certain of its affiliates are obligated to defend and indemnify the Company against any obligations arising out of such litigation or threatened litigation.</w:t>
      </w:r>
    </w:p>
    <w:p>
      <w:pPr>
        <w:spacing w:after="0" w:line="177" w:lineRule="exact"/>
        <w:rPr>
          <w:sz w:val="20"/>
          <w:szCs w:val="20"/>
          <w:color w:val="auto"/>
        </w:rPr>
      </w:pPr>
    </w:p>
    <w:p>
      <w:pPr>
        <w:jc w:val="both"/>
        <w:ind w:left="8" w:right="3339" w:firstLine="447"/>
        <w:spacing w:after="0" w:line="242" w:lineRule="auto"/>
        <w:rPr>
          <w:sz w:val="20"/>
          <w:szCs w:val="20"/>
          <w:color w:val="auto"/>
        </w:rPr>
      </w:pPr>
      <w:r>
        <w:rPr>
          <w:rFonts w:ascii="Courier New" w:cs="Courier New" w:eastAsia="Courier New" w:hAnsi="Courier New"/>
          <w:sz w:val="15"/>
          <w:szCs w:val="15"/>
          <w:color w:val="auto"/>
        </w:rPr>
        <w:t>The Company does not believe that any liabilities relating to any of the legal proceedings to which it is a party are likely to be, individually or in the aggregate, material to its consolidated financial position or results of operations.</w:t>
      </w:r>
    </w:p>
    <w:p>
      <w:pPr>
        <w:spacing w:after="0" w:line="17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F-46</w:t>
      </w:r>
    </w:p>
    <w:p>
      <w:pPr>
        <w:sectPr>
          <w:pgSz w:w="11900" w:h="16838" w:orient="portrait"/>
          <w:cols w:equalWidth="0" w:num="1">
            <w:col w:w="10227"/>
          </w:cols>
          <w:pgMar w:left="232" w:top="289" w:right="1440" w:bottom="1440" w:gutter="0" w:footer="0" w:header="0"/>
        </w:sectPr>
      </w:pPr>
    </w:p>
    <w:bookmarkStart w:id="120" w:name="page121"/>
    <w:bookmarkEnd w:id="120"/>
    <w:p>
      <w:pPr>
        <w:ind w:left="268"/>
        <w:spacing w:after="0"/>
        <w:rPr>
          <w:sz w:val="20"/>
          <w:szCs w:val="20"/>
          <w:color w:val="auto"/>
        </w:rPr>
      </w:pPr>
      <w:r>
        <w:rPr>
          <w:rFonts w:ascii="Courier New" w:cs="Courier New" w:eastAsia="Courier New" w:hAnsi="Courier New"/>
          <w:sz w:val="15"/>
          <w:szCs w:val="15"/>
          <w:color w:val="auto"/>
        </w:rPr>
        <w:t>120</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INTERNATIONAL TELECOMMUNICATION DATA SYSTEMS, INC.</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448" w:hanging="448"/>
        <w:spacing w:after="0"/>
        <w:tabs>
          <w:tab w:leader="none" w:pos="448"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RESULTS OF OPERATIONS (UNAUDITED)</w:t>
      </w:r>
    </w:p>
    <w:p>
      <w:pPr>
        <w:spacing w:after="0" w:line="176" w:lineRule="exact"/>
        <w:rPr>
          <w:sz w:val="20"/>
          <w:szCs w:val="20"/>
          <w:color w:val="auto"/>
        </w:rPr>
      </w:pPr>
    </w:p>
    <w:p>
      <w:pPr>
        <w:ind w:left="8" w:right="3599" w:firstLine="447"/>
        <w:spacing w:after="0" w:line="241" w:lineRule="auto"/>
        <w:rPr>
          <w:sz w:val="20"/>
          <w:szCs w:val="20"/>
          <w:color w:val="auto"/>
        </w:rPr>
      </w:pPr>
      <w:r>
        <w:rPr>
          <w:rFonts w:ascii="Courier New" w:cs="Courier New" w:eastAsia="Courier New" w:hAnsi="Courier New"/>
          <w:sz w:val="15"/>
          <w:szCs w:val="15"/>
          <w:color w:val="auto"/>
        </w:rPr>
        <w:t>The following is a tabulation of the unaudited quarterly results of operations for the two years ended December 31, 1998 (in thousands, except per-share data):</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60" w:type="dxa"/>
            <w:vAlign w:val="bottom"/>
            <w:gridSpan w:val="4"/>
          </w:tcPr>
          <w:p>
            <w:pPr>
              <w:jc w:val="right"/>
              <w:ind w:right="285"/>
              <w:spacing w:after="0"/>
              <w:rPr>
                <w:sz w:val="20"/>
                <w:szCs w:val="20"/>
                <w:color w:val="auto"/>
              </w:rPr>
            </w:pPr>
            <w:r>
              <w:rPr>
                <w:rFonts w:ascii="Courier New" w:cs="Courier New" w:eastAsia="Courier New" w:hAnsi="Courier New"/>
                <w:sz w:val="15"/>
                <w:szCs w:val="15"/>
                <w:color w:val="auto"/>
                <w:w w:val="97"/>
              </w:rPr>
              <w:t>THREE MONTHS ENDED</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3660" w:type="dxa"/>
            <w:vAlign w:val="bottom"/>
          </w:tcPr>
          <w:p>
            <w:pPr>
              <w:spacing w:after="0"/>
              <w:rPr>
                <w:sz w:val="14"/>
                <w:szCs w:val="14"/>
                <w:color w:val="auto"/>
              </w:rPr>
            </w:pPr>
          </w:p>
        </w:tc>
        <w:tc>
          <w:tcPr>
            <w:tcW w:w="4120" w:type="dxa"/>
            <w:vAlign w:val="bottom"/>
            <w:gridSpan w:val="7"/>
          </w:tcPr>
          <w:p>
            <w:pPr>
              <w:jc w:val="right"/>
              <w:ind w:right="285"/>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366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12/31/98</w:t>
            </w:r>
          </w:p>
        </w:tc>
        <w:tc>
          <w:tcPr>
            <w:tcW w:w="9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5"/>
              </w:rPr>
              <w:t>9/30/98</w:t>
            </w:r>
          </w:p>
        </w:tc>
        <w:tc>
          <w:tcPr>
            <w:tcW w:w="9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5"/>
              </w:rPr>
              <w:t>6/30/98</w:t>
            </w:r>
          </w:p>
        </w:tc>
        <w:tc>
          <w:tcPr>
            <w:tcW w:w="10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w w:val="95"/>
              </w:rPr>
              <w:t>3/31/98</w:t>
            </w:r>
          </w:p>
        </w:tc>
      </w:tr>
      <w:tr>
        <w:trPr>
          <w:trHeight w:val="172"/>
        </w:trPr>
        <w:tc>
          <w:tcPr>
            <w:tcW w:w="366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5"/>
              </w:rPr>
              <w:t>-------</w:t>
            </w:r>
          </w:p>
        </w:tc>
        <w:tc>
          <w:tcPr>
            <w:tcW w:w="9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5"/>
              </w:rPr>
              <w:t>-------</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36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5"/>
              </w:rPr>
              <w:t>$33,262</w:t>
            </w:r>
          </w:p>
        </w:tc>
        <w:tc>
          <w:tcPr>
            <w:tcW w:w="9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5"/>
              </w:rPr>
              <w:t>$28,832</w:t>
            </w:r>
          </w:p>
        </w:tc>
        <w:tc>
          <w:tcPr>
            <w:tcW w:w="9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5"/>
              </w:rPr>
              <w:t>$27,360</w:t>
            </w:r>
          </w:p>
        </w:tc>
        <w:tc>
          <w:tcPr>
            <w:tcW w:w="10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$ 26,006</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6,308</w:t>
            </w:r>
          </w:p>
        </w:tc>
        <w:tc>
          <w:tcPr>
            <w:tcW w:w="120" w:type="dxa"/>
            <w:vAlign w:val="bottom"/>
          </w:tcPr>
          <w:p>
            <w:pPr>
              <w:spacing w:after="0"/>
              <w:rPr>
                <w:sz w:val="14"/>
                <w:szCs w:val="14"/>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6,003</w:t>
            </w:r>
          </w:p>
        </w:tc>
        <w:tc>
          <w:tcPr>
            <w:tcW w:w="140" w:type="dxa"/>
            <w:vAlign w:val="bottom"/>
          </w:tcPr>
          <w:p>
            <w:pPr>
              <w:spacing w:after="0"/>
              <w:rPr>
                <w:sz w:val="14"/>
                <w:szCs w:val="14"/>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5,068</w:t>
            </w:r>
          </w:p>
        </w:tc>
        <w:tc>
          <w:tcPr>
            <w:tcW w:w="8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(20,384)</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Income before extraordinary loss.......</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4,095</w:t>
            </w:r>
          </w:p>
        </w:tc>
        <w:tc>
          <w:tcPr>
            <w:tcW w:w="120" w:type="dxa"/>
            <w:vAlign w:val="bottom"/>
          </w:tcPr>
          <w:p>
            <w:pPr>
              <w:spacing w:after="0"/>
              <w:rPr>
                <w:sz w:val="14"/>
                <w:szCs w:val="14"/>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3,877</w:t>
            </w:r>
          </w:p>
        </w:tc>
        <w:tc>
          <w:tcPr>
            <w:tcW w:w="140" w:type="dxa"/>
            <w:vAlign w:val="bottom"/>
          </w:tcPr>
          <w:p>
            <w:pPr>
              <w:spacing w:after="0"/>
              <w:rPr>
                <w:sz w:val="14"/>
                <w:szCs w:val="14"/>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2,433</w:t>
            </w:r>
          </w:p>
        </w:tc>
        <w:tc>
          <w:tcPr>
            <w:tcW w:w="80" w:type="dxa"/>
            <w:vAlign w:val="bottom"/>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13,505</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4,095</w:t>
            </w:r>
          </w:p>
        </w:tc>
        <w:tc>
          <w:tcPr>
            <w:tcW w:w="120" w:type="dxa"/>
            <w:vAlign w:val="bottom"/>
          </w:tcPr>
          <w:p>
            <w:pPr>
              <w:spacing w:after="0"/>
              <w:rPr>
                <w:sz w:val="14"/>
                <w:szCs w:val="14"/>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3,877</w:t>
            </w:r>
          </w:p>
        </w:tc>
        <w:tc>
          <w:tcPr>
            <w:tcW w:w="140" w:type="dxa"/>
            <w:vAlign w:val="bottom"/>
          </w:tcPr>
          <w:p>
            <w:pPr>
              <w:spacing w:after="0"/>
              <w:rPr>
                <w:sz w:val="14"/>
                <w:szCs w:val="14"/>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1,607</w:t>
            </w:r>
          </w:p>
        </w:tc>
        <w:tc>
          <w:tcPr>
            <w:tcW w:w="8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(13,505)</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Basic income (loss) per share before</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extraordinary loss...................</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0.24</w:t>
            </w:r>
          </w:p>
        </w:tc>
        <w:tc>
          <w:tcPr>
            <w:tcW w:w="120" w:type="dxa"/>
            <w:vAlign w:val="bottom"/>
          </w:tcPr>
          <w:p>
            <w:pPr>
              <w:spacing w:after="0"/>
              <w:rPr>
                <w:sz w:val="14"/>
                <w:szCs w:val="14"/>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0.22</w:t>
            </w:r>
          </w:p>
        </w:tc>
        <w:tc>
          <w:tcPr>
            <w:tcW w:w="140" w:type="dxa"/>
            <w:vAlign w:val="bottom"/>
          </w:tcPr>
          <w:p>
            <w:pPr>
              <w:spacing w:after="0"/>
              <w:rPr>
                <w:sz w:val="14"/>
                <w:szCs w:val="14"/>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0.11</w:t>
            </w:r>
          </w:p>
        </w:tc>
        <w:tc>
          <w:tcPr>
            <w:tcW w:w="8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(1.01)</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Diluted income (loss) per share before</w:t>
            </w: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3660" w:type="dxa"/>
            <w:vAlign w:val="bottom"/>
          </w:tcPr>
          <w:p>
            <w:pPr>
              <w:ind w:left="180"/>
              <w:spacing w:after="0"/>
              <w:rPr>
                <w:sz w:val="20"/>
                <w:szCs w:val="20"/>
                <w:color w:val="auto"/>
              </w:rPr>
            </w:pPr>
            <w:r>
              <w:rPr>
                <w:rFonts w:ascii="Courier New" w:cs="Courier New" w:eastAsia="Courier New" w:hAnsi="Courier New"/>
                <w:sz w:val="15"/>
                <w:szCs w:val="15"/>
                <w:color w:val="auto"/>
              </w:rPr>
              <w:t>extraordinary loss...................</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0.23</w:t>
            </w:r>
          </w:p>
        </w:tc>
        <w:tc>
          <w:tcPr>
            <w:tcW w:w="120" w:type="dxa"/>
            <w:vAlign w:val="bottom"/>
          </w:tcPr>
          <w:p>
            <w:pPr>
              <w:spacing w:after="0"/>
              <w:rPr>
                <w:sz w:val="14"/>
                <w:szCs w:val="14"/>
                <w:color w:val="auto"/>
              </w:rPr>
            </w:pPr>
          </w:p>
        </w:tc>
        <w:tc>
          <w:tcPr>
            <w:tcW w:w="8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0.21</w:t>
            </w:r>
          </w:p>
        </w:tc>
        <w:tc>
          <w:tcPr>
            <w:tcW w:w="140" w:type="dxa"/>
            <w:vAlign w:val="bottom"/>
          </w:tcPr>
          <w:p>
            <w:pPr>
              <w:spacing w:after="0"/>
              <w:rPr>
                <w:sz w:val="14"/>
                <w:szCs w:val="14"/>
                <w:color w:val="auto"/>
              </w:rPr>
            </w:pPr>
          </w:p>
        </w:tc>
        <w:tc>
          <w:tcPr>
            <w:tcW w:w="8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0.11</w:t>
            </w:r>
          </w:p>
        </w:tc>
        <w:tc>
          <w:tcPr>
            <w:tcW w:w="80" w:type="dxa"/>
            <w:vAlign w:val="bottom"/>
          </w:tcPr>
          <w:p>
            <w:pPr>
              <w:spacing w:after="0"/>
              <w:rPr>
                <w:sz w:val="14"/>
                <w:szCs w:val="1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(1.01)</w:t>
            </w:r>
          </w:p>
        </w:tc>
      </w:tr>
      <w:tr>
        <w:trPr>
          <w:trHeight w:val="860"/>
        </w:trPr>
        <w:tc>
          <w:tcPr>
            <w:tcW w:w="3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THREE MONTHS ENDED</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2"/>
        </w:trPr>
        <w:tc>
          <w:tcPr>
            <w:tcW w:w="3660" w:type="dxa"/>
            <w:vAlign w:val="bottom"/>
          </w:tcPr>
          <w:p>
            <w:pPr>
              <w:spacing w:after="0"/>
              <w:rPr>
                <w:sz w:val="14"/>
                <w:szCs w:val="14"/>
                <w:color w:val="auto"/>
              </w:rPr>
            </w:pPr>
          </w:p>
        </w:tc>
        <w:tc>
          <w:tcPr>
            <w:tcW w:w="412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66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12/31/97</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9/30/97</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6/30/97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3/31/97</w:t>
            </w:r>
          </w:p>
        </w:tc>
      </w:tr>
      <w:tr>
        <w:trPr>
          <w:trHeight w:val="172"/>
        </w:trPr>
        <w:tc>
          <w:tcPr>
            <w:tcW w:w="366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660" w:type="dxa"/>
            <w:vAlign w:val="bottom"/>
          </w:tcPr>
          <w:p>
            <w:pPr>
              <w:spacing w:after="0"/>
              <w:rPr>
                <w:sz w:val="20"/>
                <w:szCs w:val="20"/>
                <w:color w:val="auto"/>
              </w:rPr>
            </w:pPr>
            <w:r>
              <w:rPr>
                <w:rFonts w:ascii="Courier New" w:cs="Courier New" w:eastAsia="Courier New" w:hAnsi="Courier New"/>
                <w:sz w:val="15"/>
                <w:szCs w:val="15"/>
                <w:color w:val="auto"/>
                <w:w w:val="91"/>
              </w:rPr>
              <w:t>Revenue.....................................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$6,758</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$6,039</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$5,362</w:t>
            </w:r>
          </w:p>
        </w:tc>
        <w:tc>
          <w:tcPr>
            <w:tcW w:w="80" w:type="dxa"/>
            <w:vAlign w:val="bottom"/>
          </w:tcPr>
          <w:p>
            <w:pPr>
              <w:spacing w:after="0"/>
              <w:rPr>
                <w:sz w:val="24"/>
                <w:szCs w:val="2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$5,270</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w w:val="91"/>
              </w:rPr>
              <w:t>Operating income............................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2,027</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1,659</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1,421</w:t>
            </w:r>
          </w:p>
        </w:tc>
        <w:tc>
          <w:tcPr>
            <w:tcW w:w="8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1,439</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w w:val="91"/>
              </w:rPr>
              <w:t>Net income..................................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1,420</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1,240</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1,078</w:t>
            </w:r>
          </w:p>
        </w:tc>
        <w:tc>
          <w:tcPr>
            <w:tcW w:w="8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1,062</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w w:val="91"/>
              </w:rPr>
              <w:t>Basic net income per share..................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0.11</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0.10</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c>
          <w:tcPr>
            <w:tcW w:w="8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0.08</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w w:val="91"/>
              </w:rPr>
              <w:t>Diluted net income per share................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0.11</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c>
          <w:tcPr>
            <w:tcW w:w="8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0.08</w:t>
            </w:r>
          </w:p>
        </w:tc>
      </w:tr>
    </w:tbl>
    <w:p>
      <w:pPr>
        <w:spacing w:after="0" w:line="348" w:lineRule="exact"/>
        <w:rPr>
          <w:sz w:val="20"/>
          <w:szCs w:val="20"/>
          <w:color w:val="auto"/>
        </w:rPr>
      </w:pPr>
    </w:p>
    <w:p>
      <w:pPr>
        <w:jc w:val="both"/>
        <w:ind w:left="8" w:right="3339" w:firstLine="447"/>
        <w:spacing w:after="0" w:line="241" w:lineRule="auto"/>
        <w:rPr>
          <w:sz w:val="20"/>
          <w:szCs w:val="20"/>
          <w:color w:val="auto"/>
        </w:rPr>
      </w:pPr>
      <w:r>
        <w:rPr>
          <w:rFonts w:ascii="Courier New" w:cs="Courier New" w:eastAsia="Courier New" w:hAnsi="Courier New"/>
          <w:sz w:val="15"/>
          <w:szCs w:val="15"/>
          <w:color w:val="auto"/>
        </w:rPr>
        <w:t>The sum of the quarters' net income per share do not equal the full year per-share amounts due to differences resulting from changes in the number of shares of Common Stock outstanding.</w:t>
      </w:r>
    </w:p>
    <w:p>
      <w:pPr>
        <w:spacing w:after="0" w:line="176" w:lineRule="exact"/>
        <w:rPr>
          <w:sz w:val="20"/>
          <w:szCs w:val="20"/>
          <w:color w:val="auto"/>
        </w:rPr>
      </w:pPr>
    </w:p>
    <w:p>
      <w:pPr>
        <w:ind w:left="8" w:right="3259" w:firstLine="447"/>
        <w:spacing w:after="0" w:line="265" w:lineRule="auto"/>
        <w:rPr>
          <w:sz w:val="20"/>
          <w:szCs w:val="20"/>
          <w:color w:val="auto"/>
        </w:rPr>
      </w:pPr>
      <w:r>
        <w:rPr>
          <w:rFonts w:ascii="Courier New" w:cs="Courier New" w:eastAsia="Courier New" w:hAnsi="Courier New"/>
          <w:sz w:val="14"/>
          <w:szCs w:val="14"/>
          <w:color w:val="auto"/>
        </w:rPr>
        <w:t>Excluding non-recurring in-process research and development and personnel and indirect acquisition costs associated with the Company's January 2, 1998 acquisition of Intelicom and the extraordinary loss, earnings for the quarter ended March 31, 1998 were $2 million or $.14 per pro forma diluted share.</w:t>
      </w:r>
    </w:p>
    <w:p>
      <w:pPr>
        <w:spacing w:after="0" w:line="158" w:lineRule="exact"/>
        <w:rPr>
          <w:sz w:val="20"/>
          <w:szCs w:val="20"/>
          <w:color w:val="auto"/>
        </w:rPr>
      </w:pPr>
    </w:p>
    <w:p>
      <w:pPr>
        <w:ind w:left="448" w:hanging="448"/>
        <w:spacing w:after="0"/>
        <w:tabs>
          <w:tab w:leader="none" w:pos="448"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 (UNAUDITED)</w:t>
      </w:r>
    </w:p>
    <w:p>
      <w:pPr>
        <w:spacing w:after="0" w:line="176" w:lineRule="exact"/>
        <w:rPr>
          <w:sz w:val="20"/>
          <w:szCs w:val="20"/>
          <w:color w:val="auto"/>
        </w:rPr>
      </w:pPr>
    </w:p>
    <w:p>
      <w:pPr>
        <w:jc w:val="both"/>
        <w:ind w:left="8" w:right="3259" w:firstLine="447"/>
        <w:spacing w:after="0" w:line="267" w:lineRule="auto"/>
        <w:rPr>
          <w:sz w:val="20"/>
          <w:szCs w:val="20"/>
          <w:color w:val="auto"/>
        </w:rPr>
      </w:pPr>
      <w:r>
        <w:rPr>
          <w:rFonts w:ascii="Courier New" w:cs="Courier New" w:eastAsia="Courier New" w:hAnsi="Courier New"/>
          <w:sz w:val="14"/>
          <w:szCs w:val="14"/>
          <w:color w:val="auto"/>
        </w:rPr>
        <w:t>On February 8, 1999, the Company announced that it had formed a strategic alliance with Novazen Inc. to include internet-based billing and customer care software in the Company's proprietary suits or products and services.</w:t>
      </w:r>
    </w:p>
    <w:p>
      <w:pPr>
        <w:spacing w:after="0" w:line="159" w:lineRule="exact"/>
        <w:rPr>
          <w:sz w:val="20"/>
          <w:szCs w:val="20"/>
          <w:color w:val="auto"/>
        </w:rPr>
      </w:pPr>
    </w:p>
    <w:p>
      <w:pPr>
        <w:jc w:val="both"/>
        <w:ind w:left="8" w:right="3079" w:firstLine="447"/>
        <w:spacing w:after="0" w:line="267" w:lineRule="auto"/>
        <w:rPr>
          <w:sz w:val="20"/>
          <w:szCs w:val="20"/>
          <w:color w:val="auto"/>
        </w:rPr>
      </w:pPr>
      <w:r>
        <w:rPr>
          <w:rFonts w:ascii="Courier New" w:cs="Courier New" w:eastAsia="Courier New" w:hAnsi="Courier New"/>
          <w:sz w:val="14"/>
          <w:szCs w:val="14"/>
          <w:color w:val="auto"/>
        </w:rPr>
        <w:t>On March 24, 1999, the Board of Directors approved a stock buy-back program of up to $10 million. The purchased shares will be used for the Company's stock incentive plans, employee stock purchase plan and other corporate purposes.</w:t>
      </w:r>
    </w:p>
    <w:p>
      <w:pPr>
        <w:spacing w:after="0" w:line="157"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F-47</w:t>
      </w:r>
    </w:p>
    <w:p>
      <w:pPr>
        <w:sectPr>
          <w:pgSz w:w="11900" w:h="16838" w:orient="portrait"/>
          <w:cols w:equalWidth="0" w:num="1">
            <w:col w:w="10227"/>
          </w:cols>
          <w:pgMar w:left="232" w:top="289"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5"/>
          <w:szCs w:val="15"/>
          <w:color w:val="auto"/>
        </w:rPr>
        <w:t>121</w:t>
      </w:r>
    </w:p>
    <w:p>
      <w:pPr>
        <w:spacing w:after="0" w:line="17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INTERNATIONAL TELECOMMUNICATION DATA SYSTEMS, INC. AND SUBSIDIARIES</w:t>
      </w:r>
    </w:p>
    <w:p>
      <w:pPr>
        <w:spacing w:after="0" w:line="18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CONSOLIDATED BALANCE SHEET</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JUNE 30,</w:t>
            </w:r>
          </w:p>
        </w:tc>
      </w:tr>
      <w:tr>
        <w:trPr>
          <w:trHeight w:val="172"/>
        </w:trPr>
        <w:tc>
          <w:tcPr>
            <w:tcW w:w="544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5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08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08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$ 39,617</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net of allowances for doubtful</w:t>
            </w:r>
          </w:p>
        </w:tc>
        <w:tc>
          <w:tcPr>
            <w:tcW w:w="10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of $2,133.....................................</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36,034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4,611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884</w:t>
            </w:r>
          </w:p>
        </w:tc>
      </w:tr>
      <w:tr>
        <w:trPr>
          <w:trHeight w:val="172"/>
        </w:trPr>
        <w:tc>
          <w:tcPr>
            <w:tcW w:w="544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current assets........................................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81,146</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108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Computers, including leased property under capital leases</w:t>
            </w:r>
          </w:p>
        </w:tc>
        <w:tc>
          <w:tcPr>
            <w:tcW w:w="10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of $1,150..............................................</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11,011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Furniture and fixtures....................................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2,423</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Equipment, including leased property under capital leases</w:t>
            </w:r>
          </w:p>
        </w:tc>
        <w:tc>
          <w:tcPr>
            <w:tcW w:w="10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of $54.................................................</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Leasehold improvements....................................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1,750</w:t>
            </w:r>
          </w:p>
        </w:tc>
      </w:tr>
      <w:tr>
        <w:trPr>
          <w:trHeight w:val="172"/>
        </w:trPr>
        <w:tc>
          <w:tcPr>
            <w:tcW w:w="544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15,802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7,108</w:t>
            </w:r>
          </w:p>
        </w:tc>
      </w:tr>
      <w:tr>
        <w:trPr>
          <w:trHeight w:val="172"/>
        </w:trPr>
        <w:tc>
          <w:tcPr>
            <w:tcW w:w="544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8,694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0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Goodwill -- net of accumulated amortization of $4,741.....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46,526</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Product development costs-at cost, net of accumulated</w:t>
            </w:r>
          </w:p>
        </w:tc>
        <w:tc>
          <w:tcPr>
            <w:tcW w:w="108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 of $8,747.................................</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23,120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2,779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2,276</w:t>
            </w:r>
          </w:p>
        </w:tc>
      </w:tr>
      <w:tr>
        <w:trPr>
          <w:trHeight w:val="172"/>
        </w:trPr>
        <w:tc>
          <w:tcPr>
            <w:tcW w:w="544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74,701</w:t>
            </w:r>
          </w:p>
        </w:tc>
      </w:tr>
      <w:tr>
        <w:trPr>
          <w:trHeight w:val="172"/>
        </w:trPr>
        <w:tc>
          <w:tcPr>
            <w:tcW w:w="544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Total assets................................................</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$164,541</w:t>
            </w:r>
          </w:p>
        </w:tc>
      </w:tr>
      <w:tr>
        <w:trPr>
          <w:trHeight w:val="172"/>
        </w:trPr>
        <w:tc>
          <w:tcPr>
            <w:tcW w:w="544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F-48</w:t>
      </w:r>
    </w:p>
    <w:p>
      <w:pPr>
        <w:sectPr>
          <w:pgSz w:w="11900" w:h="16838" w:orient="portrait"/>
          <w:cols w:equalWidth="0" w:num="1">
            <w:col w:w="10219"/>
          </w:cols>
          <w:pgMar w:left="240" w:top="289"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122</w:t>
      </w:r>
    </w:p>
    <w:p>
      <w:pPr>
        <w:spacing w:after="0" w:line="176"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INTERNATIONAL TELECOMMUNICATION DATA SYSTEMS, INC. AND SUBSIDIARIES</w:t>
      </w:r>
    </w:p>
    <w:p>
      <w:pPr>
        <w:spacing w:after="0" w:line="18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CONSOLIDATED BALANCE SHEET</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318"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JUNE 30,</w:t>
      </w:r>
    </w:p>
    <w:p>
      <w:pPr>
        <w:spacing w:after="0" w:line="2"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1999</w:t>
      </w:r>
    </w:p>
    <w:p>
      <w:pPr>
        <w:spacing w:after="0" w:line="2" w:lineRule="exact"/>
        <w:rPr>
          <w:sz w:val="20"/>
          <w:szCs w:val="20"/>
          <w:color w:val="auto"/>
        </w:rPr>
      </w:pPr>
    </w:p>
    <w:p>
      <w:pPr>
        <w:jc w:val="right"/>
        <w:ind w:right="3699"/>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right"/>
        <w:ind w:right="3699"/>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LIABILITIES AND STOCKHOLDERS' EQUITY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 liabilities:</w:t>
      </w:r>
    </w:p>
    <w:p>
      <w:pPr>
        <w:spacing w:after="0" w:line="2" w:lineRule="exact"/>
        <w:rPr>
          <w:sz w:val="20"/>
          <w:szCs w:val="20"/>
          <w:color w:val="auto"/>
        </w:rPr>
      </w:pPr>
    </w:p>
    <w:p>
      <w:pPr>
        <w:ind w:left="180"/>
        <w:spacing w:after="0"/>
        <w:tabs>
          <w:tab w:leader="dot" w:pos="5600" w:val="left"/>
        </w:tabs>
        <w:rPr>
          <w:sz w:val="20"/>
          <w:szCs w:val="20"/>
          <w:color w:val="auto"/>
        </w:rPr>
      </w:pPr>
      <w:r>
        <w:rPr>
          <w:rFonts w:ascii="Courier New" w:cs="Courier New" w:eastAsia="Courier New" w:hAnsi="Courier New"/>
          <w:sz w:val="15"/>
          <w:szCs w:val="15"/>
          <w:color w:val="auto"/>
        </w:rPr>
        <w:t>Accounts payable</w:t>
      </w:r>
      <w:r>
        <w:rPr>
          <w:sz w:val="20"/>
          <w:szCs w:val="20"/>
          <w:color w:val="auto"/>
        </w:rPr>
        <w:tab/>
      </w:r>
      <w:r>
        <w:rPr>
          <w:rFonts w:ascii="Courier New" w:cs="Courier New" w:eastAsia="Courier New" w:hAnsi="Courier New"/>
          <w:sz w:val="14"/>
          <w:szCs w:val="14"/>
          <w:color w:val="auto"/>
        </w:rPr>
        <w:t>$ 11,164</w:t>
      </w:r>
    </w:p>
    <w:p>
      <w:pPr>
        <w:spacing w:after="0" w:line="2" w:lineRule="exact"/>
        <w:rPr>
          <w:sz w:val="20"/>
          <w:szCs w:val="20"/>
          <w:color w:val="auto"/>
        </w:rPr>
      </w:pPr>
    </w:p>
    <w:p>
      <w:pPr>
        <w:ind w:left="180"/>
        <w:spacing w:after="0"/>
        <w:tabs>
          <w:tab w:leader="dot" w:pos="5880" w:val="left"/>
        </w:tabs>
        <w:rPr>
          <w:sz w:val="20"/>
          <w:szCs w:val="20"/>
          <w:color w:val="auto"/>
        </w:rPr>
      </w:pPr>
      <w:r>
        <w:rPr>
          <w:rFonts w:ascii="Courier New" w:cs="Courier New" w:eastAsia="Courier New" w:hAnsi="Courier New"/>
          <w:sz w:val="15"/>
          <w:szCs w:val="15"/>
          <w:color w:val="auto"/>
        </w:rPr>
        <w:t>Accrued expenses and income taxes payable</w:t>
      </w:r>
      <w:r>
        <w:rPr>
          <w:sz w:val="20"/>
          <w:szCs w:val="20"/>
          <w:color w:val="auto"/>
        </w:rPr>
        <w:tab/>
      </w:r>
      <w:r>
        <w:rPr>
          <w:rFonts w:ascii="Courier New" w:cs="Courier New" w:eastAsia="Courier New" w:hAnsi="Courier New"/>
          <w:sz w:val="14"/>
          <w:szCs w:val="14"/>
          <w:color w:val="auto"/>
        </w:rPr>
        <w:t>3,289</w:t>
      </w:r>
    </w:p>
    <w:p>
      <w:pPr>
        <w:spacing w:after="0" w:line="2" w:lineRule="exact"/>
        <w:rPr>
          <w:sz w:val="20"/>
          <w:szCs w:val="20"/>
          <w:color w:val="auto"/>
        </w:rPr>
      </w:pPr>
    </w:p>
    <w:p>
      <w:pPr>
        <w:ind w:left="180"/>
        <w:spacing w:after="0"/>
        <w:tabs>
          <w:tab w:leader="dot" w:pos="5880" w:val="left"/>
        </w:tabs>
        <w:rPr>
          <w:sz w:val="20"/>
          <w:szCs w:val="20"/>
          <w:color w:val="auto"/>
        </w:rPr>
      </w:pPr>
      <w:r>
        <w:rPr>
          <w:rFonts w:ascii="Courier New" w:cs="Courier New" w:eastAsia="Courier New" w:hAnsi="Courier New"/>
          <w:sz w:val="15"/>
          <w:szCs w:val="15"/>
          <w:color w:val="auto"/>
        </w:rPr>
        <w:t>Accrued compensation</w:t>
      </w:r>
      <w:r>
        <w:rPr>
          <w:sz w:val="20"/>
          <w:szCs w:val="20"/>
          <w:color w:val="auto"/>
        </w:rPr>
        <w:tab/>
      </w:r>
      <w:r>
        <w:rPr>
          <w:rFonts w:ascii="Courier New" w:cs="Courier New" w:eastAsia="Courier New" w:hAnsi="Courier New"/>
          <w:sz w:val="14"/>
          <w:szCs w:val="14"/>
          <w:color w:val="auto"/>
        </w:rPr>
        <w:t>2,469</w:t>
      </w:r>
    </w:p>
    <w:p>
      <w:pPr>
        <w:spacing w:after="0" w:line="2" w:lineRule="exact"/>
        <w:rPr>
          <w:sz w:val="20"/>
          <w:szCs w:val="20"/>
          <w:color w:val="auto"/>
        </w:rPr>
      </w:pPr>
    </w:p>
    <w:p>
      <w:pPr>
        <w:ind w:left="620"/>
        <w:spacing w:after="0"/>
        <w:tabs>
          <w:tab w:leader="dot" w:pos="5880" w:val="left"/>
        </w:tabs>
        <w:rPr>
          <w:sz w:val="20"/>
          <w:szCs w:val="20"/>
          <w:color w:val="auto"/>
        </w:rPr>
      </w:pPr>
      <w:r>
        <w:rPr>
          <w:rFonts w:ascii="Courier New" w:cs="Courier New" w:eastAsia="Courier New" w:hAnsi="Courier New"/>
          <w:sz w:val="15"/>
          <w:szCs w:val="15"/>
          <w:color w:val="auto"/>
        </w:rPr>
        <w:t>Customer advances and deferred revenue</w:t>
      </w:r>
      <w:r>
        <w:rPr>
          <w:sz w:val="20"/>
          <w:szCs w:val="20"/>
          <w:color w:val="auto"/>
        </w:rPr>
        <w:tab/>
      </w:r>
      <w:r>
        <w:rPr>
          <w:rFonts w:ascii="Courier New" w:cs="Courier New" w:eastAsia="Courier New" w:hAnsi="Courier New"/>
          <w:sz w:val="14"/>
          <w:szCs w:val="14"/>
          <w:color w:val="auto"/>
        </w:rPr>
        <w:t>5,171</w:t>
      </w:r>
    </w:p>
    <w:p>
      <w:pPr>
        <w:spacing w:after="0" w:line="2" w:lineRule="exact"/>
        <w:rPr>
          <w:sz w:val="20"/>
          <w:szCs w:val="20"/>
          <w:color w:val="auto"/>
        </w:rPr>
      </w:pPr>
    </w:p>
    <w:p>
      <w:pPr>
        <w:ind w:left="180"/>
        <w:spacing w:after="0"/>
        <w:tabs>
          <w:tab w:leader="dot" w:pos="6140" w:val="left"/>
        </w:tabs>
        <w:rPr>
          <w:sz w:val="20"/>
          <w:szCs w:val="20"/>
          <w:color w:val="auto"/>
        </w:rPr>
      </w:pPr>
      <w:r>
        <w:rPr>
          <w:rFonts w:ascii="Courier New" w:cs="Courier New" w:eastAsia="Courier New" w:hAnsi="Courier New"/>
          <w:sz w:val="15"/>
          <w:szCs w:val="15"/>
          <w:color w:val="auto"/>
        </w:rPr>
        <w:t>Current maturities of capital lease obligations</w:t>
      </w:r>
      <w:r>
        <w:rPr>
          <w:sz w:val="20"/>
          <w:szCs w:val="20"/>
          <w:color w:val="auto"/>
        </w:rPr>
        <w:tab/>
      </w:r>
      <w:r>
        <w:rPr>
          <w:rFonts w:ascii="Courier New" w:cs="Courier New" w:eastAsia="Courier New" w:hAnsi="Courier New"/>
          <w:sz w:val="15"/>
          <w:szCs w:val="15"/>
          <w:color w:val="auto"/>
        </w:rPr>
        <w:t>20</w:t>
      </w:r>
    </w:p>
    <w:p>
      <w:pPr>
        <w:spacing w:after="0" w:line="2" w:lineRule="exact"/>
        <w:rPr>
          <w:sz w:val="20"/>
          <w:szCs w:val="20"/>
          <w:color w:val="auto"/>
        </w:rPr>
      </w:pPr>
    </w:p>
    <w:p>
      <w:pPr>
        <w:ind w:left="180"/>
        <w:spacing w:after="0"/>
        <w:tabs>
          <w:tab w:leader="dot" w:pos="6060" w:val="left"/>
        </w:tabs>
        <w:rPr>
          <w:sz w:val="20"/>
          <w:szCs w:val="20"/>
          <w:color w:val="auto"/>
        </w:rPr>
      </w:pP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4"/>
          <w:szCs w:val="14"/>
          <w:color w:val="auto"/>
        </w:rPr>
        <w:t>298</w:t>
      </w:r>
    </w:p>
    <w:p>
      <w:pPr>
        <w:spacing w:after="0" w:line="2"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tabs>
          <w:tab w:leader="dot" w:pos="5780" w:val="left"/>
        </w:tabs>
        <w:rPr>
          <w:sz w:val="20"/>
          <w:szCs w:val="20"/>
          <w:color w:val="auto"/>
        </w:rPr>
      </w:pPr>
      <w:r>
        <w:rPr>
          <w:rFonts w:ascii="Courier New" w:cs="Courier New" w:eastAsia="Courier New" w:hAnsi="Courier New"/>
          <w:sz w:val="15"/>
          <w:szCs w:val="15"/>
          <w:color w:val="auto"/>
        </w:rPr>
        <w:t>Total current liabilities</w:t>
      </w:r>
      <w:r>
        <w:rPr>
          <w:sz w:val="20"/>
          <w:szCs w:val="20"/>
          <w:color w:val="auto"/>
        </w:rPr>
        <w:tab/>
      </w:r>
      <w:r>
        <w:rPr>
          <w:rFonts w:ascii="Courier New" w:cs="Courier New" w:eastAsia="Courier New" w:hAnsi="Courier New"/>
          <w:sz w:val="15"/>
          <w:szCs w:val="15"/>
          <w:color w:val="auto"/>
        </w:rPr>
        <w:t>22,411</w:t>
      </w:r>
    </w:p>
    <w:p>
      <w:pPr>
        <w:spacing w:after="0" w:line="2" w:lineRule="exact"/>
        <w:rPr>
          <w:sz w:val="20"/>
          <w:szCs w:val="20"/>
          <w:color w:val="auto"/>
        </w:rPr>
      </w:pPr>
    </w:p>
    <w:p>
      <w:pPr>
        <w:spacing w:after="0"/>
        <w:tabs>
          <w:tab w:leader="dot" w:pos="6140" w:val="left"/>
        </w:tabs>
        <w:rPr>
          <w:sz w:val="20"/>
          <w:szCs w:val="20"/>
          <w:color w:val="auto"/>
        </w:rPr>
      </w:pPr>
      <w:r>
        <w:rPr>
          <w:rFonts w:ascii="Courier New" w:cs="Courier New" w:eastAsia="Courier New" w:hAnsi="Courier New"/>
          <w:sz w:val="15"/>
          <w:szCs w:val="15"/>
          <w:color w:val="auto"/>
        </w:rPr>
        <w:t>Capital lease obligations</w:t>
      </w:r>
      <w:r>
        <w:rPr>
          <w:sz w:val="20"/>
          <w:szCs w:val="20"/>
          <w:color w:val="auto"/>
        </w:rPr>
        <w:tab/>
      </w:r>
      <w:r>
        <w:rPr>
          <w:rFonts w:ascii="Courier New" w:cs="Courier New" w:eastAsia="Courier New" w:hAnsi="Courier New"/>
          <w:sz w:val="15"/>
          <w:szCs w:val="15"/>
          <w:color w:val="auto"/>
        </w:rPr>
        <w:t>21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EQUITY</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Common Stock, $0.01 par value; 40,000 shares authorized,</w:t>
      </w:r>
    </w:p>
    <w:p>
      <w:pPr>
        <w:spacing w:after="0" w:line="2" w:lineRule="exact"/>
        <w:rPr>
          <w:sz w:val="20"/>
          <w:szCs w:val="20"/>
          <w:color w:val="auto"/>
        </w:rPr>
      </w:pPr>
    </w:p>
    <w:p>
      <w:pPr>
        <w:ind w:left="440"/>
        <w:spacing w:after="0"/>
        <w:tabs>
          <w:tab w:leader="dot" w:pos="6060" w:val="left"/>
        </w:tabs>
        <w:rPr>
          <w:sz w:val="20"/>
          <w:szCs w:val="20"/>
          <w:color w:val="auto"/>
        </w:rPr>
      </w:pPr>
      <w:r>
        <w:rPr>
          <w:rFonts w:ascii="Courier New" w:cs="Courier New" w:eastAsia="Courier New" w:hAnsi="Courier New"/>
          <w:sz w:val="15"/>
          <w:szCs w:val="15"/>
          <w:color w:val="auto"/>
        </w:rPr>
        <w:t>17,379 issued and outstanding</w:t>
      </w:r>
      <w:r>
        <w:rPr>
          <w:sz w:val="20"/>
          <w:szCs w:val="20"/>
          <w:color w:val="auto"/>
        </w:rPr>
        <w:tab/>
      </w:r>
      <w:r>
        <w:rPr>
          <w:rFonts w:ascii="Courier New" w:cs="Courier New" w:eastAsia="Courier New" w:hAnsi="Courier New"/>
          <w:sz w:val="14"/>
          <w:szCs w:val="14"/>
          <w:color w:val="auto"/>
        </w:rPr>
        <w:t>174</w:t>
      </w:r>
    </w:p>
    <w:p>
      <w:pPr>
        <w:spacing w:after="0" w:line="2" w:lineRule="exact"/>
        <w:rPr>
          <w:sz w:val="20"/>
          <w:szCs w:val="20"/>
          <w:color w:val="auto"/>
        </w:rPr>
      </w:pPr>
    </w:p>
    <w:p>
      <w:pPr>
        <w:ind w:left="180"/>
        <w:spacing w:after="0"/>
        <w:tabs>
          <w:tab w:leader="dot" w:pos="5780" w:val="left"/>
        </w:tabs>
        <w:rPr>
          <w:sz w:val="20"/>
          <w:szCs w:val="20"/>
          <w:color w:val="auto"/>
        </w:rPr>
      </w:pPr>
      <w:r>
        <w:rPr>
          <w:rFonts w:ascii="Courier New" w:cs="Courier New" w:eastAsia="Courier New" w:hAnsi="Courier New"/>
          <w:sz w:val="15"/>
          <w:szCs w:val="15"/>
          <w:color w:val="auto"/>
        </w:rPr>
        <w:t>Treasury stock, 91,500 shares at cost</w:t>
      </w:r>
      <w:r>
        <w:rPr>
          <w:sz w:val="20"/>
          <w:szCs w:val="20"/>
          <w:color w:val="auto"/>
        </w:rPr>
        <w:tab/>
      </w:r>
      <w:r>
        <w:rPr>
          <w:rFonts w:ascii="Courier New" w:cs="Courier New" w:eastAsia="Courier New" w:hAnsi="Courier New"/>
          <w:sz w:val="15"/>
          <w:szCs w:val="15"/>
          <w:color w:val="auto"/>
        </w:rPr>
        <w:t>(1,180)</w:t>
      </w:r>
    </w:p>
    <w:p>
      <w:pPr>
        <w:spacing w:after="0" w:line="2" w:lineRule="exact"/>
        <w:rPr>
          <w:sz w:val="20"/>
          <w:szCs w:val="20"/>
          <w:color w:val="auto"/>
        </w:rPr>
      </w:pPr>
    </w:p>
    <w:p>
      <w:pPr>
        <w:ind w:left="180"/>
        <w:spacing w:after="0"/>
        <w:tabs>
          <w:tab w:leader="dot" w:pos="5700" w:val="left"/>
        </w:tabs>
        <w:rPr>
          <w:sz w:val="20"/>
          <w:szCs w:val="20"/>
          <w:color w:val="auto"/>
        </w:rPr>
      </w:pPr>
      <w:r>
        <w:rPr>
          <w:rFonts w:ascii="Courier New" w:cs="Courier New" w:eastAsia="Courier New" w:hAnsi="Courier New"/>
          <w:sz w:val="15"/>
          <w:szCs w:val="15"/>
          <w:color w:val="auto"/>
        </w:rPr>
        <w:t>Additional paid-in capital</w:t>
      </w:r>
      <w:r>
        <w:rPr>
          <w:sz w:val="20"/>
          <w:szCs w:val="20"/>
          <w:color w:val="auto"/>
        </w:rPr>
        <w:tab/>
      </w:r>
      <w:r>
        <w:rPr>
          <w:rFonts w:ascii="Courier New" w:cs="Courier New" w:eastAsia="Courier New" w:hAnsi="Courier New"/>
          <w:sz w:val="14"/>
          <w:szCs w:val="14"/>
          <w:color w:val="auto"/>
        </w:rPr>
        <w:t>142,386</w:t>
      </w:r>
    </w:p>
    <w:p>
      <w:pPr>
        <w:spacing w:after="0" w:line="2" w:lineRule="exact"/>
        <w:rPr>
          <w:sz w:val="20"/>
          <w:szCs w:val="20"/>
          <w:color w:val="auto"/>
        </w:rPr>
      </w:pPr>
    </w:p>
    <w:p>
      <w:pPr>
        <w:ind w:left="180"/>
        <w:spacing w:after="0"/>
        <w:tabs>
          <w:tab w:leader="dot" w:pos="6060" w:val="left"/>
        </w:tabs>
        <w:rPr>
          <w:sz w:val="20"/>
          <w:szCs w:val="20"/>
          <w:color w:val="auto"/>
        </w:rPr>
      </w:pPr>
      <w:r>
        <w:rPr>
          <w:rFonts w:ascii="Courier New" w:cs="Courier New" w:eastAsia="Courier New" w:hAnsi="Courier New"/>
          <w:sz w:val="15"/>
          <w:szCs w:val="15"/>
          <w:color w:val="auto"/>
        </w:rPr>
        <w:t>Retained earnings</w:t>
      </w:r>
      <w:r>
        <w:rPr>
          <w:sz w:val="20"/>
          <w:szCs w:val="20"/>
          <w:color w:val="auto"/>
        </w:rPr>
        <w:tab/>
      </w:r>
      <w:r>
        <w:rPr>
          <w:rFonts w:ascii="Courier New" w:cs="Courier New" w:eastAsia="Courier New" w:hAnsi="Courier New"/>
          <w:sz w:val="14"/>
          <w:szCs w:val="14"/>
          <w:color w:val="auto"/>
        </w:rPr>
        <w:t>762</w:t>
      </w:r>
    </w:p>
    <w:p>
      <w:pPr>
        <w:spacing w:after="0" w:line="2" w:lineRule="exact"/>
        <w:rPr>
          <w:sz w:val="20"/>
          <w:szCs w:val="20"/>
          <w:color w:val="auto"/>
        </w:rPr>
      </w:pPr>
    </w:p>
    <w:p>
      <w:pPr>
        <w:ind w:left="180"/>
        <w:spacing w:after="0"/>
        <w:tabs>
          <w:tab w:leader="dot" w:pos="6060" w:val="left"/>
        </w:tabs>
        <w:rPr>
          <w:sz w:val="20"/>
          <w:szCs w:val="20"/>
          <w:color w:val="auto"/>
        </w:rPr>
      </w:pPr>
      <w:r>
        <w:rPr>
          <w:rFonts w:ascii="Courier New" w:cs="Courier New" w:eastAsia="Courier New" w:hAnsi="Courier New"/>
          <w:sz w:val="15"/>
          <w:szCs w:val="15"/>
          <w:color w:val="auto"/>
        </w:rPr>
        <w:t>Unearned compensation</w:t>
      </w:r>
      <w:r>
        <w:rPr>
          <w:sz w:val="20"/>
          <w:szCs w:val="20"/>
          <w:color w:val="auto"/>
        </w:rPr>
        <w:tab/>
      </w:r>
      <w:r>
        <w:rPr>
          <w:rFonts w:ascii="Courier New" w:cs="Courier New" w:eastAsia="Courier New" w:hAnsi="Courier New"/>
          <w:sz w:val="15"/>
          <w:szCs w:val="15"/>
          <w:color w:val="auto"/>
        </w:rPr>
        <w:t>(33)</w:t>
      </w:r>
    </w:p>
    <w:p>
      <w:pPr>
        <w:spacing w:after="0" w:line="2"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tabs>
          <w:tab w:leader="dot" w:pos="5700" w:val="left"/>
        </w:tabs>
        <w:rPr>
          <w:sz w:val="20"/>
          <w:szCs w:val="20"/>
          <w:color w:val="auto"/>
        </w:rPr>
      </w:pPr>
      <w:r>
        <w:rPr>
          <w:rFonts w:ascii="Courier New" w:cs="Courier New" w:eastAsia="Courier New" w:hAnsi="Courier New"/>
          <w:sz w:val="15"/>
          <w:szCs w:val="15"/>
          <w:color w:val="auto"/>
        </w:rPr>
        <w:t>Total stockholders' equity</w:t>
      </w:r>
      <w:r>
        <w:rPr>
          <w:sz w:val="20"/>
          <w:szCs w:val="20"/>
          <w:color w:val="auto"/>
        </w:rPr>
        <w:tab/>
      </w:r>
      <w:r>
        <w:rPr>
          <w:rFonts w:ascii="Courier New" w:cs="Courier New" w:eastAsia="Courier New" w:hAnsi="Courier New"/>
          <w:sz w:val="14"/>
          <w:szCs w:val="14"/>
          <w:color w:val="auto"/>
        </w:rPr>
        <w:t>142,109</w:t>
      </w:r>
    </w:p>
    <w:p>
      <w:pPr>
        <w:spacing w:after="0" w:line="2"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tabs>
          <w:tab w:leader="dot" w:pos="5600" w:val="left"/>
        </w:tabs>
        <w:rPr>
          <w:sz w:val="20"/>
          <w:szCs w:val="20"/>
          <w:color w:val="auto"/>
        </w:rPr>
      </w:pPr>
      <w:r>
        <w:rPr>
          <w:rFonts w:ascii="Courier New" w:cs="Courier New" w:eastAsia="Courier New" w:hAnsi="Courier New"/>
          <w:sz w:val="15"/>
          <w:szCs w:val="15"/>
          <w:color w:val="auto"/>
        </w:rPr>
        <w:t>Total liabilities and stockholders' equity</w:t>
      </w:r>
      <w:r>
        <w:rPr>
          <w:sz w:val="20"/>
          <w:szCs w:val="20"/>
          <w:color w:val="auto"/>
        </w:rPr>
        <w:tab/>
      </w:r>
      <w:r>
        <w:rPr>
          <w:rFonts w:ascii="Courier New" w:cs="Courier New" w:eastAsia="Courier New" w:hAnsi="Courier New"/>
          <w:sz w:val="15"/>
          <w:szCs w:val="15"/>
          <w:color w:val="auto"/>
        </w:rPr>
        <w:t>$164,541</w:t>
      </w:r>
    </w:p>
    <w:p>
      <w:pPr>
        <w:spacing w:after="0" w:line="2" w:lineRule="exact"/>
        <w:rPr>
          <w:sz w:val="20"/>
          <w:szCs w:val="20"/>
          <w:color w:val="auto"/>
        </w:rPr>
      </w:pPr>
    </w:p>
    <w:p>
      <w:pPr>
        <w:ind w:left="562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F-49</w:t>
      </w:r>
    </w:p>
    <w:p>
      <w:pPr>
        <w:sectPr>
          <w:pgSz w:w="11900" w:h="16838" w:orient="portrait"/>
          <w:cols w:equalWidth="0" w:num="1">
            <w:col w:w="10219"/>
          </w:cols>
          <w:pgMar w:left="240" w:top="289"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5"/>
          <w:szCs w:val="15"/>
          <w:color w:val="auto"/>
        </w:rPr>
        <w:t>123</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INTERNATIONAL TELECOMMUNICATION DATA SYSTEMS, INC. AND SUBSIDIARIES</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w w:val="98"/>
              </w:rPr>
              <w:t>SIX MONTHS ENDED</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JUNE 30,</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96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1999</w:t>
            </w:r>
          </w:p>
        </w:tc>
        <w:tc>
          <w:tcPr>
            <w:tcW w:w="220" w:type="dxa"/>
            <w:vAlign w:val="bottom"/>
          </w:tcPr>
          <w:p>
            <w:pPr>
              <w:spacing w:after="0"/>
              <w:rPr>
                <w:sz w:val="14"/>
                <w:szCs w:val="14"/>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Revenue.....................................................</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$68,623</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$ 53,366</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Operating expenses........................................</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26,100</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20,782</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General, administrative and selling expenses..............</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11,423</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9,961</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6,443</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5,108</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Systems development and programming costs.................</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10,888</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7,318</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Personnel and indirect acquisition costs..................</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4,713</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In-process research and development.......................</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20,800</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54,854</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68,682</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Operating income (loss).....................................</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13,769</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(15,316)</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Foreign currency loss.......................................</w:t>
            </w:r>
          </w:p>
        </w:tc>
        <w:tc>
          <w:tcPr>
            <w:tcW w:w="2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Other income................................................</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913</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429</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Interest expense............................................</w:t>
            </w:r>
          </w:p>
        </w:tc>
        <w:tc>
          <w:tcPr>
            <w:tcW w:w="26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(53)</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(2,649)</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Income (loss) before income tax expense (benefit) and</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extraordinary item........................................</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14,329</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(17,536)</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Income tax expense (benefit)................................</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5,615</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(6,464)</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Income (loss) before extraordinary item.....................</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8,714</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(11,072)</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Extraordinary loss (net of $562 tax benefit)................</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826</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Net Income (loss)...........................................</w:t>
            </w: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$ 8,714</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$(11,898)</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(loss) per common share --</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Income (loss) before extraordinary item.....................</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(0.80)</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Extraordinary loss..........................................</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Net Income (loss)...........................................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(0.86)</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Shares used in computing basic income (loss) per common</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share.....................................................</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17,315</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13,913</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(loss) per common share --</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Income (loss) before extraordinary item.....................</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0.49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(0.80)</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Extraordinary loss..........................................</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Net Income (loss)...........................................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0.49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(0.86)</w:t>
            </w:r>
          </w:p>
        </w:tc>
      </w:tr>
      <w:tr>
        <w:trPr>
          <w:trHeight w:val="172"/>
        </w:trPr>
        <w:tc>
          <w:tcPr>
            <w:tcW w:w="3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540" w:type="dxa"/>
            <w:vAlign w:val="bottom"/>
            <w:gridSpan w:val="2"/>
          </w:tcPr>
          <w:p>
            <w:pPr>
              <w:spacing w:after="0"/>
              <w:rPr>
                <w:sz w:val="20"/>
                <w:szCs w:val="20"/>
                <w:color w:val="auto"/>
              </w:rPr>
            </w:pPr>
            <w:r>
              <w:rPr>
                <w:rFonts w:ascii="Courier New" w:cs="Courier New" w:eastAsia="Courier New" w:hAnsi="Courier New"/>
                <w:sz w:val="15"/>
                <w:szCs w:val="15"/>
                <w:color w:val="auto"/>
              </w:rPr>
              <w:t>Shares used in computing diluted income (loss) per common</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share.....................................................</w:t>
            </w:r>
          </w:p>
        </w:tc>
        <w:tc>
          <w:tcPr>
            <w:tcW w:w="26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17,683</w:t>
            </w:r>
          </w:p>
        </w:tc>
        <w:tc>
          <w:tcPr>
            <w:tcW w:w="220" w:type="dxa"/>
            <w:vAlign w:val="bottom"/>
          </w:tcPr>
          <w:p>
            <w:pPr>
              <w:spacing w:after="0"/>
              <w:rPr>
                <w:sz w:val="14"/>
                <w:szCs w:val="14"/>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13,913</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F-50</w:t>
      </w:r>
    </w:p>
    <w:p>
      <w:pPr>
        <w:sectPr>
          <w:pgSz w:w="11900" w:h="16838" w:orient="portrait"/>
          <w:cols w:equalWidth="0" w:num="1">
            <w:col w:w="10219"/>
          </w:cols>
          <w:pgMar w:left="240" w:top="289"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5"/>
          <w:szCs w:val="15"/>
          <w:color w:val="auto"/>
        </w:rPr>
        <w:t>124</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INTERNATIONAL TELECOMMUNICATION DATA SYSTEMS, INC. AND SUBSIDIARIES</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(IN THOUSANDS)</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tcPr>
          <w:p>
            <w:pPr>
              <w:jc w:val="right"/>
              <w:ind w:right="565"/>
              <w:spacing w:after="0"/>
              <w:rPr>
                <w:sz w:val="20"/>
                <w:szCs w:val="20"/>
                <w:color w:val="auto"/>
              </w:rPr>
            </w:pPr>
            <w:r>
              <w:rPr>
                <w:rFonts w:ascii="Courier New" w:cs="Courier New" w:eastAsia="Courier New" w:hAnsi="Courier New"/>
                <w:sz w:val="15"/>
                <w:szCs w:val="15"/>
                <w:color w:val="auto"/>
              </w:rPr>
              <w:t>JUNE 30,</w:t>
            </w:r>
          </w:p>
        </w:tc>
      </w:tr>
      <w:tr>
        <w:trPr>
          <w:trHeight w:val="172"/>
        </w:trPr>
        <w:tc>
          <w:tcPr>
            <w:tcW w:w="5440" w:type="dxa"/>
            <w:vAlign w:val="bottom"/>
          </w:tcPr>
          <w:p>
            <w:pPr>
              <w:spacing w:after="0"/>
              <w:rPr>
                <w:sz w:val="14"/>
                <w:szCs w:val="14"/>
                <w:color w:val="auto"/>
              </w:rPr>
            </w:pPr>
          </w:p>
        </w:tc>
        <w:tc>
          <w:tcPr>
            <w:tcW w:w="198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8,714</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$(11,898)</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(loss) before</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extraordinary loss to net cash provided (used) by</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Write off of in-process research and development..........</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20,800</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6,443</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5,208</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1,315</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(7,446)</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unearned compensation.....................</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138</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Change in operating assets and liabilities: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(1,321)</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(15,141)</w:t>
            </w: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Prepaid expenses.......................................</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(2,753)</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147</w:t>
            </w: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Customer advances and deferred revenue.................</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1,309</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95</w:t>
            </w: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 accrued expenses and accrued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ind w:left="520"/>
              <w:spacing w:after="0"/>
              <w:rPr>
                <w:sz w:val="20"/>
                <w:szCs w:val="20"/>
                <w:color w:val="auto"/>
              </w:rPr>
            </w:pPr>
            <w:r>
              <w:rPr>
                <w:rFonts w:ascii="Courier New" w:cs="Courier New" w:eastAsia="Courier New" w:hAnsi="Courier New"/>
                <w:sz w:val="15"/>
                <w:szCs w:val="15"/>
                <w:color w:val="auto"/>
              </w:rPr>
              <w:t>compensation..........................................</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(148)</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5,428</w:t>
            </w: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Other assets and liabilities, net......................</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191</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1,543</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cash provided (used) by operating activities............</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13,775</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(1,126)</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(2,615)</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(1,758)</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Investment in software/business alliance....................</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(2,036)</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Purchase of Intelicom.......................................</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(6,000)</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(73,832)</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Product development costs...................................</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(3,727)</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(3,693)</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cash used for investing activities......................</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(14,378)</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(79,283)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Principal payment of long-term debt.........................</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(59)</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(70,118)</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Proceeds from long term debt................................</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70,000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Treasury stock..............................................</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(1,180)</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Proceeds from sale of common stock..........................</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724</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84,510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Financing fee related to acquisition........................</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(1,483)</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cash (used for) provided by financing activities........</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(515)</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82,909</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(decrease) increase in cash and cash equivalents........</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(1,118)</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2,500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40,735</w:t>
            </w:r>
          </w:p>
        </w:tc>
        <w:tc>
          <w:tcPr>
            <w:tcW w:w="220" w:type="dxa"/>
            <w:vAlign w:val="bottom"/>
          </w:tcPr>
          <w:p>
            <w:pPr>
              <w:spacing w:after="0"/>
              <w:rPr>
                <w:sz w:val="14"/>
                <w:szCs w:val="14"/>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28,967</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$ 39,617</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$ 31,467</w:t>
            </w:r>
          </w:p>
        </w:tc>
      </w:tr>
      <w:tr>
        <w:trPr>
          <w:trHeight w:val="172"/>
        </w:trPr>
        <w:tc>
          <w:tcPr>
            <w:tcW w:w="54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SUPPLEMENTAL DISCLOSURES OF CASH FLOW INFORMATION:</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paid during the period for interest....................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2,554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paid during the period for taxes.......................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3,240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695</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SUPPLEMENTAL DISCLOSURE OF NONCASH INVESTING AND FINANCIAL</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 1998, the Company issued 606 shares of its common stock,</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valued at $10,000, to CSC as partial financing of the</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acquisition of ITDS Intelicom Services, Inc.</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F-51</w:t>
      </w:r>
    </w:p>
    <w:p>
      <w:pPr>
        <w:sectPr>
          <w:pgSz w:w="11900" w:h="16838" w:orient="portrait"/>
          <w:cols w:equalWidth="0" w:num="1">
            <w:col w:w="10219"/>
          </w:cols>
          <w:pgMar w:left="240" w:top="289" w:right="1440" w:bottom="1440" w:gutter="0" w:footer="0" w:header="0"/>
        </w:sectPr>
      </w:pPr>
    </w:p>
    <w:bookmarkStart w:id="125" w:name="page126"/>
    <w:bookmarkEnd w:id="125"/>
    <w:p>
      <w:pPr>
        <w:ind w:left="268"/>
        <w:spacing w:after="0"/>
        <w:rPr>
          <w:sz w:val="20"/>
          <w:szCs w:val="20"/>
          <w:color w:val="auto"/>
        </w:rPr>
      </w:pPr>
      <w:r>
        <w:rPr>
          <w:rFonts w:ascii="Courier New" w:cs="Courier New" w:eastAsia="Courier New" w:hAnsi="Courier New"/>
          <w:sz w:val="15"/>
          <w:szCs w:val="15"/>
          <w:color w:val="auto"/>
        </w:rPr>
        <w:t>125</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INTERNATIONAL TELECOMMUNICATION DATA SYSTEMS, INC. AND SUBSIDIARIES</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p>
      <w:pPr>
        <w:ind w:left="348" w:hanging="348"/>
        <w:spacing w:after="0"/>
        <w:tabs>
          <w:tab w:leader="none" w:pos="348"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accompanying unaudited condensed consolidated financial statements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Operating results for the six month periods ended June 30, 1999 are not necessarily indicative of the results that may be expected for the year ended December 31, 1999.</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CONSOLIDATION</w:t>
      </w:r>
    </w:p>
    <w:p>
      <w:pPr>
        <w:spacing w:after="0" w:line="176" w:lineRule="exact"/>
        <w:rPr>
          <w:sz w:val="20"/>
          <w:szCs w:val="20"/>
          <w:color w:val="auto"/>
        </w:rPr>
      </w:pPr>
    </w:p>
    <w:p>
      <w:pPr>
        <w:ind w:left="8" w:right="3259" w:firstLine="447"/>
        <w:spacing w:after="0" w:line="241" w:lineRule="auto"/>
        <w:rPr>
          <w:sz w:val="20"/>
          <w:szCs w:val="20"/>
          <w:color w:val="auto"/>
        </w:rPr>
      </w:pPr>
      <w:r>
        <w:rPr>
          <w:rFonts w:ascii="Courier New" w:cs="Courier New" w:eastAsia="Courier New" w:hAnsi="Courier New"/>
          <w:sz w:val="15"/>
          <w:szCs w:val="15"/>
          <w:color w:val="auto"/>
        </w:rPr>
        <w:t>The consolidated financial statements include the accounts of the Company and its wholly-owned subsidiaries. All significant intercompany accounts and transactions have been eliminated.</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January 2, 1998, the Company acquired a subsidiary of Computer Sciences Corporation ("CSC"), a provider of billing and customer care software, by acquiring all of the outstanding Capital Stock of CSC Intelicom Inc. (now known as ITDS Intelicom Services, Inc.) ("Intelicom"). This acquisition was accounted for using the purchase method of accounting. The purchase price, after working capital adjustments of approximately $14.2 million, aggregated $83.7 million, before direct costs of approximately $1.2 million and consisted of 606,673 shares of Common Stock of the Company valued at $10 million (before registration costs of $100,000) and $73.8 million in cash. In addition, the Company made a $6 million payment in January 1999, which was contingent upon certain performance factors. The assets acquired and liabilities assumed were recorded at their estimated fair value on the date of acquisition and the purchase price in excess of the fair market value of the assets acquired of approximately $45.3 million is being amortized over 15 years. The additional $6 million payment is being amortized over the remaining life of the original goodwill, 14 years. In connection with the acquisition the Company received current assets of $5.9 million, product development costs of $16.6 million, and other non-current assets of $3 million and assumed accrued liabilities of $7.9 million. In addition, purchased research and development costs of $20.8 million, and personnel and indirect acquisition costs of $4.2 million, (principally hiring and temporary staff of $1.3 million, special bonuses paid to company's employees and management of $2.3 million and systems and other costs of $600,000) associated with the Intelicom acquisition have been expensed in 1998. The operations of Intelicom are included with the Company's financial statements since the date of acquisition.</w:t>
      </w:r>
    </w:p>
    <w:p>
      <w:pPr>
        <w:spacing w:after="0" w:line="18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USE OF ESTIMATES</w:t>
      </w:r>
    </w:p>
    <w:p>
      <w:pPr>
        <w:spacing w:after="0" w:line="176" w:lineRule="exact"/>
        <w:rPr>
          <w:sz w:val="20"/>
          <w:szCs w:val="20"/>
          <w:color w:val="auto"/>
        </w:rPr>
      </w:pPr>
    </w:p>
    <w:p>
      <w:pPr>
        <w:ind w:left="8" w:right="3439" w:firstLine="447"/>
        <w:spacing w:after="0" w:line="242"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COMPREHENSIVE INCOME</w:t>
      </w:r>
    </w:p>
    <w:p>
      <w:pPr>
        <w:spacing w:after="0" w:line="176" w:lineRule="exact"/>
        <w:rPr>
          <w:sz w:val="20"/>
          <w:szCs w:val="20"/>
          <w:color w:val="auto"/>
        </w:rPr>
      </w:pPr>
    </w:p>
    <w:p>
      <w:pPr>
        <w:ind w:left="8" w:right="3259" w:firstLine="447"/>
        <w:spacing w:after="0"/>
        <w:rPr>
          <w:sz w:val="20"/>
          <w:szCs w:val="20"/>
          <w:color w:val="auto"/>
        </w:rPr>
      </w:pPr>
      <w:r>
        <w:rPr>
          <w:rFonts w:ascii="Courier New" w:cs="Courier New" w:eastAsia="Courier New" w:hAnsi="Courier New"/>
          <w:sz w:val="15"/>
          <w:szCs w:val="15"/>
          <w:color w:val="auto"/>
        </w:rPr>
        <w:t>For the six months ended June 30, 1999 and 1998, the Company had no other comprehensive income.</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F-52</w:t>
      </w:r>
    </w:p>
    <w:p>
      <w:pPr>
        <w:sectPr>
          <w:pgSz w:w="11900" w:h="16838" w:orient="portrait"/>
          <w:cols w:equalWidth="0" w:num="1">
            <w:col w:w="10227"/>
          </w:cols>
          <w:pgMar w:left="232" w:top="289" w:right="1440" w:bottom="1440" w:gutter="0" w:footer="0" w:header="0"/>
        </w:sectPr>
      </w:pPr>
    </w:p>
    <w:bookmarkStart w:id="126" w:name="page127"/>
    <w:bookmarkEnd w:id="126"/>
    <w:p>
      <w:pPr>
        <w:ind w:left="268"/>
        <w:spacing w:after="0"/>
        <w:rPr>
          <w:sz w:val="20"/>
          <w:szCs w:val="20"/>
          <w:color w:val="auto"/>
        </w:rPr>
      </w:pPr>
      <w:r>
        <w:rPr>
          <w:rFonts w:ascii="Courier New" w:cs="Courier New" w:eastAsia="Courier New" w:hAnsi="Courier New"/>
          <w:sz w:val="15"/>
          <w:szCs w:val="15"/>
          <w:color w:val="auto"/>
        </w:rPr>
        <w:t>126</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INTERNATIONAL TELECOMMUNICATION DATA SYSTEMS, INC. AND SUBSIDIARIES</w:t>
      </w:r>
    </w:p>
    <w:p>
      <w:pPr>
        <w:spacing w:after="0" w:line="174"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348" w:hanging="348"/>
        <w:spacing w:after="0"/>
        <w:tabs>
          <w:tab w:leader="none" w:pos="348"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STRATEGIC BUSINESS ALLIANCE</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February 9, 1999, the Company announced it has formed a strategic business alliance with Novazen, Inc. to include Novazen's Internet -- based billing and customer care software in ITDS' proprietary suite of products and services. In addition to other distribution rights, the alliance gives ITDS the exclusive right to provide its clients with Novazen's advanced Internet -- based billing and customer communication software. This software will function with all of ITDS' proprietary service bureau products and services, which already offer wireless service providers with customer acquisition, billing, customer care and process control.</w:t>
      </w:r>
    </w:p>
    <w:p>
      <w:pPr>
        <w:spacing w:after="0" w:line="17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As part of the transaction, a payment of $2 million was made principally to secure certain software rights. An ownership interest in Novazen was also received. The software rights, including all enhancement and modification to the software, are being amortized over a four year period. The Company's ownership interest in Novazen is being accounted for under the cost method.</w:t>
      </w:r>
    </w:p>
    <w:p>
      <w:pPr>
        <w:spacing w:after="0" w:line="174" w:lineRule="exact"/>
        <w:rPr>
          <w:sz w:val="20"/>
          <w:szCs w:val="20"/>
          <w:color w:val="auto"/>
        </w:rPr>
      </w:pPr>
    </w:p>
    <w:p>
      <w:pPr>
        <w:ind w:left="348" w:hanging="348"/>
        <w:spacing w:after="0"/>
        <w:tabs>
          <w:tab w:leader="none" w:pos="348"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Income tax provisions for interim periods, other than unusual items, are based on estimated effective annual income tax rates. The Company recognizes deferred tax assets and liabilities for the expected future tax consequences of temporary differences between the tax bases, projected state tax rates and financial reporting bases of assets and liabilities.</w:t>
      </w:r>
    </w:p>
    <w:p>
      <w:pPr>
        <w:spacing w:after="0" w:line="175" w:lineRule="exact"/>
        <w:rPr>
          <w:sz w:val="20"/>
          <w:szCs w:val="20"/>
          <w:color w:val="auto"/>
        </w:rPr>
      </w:pPr>
    </w:p>
    <w:p>
      <w:pPr>
        <w:ind w:left="8" w:right="3339" w:firstLine="447"/>
        <w:spacing w:after="0" w:line="242" w:lineRule="auto"/>
        <w:rPr>
          <w:sz w:val="20"/>
          <w:szCs w:val="20"/>
          <w:color w:val="auto"/>
        </w:rPr>
      </w:pPr>
      <w:r>
        <w:rPr>
          <w:rFonts w:ascii="Courier New" w:cs="Courier New" w:eastAsia="Courier New" w:hAnsi="Courier New"/>
          <w:sz w:val="15"/>
          <w:szCs w:val="15"/>
          <w:color w:val="auto"/>
        </w:rPr>
        <w:t>The differences between the effective tax rate and the federal statutory rate is primarily a result of state income taxes and in 1998 the tax benefit anticipated from the nonrecurring costs associated with the Intelicom acquisition.</w:t>
      </w:r>
    </w:p>
    <w:p>
      <w:pPr>
        <w:spacing w:after="0" w:line="173" w:lineRule="exact"/>
        <w:rPr>
          <w:sz w:val="20"/>
          <w:szCs w:val="20"/>
          <w:color w:val="auto"/>
        </w:rPr>
      </w:pPr>
    </w:p>
    <w:p>
      <w:pPr>
        <w:ind w:left="348" w:hanging="348"/>
        <w:spacing w:after="0"/>
        <w:tabs>
          <w:tab w:leader="none" w:pos="348"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6" w:lineRule="exact"/>
        <w:rPr>
          <w:sz w:val="20"/>
          <w:szCs w:val="20"/>
          <w:color w:val="auto"/>
        </w:rPr>
      </w:pPr>
    </w:p>
    <w:p>
      <w:pPr>
        <w:ind w:left="8" w:right="3079" w:firstLine="447"/>
        <w:spacing w:after="0" w:line="263" w:lineRule="auto"/>
        <w:rPr>
          <w:sz w:val="20"/>
          <w:szCs w:val="20"/>
          <w:color w:val="auto"/>
        </w:rPr>
      </w:pPr>
      <w:r>
        <w:rPr>
          <w:rFonts w:ascii="Courier New" w:cs="Courier New" w:eastAsia="Courier New" w:hAnsi="Courier New"/>
          <w:sz w:val="14"/>
          <w:szCs w:val="14"/>
          <w:color w:val="auto"/>
        </w:rPr>
        <w:t>In February 1997, the Financial Accounting Standards Board ("FASB") issued Statement of Financial Accounting Standards ("SFAS") No. 128, EARNINGS PER SHARE "SFAS 128", which revises the methodology of calculating earnings per share. The Company adopted SFAS 128 in the fourth quarter of 1997. In accordance with SFAS 128, all common stock equivalents that have a dilutive effect on earnings per share are included in the calculation for dilutive income per share.</w:t>
      </w:r>
    </w:p>
    <w:p>
      <w:pPr>
        <w:spacing w:after="0" w:line="161" w:lineRule="exact"/>
        <w:rPr>
          <w:sz w:val="20"/>
          <w:szCs w:val="20"/>
          <w:color w:val="auto"/>
        </w:rPr>
      </w:pPr>
    </w:p>
    <w:p>
      <w:pPr>
        <w:ind w:left="8" w:right="3779" w:firstLine="447"/>
        <w:spacing w:after="0"/>
        <w:rPr>
          <w:sz w:val="20"/>
          <w:szCs w:val="20"/>
          <w:color w:val="auto"/>
        </w:rPr>
      </w:pPr>
      <w:r>
        <w:rPr>
          <w:rFonts w:ascii="Courier New" w:cs="Courier New" w:eastAsia="Courier New" w:hAnsi="Courier New"/>
          <w:sz w:val="15"/>
          <w:szCs w:val="15"/>
          <w:color w:val="auto"/>
        </w:rPr>
        <w:t>The following table sets forth the computation of basic and diluted earnings per share for the periods indicated.</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JUNE 30</w:t>
            </w:r>
          </w:p>
        </w:tc>
        <w:tc>
          <w:tcPr>
            <w:tcW w:w="64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98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1999</w:t>
            </w:r>
          </w:p>
        </w:tc>
        <w:tc>
          <w:tcPr>
            <w:tcW w:w="62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1998</w:t>
            </w:r>
          </w:p>
        </w:tc>
      </w:tr>
      <w:tr>
        <w:trPr>
          <w:trHeight w:val="172"/>
        </w:trPr>
        <w:tc>
          <w:tcPr>
            <w:tcW w:w="54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1260" w:type="dxa"/>
            <w:vAlign w:val="bottom"/>
            <w:gridSpan w:val="2"/>
          </w:tcPr>
          <w:p>
            <w:pPr>
              <w:ind w:left="460"/>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5440" w:type="dxa"/>
            <w:vAlign w:val="bottom"/>
          </w:tcPr>
          <w:p>
            <w:pPr>
              <w:spacing w:after="0"/>
              <w:rPr>
                <w:sz w:val="14"/>
                <w:szCs w:val="14"/>
                <w:color w:val="auto"/>
              </w:rPr>
            </w:pPr>
          </w:p>
        </w:tc>
        <w:tc>
          <w:tcPr>
            <w:tcW w:w="198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IN THOUSANDS, EXCEPT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PER SHARE DATA</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$ 8,714</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$(11,898)</w:t>
            </w:r>
          </w:p>
        </w:tc>
      </w:tr>
      <w:tr>
        <w:trPr>
          <w:trHeight w:val="172"/>
        </w:trPr>
        <w:tc>
          <w:tcPr>
            <w:tcW w:w="54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Average shares outstanding..................................</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17,315</w:t>
            </w:r>
          </w:p>
        </w:tc>
        <w:tc>
          <w:tcPr>
            <w:tcW w:w="62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13,913</w:t>
            </w:r>
          </w:p>
        </w:tc>
      </w:tr>
      <w:tr>
        <w:trPr>
          <w:trHeight w:val="172"/>
        </w:trPr>
        <w:tc>
          <w:tcPr>
            <w:tcW w:w="54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Income (loss) before extraordinary item.....................</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0.50</w:t>
            </w:r>
          </w:p>
        </w:tc>
        <w:tc>
          <w:tcPr>
            <w:tcW w:w="6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(0.80)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Extraordinary loss..........................................</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2"/>
        </w:trPr>
        <w:tc>
          <w:tcPr>
            <w:tcW w:w="54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0.50</w:t>
            </w:r>
          </w:p>
        </w:tc>
        <w:tc>
          <w:tcPr>
            <w:tcW w:w="6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(0.86)</w:t>
            </w:r>
          </w:p>
        </w:tc>
      </w:tr>
      <w:tr>
        <w:trPr>
          <w:trHeight w:val="172"/>
        </w:trPr>
        <w:tc>
          <w:tcPr>
            <w:tcW w:w="54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16"/>
        </w:trPr>
        <w:tc>
          <w:tcPr>
            <w:tcW w:w="5440" w:type="dxa"/>
            <w:vAlign w:val="bottom"/>
          </w:tcPr>
          <w:p>
            <w:pPr>
              <w:ind w:left="3400"/>
              <w:spacing w:after="0"/>
              <w:rPr>
                <w:sz w:val="20"/>
                <w:szCs w:val="20"/>
                <w:color w:val="auto"/>
              </w:rPr>
            </w:pPr>
            <w:r>
              <w:rPr>
                <w:rFonts w:ascii="Courier New" w:cs="Courier New" w:eastAsia="Courier New" w:hAnsi="Courier New"/>
                <w:sz w:val="15"/>
                <w:szCs w:val="15"/>
                <w:color w:val="auto"/>
              </w:rPr>
              <w:t>F-53</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27"/>
          </w:cols>
          <w:pgMar w:left="232" w:top="289" w:right="1440" w:bottom="1440" w:gutter="0" w:footer="0" w:header="0"/>
        </w:sectPr>
      </w:pPr>
    </w:p>
    <w:bookmarkStart w:id="127" w:name="page128"/>
    <w:bookmarkEnd w:id="127"/>
    <w:p>
      <w:pPr>
        <w:ind w:left="268"/>
        <w:spacing w:after="0"/>
        <w:rPr>
          <w:sz w:val="20"/>
          <w:szCs w:val="20"/>
          <w:color w:val="auto"/>
        </w:rPr>
      </w:pPr>
      <w:r>
        <w:rPr>
          <w:rFonts w:ascii="Courier New" w:cs="Courier New" w:eastAsia="Courier New" w:hAnsi="Courier New"/>
          <w:sz w:val="15"/>
          <w:szCs w:val="15"/>
          <w:color w:val="auto"/>
        </w:rPr>
        <w:t>127</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5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INTERNATIONAL TELECOMMUNICATION DATA SYSTEMS, INC. AND SUBSIDIARIES</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44"/>
        </w:trPr>
        <w:tc>
          <w:tcPr>
            <w:tcW w:w="5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142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CONTINUED</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688"/>
        </w:trPr>
        <w:tc>
          <w:tcPr>
            <w:tcW w:w="3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JUNE</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w w:val="77"/>
              </w:rPr>
              <w:t>30</w:t>
            </w:r>
          </w:p>
        </w:tc>
        <w:tc>
          <w:tcPr>
            <w:tcW w:w="640" w:type="dxa"/>
            <w:vAlign w:val="bottom"/>
          </w:tcPr>
          <w:p>
            <w:pPr>
              <w:spacing w:after="0"/>
              <w:rPr>
                <w:sz w:val="14"/>
                <w:szCs w:val="14"/>
                <w:color w:val="auto"/>
              </w:rPr>
            </w:pP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80" w:type="dxa"/>
            <w:vAlign w:val="bottom"/>
            <w:gridSpan w:val="4"/>
          </w:tcPr>
          <w:p>
            <w:pPr>
              <w:ind w:left="400"/>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1998</w:t>
            </w: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8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IN THOUSANDS, EXCEPT</w:t>
            </w: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PER SHARE DATA</w:t>
            </w:r>
          </w:p>
        </w:tc>
      </w:tr>
      <w:tr>
        <w:trPr>
          <w:trHeight w:val="344"/>
        </w:trPr>
        <w:tc>
          <w:tcPr>
            <w:tcW w:w="356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2"/>
        </w:trPr>
        <w:tc>
          <w:tcPr>
            <w:tcW w:w="5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Net income (loss)...........................................</w:t>
            </w:r>
          </w:p>
        </w:tc>
        <w:tc>
          <w:tcPr>
            <w:tcW w:w="14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$ 8,714</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$(11,898)</w:t>
            </w: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Average shares outstanding..................................</w:t>
            </w:r>
          </w:p>
        </w:tc>
        <w:tc>
          <w:tcPr>
            <w:tcW w:w="48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17,315</w:t>
            </w:r>
          </w:p>
        </w:tc>
        <w:tc>
          <w:tcPr>
            <w:tcW w:w="22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13,913</w:t>
            </w: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effect of dilutive stock options --</w:t>
            </w:r>
          </w:p>
        </w:tc>
        <w:tc>
          <w:tcPr>
            <w:tcW w:w="158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8"/>
              </w:rPr>
              <w:t>based on the</w:t>
            </w: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5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treasury stock method.....................................</w:t>
            </w:r>
          </w:p>
        </w:tc>
        <w:tc>
          <w:tcPr>
            <w:tcW w:w="48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368</w:t>
            </w:r>
          </w:p>
        </w:tc>
        <w:tc>
          <w:tcPr>
            <w:tcW w:w="22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Totals............................................</w:t>
            </w:r>
          </w:p>
        </w:tc>
        <w:tc>
          <w:tcPr>
            <w:tcW w:w="48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17,683</w:t>
            </w:r>
          </w:p>
        </w:tc>
        <w:tc>
          <w:tcPr>
            <w:tcW w:w="22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13,913</w:t>
            </w: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Income (loss) before extraordinary item.....................</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0.49</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(0.80)</w:t>
            </w:r>
          </w:p>
        </w:tc>
      </w:tr>
      <w:tr>
        <w:trPr>
          <w:trHeight w:val="172"/>
        </w:trPr>
        <w:tc>
          <w:tcPr>
            <w:tcW w:w="5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Extraordinary loss..........................................</w:t>
            </w:r>
          </w:p>
        </w:tc>
        <w:tc>
          <w:tcPr>
            <w:tcW w:w="48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Net Income (loss)...........................................</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0.49</w:t>
            </w:r>
          </w:p>
        </w:tc>
        <w:tc>
          <w:tcPr>
            <w:tcW w:w="2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(0.86)</w:t>
            </w:r>
          </w:p>
        </w:tc>
      </w:tr>
      <w:tr>
        <w:trPr>
          <w:trHeight w:val="172"/>
        </w:trPr>
        <w:tc>
          <w:tcPr>
            <w:tcW w:w="3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348" w:hanging="348"/>
        <w:spacing w:after="0"/>
        <w:tabs>
          <w:tab w:leader="none" w:pos="348"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 DIRECTOR AND EMPLOYEE LOANS</w:t>
      </w:r>
    </w:p>
    <w:p>
      <w:pPr>
        <w:spacing w:after="0" w:line="176" w:lineRule="exact"/>
        <w:rPr>
          <w:sz w:val="20"/>
          <w:szCs w:val="20"/>
          <w:color w:val="auto"/>
        </w:rPr>
      </w:pPr>
    </w:p>
    <w:p>
      <w:pPr>
        <w:ind w:left="8" w:right="3079" w:firstLine="447"/>
        <w:spacing w:after="0" w:line="241" w:lineRule="auto"/>
        <w:rPr>
          <w:sz w:val="20"/>
          <w:szCs w:val="20"/>
          <w:color w:val="auto"/>
        </w:rPr>
      </w:pPr>
      <w:r>
        <w:rPr>
          <w:rFonts w:ascii="Courier New" w:cs="Courier New" w:eastAsia="Courier New" w:hAnsi="Courier New"/>
          <w:sz w:val="15"/>
          <w:szCs w:val="15"/>
          <w:color w:val="auto"/>
        </w:rPr>
        <w:t>As of June 30, 1999, prepaid expenses and other current assets and other long-term assets include approximately $491,000 of loans and advances to certain officers, directors and employees of the Company.</w:t>
      </w:r>
    </w:p>
    <w:p>
      <w:pPr>
        <w:spacing w:after="0" w:line="174" w:lineRule="exact"/>
        <w:rPr>
          <w:sz w:val="20"/>
          <w:szCs w:val="20"/>
          <w:color w:val="auto"/>
        </w:rPr>
      </w:pPr>
    </w:p>
    <w:p>
      <w:pPr>
        <w:ind w:left="348" w:hanging="348"/>
        <w:spacing w:after="0"/>
        <w:tabs>
          <w:tab w:leader="none" w:pos="348"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PROCEEDINGS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April 2, 1998, the Company was served with a complaint in Connecticut Superior Court alleging that the Company had breached the terms of its employment contract with Mr. Alan K. Greene, the Company's former Chief Financial Officer, and breached other obligations to Mr. Greene. In addition, on September 11, 1998, Mr. Greene filed an age discrimination suit against the Company in the Connecticut Commission on Human Rights and Opportunities and in the Equal Employment Opportunities Commission. The Company filed its Answer and Position Statement, disclaiming any liability relating to age discrimination, on November 5, 1998. On August 2, 1999 the parties executed a settlement agreement which included the mutual release of any and all outstanding claims/obligations. The effect of the settlement was not material to the financial position or results of operations of the Company.</w:t>
      </w:r>
    </w:p>
    <w:p>
      <w:pPr>
        <w:spacing w:after="0" w:line="180"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addition, Intelicom, a wholly-owned subsidiary of the Company acquired in January 1998 from Computer Sciences Corporation ("CSC") is party to litigation and has been threatened with litigation in connection with the operation of its business prior to its acquisition by the Company. Pursuant to the terms of the acquisition, CSC and certain of its affiliates are obligated to defend and indemnify the Company against obligations arising out of such litigation or threatened litigation.</w:t>
      </w:r>
    </w:p>
    <w:p>
      <w:pPr>
        <w:spacing w:after="0" w:line="177" w:lineRule="exact"/>
        <w:rPr>
          <w:sz w:val="20"/>
          <w:szCs w:val="20"/>
          <w:color w:val="auto"/>
        </w:rPr>
      </w:pPr>
    </w:p>
    <w:p>
      <w:pPr>
        <w:jc w:val="both"/>
        <w:ind w:left="8" w:right="3339" w:firstLine="447"/>
        <w:spacing w:after="0" w:line="242" w:lineRule="auto"/>
        <w:rPr>
          <w:sz w:val="20"/>
          <w:szCs w:val="20"/>
          <w:color w:val="auto"/>
        </w:rPr>
      </w:pPr>
      <w:r>
        <w:rPr>
          <w:rFonts w:ascii="Courier New" w:cs="Courier New" w:eastAsia="Courier New" w:hAnsi="Courier New"/>
          <w:sz w:val="15"/>
          <w:szCs w:val="15"/>
          <w:color w:val="auto"/>
        </w:rPr>
        <w:t>The Company does not believe that any liabilities relating to any of the legal proceedings to which it is a party are likely to be, individually or in the aggregate, material to its consolidated financial position or results of operations.</w:t>
      </w:r>
    </w:p>
    <w:p>
      <w:pPr>
        <w:spacing w:after="0" w:line="173" w:lineRule="exact"/>
        <w:rPr>
          <w:sz w:val="20"/>
          <w:szCs w:val="20"/>
          <w:color w:val="auto"/>
        </w:rPr>
      </w:pPr>
    </w:p>
    <w:p>
      <w:pPr>
        <w:ind w:left="348" w:hanging="348"/>
        <w:spacing w:after="0"/>
        <w:tabs>
          <w:tab w:leader="none" w:pos="348"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On September 3, 1999, the Company signed an agreement to be acquired by Amdocs Limited in a stock-for-stock transaction. Closing of the transaction is subject to the approval of the Company's stockholders and requires regulatory approvals, as well as certain other customary closing conditions.</w:t>
      </w:r>
    </w:p>
    <w:p>
      <w:pPr>
        <w:spacing w:after="0" w:line="17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F-54</w:t>
      </w:r>
    </w:p>
    <w:p>
      <w:pPr>
        <w:sectPr>
          <w:pgSz w:w="11900" w:h="16838" w:orient="portrait"/>
          <w:cols w:equalWidth="0" w:num="1">
            <w:col w:w="10227"/>
          </w:cols>
          <w:pgMar w:left="232" w:top="289"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5"/>
          <w:szCs w:val="15"/>
          <w:color w:val="auto"/>
        </w:rPr>
        <w:t>128</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UNDERWRITING</w:t>
      </w:r>
    </w:p>
    <w:p>
      <w:pPr>
        <w:spacing w:after="0" w:line="348"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Company, the selling shareholder and the underwriters for the offering (the "Underwriters") named below have entered into an underwriting agreement with respect to the shares being offered. Subject to certain conditions, each Underwriter has severally agreed to purchase the number of shares indicated in the following table. Goldman, Sachs &amp; Co., Banc of America Securities LLC, Deutsche Bank Securities Inc., Lehman Brothers Inc. and Prudential Securities Incorporated are the representatives of the Underwriters.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720"/>
        <w:spacing w:after="0"/>
        <w:rPr>
          <w:sz w:val="20"/>
          <w:szCs w:val="20"/>
          <w:color w:val="auto"/>
        </w:rPr>
      </w:pPr>
      <w:r>
        <w:rPr>
          <w:rFonts w:ascii="Courier New" w:cs="Courier New" w:eastAsia="Courier New" w:hAnsi="Courier New"/>
          <w:sz w:val="15"/>
          <w:szCs w:val="15"/>
          <w:color w:val="auto"/>
        </w:rPr>
        <w:t>Number</w:t>
      </w:r>
    </w:p>
    <w:p>
      <w:pPr>
        <w:spacing w:after="0" w:line="2" w:lineRule="exact"/>
        <w:rPr>
          <w:sz w:val="20"/>
          <w:szCs w:val="20"/>
          <w:color w:val="auto"/>
        </w:rPr>
      </w:pPr>
    </w:p>
    <w:p>
      <w:pPr>
        <w:ind w:left="2140"/>
        <w:spacing w:after="0"/>
        <w:tabs>
          <w:tab w:leader="none" w:pos="5520" w:val="left"/>
        </w:tabs>
        <w:rPr>
          <w:sz w:val="20"/>
          <w:szCs w:val="20"/>
          <w:color w:val="auto"/>
        </w:rPr>
      </w:pPr>
      <w:r>
        <w:rPr>
          <w:rFonts w:ascii="Courier New" w:cs="Courier New" w:eastAsia="Courier New" w:hAnsi="Courier New"/>
          <w:sz w:val="15"/>
          <w:szCs w:val="15"/>
          <w:color w:val="auto"/>
        </w:rPr>
        <w:t>Underwriters</w:t>
      </w:r>
      <w:r>
        <w:rPr>
          <w:sz w:val="20"/>
          <w:szCs w:val="20"/>
          <w:color w:val="auto"/>
        </w:rPr>
        <w:tab/>
      </w:r>
      <w:r>
        <w:rPr>
          <w:rFonts w:ascii="Courier New" w:cs="Courier New" w:eastAsia="Courier New" w:hAnsi="Courier New"/>
          <w:sz w:val="15"/>
          <w:szCs w:val="15"/>
          <w:color w:val="auto"/>
        </w:rPr>
        <w:t>of Shares</w:t>
      </w:r>
    </w:p>
    <w:p>
      <w:pPr>
        <w:spacing w:after="0" w:line="2" w:lineRule="exact"/>
        <w:rPr>
          <w:sz w:val="20"/>
          <w:szCs w:val="20"/>
          <w:color w:val="auto"/>
        </w:rPr>
      </w:pPr>
    </w:p>
    <w:p>
      <w:pPr>
        <w:ind w:left="2140"/>
        <w:spacing w:after="0"/>
        <w:tabs>
          <w:tab w:leader="none" w:pos="55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Goldman, Sachs &amp; Co.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Banc of America Securities LLC..............................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Deutsche Bank Securities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Lehman Brothers Inc.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Prudential Securities Incorporated..........................</w:t>
      </w:r>
    </w:p>
    <w:p>
      <w:pPr>
        <w:spacing w:after="0" w:line="2"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80"/>
        <w:spacing w:after="0"/>
        <w:tabs>
          <w:tab w:leader="none" w:pos="5520" w:val="left"/>
        </w:tabs>
        <w:rPr>
          <w:sz w:val="20"/>
          <w:szCs w:val="20"/>
          <w:color w:val="auto"/>
        </w:rPr>
      </w:pPr>
      <w:r>
        <w:rPr>
          <w:rFonts w:ascii="Courier New" w:cs="Courier New" w:eastAsia="Courier New" w:hAnsi="Courier New"/>
          <w:sz w:val="15"/>
          <w:szCs w:val="15"/>
          <w:color w:val="auto"/>
        </w:rPr>
        <w:t>Total.............................................</w:t>
        <w:tab/>
        <w:t>18,000,000</w:t>
      </w:r>
    </w:p>
    <w:p>
      <w:pPr>
        <w:spacing w:after="0" w:line="2"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If the Underwriters sell more shares than the total number set forth in the table above, the Underwriters have an option to buy up to an additional 2,700,000 shares from the selling shareholder to cover such sales. They may exercise that option for 30 days. If any shares are purchased pursuant to this option, the Underwriters will severally purchase shares in approximately the same proportion as set forth in the table above.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following table shows the per share and total underwriting discounts and commissions to be paid to the Underwriters by the selling shareholder. Such amounts are shown assuming both no exercise and full exercise of the Underwriters' option to purchase additional shares.</w:t>
      </w:r>
    </w:p>
    <w:p>
      <w:pPr>
        <w:spacing w:after="0" w:line="200" w:lineRule="exact"/>
        <w:rPr>
          <w:sz w:val="20"/>
          <w:szCs w:val="20"/>
          <w:color w:val="auto"/>
        </w:rPr>
      </w:pPr>
    </w:p>
    <w:p>
      <w:pPr>
        <w:spacing w:after="0" w:line="317" w:lineRule="exact"/>
        <w:rPr>
          <w:sz w:val="20"/>
          <w:szCs w:val="20"/>
          <w:color w:val="auto"/>
        </w:rPr>
      </w:pPr>
    </w:p>
    <w:p>
      <w:pPr>
        <w:jc w:val="center"/>
        <w:ind w:left="1180"/>
        <w:spacing w:after="0"/>
        <w:rPr>
          <w:sz w:val="20"/>
          <w:szCs w:val="20"/>
          <w:color w:val="auto"/>
        </w:rPr>
      </w:pPr>
      <w:r>
        <w:rPr>
          <w:rFonts w:ascii="Courier New" w:cs="Courier New" w:eastAsia="Courier New" w:hAnsi="Courier New"/>
          <w:sz w:val="15"/>
          <w:szCs w:val="15"/>
          <w:color w:val="auto"/>
        </w:rPr>
        <w:t>Paid by the Selling</w:t>
      </w:r>
    </w:p>
    <w:p>
      <w:pPr>
        <w:spacing w:after="0" w:line="2" w:lineRule="exact"/>
        <w:rPr>
          <w:sz w:val="20"/>
          <w:szCs w:val="20"/>
          <w:color w:val="auto"/>
        </w:rPr>
      </w:pPr>
    </w:p>
    <w:p>
      <w:pPr>
        <w:jc w:val="center"/>
        <w:ind w:left="1180"/>
        <w:spacing w:after="0"/>
        <w:rPr>
          <w:sz w:val="20"/>
          <w:szCs w:val="20"/>
          <w:color w:val="auto"/>
        </w:rPr>
      </w:pPr>
      <w:r>
        <w:rPr>
          <w:rFonts w:ascii="Courier New" w:cs="Courier New" w:eastAsia="Courier New" w:hAnsi="Courier New"/>
          <w:sz w:val="15"/>
          <w:szCs w:val="15"/>
          <w:color w:val="auto"/>
        </w:rPr>
        <w:t>Shareholder</w:t>
      </w:r>
    </w:p>
    <w:p>
      <w:pPr>
        <w:spacing w:after="0" w:line="2"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right"/>
        <w:ind w:right="2619"/>
        <w:spacing w:after="0"/>
        <w:tabs>
          <w:tab w:leader="none" w:pos="1140" w:val="left"/>
        </w:tabs>
        <w:rPr>
          <w:sz w:val="20"/>
          <w:szCs w:val="20"/>
          <w:color w:val="auto"/>
        </w:rPr>
      </w:pPr>
      <w:r>
        <w:rPr>
          <w:rFonts w:ascii="Courier New" w:cs="Courier New" w:eastAsia="Courier New" w:hAnsi="Courier New"/>
          <w:sz w:val="15"/>
          <w:szCs w:val="15"/>
          <w:color w:val="auto"/>
        </w:rPr>
        <w:t>No Exercise</w:t>
      </w:r>
      <w:r>
        <w:rPr>
          <w:sz w:val="20"/>
          <w:szCs w:val="20"/>
          <w:color w:val="auto"/>
        </w:rPr>
        <w:tab/>
      </w:r>
      <w:r>
        <w:rPr>
          <w:rFonts w:ascii="Courier New" w:cs="Courier New" w:eastAsia="Courier New" w:hAnsi="Courier New"/>
          <w:sz w:val="14"/>
          <w:szCs w:val="14"/>
          <w:color w:val="auto"/>
        </w:rPr>
        <w:t>Full Exercise</w:t>
      </w:r>
    </w:p>
    <w:p>
      <w:pPr>
        <w:spacing w:after="0" w:line="4" w:lineRule="exact"/>
        <w:rPr>
          <w:sz w:val="20"/>
          <w:szCs w:val="20"/>
          <w:color w:val="auto"/>
        </w:rPr>
      </w:pPr>
    </w:p>
    <w:p>
      <w:pPr>
        <w:ind w:left="5100"/>
        <w:spacing w:after="0"/>
        <w:tabs>
          <w:tab w:leader="none" w:pos="64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4" w:lineRule="exact"/>
        <w:rPr>
          <w:sz w:val="20"/>
          <w:szCs w:val="20"/>
          <w:color w:val="auto"/>
        </w:rPr>
      </w:pPr>
    </w:p>
    <w:p>
      <w:pPr>
        <w:spacing w:after="0"/>
        <w:tabs>
          <w:tab w:leader="none" w:pos="5080" w:val="left"/>
          <w:tab w:leader="none" w:pos="6500" w:val="left"/>
        </w:tabs>
        <w:rPr>
          <w:sz w:val="20"/>
          <w:szCs w:val="20"/>
          <w:color w:val="auto"/>
        </w:rPr>
      </w:pPr>
      <w:r>
        <w:rPr>
          <w:rFonts w:ascii="Courier New" w:cs="Courier New" w:eastAsia="Courier New" w:hAnsi="Courier New"/>
          <w:sz w:val="15"/>
          <w:szCs w:val="15"/>
          <w:color w:val="auto"/>
        </w:rPr>
        <w:t>Per Share..............................................</w:t>
        <w:tab/>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spacing w:after="0"/>
        <w:tabs>
          <w:tab w:leader="none" w:pos="5080" w:val="left"/>
          <w:tab w:leader="none" w:pos="6500" w:val="left"/>
        </w:tabs>
        <w:rPr>
          <w:sz w:val="20"/>
          <w:szCs w:val="20"/>
          <w:color w:val="auto"/>
        </w:rPr>
      </w:pPr>
      <w:r>
        <w:rPr>
          <w:rFonts w:ascii="Courier New" w:cs="Courier New" w:eastAsia="Courier New" w:hAnsi="Courier New"/>
          <w:sz w:val="15"/>
          <w:szCs w:val="15"/>
          <w:color w:val="auto"/>
        </w:rPr>
        <w:t>Total..................................................</w:t>
        <w:tab/>
        <w:t>$</w:t>
      </w:r>
      <w:r>
        <w:rPr>
          <w:sz w:val="20"/>
          <w:szCs w:val="20"/>
          <w:color w:val="auto"/>
        </w:rPr>
        <w:tab/>
      </w:r>
      <w:r>
        <w:rPr>
          <w:rFonts w:ascii="Courier New" w:cs="Courier New" w:eastAsia="Courier New" w:hAnsi="Courier New"/>
          <w:sz w:val="15"/>
          <w:szCs w:val="15"/>
          <w:color w:val="auto"/>
        </w:rPr>
        <w:t>$</w:t>
      </w:r>
    </w:p>
    <w:p>
      <w:pPr>
        <w:spacing w:after="0" w:line="348" w:lineRule="exact"/>
        <w:rPr>
          <w:sz w:val="20"/>
          <w:szCs w:val="20"/>
          <w:color w:val="auto"/>
        </w:rPr>
      </w:pPr>
    </w:p>
    <w:p>
      <w:pPr>
        <w:ind w:right="3159" w:firstLine="447"/>
        <w:spacing w:after="0" w:line="260" w:lineRule="auto"/>
        <w:rPr>
          <w:sz w:val="20"/>
          <w:szCs w:val="20"/>
          <w:color w:val="auto"/>
        </w:rPr>
      </w:pPr>
      <w:r>
        <w:rPr>
          <w:rFonts w:ascii="Courier New" w:cs="Courier New" w:eastAsia="Courier New" w:hAnsi="Courier New"/>
          <w:sz w:val="14"/>
          <w:szCs w:val="14"/>
          <w:color w:val="auto"/>
        </w:rPr>
        <w:t>Shares sold by the Underwriters to the public will initially be offered at the initial price to public set forth on the cover of this prospectus. Any shares sold by the Underwriters to securities dealers may be sold at a discount</w:t>
      </w:r>
    </w:p>
    <w:p>
      <w:pPr>
        <w:spacing w:after="0" w:line="1"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of up to $ per share from the initial price to public. Any such securities dealers may resell any shares purchased from the Underwriters to certain other</w:t>
      </w:r>
    </w:p>
    <w:p>
      <w:pPr>
        <w:ind w:right="3079"/>
        <w:spacing w:after="0" w:line="241" w:lineRule="auto"/>
        <w:rPr>
          <w:sz w:val="20"/>
          <w:szCs w:val="20"/>
          <w:color w:val="auto"/>
        </w:rPr>
      </w:pPr>
      <w:r>
        <w:rPr>
          <w:rFonts w:ascii="Courier New" w:cs="Courier New" w:eastAsia="Courier New" w:hAnsi="Courier New"/>
          <w:sz w:val="15"/>
          <w:szCs w:val="15"/>
          <w:color w:val="auto"/>
        </w:rPr>
        <w:t>brokers or dealers at a discount of up to $ per share from the initial price to public. If all the shares are not sold at the initial price to public, the representatives may change the offering price and the other selling terms.</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substantially all of its principal shareholders, including the selling shareholder, and its officers and directors have agreed with the Underwriters not to dispose of or hedge any of their ordinary shares or securities convertible into or exchangeable for ordinary shares during the period from the date of this prospectus continuing through the date 90 days after the date of this prospectus, except with the prior written consent of the representatives. This agreement does not apply to any existing employee benefit plans and ordinary shares that may be transferred by the WCAS Investors to SBCI, AIL and others under the call option described in "Risk Factors -- Risks applicable to our capital structure -- A few of our shareholders may be able to exercise control over all matters requiring shareholder approval". Further, the selling shareholder has agreed for an additional one-year period following the termination of the 90 day lock-up period not to offer, sell, contract to sell or otherwise dispose of any ordinary shares</w:t>
      </w:r>
    </w:p>
    <w:p>
      <w:pPr>
        <w:sectPr>
          <w:pgSz w:w="11900" w:h="16838" w:orient="portrait"/>
          <w:cols w:equalWidth="0" w:num="1">
            <w:col w:w="10219"/>
          </w:cols>
          <w:pgMar w:left="240" w:top="289" w:right="1440" w:bottom="1440" w:gutter="0" w:footer="0" w:header="0"/>
        </w:sectPr>
      </w:pPr>
    </w:p>
    <w:p>
      <w:pPr>
        <w:spacing w:after="0" w:line="354"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U-1</w:t>
      </w:r>
    </w:p>
    <w:p>
      <w:pPr>
        <w:sectPr>
          <w:pgSz w:w="11900" w:h="16838" w:orient="portrait"/>
          <w:cols w:equalWidth="0" w:num="1">
            <w:col w:w="10219"/>
          </w:cols>
          <w:pgMar w:left="240" w:top="289" w:right="1440" w:bottom="1440" w:gutter="0" w:footer="0" w:header="0"/>
          <w:type w:val="continuous"/>
        </w:sectPr>
      </w:pPr>
    </w:p>
    <w:bookmarkStart w:id="129" w:name="page130"/>
    <w:bookmarkEnd w:id="129"/>
    <w:p>
      <w:pPr>
        <w:ind w:left="260"/>
        <w:spacing w:after="0"/>
        <w:rPr>
          <w:sz w:val="20"/>
          <w:szCs w:val="20"/>
          <w:color w:val="auto"/>
        </w:rPr>
      </w:pPr>
      <w:r>
        <w:rPr>
          <w:rFonts w:ascii="Courier New" w:cs="Courier New" w:eastAsia="Courier New" w:hAnsi="Courier New"/>
          <w:sz w:val="15"/>
          <w:szCs w:val="15"/>
          <w:color w:val="auto"/>
        </w:rPr>
        <w:t>129</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without the consent of the Company's other principal shareholders, except for sales or other distributions in connection with this offering, sales made in the public market in accordance with Rule 144 and privately-negotiated transactions. See "Shares Eligible for Future Sale" for a discussion of certain transfer restrictions.</w:t>
      </w:r>
    </w:p>
    <w:p>
      <w:pPr>
        <w:spacing w:after="0" w:line="34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connection with the offering, the Underwriters may purchase and sell ordinary shares in the open market. These transactions may include short sales, stabilizing transactions and purchases to cover positions created by short sales. Short sales involve the sale by the Underwriters of a greater number of shares than they are required to purchase in the offering. Stabilizing transactions consist of certain bids or purchases made for the purpose of preventing or retarding a decline in the market price of the ordinary shares while the offering is in progress.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Underwriters also may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These activities by the Underwriters may stabilize, maintain or otherwise affect the market price of the ordinary shares. As a result, the price of the ordinary shares may be higher than the price that otherwise might exist in the open market. If these activities are commenced, they may be discontinued by the Underwriters at any time. These transactions may be effected on the New York Stock Exchange, in the over-the-counter market or otherwise.</w:t>
      </w:r>
    </w:p>
    <w:p>
      <w:pPr>
        <w:spacing w:after="0" w:line="348"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The Company will pay the expenses of the offering on behalf of the selling shareholder, excluding underwriting discounts and commissions. The total expenses of the offering are estimated to be approximately $1.0 million.</w:t>
      </w:r>
    </w:p>
    <w:p>
      <w:pPr>
        <w:spacing w:after="0" w:line="348"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The Company and the selling shareholder have agreed to indemnify the several Underwriters against certain liabilities, including liabilities under the Securities Act.</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Certain of the underwriters and their affiliates have in the past provided, and may in the future from time to time provide, commercial or investment banking services to the Company, for which they have in the past received, and may in the future receive, customary fees.</w:t>
      </w:r>
    </w:p>
    <w:p>
      <w:pPr>
        <w:spacing w:after="0" w:line="200" w:lineRule="exact"/>
        <w:rPr>
          <w:sz w:val="20"/>
          <w:szCs w:val="20"/>
          <w:color w:val="auto"/>
        </w:rPr>
      </w:pPr>
    </w:p>
    <w:p>
      <w:pPr>
        <w:spacing w:after="0" w:line="31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Entities in which some of the Company's executive officers have the economic interests and several of our directors have indicated that they intend to purchase approximately 1.0 million of the ordinary shares being offered hereby.</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U-2</w:t>
      </w:r>
    </w:p>
    <w:p>
      <w:pPr>
        <w:sectPr>
          <w:pgSz w:w="11900" w:h="16838" w:orient="portrait"/>
          <w:cols w:equalWidth="0" w:num="1">
            <w:col w:w="10219"/>
          </w:cols>
          <w:pgMar w:left="240" w:top="289" w:right="1440" w:bottom="1440" w:gutter="0" w:footer="0" w:header="0"/>
        </w:sectPr>
      </w:pPr>
    </w:p>
    <w:bookmarkStart w:id="130" w:name="page131"/>
    <w:bookmarkEnd w:id="130"/>
    <w:p>
      <w:pPr>
        <w:ind w:left="268"/>
        <w:spacing w:after="0"/>
        <w:rPr>
          <w:sz w:val="20"/>
          <w:szCs w:val="20"/>
          <w:color w:val="auto"/>
        </w:rPr>
      </w:pPr>
      <w:r>
        <w:rPr>
          <w:rFonts w:ascii="Courier New" w:cs="Courier New" w:eastAsia="Courier New" w:hAnsi="Courier New"/>
          <w:sz w:val="15"/>
          <w:szCs w:val="15"/>
          <w:color w:val="auto"/>
        </w:rPr>
        <w:t>130</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inside back cover page contains the following:</w:t>
      </w:r>
    </w:p>
    <w:p>
      <w:pPr>
        <w:spacing w:after="0" w:line="176" w:lineRule="exact"/>
        <w:rPr>
          <w:sz w:val="20"/>
          <w:szCs w:val="20"/>
          <w:color w:val="auto"/>
        </w:rPr>
      </w:pPr>
    </w:p>
    <w:p>
      <w:pPr>
        <w:ind w:left="8" w:right="3339" w:hanging="8"/>
        <w:spacing w:after="0" w:line="242" w:lineRule="auto"/>
        <w:tabs>
          <w:tab w:leader="none" w:pos="187"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Logo with text and a graphical representation of the components of Amdocs' "ADS(NG)/Family of Products". Text: ADS(NG)/Family of Products. End-to-end family of products for publishers of Yellow Pages, White Pages and Internet directories.</w:t>
      </w:r>
    </w:p>
    <w:p>
      <w:pPr>
        <w:sectPr>
          <w:pgSz w:w="11900" w:h="16838" w:orient="portrait"/>
          <w:cols w:equalWidth="0" w:num="1">
            <w:col w:w="10227"/>
          </w:cols>
          <w:pgMar w:left="232" w:top="289" w:right="1440" w:bottom="1440" w:gutter="0" w:footer="0" w:header="0"/>
        </w:sectPr>
      </w:pPr>
    </w:p>
    <w:bookmarkStart w:id="131" w:name="page132"/>
    <w:bookmarkEnd w:id="131"/>
    <w:p>
      <w:pPr>
        <w:ind w:left="268"/>
        <w:spacing w:after="0"/>
        <w:rPr>
          <w:sz w:val="20"/>
          <w:szCs w:val="20"/>
          <w:color w:val="auto"/>
        </w:rPr>
      </w:pPr>
      <w:r>
        <w:rPr>
          <w:rFonts w:ascii="Courier New" w:cs="Courier New" w:eastAsia="Courier New" w:hAnsi="Courier New"/>
          <w:sz w:val="15"/>
          <w:szCs w:val="15"/>
          <w:color w:val="auto"/>
        </w:rPr>
        <w:t>131</w:t>
      </w:r>
    </w:p>
    <w:p>
      <w:pPr>
        <w:spacing w:after="0" w:line="174" w:lineRule="exact"/>
        <w:rPr>
          <w:sz w:val="20"/>
          <w:szCs w:val="20"/>
          <w:color w:val="auto"/>
        </w:rPr>
      </w:pPr>
    </w:p>
    <w:p>
      <w:pPr>
        <w:ind w:left="188" w:hanging="188"/>
        <w:spacing w:after="0"/>
        <w:tabs>
          <w:tab w:leader="none" w:pos="188"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No dealer, salesperson or other person is authorized to give any information or to represent anything not contained in this prospectus. You must not rely on any unauthorized information or representations. This prospectus is an offer to sell only the shares offered hereby, but only under circumstances and in jurisdictions where it is lawful to do so. The information contained in this prospectus is current only as of its date.</w:t>
      </w:r>
    </w:p>
    <w:p>
      <w:pPr>
        <w:spacing w:after="0" w:line="174"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1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Page</w:t>
      </w:r>
    </w:p>
    <w:p>
      <w:pPr>
        <w:spacing w:after="0" w:line="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Enforceability of Civil</w:t>
      </w:r>
    </w:p>
    <w:p>
      <w:pPr>
        <w:spacing w:after="0" w:line="2" w:lineRule="exact"/>
        <w:rPr>
          <w:sz w:val="20"/>
          <w:szCs w:val="20"/>
          <w:color w:val="auto"/>
        </w:rPr>
      </w:pPr>
    </w:p>
    <w:p>
      <w:pPr>
        <w:ind w:left="188"/>
        <w:spacing w:after="0"/>
        <w:tabs>
          <w:tab w:leader="dot" w:pos="3728" w:val="left"/>
        </w:tabs>
        <w:rPr>
          <w:sz w:val="20"/>
          <w:szCs w:val="20"/>
          <w:color w:val="auto"/>
        </w:rPr>
      </w:pPr>
      <w:r>
        <w:rPr>
          <w:rFonts w:ascii="Courier New" w:cs="Courier New" w:eastAsia="Courier New" w:hAnsi="Courier New"/>
          <w:sz w:val="15"/>
          <w:szCs w:val="15"/>
          <w:color w:val="auto"/>
        </w:rPr>
        <w:t>Liabilities</w:t>
      </w:r>
      <w:r>
        <w:rPr>
          <w:sz w:val="20"/>
          <w:szCs w:val="20"/>
          <w:color w:val="auto"/>
        </w:rPr>
        <w:tab/>
      </w:r>
      <w:r>
        <w:rPr>
          <w:rFonts w:ascii="Courier New" w:cs="Courier New" w:eastAsia="Courier New" w:hAnsi="Courier New"/>
          <w:sz w:val="15"/>
          <w:szCs w:val="15"/>
          <w:color w:val="auto"/>
        </w:rPr>
        <w:t>3</w:t>
      </w:r>
    </w:p>
    <w:p>
      <w:pPr>
        <w:spacing w:after="0" w:line="2" w:lineRule="exact"/>
        <w:rPr>
          <w:sz w:val="20"/>
          <w:szCs w:val="20"/>
          <w:color w:val="auto"/>
        </w:rPr>
      </w:pPr>
    </w:p>
    <w:p>
      <w:pPr>
        <w:ind w:left="8"/>
        <w:spacing w:after="0"/>
        <w:tabs>
          <w:tab w:leader="dot" w:pos="3728"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5"/>
          <w:szCs w:val="15"/>
          <w:color w:val="auto"/>
        </w:rPr>
        <w:t>4</w:t>
      </w:r>
    </w:p>
    <w:p>
      <w:pPr>
        <w:spacing w:after="0" w:line="2" w:lineRule="exact"/>
        <w:rPr>
          <w:sz w:val="20"/>
          <w:szCs w:val="20"/>
          <w:color w:val="auto"/>
        </w:rPr>
      </w:pPr>
    </w:p>
    <w:p>
      <w:pPr>
        <w:ind w:left="8"/>
        <w:spacing w:after="0"/>
        <w:tabs>
          <w:tab w:leader="dot" w:pos="3728"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9</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19</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Market Prices and Dividend Policy</w:t>
      </w:r>
      <w:r>
        <w:rPr>
          <w:sz w:val="20"/>
          <w:szCs w:val="20"/>
          <w:color w:val="auto"/>
        </w:rPr>
        <w:tab/>
      </w:r>
      <w:r>
        <w:rPr>
          <w:rFonts w:ascii="Courier New" w:cs="Courier New" w:eastAsia="Courier New" w:hAnsi="Courier New"/>
          <w:sz w:val="15"/>
          <w:szCs w:val="15"/>
          <w:color w:val="auto"/>
        </w:rPr>
        <w:t>19</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Selected Historical Consolidated</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Financial Information</w:t>
      </w:r>
      <w:r>
        <w:rPr>
          <w:sz w:val="20"/>
          <w:szCs w:val="20"/>
          <w:color w:val="auto"/>
        </w:rPr>
        <w:tab/>
      </w:r>
      <w:r>
        <w:rPr>
          <w:rFonts w:ascii="Courier New" w:cs="Courier New" w:eastAsia="Courier New" w:hAnsi="Courier New"/>
          <w:sz w:val="15"/>
          <w:szCs w:val="15"/>
          <w:color w:val="auto"/>
        </w:rPr>
        <w:t>20</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of Results of Operations and</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Financial Condition</w:t>
      </w:r>
      <w:r>
        <w:rPr>
          <w:sz w:val="20"/>
          <w:szCs w:val="20"/>
          <w:color w:val="auto"/>
        </w:rPr>
        <w:tab/>
      </w:r>
      <w:r>
        <w:rPr>
          <w:rFonts w:ascii="Courier New" w:cs="Courier New" w:eastAsia="Courier New" w:hAnsi="Courier New"/>
          <w:sz w:val="15"/>
          <w:szCs w:val="15"/>
          <w:color w:val="auto"/>
        </w:rPr>
        <w:t>21</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Unaudited Pro Forma Condensed</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Combined Financial Statements</w:t>
      </w:r>
      <w:r>
        <w:rPr>
          <w:sz w:val="20"/>
          <w:szCs w:val="20"/>
          <w:color w:val="auto"/>
        </w:rPr>
        <w:tab/>
      </w:r>
      <w:r>
        <w:rPr>
          <w:rFonts w:ascii="Courier New" w:cs="Courier New" w:eastAsia="Courier New" w:hAnsi="Courier New"/>
          <w:sz w:val="15"/>
          <w:szCs w:val="15"/>
          <w:color w:val="auto"/>
        </w:rPr>
        <w:t>32</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38</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51</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Certain Transactions</w:t>
      </w:r>
      <w:r>
        <w:rPr>
          <w:sz w:val="20"/>
          <w:szCs w:val="20"/>
          <w:color w:val="auto"/>
        </w:rPr>
        <w:tab/>
      </w:r>
      <w:r>
        <w:rPr>
          <w:rFonts w:ascii="Courier New" w:cs="Courier New" w:eastAsia="Courier New" w:hAnsi="Courier New"/>
          <w:sz w:val="15"/>
          <w:szCs w:val="15"/>
          <w:color w:val="auto"/>
        </w:rPr>
        <w:t>56</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Principal Shareholders and Selling</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Shareholder</w:t>
      </w:r>
      <w:r>
        <w:rPr>
          <w:sz w:val="20"/>
          <w:szCs w:val="20"/>
          <w:color w:val="auto"/>
        </w:rPr>
        <w:tab/>
      </w:r>
      <w:r>
        <w:rPr>
          <w:rFonts w:ascii="Courier New" w:cs="Courier New" w:eastAsia="Courier New" w:hAnsi="Courier New"/>
          <w:sz w:val="15"/>
          <w:szCs w:val="15"/>
          <w:color w:val="auto"/>
        </w:rPr>
        <w:t>58</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Description of Share Capital</w:t>
      </w:r>
      <w:r>
        <w:rPr>
          <w:sz w:val="20"/>
          <w:szCs w:val="20"/>
          <w:color w:val="auto"/>
        </w:rPr>
        <w:tab/>
      </w:r>
      <w:r>
        <w:rPr>
          <w:rFonts w:ascii="Courier New" w:cs="Courier New" w:eastAsia="Courier New" w:hAnsi="Courier New"/>
          <w:sz w:val="15"/>
          <w:szCs w:val="15"/>
          <w:color w:val="auto"/>
        </w:rPr>
        <w:t>60</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Comparison of United States and</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Guernsey Corporate Law</w:t>
      </w:r>
      <w:r>
        <w:rPr>
          <w:sz w:val="20"/>
          <w:szCs w:val="20"/>
          <w:color w:val="auto"/>
        </w:rPr>
        <w:tab/>
      </w:r>
      <w:r>
        <w:rPr>
          <w:rFonts w:ascii="Courier New" w:cs="Courier New" w:eastAsia="Courier New" w:hAnsi="Courier New"/>
          <w:sz w:val="15"/>
          <w:szCs w:val="15"/>
          <w:color w:val="auto"/>
        </w:rPr>
        <w:t>62</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Shares Eligible for Future Sale</w:t>
      </w:r>
      <w:r>
        <w:rPr>
          <w:sz w:val="20"/>
          <w:szCs w:val="20"/>
          <w:color w:val="auto"/>
        </w:rPr>
        <w:tab/>
      </w:r>
      <w:r>
        <w:rPr>
          <w:rFonts w:ascii="Courier New" w:cs="Courier New" w:eastAsia="Courier New" w:hAnsi="Courier New"/>
          <w:sz w:val="15"/>
          <w:szCs w:val="15"/>
          <w:color w:val="auto"/>
        </w:rPr>
        <w:t>64</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Taxation of the Company</w:t>
      </w:r>
      <w:r>
        <w:rPr>
          <w:sz w:val="20"/>
          <w:szCs w:val="20"/>
          <w:color w:val="auto"/>
        </w:rPr>
        <w:tab/>
      </w:r>
      <w:r>
        <w:rPr>
          <w:rFonts w:ascii="Courier New" w:cs="Courier New" w:eastAsia="Courier New" w:hAnsi="Courier New"/>
          <w:sz w:val="15"/>
          <w:szCs w:val="15"/>
          <w:color w:val="auto"/>
        </w:rPr>
        <w:t>66</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Taxation of Holders of Ordinary</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68</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71</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71</w:t>
      </w:r>
    </w:p>
    <w:p>
      <w:pPr>
        <w:spacing w:after="0" w:line="2" w:lineRule="exact"/>
        <w:rPr>
          <w:sz w:val="20"/>
          <w:szCs w:val="20"/>
          <w:color w:val="auto"/>
        </w:rPr>
      </w:pPr>
    </w:p>
    <w:p>
      <w:pPr>
        <w:ind w:left="8"/>
        <w:spacing w:after="0"/>
        <w:tabs>
          <w:tab w:leader="none" w:pos="3648"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5"/>
          <w:szCs w:val="15"/>
          <w:color w:val="auto"/>
        </w:rPr>
        <w:t>71</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Incorporation of Documents by</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Reference</w:t>
      </w:r>
      <w:r>
        <w:rPr>
          <w:sz w:val="20"/>
          <w:szCs w:val="20"/>
          <w:color w:val="auto"/>
        </w:rPr>
        <w:tab/>
      </w:r>
      <w:r>
        <w:rPr>
          <w:rFonts w:ascii="Courier New" w:cs="Courier New" w:eastAsia="Courier New" w:hAnsi="Courier New"/>
          <w:sz w:val="15"/>
          <w:szCs w:val="15"/>
          <w:color w:val="auto"/>
        </w:rPr>
        <w:t>71</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Forward-Looking Statements</w:t>
      </w:r>
      <w:r>
        <w:rPr>
          <w:sz w:val="20"/>
          <w:szCs w:val="20"/>
          <w:color w:val="auto"/>
        </w:rPr>
        <w:tab/>
      </w:r>
      <w:r>
        <w:rPr>
          <w:rFonts w:ascii="Courier New" w:cs="Courier New" w:eastAsia="Courier New" w:hAnsi="Courier New"/>
          <w:sz w:val="15"/>
          <w:szCs w:val="15"/>
          <w:color w:val="auto"/>
        </w:rPr>
        <w:t>72</w:t>
      </w:r>
    </w:p>
    <w:p>
      <w:pPr>
        <w:spacing w:after="0" w:line="2" w:lineRule="exact"/>
        <w:rPr>
          <w:sz w:val="20"/>
          <w:szCs w:val="20"/>
          <w:color w:val="auto"/>
        </w:rPr>
      </w:pPr>
    </w:p>
    <w:p>
      <w:pPr>
        <w:ind w:left="8"/>
        <w:spacing w:after="0"/>
        <w:tabs>
          <w:tab w:leader="dot" w:pos="3548" w:val="left"/>
        </w:tabs>
        <w:rPr>
          <w:sz w:val="20"/>
          <w:szCs w:val="20"/>
          <w:color w:val="auto"/>
        </w:rPr>
      </w:pPr>
      <w:r>
        <w:rPr>
          <w:rFonts w:ascii="Courier New" w:cs="Courier New" w:eastAsia="Courier New" w:hAnsi="Courier New"/>
          <w:sz w:val="15"/>
          <w:szCs w:val="15"/>
          <w:color w:val="auto"/>
        </w:rPr>
        <w:t>Index to Financial Statements</w:t>
      </w:r>
      <w:r>
        <w:rPr>
          <w:sz w:val="20"/>
          <w:szCs w:val="20"/>
          <w:color w:val="auto"/>
        </w:rPr>
        <w:tab/>
      </w:r>
      <w:r>
        <w:rPr>
          <w:rFonts w:ascii="Courier New" w:cs="Courier New" w:eastAsia="Courier New" w:hAnsi="Courier New"/>
          <w:sz w:val="15"/>
          <w:szCs w:val="15"/>
          <w:color w:val="auto"/>
        </w:rPr>
        <w:t>F-1</w:t>
      </w:r>
    </w:p>
    <w:p>
      <w:pPr>
        <w:spacing w:after="0" w:line="2" w:lineRule="exact"/>
        <w:rPr>
          <w:sz w:val="20"/>
          <w:szCs w:val="20"/>
          <w:color w:val="auto"/>
        </w:rPr>
      </w:pPr>
    </w:p>
    <w:p>
      <w:pPr>
        <w:ind w:left="8"/>
        <w:spacing w:after="0"/>
        <w:tabs>
          <w:tab w:leader="dot" w:pos="3548" w:val="left"/>
        </w:tabs>
        <w:rPr>
          <w:sz w:val="20"/>
          <w:szCs w:val="20"/>
          <w:color w:val="auto"/>
        </w:rPr>
      </w:pP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5"/>
          <w:szCs w:val="15"/>
          <w:color w:val="auto"/>
        </w:rPr>
        <w:t>U-1</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18,000,000 Shares</w:t>
      </w:r>
    </w:p>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Ordinary Shares</w:t>
      </w:r>
    </w:p>
    <w:p>
      <w:pPr>
        <w:spacing w:after="0" w:line="2"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[AMDOCS LOGO]</w:t>
      </w:r>
    </w:p>
    <w:p>
      <w:pPr>
        <w:spacing w:after="0" w:line="174"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GOLDMAN, SACHS &amp; CO.</w:t>
      </w:r>
    </w:p>
    <w:p>
      <w:pPr>
        <w:spacing w:after="0" w:line="2"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BANC OF AMERICA SECURITIES LLC</w:t>
      </w:r>
    </w:p>
    <w:p>
      <w:pPr>
        <w:spacing w:after="0" w:line="2"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DEUTSCHE BANC ALEX. BROWN</w:t>
      </w:r>
    </w:p>
    <w:p>
      <w:pPr>
        <w:spacing w:after="0" w:line="2"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LEHMAN BROTHERS</w:t>
      </w:r>
    </w:p>
    <w:p>
      <w:pPr>
        <w:spacing w:after="0" w:line="2"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PRUDENTIAL SECURITIES</w:t>
      </w:r>
    </w:p>
    <w:p>
      <w:pPr>
        <w:spacing w:after="0" w:line="174"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Representatives of the Underwriters</w:t>
      </w:r>
    </w:p>
    <w:p>
      <w:pPr>
        <w:spacing w:after="0" w:line="2" w:lineRule="exact"/>
        <w:rPr>
          <w:sz w:val="20"/>
          <w:szCs w:val="20"/>
          <w:color w:val="auto"/>
        </w:rPr>
      </w:pPr>
    </w:p>
    <w:p>
      <w:pPr>
        <w:ind w:left="188" w:hanging="188"/>
        <w:spacing w:after="0"/>
        <w:tabs>
          <w:tab w:leader="none" w:pos="188"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289"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5"/>
          <w:szCs w:val="15"/>
          <w:color w:val="auto"/>
        </w:rPr>
        <w:t>132</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PART II</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OTHER EXPENSES OF ISSUANCE AND DISTRIBUTION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table sets forth the various expenses to be paid by Amdocs in connection with the issuance and distribution of the securities being registered. All amounts shown are estimates except for amounts of filing and listing fees.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Securities and Exchange Commission registration fee.........</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151,634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National Association of Securities Dealers fee..............</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30,500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Legal fees and expenses.....................................</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385,000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Registrar and Transfer Agent fees and expenses..............</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3,500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Accounting fees and expenses................................</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Printing, EDGAR formatting and mailing expenses.............</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400,000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Miscellaneous...............................................</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30,000</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$1,030,634</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348"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Under our Articles of Association, we are obligated to indemnify any person who is made or threatened to be made a party to a legal or administrative proceeding by virtue of being a director, officer or agent of Amdocs, provided that we have no such obligation to indemnify any such persons for any claims they incur or sustain by or through their own willful act or default.</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entered into an indemnity agreement with our directors and some of our officers, under which we have agreed to pay the indemnified party the amount of Loss (as defined therein) suffered by that party due to claims made against that party for a Wrongful Act (as defined therein).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ITEM 16.</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EXHIBITS AND FINANCIAL STATEMENT SCHEDULES</w:t>
            </w:r>
          </w:p>
        </w:tc>
      </w:tr>
      <w:tr>
        <w:trPr>
          <w:trHeight w:val="344"/>
        </w:trPr>
        <w:tc>
          <w:tcPr>
            <w:tcW w:w="840" w:type="dxa"/>
            <w:vAlign w:val="bottom"/>
          </w:tcPr>
          <w:p>
            <w:pPr>
              <w:spacing w:after="0"/>
              <w:rPr>
                <w:sz w:val="24"/>
                <w:szCs w:val="24"/>
                <w:color w:val="auto"/>
              </w:rPr>
            </w:pPr>
          </w:p>
        </w:tc>
        <w:tc>
          <w:tcPr>
            <w:tcW w:w="5420" w:type="dxa"/>
            <w:vAlign w:val="bottom"/>
          </w:tcPr>
          <w:p>
            <w:pPr>
              <w:ind w:left="2100"/>
              <w:spacing w:after="0"/>
              <w:rPr>
                <w:sz w:val="20"/>
                <w:szCs w:val="20"/>
                <w:color w:val="auto"/>
              </w:rPr>
            </w:pPr>
            <w:r>
              <w:rPr>
                <w:rFonts w:ascii="Courier New" w:cs="Courier New" w:eastAsia="Courier New" w:hAnsi="Courier New"/>
                <w:sz w:val="15"/>
                <w:szCs w:val="15"/>
                <w:color w:val="auto"/>
              </w:rPr>
              <w:t>EXHIBIT INDEX</w:t>
            </w:r>
          </w:p>
        </w:tc>
      </w:tr>
      <w:tr>
        <w:trPr>
          <w:trHeight w:val="688"/>
        </w:trPr>
        <w:tc>
          <w:tcPr>
            <w:tcW w:w="8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420" w:type="dxa"/>
            <w:vAlign w:val="bottom"/>
          </w:tcPr>
          <w:p>
            <w:pPr>
              <w:spacing w:after="0"/>
              <w:rPr>
                <w:sz w:val="24"/>
                <w:szCs w:val="24"/>
                <w:color w:val="auto"/>
              </w:rPr>
            </w:pPr>
          </w:p>
        </w:tc>
      </w:tr>
      <w:tr>
        <w:trPr>
          <w:trHeight w:val="172"/>
        </w:trPr>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NO.</w:t>
            </w:r>
          </w:p>
        </w:tc>
        <w:tc>
          <w:tcPr>
            <w:tcW w:w="5420" w:type="dxa"/>
            <w:vAlign w:val="bottom"/>
          </w:tcPr>
          <w:p>
            <w:pPr>
              <w:ind w:left="220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420" w:type="dxa"/>
            <w:vAlign w:val="bottom"/>
          </w:tcPr>
          <w:p>
            <w:pPr>
              <w:ind w:left="2380"/>
              <w:spacing w:after="0"/>
              <w:rPr>
                <w:sz w:val="20"/>
                <w:szCs w:val="20"/>
                <w:color w:val="auto"/>
              </w:rPr>
            </w:pPr>
            <w:r>
              <w:rPr>
                <w:rFonts w:ascii="Courier New" w:cs="Courier New" w:eastAsia="Courier New" w:hAnsi="Courier New"/>
                <w:sz w:val="15"/>
                <w:szCs w:val="15"/>
                <w:color w:val="auto"/>
              </w:rPr>
              <w:t>-----------</w:t>
            </w:r>
          </w:p>
        </w:tc>
      </w:tr>
      <w:tr>
        <w:trPr>
          <w:trHeight w:val="344"/>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Form of Underwriting Agreement</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Agreement and Plan of Merger dated as of September 3, 1999</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among Amdocs Limited, Ivan Acquisition Corp. and</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International Telecommunication Data Systems, Inc. (Exhibit</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2.1 to Amdocs' Current Report on Form 6-K dated September</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10, 1999)</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Specimen certificate for the ordinary shares of the</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Registrant (Exhibit 4.1 to Amdocs' Registration Statement on</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Form F-1 dated June 19, 1998; Registration Number 333-8826)</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Stock Option and Incentive Plan, as amended, of Amdocs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(Exhibit 4.2 to Amdocs' Registration Statement on Form F-1</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dated June 19, 1998; Registration No. 333-8826)</w:t>
            </w:r>
          </w:p>
        </w:tc>
      </w:tr>
      <w:tr>
        <w:trPr>
          <w:trHeight w:val="516"/>
        </w:trPr>
        <w:tc>
          <w:tcPr>
            <w:tcW w:w="840" w:type="dxa"/>
            <w:vAlign w:val="bottom"/>
          </w:tcPr>
          <w:p>
            <w:pPr>
              <w:spacing w:after="0"/>
              <w:rPr>
                <w:sz w:val="24"/>
                <w:szCs w:val="24"/>
                <w:color w:val="auto"/>
              </w:rPr>
            </w:pPr>
          </w:p>
        </w:tc>
        <w:tc>
          <w:tcPr>
            <w:tcW w:w="5420" w:type="dxa"/>
            <w:vAlign w:val="bottom"/>
          </w:tcPr>
          <w:p>
            <w:pPr>
              <w:ind w:left="2560"/>
              <w:spacing w:after="0"/>
              <w:rPr>
                <w:sz w:val="20"/>
                <w:szCs w:val="20"/>
                <w:color w:val="auto"/>
              </w:rPr>
            </w:pPr>
            <w:r>
              <w:rPr>
                <w:rFonts w:ascii="Courier New" w:cs="Courier New" w:eastAsia="Courier New" w:hAnsi="Courier New"/>
                <w:sz w:val="15"/>
                <w:szCs w:val="15"/>
                <w:color w:val="auto"/>
              </w:rPr>
              <w:t>II-1</w:t>
            </w:r>
          </w:p>
        </w:tc>
      </w:tr>
    </w:tbl>
    <w:p>
      <w:pPr>
        <w:sectPr>
          <w:pgSz w:w="11900" w:h="16838" w:orient="portrait"/>
          <w:cols w:equalWidth="0" w:num="1">
            <w:col w:w="10219"/>
          </w:cols>
          <w:pgMar w:left="240" w:top="289" w:right="1440" w:bottom="1440" w:gutter="0" w:footer="0" w:header="0"/>
        </w:sectPr>
      </w:pPr>
    </w:p>
    <w:bookmarkStart w:id="133" w:name="page134"/>
    <w:bookmarkEnd w:id="133"/>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133</w:t>
            </w:r>
          </w:p>
        </w:tc>
        <w:tc>
          <w:tcPr>
            <w:tcW w:w="5420" w:type="dxa"/>
            <w:vAlign w:val="bottom"/>
          </w:tcPr>
          <w:p>
            <w:pPr>
              <w:spacing w:after="0"/>
              <w:rPr>
                <w:sz w:val="14"/>
                <w:szCs w:val="14"/>
                <w:color w:val="auto"/>
              </w:rPr>
            </w:pPr>
          </w:p>
        </w:tc>
      </w:tr>
      <w:tr>
        <w:trPr>
          <w:trHeight w:val="860"/>
        </w:trPr>
        <w:tc>
          <w:tcPr>
            <w:tcW w:w="8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420" w:type="dxa"/>
            <w:vAlign w:val="bottom"/>
          </w:tcPr>
          <w:p>
            <w:pPr>
              <w:spacing w:after="0"/>
              <w:rPr>
                <w:sz w:val="24"/>
                <w:szCs w:val="24"/>
                <w:color w:val="auto"/>
              </w:rPr>
            </w:pPr>
          </w:p>
        </w:tc>
      </w:tr>
      <w:tr>
        <w:trPr>
          <w:trHeight w:val="172"/>
        </w:trPr>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NO.</w:t>
            </w:r>
          </w:p>
        </w:tc>
        <w:tc>
          <w:tcPr>
            <w:tcW w:w="5420" w:type="dxa"/>
            <w:vAlign w:val="bottom"/>
          </w:tcPr>
          <w:p>
            <w:pPr>
              <w:ind w:left="220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420" w:type="dxa"/>
            <w:vAlign w:val="bottom"/>
          </w:tcPr>
          <w:p>
            <w:pPr>
              <w:ind w:left="2380"/>
              <w:spacing w:after="0"/>
              <w:rPr>
                <w:sz w:val="20"/>
                <w:szCs w:val="20"/>
                <w:color w:val="auto"/>
              </w:rPr>
            </w:pPr>
            <w:r>
              <w:rPr>
                <w:rFonts w:ascii="Courier New" w:cs="Courier New" w:eastAsia="Courier New" w:hAnsi="Courier New"/>
                <w:sz w:val="15"/>
                <w:szCs w:val="15"/>
                <w:color w:val="auto"/>
              </w:rPr>
              <w:t>-----------</w:t>
            </w:r>
          </w:p>
        </w:tc>
      </w:tr>
      <w:tr>
        <w:trPr>
          <w:trHeight w:val="344"/>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Note Purchase Agreement, dated as of September 22, 1997,</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among European Software Marketing Ltd., WCAS Capital</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Partners III, L.P., as Agent, and the several Purchasers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named in Schedule 1 thereto (Exhibit 4.3 to Amdocs'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No. 333-8826)</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Credit Agreement, dated as of June 29,</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1998, among European Software Marketing Limited, the other</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subsidiaries of Amdocs named therein, the Initial Lenders,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Initial Issuing Bank and Swing Line Bank named therein, and</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NationsBank, N.A., as Administrative Agent and the Bank of</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Nova Scotia, as Syndication Agent (Exhibit 4.4 to Amdocs'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on Form F-1 dated June 7, 1999;</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No. 333-75151)</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Share Subscription Agreement, dated as of September 22,</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1997, among the several Investors named therein and Amdocs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(Exhibit 4.5 to Amdocs' Registration Statement on Form F-1</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dated June 19, 1998; Registration No. 333-8826)</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Conditional Investment Agreement, dated as of September 22,</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1997, among the several investors named therein and Amdocs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(Exhibit 4.6 to Amdocs' Registration Statement on Form F-1</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dated June 19, 1998; Registration No. 333-8826)</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Letter Agreement, dated September 22, 1997, as amended as of</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May 20, 1998, between Amdocs and Welsh, Carson, Anderson and</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Stowe, on behalf of the Investors named therein (Exhibit 4.7</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to Amdocs' Registration Statement on Form F-1 dated June 19,</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1998; Registration No. 333-8826)</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Letter of Understanding, dated September 22, 1997, between</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Amdocs and Welsh, Carson, Anderson and Stowe, on behalf of</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the Investors named therein (Exhibit 4.8 to Amdocs'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No. 333-8826)</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Shareholders Agreement, Summary of Terms, dated September</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22, 1997 (Exhibit 4.9 to Amdocs' Registration Statement on</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Form F-1 dated June 19, 1998; Registration No. 333-8826)</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4.10</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Certain proxies executed by investment partnerships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affiliated with Welsh, Carson, Anderson and Stowe and</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certain other entities in favor of Conbond Holding Company</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Ltd. (Exhibit 4.10 to Amdocs' Registration Statement on Form</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F-1 dated June 19, 1998; Registration No. 333-8826)</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Opinion of Carey Langlois</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*23.2</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*23.3</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Consent of Carey Langlois (included in Exhibit 5.1).</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Powers of Attorney.</w:t>
            </w:r>
          </w:p>
        </w:tc>
      </w:tr>
    </w:tbl>
    <w:p>
      <w:pPr>
        <w:spacing w:after="0" w:line="200" w:lineRule="exact"/>
        <w:rPr>
          <w:sz w:val="20"/>
          <w:szCs w:val="20"/>
          <w:color w:val="auto"/>
        </w:rPr>
      </w:pPr>
    </w:p>
    <w:p>
      <w:pPr>
        <w:spacing w:after="0" w:line="318" w:lineRule="exact"/>
        <w:rPr>
          <w:sz w:val="20"/>
          <w:szCs w:val="20"/>
          <w:color w:val="auto"/>
        </w:rPr>
      </w:pPr>
    </w:p>
    <w:p>
      <w:pPr>
        <w:ind w:left="188" w:hanging="188"/>
        <w:spacing w:after="0"/>
        <w:tabs>
          <w:tab w:leader="none" w:pos="188"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Filed herewith.</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348" w:hanging="259"/>
        <w:spacing w:after="0"/>
        <w:tabs>
          <w:tab w:leader="none" w:pos="348"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w:t>
      </w:r>
    </w:p>
    <w:p>
      <w:pPr>
        <w:spacing w:after="0" w:line="200" w:lineRule="exact"/>
        <w:rPr>
          <w:sz w:val="20"/>
          <w:szCs w:val="20"/>
          <w:color w:val="auto"/>
        </w:rPr>
      </w:pPr>
    </w:p>
    <w:p>
      <w:pPr>
        <w:spacing w:after="0" w:line="318" w:lineRule="exact"/>
        <w:rPr>
          <w:sz w:val="20"/>
          <w:szCs w:val="20"/>
          <w:color w:val="auto"/>
        </w:rPr>
      </w:pPr>
    </w:p>
    <w:p>
      <w:pPr>
        <w:ind w:left="8"/>
        <w:spacing w:after="0"/>
        <w:tabs>
          <w:tab w:leader="none" w:pos="868" w:val="left"/>
        </w:tabs>
        <w:rPr>
          <w:sz w:val="20"/>
          <w:szCs w:val="20"/>
          <w:color w:val="auto"/>
        </w:rPr>
      </w:pPr>
      <w:r>
        <w:rPr>
          <w:rFonts w:ascii="Courier New" w:cs="Courier New" w:eastAsia="Courier New" w:hAnsi="Courier New"/>
          <w:sz w:val="15"/>
          <w:szCs w:val="15"/>
          <w:color w:val="auto"/>
        </w:rPr>
        <w:t>ITEM 17.</w:t>
        <w:tab/>
        <w:t>UNDERTAKINGS</w:t>
      </w:r>
    </w:p>
    <w:p>
      <w:pPr>
        <w:spacing w:after="0" w:line="34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undersigned Registrant hereby undertakes to provide to the Underwriters at the closing specified in the Underwriting Agreement, ordinary shares in such denominations and registered in such names as required by the Underwriters to permit prompt delivery to each purchaser.</w:t>
      </w:r>
    </w:p>
    <w:p>
      <w:pPr>
        <w:spacing w:after="0" w:line="17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27"/>
          </w:cols>
          <w:pgMar w:left="232" w:top="289"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5"/>
          <w:szCs w:val="15"/>
          <w:color w:val="auto"/>
        </w:rPr>
        <w:t>134</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provisions described in Item 15,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undersigned Registrant hereby undertakes that:</w:t>
      </w:r>
    </w:p>
    <w:p>
      <w:pPr>
        <w:spacing w:after="0" w:line="176" w:lineRule="exact"/>
        <w:rPr>
          <w:sz w:val="20"/>
          <w:szCs w:val="20"/>
          <w:color w:val="auto"/>
        </w:rPr>
      </w:pPr>
    </w:p>
    <w:p>
      <w:pPr>
        <w:ind w:right="3079" w:firstLine="439"/>
        <w:spacing w:after="0" w:line="242" w:lineRule="auto"/>
        <w:tabs>
          <w:tab w:leader="none" w:pos="805"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6" w:lineRule="exact"/>
        <w:rPr>
          <w:rFonts w:ascii="Courier New" w:cs="Courier New" w:eastAsia="Courier New" w:hAnsi="Courier New"/>
          <w:sz w:val="15"/>
          <w:szCs w:val="15"/>
          <w:color w:val="auto"/>
        </w:rPr>
      </w:pPr>
    </w:p>
    <w:p>
      <w:pPr>
        <w:ind w:right="3079" w:firstLine="439"/>
        <w:spacing w:after="0" w:line="242" w:lineRule="auto"/>
        <w:tabs>
          <w:tab w:leader="none" w:pos="805"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Courier New" w:cs="Courier New" w:eastAsia="Courier New" w:hAnsi="Courier New"/>
          <w:sz w:val="15"/>
          <w:szCs w:val="15"/>
          <w:color w:val="auto"/>
        </w:rPr>
      </w:pPr>
    </w:p>
    <w:p>
      <w:pPr>
        <w:ind w:right="3079" w:firstLine="439"/>
        <w:spacing w:after="0" w:line="242" w:lineRule="auto"/>
        <w:tabs>
          <w:tab w:leader="none" w:pos="805"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289" w:right="1440" w:bottom="1440" w:gutter="0" w:footer="0" w:header="0"/>
        </w:sectPr>
      </w:pPr>
    </w:p>
    <w:bookmarkStart w:id="135" w:name="page136"/>
    <w:bookmarkEnd w:id="135"/>
    <w:p>
      <w:pPr>
        <w:ind w:left="268"/>
        <w:spacing w:after="0"/>
        <w:rPr>
          <w:sz w:val="20"/>
          <w:szCs w:val="20"/>
          <w:color w:val="auto"/>
        </w:rPr>
      </w:pPr>
      <w:r>
        <w:rPr>
          <w:rFonts w:ascii="Courier New" w:cs="Courier New" w:eastAsia="Courier New" w:hAnsi="Courier New"/>
          <w:sz w:val="15"/>
          <w:szCs w:val="15"/>
          <w:color w:val="auto"/>
        </w:rPr>
        <w:t>135</w:t>
      </w:r>
    </w:p>
    <w:p>
      <w:pPr>
        <w:spacing w:after="0" w:line="174"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SIGNATURES</w:t>
      </w:r>
    </w:p>
    <w:p>
      <w:pPr>
        <w:spacing w:after="0" w:line="34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amendment to the registration statement to be signed on its behalf by the undersigned, thereunto duly authorized, in the city of New York, State of New York, on this 1st day of October, 1999.</w:t>
      </w:r>
    </w:p>
    <w:p>
      <w:pPr>
        <w:spacing w:after="0" w:line="200" w:lineRule="exact"/>
        <w:rPr>
          <w:sz w:val="20"/>
          <w:szCs w:val="20"/>
          <w:color w:val="auto"/>
        </w:rPr>
      </w:pPr>
    </w:p>
    <w:p>
      <w:pPr>
        <w:spacing w:after="0" w:line="317"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AMDOCS LIMITED</w:t>
      </w:r>
    </w:p>
    <w:p>
      <w:pPr>
        <w:spacing w:after="0" w:line="346" w:lineRule="exact"/>
        <w:rPr>
          <w:sz w:val="20"/>
          <w:szCs w:val="20"/>
          <w:color w:val="auto"/>
        </w:rPr>
      </w:pPr>
    </w:p>
    <w:p>
      <w:pPr>
        <w:ind w:left="3748"/>
        <w:spacing w:after="0"/>
        <w:tabs>
          <w:tab w:leader="none" w:pos="4548" w:val="left"/>
        </w:tabs>
        <w:rPr>
          <w:sz w:val="20"/>
          <w:szCs w:val="20"/>
          <w:color w:val="auto"/>
        </w:rPr>
      </w:pPr>
      <w:r>
        <w:rPr>
          <w:rFonts w:ascii="Courier New" w:cs="Courier New" w:eastAsia="Courier New" w:hAnsi="Courier New"/>
          <w:sz w:val="15"/>
          <w:szCs w:val="15"/>
          <w:color w:val="auto"/>
        </w:rPr>
        <w:t>By: /s/</w:t>
      </w:r>
      <w:r>
        <w:rPr>
          <w:sz w:val="20"/>
          <w:szCs w:val="20"/>
          <w:color w:val="auto"/>
        </w:rPr>
        <w:tab/>
      </w:r>
      <w:r>
        <w:rPr>
          <w:rFonts w:ascii="Courier New" w:cs="Courier New" w:eastAsia="Courier New" w:hAnsi="Courier New"/>
          <w:sz w:val="14"/>
          <w:szCs w:val="14"/>
          <w:color w:val="auto"/>
        </w:rPr>
        <w:t>BRUCE K. ANDERSON</w:t>
      </w:r>
    </w:p>
    <w:p>
      <w:pPr>
        <w:spacing w:after="0" w:line="4" w:lineRule="exact"/>
        <w:rPr>
          <w:sz w:val="20"/>
          <w:szCs w:val="20"/>
          <w:color w:val="auto"/>
        </w:rPr>
      </w:pPr>
    </w:p>
    <w:p>
      <w:pPr>
        <w:ind w:left="392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748"/>
        <w:spacing w:after="0"/>
        <w:rPr>
          <w:sz w:val="20"/>
          <w:szCs w:val="20"/>
          <w:color w:val="auto"/>
        </w:rPr>
      </w:pPr>
      <w:r>
        <w:rPr>
          <w:rFonts w:ascii="Courier New" w:cs="Courier New" w:eastAsia="Courier New" w:hAnsi="Courier New"/>
          <w:sz w:val="15"/>
          <w:szCs w:val="15"/>
          <w:color w:val="auto"/>
        </w:rPr>
        <w:t>Bruce K. Anderson</w:t>
      </w:r>
    </w:p>
    <w:p>
      <w:pPr>
        <w:spacing w:after="0" w:line="2" w:lineRule="exact"/>
        <w:rPr>
          <w:sz w:val="20"/>
          <w:szCs w:val="20"/>
          <w:color w:val="auto"/>
        </w:rPr>
      </w:pPr>
    </w:p>
    <w:p>
      <w:pPr>
        <w:ind w:left="4468"/>
        <w:spacing w:after="0"/>
        <w:rPr>
          <w:sz w:val="20"/>
          <w:szCs w:val="20"/>
          <w:color w:val="auto"/>
        </w:rPr>
      </w:pPr>
      <w:r>
        <w:rPr>
          <w:rFonts w:ascii="Courier New" w:cs="Courier New" w:eastAsia="Courier New" w:hAnsi="Courier New"/>
          <w:sz w:val="15"/>
          <w:szCs w:val="15"/>
          <w:color w:val="auto"/>
        </w:rPr>
        <w:t>Chief Executive Officer</w:t>
      </w:r>
    </w:p>
    <w:p>
      <w:pPr>
        <w:spacing w:after="0" w:line="2" w:lineRule="exact"/>
        <w:rPr>
          <w:sz w:val="20"/>
          <w:szCs w:val="20"/>
          <w:color w:val="auto"/>
        </w:rPr>
      </w:pPr>
    </w:p>
    <w:p>
      <w:pPr>
        <w:ind w:left="4388"/>
        <w:spacing w:after="0"/>
        <w:rPr>
          <w:sz w:val="20"/>
          <w:szCs w:val="20"/>
          <w:color w:val="auto"/>
        </w:rPr>
      </w:pPr>
      <w:r>
        <w:rPr>
          <w:rFonts w:ascii="Courier New" w:cs="Courier New" w:eastAsia="Courier New" w:hAnsi="Courier New"/>
          <w:sz w:val="15"/>
          <w:szCs w:val="15"/>
          <w:color w:val="auto"/>
        </w:rPr>
        <w:t>and Chairman of the Board</w:t>
      </w:r>
    </w:p>
    <w:p>
      <w:pPr>
        <w:spacing w:after="0" w:line="176" w:lineRule="exact"/>
        <w:rPr>
          <w:sz w:val="20"/>
          <w:szCs w:val="20"/>
          <w:color w:val="auto"/>
        </w:rPr>
      </w:pPr>
    </w:p>
    <w:p>
      <w:pPr>
        <w:jc w:val="both"/>
        <w:ind w:left="8" w:right="3959" w:firstLine="447"/>
        <w:spacing w:after="0" w:line="241"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0227"/>
          </w:cols>
          <w:pgMar w:left="232" w:top="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888"/>
        <w:spacing w:after="0"/>
        <w:rPr>
          <w:sz w:val="20"/>
          <w:szCs w:val="20"/>
          <w:color w:val="auto"/>
        </w:rPr>
      </w:pPr>
      <w:r>
        <w:rPr>
          <w:rFonts w:ascii="Courier New" w:cs="Courier New" w:eastAsia="Courier New" w:hAnsi="Courier New"/>
          <w:sz w:val="14"/>
          <w:szCs w:val="14"/>
          <w:color w:val="auto"/>
        </w:rPr>
        <w:t>SIGNATURE</w:t>
      </w:r>
    </w:p>
    <w:p>
      <w:pPr>
        <w:spacing w:after="0" w:line="13" w:lineRule="exact"/>
        <w:rPr>
          <w:sz w:val="20"/>
          <w:szCs w:val="20"/>
          <w:color w:val="auto"/>
        </w:rPr>
      </w:pPr>
    </w:p>
    <w:p>
      <w:pPr>
        <w:ind w:left="1888"/>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3">
            <w:col w:w="5188" w:space="720"/>
            <w:col w:w="1600" w:space="720"/>
            <w:col w:w="1999"/>
          </w:cols>
          <w:pgMar w:left="232" w:top="289" w:right="1440" w:bottom="1440" w:gutter="0" w:footer="0" w:header="0"/>
          <w:type w:val="continuous"/>
        </w:sectPr>
      </w:pPr>
    </w:p>
    <w:p>
      <w:pPr>
        <w:ind w:left="1348"/>
        <w:spacing w:after="0"/>
        <w:rPr>
          <w:sz w:val="20"/>
          <w:szCs w:val="20"/>
          <w:color w:val="auto"/>
        </w:rPr>
      </w:pPr>
      <w:r>
        <w:rPr>
          <w:rFonts w:ascii="Courier New" w:cs="Courier New" w:eastAsia="Courier New" w:hAnsi="Courier New"/>
          <w:sz w:val="15"/>
          <w:szCs w:val="15"/>
          <w:color w:val="auto"/>
        </w:rPr>
        <w:t>/s/ BRUCE K. ANDERSON</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Bruce K. Anderson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Chairman of the Board and Chief</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Executive Officer (Principal</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1, 1999</w:t>
      </w:r>
    </w:p>
    <w:p>
      <w:pPr>
        <w:spacing w:after="0" w:line="527" w:lineRule="exact"/>
        <w:rPr>
          <w:sz w:val="20"/>
          <w:szCs w:val="20"/>
          <w:color w:val="auto"/>
        </w:rPr>
      </w:pPr>
    </w:p>
    <w:p>
      <w:pPr>
        <w:sectPr>
          <w:pgSz w:w="11900" w:h="16838" w:orient="portrait"/>
          <w:cols w:equalWidth="0" w:num="3">
            <w:col w:w="4748" w:space="0"/>
            <w:col w:w="2860" w:space="180"/>
            <w:col w:w="2439"/>
          </w:cols>
          <w:pgMar w:left="232" w:top="289" w:right="1440" w:bottom="1440" w:gutter="0" w:footer="0" w:header="0"/>
          <w:type w:val="continuous"/>
        </w:sectPr>
      </w:pPr>
    </w:p>
    <w:p>
      <w:pPr>
        <w:ind w:left="22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1428"/>
        <w:spacing w:after="0"/>
        <w:rPr>
          <w:sz w:val="20"/>
          <w:szCs w:val="20"/>
          <w:color w:val="auto"/>
        </w:rPr>
      </w:pPr>
      <w:r>
        <w:rPr>
          <w:rFonts w:ascii="Courier New" w:cs="Courier New" w:eastAsia="Courier New" w:hAnsi="Courier New"/>
          <w:sz w:val="15"/>
          <w:szCs w:val="15"/>
          <w:color w:val="auto"/>
        </w:rPr>
        <w:t>Robert A. Minicucci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 and Chief Financial</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Officer (Principal Financial</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and Accounting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1, 1999</w:t>
      </w:r>
    </w:p>
    <w:p>
      <w:pPr>
        <w:spacing w:after="0" w:line="527" w:lineRule="exact"/>
        <w:rPr>
          <w:sz w:val="20"/>
          <w:szCs w:val="20"/>
          <w:color w:val="auto"/>
        </w:rPr>
      </w:pPr>
    </w:p>
    <w:p>
      <w:pPr>
        <w:sectPr>
          <w:pgSz w:w="11900" w:h="16838" w:orient="portrait"/>
          <w:cols w:equalWidth="0" w:num="3">
            <w:col w:w="4748" w:space="0"/>
            <w:col w:w="2860" w:space="180"/>
            <w:col w:w="2439"/>
          </w:cols>
          <w:pgMar w:left="232" w:top="289" w:right="1440" w:bottom="1440" w:gutter="0" w:footer="0" w:header="0"/>
          <w:type w:val="continuous"/>
        </w:sectPr>
      </w:pPr>
    </w:p>
    <w:p>
      <w:pPr>
        <w:ind w:left="22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Avinoam Naor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 of Amdocs Limited and</w:t>
      </w:r>
    </w:p>
    <w:p>
      <w:pPr>
        <w:spacing w:after="0" w:line="1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Chief Executive Officer of</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Amdocs Management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1, 1999</w:t>
      </w:r>
    </w:p>
    <w:p>
      <w:pPr>
        <w:spacing w:after="0" w:line="527" w:lineRule="exact"/>
        <w:rPr>
          <w:sz w:val="20"/>
          <w:szCs w:val="20"/>
          <w:color w:val="auto"/>
        </w:rPr>
      </w:pPr>
    </w:p>
    <w:p>
      <w:pPr>
        <w:sectPr>
          <w:pgSz w:w="11900" w:h="16838" w:orient="portrait"/>
          <w:cols w:equalWidth="0" w:num="3">
            <w:col w:w="4748" w:space="0"/>
            <w:col w:w="2680" w:space="360"/>
            <w:col w:w="2439"/>
          </w:cols>
          <w:pgMar w:left="232" w:top="289" w:right="1440" w:bottom="1440" w:gutter="0" w:footer="0" w:header="0"/>
          <w:type w:val="continuous"/>
        </w:sectPr>
      </w:pPr>
    </w:p>
    <w:p>
      <w:pPr>
        <w:ind w:left="2228"/>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1, 1999</w:t>
      </w:r>
    </w:p>
    <w:p>
      <w:pPr>
        <w:spacing w:after="0" w:line="11" w:lineRule="exact"/>
        <w:rPr>
          <w:sz w:val="20"/>
          <w:szCs w:val="20"/>
          <w:color w:val="auto"/>
        </w:rPr>
      </w:pPr>
    </w:p>
    <w:p>
      <w:pPr>
        <w:sectPr>
          <w:pgSz w:w="11900" w:h="16838" w:orient="portrait"/>
          <w:cols w:equalWidth="0" w:num="3">
            <w:col w:w="4028" w:space="720"/>
            <w:col w:w="2320" w:space="720"/>
            <w:col w:w="2439"/>
          </w:cols>
          <w:pgMar w:left="232" w:top="289" w:right="1440" w:bottom="1440" w:gutter="0" w:footer="0" w:header="0"/>
          <w:type w:val="continuous"/>
        </w:sectPr>
      </w:pPr>
    </w:p>
    <w:p>
      <w:pPr>
        <w:ind w:left="188" w:hanging="188"/>
        <w:spacing w:after="0"/>
        <w:tabs>
          <w:tab w:leader="none" w:pos="188"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6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Adrian Gardner</w:t>
      </w:r>
    </w:p>
    <w:p>
      <w:pPr>
        <w:spacing w:after="0" w:line="174" w:lineRule="exact"/>
        <w:rPr>
          <w:sz w:val="20"/>
          <w:szCs w:val="20"/>
          <w:color w:val="auto"/>
        </w:rPr>
      </w:pPr>
    </w:p>
    <w:p>
      <w:pPr>
        <w:jc w:val="both"/>
        <w:ind w:left="2228"/>
        <w:spacing w:after="0"/>
        <w:tabs>
          <w:tab w:leader="none" w:pos="4728" w:val="left"/>
          <w:tab w:leader="none" w:pos="776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October 1, 1999</w:t>
      </w:r>
    </w:p>
    <w:p>
      <w:pPr>
        <w:spacing w:after="0" w:line="2" w:lineRule="exact"/>
        <w:rPr>
          <w:sz w:val="20"/>
          <w:szCs w:val="20"/>
          <w:color w:val="auto"/>
        </w:rPr>
      </w:pPr>
    </w:p>
    <w:p>
      <w:pPr>
        <w:ind w:left="188" w:hanging="188"/>
        <w:spacing w:after="0"/>
        <w:tabs>
          <w:tab w:leader="none" w:pos="188"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6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Stephen Hermer</w:t>
      </w:r>
    </w:p>
    <w:p>
      <w:pPr>
        <w:spacing w:after="0" w:line="174" w:lineRule="exact"/>
        <w:rPr>
          <w:sz w:val="20"/>
          <w:szCs w:val="20"/>
          <w:color w:val="auto"/>
        </w:rPr>
      </w:pPr>
    </w:p>
    <w:p>
      <w:pPr>
        <w:jc w:val="both"/>
        <w:ind w:left="2228"/>
        <w:spacing w:after="0"/>
        <w:tabs>
          <w:tab w:leader="none" w:pos="4728" w:val="left"/>
          <w:tab w:leader="none" w:pos="776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October 1, 1999</w:t>
      </w:r>
    </w:p>
    <w:p>
      <w:pPr>
        <w:spacing w:after="0" w:line="2" w:lineRule="exact"/>
        <w:rPr>
          <w:sz w:val="20"/>
          <w:szCs w:val="20"/>
          <w:color w:val="auto"/>
        </w:rPr>
      </w:pPr>
    </w:p>
    <w:p>
      <w:pPr>
        <w:ind w:left="188" w:hanging="188"/>
        <w:spacing w:after="0"/>
        <w:tabs>
          <w:tab w:leader="none" w:pos="188"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7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Kahan</w:t>
      </w:r>
    </w:p>
    <w:p>
      <w:pPr>
        <w:spacing w:after="0" w:line="174" w:lineRule="exact"/>
        <w:rPr>
          <w:sz w:val="20"/>
          <w:szCs w:val="20"/>
          <w:color w:val="auto"/>
        </w:rPr>
      </w:pPr>
    </w:p>
    <w:p>
      <w:pPr>
        <w:jc w:val="both"/>
        <w:ind w:left="2228"/>
        <w:spacing w:after="0"/>
        <w:tabs>
          <w:tab w:leader="none" w:pos="4728" w:val="left"/>
          <w:tab w:leader="none" w:pos="776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October 1, 1999</w:t>
      </w:r>
    </w:p>
    <w:p>
      <w:pPr>
        <w:spacing w:after="0" w:line="2" w:lineRule="exact"/>
        <w:rPr>
          <w:sz w:val="20"/>
          <w:szCs w:val="20"/>
          <w:color w:val="auto"/>
        </w:rPr>
      </w:pPr>
    </w:p>
    <w:p>
      <w:pPr>
        <w:ind w:left="188" w:hanging="188"/>
        <w:spacing w:after="0"/>
        <w:tabs>
          <w:tab w:leader="none" w:pos="188"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7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Paz Littman</w:t>
      </w:r>
    </w:p>
    <w:p>
      <w:pPr>
        <w:spacing w:after="0" w:line="174" w:lineRule="exact"/>
        <w:rPr>
          <w:sz w:val="20"/>
          <w:szCs w:val="20"/>
          <w:color w:val="auto"/>
        </w:rPr>
      </w:pPr>
    </w:p>
    <w:p>
      <w:pPr>
        <w:jc w:val="both"/>
        <w:ind w:left="2228"/>
        <w:spacing w:after="0"/>
        <w:tabs>
          <w:tab w:leader="none" w:pos="4728" w:val="left"/>
          <w:tab w:leader="none" w:pos="776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October 1, 1999</w:t>
      </w:r>
    </w:p>
    <w:p>
      <w:pPr>
        <w:spacing w:after="0" w:line="2" w:lineRule="exact"/>
        <w:rPr>
          <w:sz w:val="20"/>
          <w:szCs w:val="20"/>
          <w:color w:val="auto"/>
        </w:rPr>
      </w:pPr>
    </w:p>
    <w:p>
      <w:pPr>
        <w:ind w:left="188" w:hanging="188"/>
        <w:spacing w:after="0"/>
        <w:tabs>
          <w:tab w:leader="none" w:pos="188"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7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Revital Naveh</w:t>
      </w:r>
    </w:p>
    <w:p>
      <w:pPr>
        <w:spacing w:after="0" w:line="200" w:lineRule="exact"/>
        <w:rPr>
          <w:sz w:val="20"/>
          <w:szCs w:val="20"/>
          <w:color w:val="auto"/>
        </w:rPr>
      </w:pPr>
    </w:p>
    <w:p>
      <w:pPr>
        <w:spacing w:after="0" w:line="31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7"/>
          </w:cols>
          <w:pgMar w:left="232" w:top="289" w:right="1440" w:bottom="1440" w:gutter="0" w:footer="0" w:header="0"/>
          <w:type w:val="continuous"/>
        </w:sectPr>
      </w:pPr>
    </w:p>
    <w:bookmarkStart w:id="136" w:name="page137"/>
    <w:bookmarkEnd w:id="136"/>
    <w:p>
      <w:pPr>
        <w:ind w:left="268"/>
        <w:spacing w:after="0"/>
        <w:rPr>
          <w:sz w:val="20"/>
          <w:szCs w:val="20"/>
          <w:color w:val="auto"/>
        </w:rPr>
      </w:pPr>
      <w:r>
        <w:rPr>
          <w:rFonts w:ascii="Courier New" w:cs="Courier New" w:eastAsia="Courier New" w:hAnsi="Courier New"/>
          <w:sz w:val="14"/>
          <w:szCs w:val="14"/>
          <w:color w:val="auto"/>
        </w:rPr>
        <w:t>136</w:t>
      </w:r>
    </w:p>
    <w:p>
      <w:pPr>
        <w:sectPr>
          <w:pgSz w:w="11900" w:h="16838" w:orient="portrait"/>
          <w:cols w:equalWidth="0" w:num="1">
            <w:col w:w="10227"/>
          </w:cols>
          <w:pgMar w:left="232"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548"/>
        <w:spacing w:after="0"/>
        <w:rPr>
          <w:sz w:val="20"/>
          <w:szCs w:val="20"/>
          <w:color w:val="auto"/>
        </w:rPr>
      </w:pPr>
      <w:r>
        <w:rPr>
          <w:rFonts w:ascii="Courier New" w:cs="Courier New" w:eastAsia="Courier New" w:hAnsi="Courier New"/>
          <w:sz w:val="14"/>
          <w:szCs w:val="14"/>
          <w:color w:val="auto"/>
        </w:rPr>
        <w:t>SIGNATURE</w:t>
      </w:r>
    </w:p>
    <w:p>
      <w:pPr>
        <w:spacing w:after="0" w:line="13" w:lineRule="exact"/>
        <w:rPr>
          <w:sz w:val="20"/>
          <w:szCs w:val="20"/>
          <w:color w:val="auto"/>
        </w:rPr>
      </w:pPr>
    </w:p>
    <w:p>
      <w:pPr>
        <w:jc w:val="center"/>
        <w:ind w:left="548"/>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jc w:val="center"/>
        <w:ind w:left="548"/>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DATE</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1, 1999</w:t>
      </w:r>
    </w:p>
    <w:p>
      <w:pPr>
        <w:spacing w:after="0" w:line="13" w:lineRule="exact"/>
        <w:rPr>
          <w:sz w:val="20"/>
          <w:szCs w:val="20"/>
          <w:color w:val="auto"/>
        </w:rPr>
      </w:pPr>
    </w:p>
    <w:p>
      <w:pPr>
        <w:sectPr>
          <w:pgSz w:w="11900" w:h="16838" w:orient="portrait"/>
          <w:cols w:equalWidth="0" w:num="4">
            <w:col w:w="4028" w:space="720"/>
            <w:col w:w="700" w:space="460"/>
            <w:col w:w="1160" w:space="720"/>
            <w:col w:w="2439"/>
          </w:cols>
          <w:pgMar w:left="232" w:top="291" w:right="1440" w:bottom="1440" w:gutter="0" w:footer="0" w:header="0"/>
          <w:type w:val="continuous"/>
        </w:sectPr>
      </w:pPr>
    </w:p>
    <w:p>
      <w:pPr>
        <w:ind w:left="188" w:hanging="188"/>
        <w:spacing w:after="0"/>
        <w:tabs>
          <w:tab w:leader="none" w:pos="188"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152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Lawrence Perlman</w:t>
      </w:r>
    </w:p>
    <w:p>
      <w:pPr>
        <w:sectPr>
          <w:pgSz w:w="11900" w:h="16838" w:orient="portrait"/>
          <w:cols w:equalWidth="0" w:num="1">
            <w:col w:w="10227"/>
          </w:cols>
          <w:pgMar w:left="232" w:top="291" w:right="1440" w:bottom="1440" w:gutter="0" w:footer="0" w:header="0"/>
          <w:type w:val="continuous"/>
        </w:sectPr>
      </w:pPr>
    </w:p>
    <w:p>
      <w:pPr>
        <w:spacing w:after="0" w:line="174"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Michael J. Price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1, 1999</w:t>
      </w:r>
    </w:p>
    <w:p>
      <w:pPr>
        <w:spacing w:after="0" w:line="527" w:lineRule="exact"/>
        <w:rPr>
          <w:sz w:val="20"/>
          <w:szCs w:val="20"/>
          <w:color w:val="auto"/>
        </w:rPr>
      </w:pPr>
    </w:p>
    <w:p>
      <w:pPr>
        <w:sectPr>
          <w:pgSz w:w="11900" w:h="16838" w:orient="portrait"/>
          <w:cols w:equalWidth="0" w:num="3">
            <w:col w:w="4748" w:space="0"/>
            <w:col w:w="2320" w:space="720"/>
            <w:col w:w="2439"/>
          </w:cols>
          <w:pgMar w:left="232" w:top="291" w:right="1440" w:bottom="1440" w:gutter="0" w:footer="0" w:header="0"/>
          <w:type w:val="continuous"/>
        </w:sectPr>
      </w:pPr>
    </w:p>
    <w:p>
      <w:pPr>
        <w:jc w:val="center"/>
        <w:ind w:right="172"/>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cente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jc w:val="center"/>
        <w:ind w:right="172"/>
        <w:spacing w:after="0"/>
        <w:rPr>
          <w:sz w:val="20"/>
          <w:szCs w:val="20"/>
          <w:color w:val="auto"/>
        </w:rPr>
      </w:pPr>
      <w:r>
        <w:rPr>
          <w:rFonts w:ascii="Courier New" w:cs="Courier New" w:eastAsia="Courier New" w:hAnsi="Courier New"/>
          <w:sz w:val="15"/>
          <w:szCs w:val="15"/>
          <w:color w:val="auto"/>
        </w:rPr>
        <w:t>Urs Suter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1, 1999</w:t>
      </w:r>
    </w:p>
    <w:p>
      <w:pPr>
        <w:spacing w:after="0" w:line="527" w:lineRule="exact"/>
        <w:rPr>
          <w:sz w:val="20"/>
          <w:szCs w:val="20"/>
          <w:color w:val="auto"/>
        </w:rPr>
      </w:pPr>
    </w:p>
    <w:p>
      <w:pPr>
        <w:sectPr>
          <w:pgSz w:w="11900" w:h="16838" w:orient="portrait"/>
          <w:cols w:equalWidth="0" w:num="3">
            <w:col w:w="4748" w:space="0"/>
            <w:col w:w="2320" w:space="720"/>
            <w:col w:w="2439"/>
          </w:cols>
          <w:pgMar w:left="232" w:top="291" w:right="1440" w:bottom="1440" w:gutter="0" w:footer="0" w:header="0"/>
          <w:type w:val="continuous"/>
        </w:sectPr>
      </w:pPr>
    </w:p>
    <w:p>
      <w:pPr>
        <w:ind w:left="22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Thomas G. O'Brien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Amdocs Limited's Authorized</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Representative in the United</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1, 1999</w:t>
      </w:r>
    </w:p>
    <w:p>
      <w:pPr>
        <w:spacing w:after="0" w:line="527" w:lineRule="exact"/>
        <w:rPr>
          <w:sz w:val="20"/>
          <w:szCs w:val="20"/>
          <w:color w:val="auto"/>
        </w:rPr>
      </w:pPr>
    </w:p>
    <w:p>
      <w:pPr>
        <w:sectPr>
          <w:pgSz w:w="11900" w:h="16838" w:orient="portrait"/>
          <w:cols w:equalWidth="0" w:num="3">
            <w:col w:w="4748" w:space="0"/>
            <w:col w:w="2860" w:space="180"/>
            <w:col w:w="2439"/>
          </w:cols>
          <w:pgMar w:left="232" w:top="291" w:right="1440" w:bottom="1440" w:gutter="0" w:footer="0" w:header="0"/>
          <w:type w:val="continuous"/>
        </w:sectPr>
      </w:pPr>
    </w:p>
    <w:p>
      <w:pPr>
        <w:ind w:left="1068"/>
        <w:spacing w:after="0"/>
        <w:rPr>
          <w:sz w:val="20"/>
          <w:szCs w:val="20"/>
          <w:color w:val="auto"/>
        </w:rPr>
      </w:pPr>
      <w:r>
        <w:rPr>
          <w:rFonts w:ascii="Courier New" w:cs="Courier New" w:eastAsia="Courier New" w:hAnsi="Courier New"/>
          <w:sz w:val="15"/>
          <w:szCs w:val="15"/>
          <w:color w:val="auto"/>
        </w:rPr>
        <w:t>*By: /s/ BRUCE K. ANDERSON</w:t>
      </w:r>
    </w:p>
    <w:p>
      <w:pPr>
        <w:spacing w:after="0" w:line="4" w:lineRule="exact"/>
        <w:rPr>
          <w:sz w:val="20"/>
          <w:szCs w:val="20"/>
          <w:color w:val="auto"/>
        </w:rPr>
      </w:pPr>
    </w:p>
    <w:p>
      <w:pPr>
        <w:ind w:left="26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Bruce K. Anderson</w:t>
      </w:r>
    </w:p>
    <w:p>
      <w:pPr>
        <w:spacing w:after="0" w:line="2" w:lineRule="exact"/>
        <w:rPr>
          <w:sz w:val="20"/>
          <w:szCs w:val="20"/>
          <w:color w:val="auto"/>
        </w:rPr>
      </w:pPr>
    </w:p>
    <w:p>
      <w:pPr>
        <w:ind w:left="1528"/>
        <w:spacing w:after="0"/>
        <w:rPr>
          <w:sz w:val="20"/>
          <w:szCs w:val="20"/>
          <w:color w:val="auto"/>
        </w:rPr>
      </w:pPr>
      <w:r>
        <w:rPr>
          <w:rFonts w:ascii="Courier New" w:cs="Courier New" w:eastAsia="Courier New" w:hAnsi="Courier New"/>
          <w:sz w:val="15"/>
          <w:szCs w:val="15"/>
          <w:color w:val="auto"/>
        </w:rPr>
        <w:t>Attorney-in-fact</w:t>
      </w:r>
    </w:p>
    <w:p>
      <w:pPr>
        <w:spacing w:after="0" w:line="200" w:lineRule="exact"/>
        <w:rPr>
          <w:sz w:val="20"/>
          <w:szCs w:val="20"/>
          <w:color w:val="auto"/>
        </w:rPr>
      </w:pPr>
    </w:p>
    <w:p>
      <w:pPr>
        <w:spacing w:after="0" w:line="31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27"/>
          </w:cols>
          <w:pgMar w:left="232" w:top="291" w:right="1440" w:bottom="1440" w:gutter="0" w:footer="0" w:header="0"/>
          <w:type w:val="continuous"/>
        </w:sectPr>
      </w:pPr>
    </w:p>
    <w:bookmarkStart w:id="137" w:name="page138"/>
    <w:bookmarkEnd w:id="137"/>
    <w:p>
      <w:pPr>
        <w:ind w:left="268"/>
        <w:spacing w:after="0"/>
        <w:rPr>
          <w:sz w:val="20"/>
          <w:szCs w:val="20"/>
          <w:color w:val="auto"/>
        </w:rPr>
      </w:pPr>
      <w:r>
        <w:rPr>
          <w:rFonts w:ascii="Courier New" w:cs="Courier New" w:eastAsia="Courier New" w:hAnsi="Courier New"/>
          <w:sz w:val="15"/>
          <w:szCs w:val="15"/>
          <w:color w:val="auto"/>
        </w:rPr>
        <w:t>137</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5420" w:type="dxa"/>
            <w:vAlign w:val="bottom"/>
          </w:tcPr>
          <w:p>
            <w:pPr>
              <w:ind w:left="2100"/>
              <w:spacing w:after="0"/>
              <w:rPr>
                <w:sz w:val="20"/>
                <w:szCs w:val="20"/>
                <w:color w:val="auto"/>
              </w:rPr>
            </w:pPr>
            <w:r>
              <w:rPr>
                <w:rFonts w:ascii="Courier New" w:cs="Courier New" w:eastAsia="Courier New" w:hAnsi="Courier New"/>
                <w:sz w:val="15"/>
                <w:szCs w:val="15"/>
                <w:color w:val="auto"/>
              </w:rPr>
              <w:t>EXHIBIT INDEX</w:t>
            </w:r>
          </w:p>
        </w:tc>
      </w:tr>
      <w:tr>
        <w:trPr>
          <w:trHeight w:val="860"/>
        </w:trPr>
        <w:tc>
          <w:tcPr>
            <w:tcW w:w="8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420" w:type="dxa"/>
            <w:vAlign w:val="bottom"/>
          </w:tcPr>
          <w:p>
            <w:pPr>
              <w:spacing w:after="0"/>
              <w:rPr>
                <w:sz w:val="24"/>
                <w:szCs w:val="24"/>
                <w:color w:val="auto"/>
              </w:rPr>
            </w:pPr>
          </w:p>
        </w:tc>
      </w:tr>
      <w:tr>
        <w:trPr>
          <w:trHeight w:val="172"/>
        </w:trPr>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NO.</w:t>
            </w:r>
          </w:p>
        </w:tc>
        <w:tc>
          <w:tcPr>
            <w:tcW w:w="5420" w:type="dxa"/>
            <w:vAlign w:val="bottom"/>
          </w:tcPr>
          <w:p>
            <w:pPr>
              <w:ind w:left="220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420" w:type="dxa"/>
            <w:vAlign w:val="bottom"/>
          </w:tcPr>
          <w:p>
            <w:pPr>
              <w:ind w:left="2380"/>
              <w:spacing w:after="0"/>
              <w:rPr>
                <w:sz w:val="20"/>
                <w:szCs w:val="20"/>
                <w:color w:val="auto"/>
              </w:rPr>
            </w:pPr>
            <w:r>
              <w:rPr>
                <w:rFonts w:ascii="Courier New" w:cs="Courier New" w:eastAsia="Courier New" w:hAnsi="Courier New"/>
                <w:sz w:val="15"/>
                <w:szCs w:val="15"/>
                <w:color w:val="auto"/>
              </w:rPr>
              <w:t>-----------</w:t>
            </w:r>
          </w:p>
        </w:tc>
      </w:tr>
      <w:tr>
        <w:trPr>
          <w:trHeight w:val="344"/>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Form of Underwriting Agreement</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Agreement and Plan of Merger dated as of September 3, 1999</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among Amdocs Limited, Ivan Acquisition Corp. and</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International Telecommunication Data Systems, Inc. (Exhibit</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2.1 to Amdocs' Current Report on Form 6-K dated September</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10, 1999)</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Specimen certificate for the ordinary shares of the</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Registrant (Exhibit 4.1 to Amdocs' Registration Statement on</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Form F-1 dated June 19, 1998; Registration Number 333-8826)</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Stock Option and Incentive Plan, as amended, of Amdocs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(Exhibit 4.2 to Amdocs' Registration Statement on Form F-1</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dated June 19, 1998; Registration No. 333-8826)</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Note Purchase Agreement, dated as of September 22, 1997,</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among European Software Marketing Ltd., WCAS Capital</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Partners III, L.P., as Agent, and the several Purchasers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named in Schedule 1 thereto (Exhibit 4.3 to Amdocs'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No. 333-8826)</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Credit Agreement, dated as of June 29,</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1998, among European Software Marketing Limited, the other</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subsidiaries of Amdocs named therein, the Initial Lenders,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Initial Issuing Bank and Swing Line Bank named therein, and</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NationsBank, N.A., as Administrative Agent and the Bank of</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Nova Scotia, as Syndication Agent (Exhibit 4.4 to Amdocs'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on Form F-1 dated June 7, 1999;</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No. 333-75151)</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4.5</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Share Subscription Agreement, dated as of September 22,</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1997, among the several Investors named therein and Amdocs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(Exhibit 4.5 to Amdocs' Registration Statement on Form F-1</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dated June 19, 1998; Registration No. 333-8826)</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Conditional Investment Agreement, dated as of September 22,</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1997, among the several investors named therein and Amdocs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(Exhibit 4.6 to Amdocs' Registration Statement on Form F-1</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dated June 19, 1998; Registration No. 333-8826)</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Letter Agreement, dated September 22, 1997, as amended as of</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May 20, 1998, between Amdocs and Welsh, Carson, Anderson and</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Stowe, on behalf of the Investors named therein (Exhibit 4.7</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to Amdocs' Registration Statement on Form F-1 dated June 19,</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1998; Registration No. 333-8826)</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Letter of Understanding, dated September 22, 1997, between</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Amdocs and Welsh, Carson, Anderson and Stowe, on behalf of</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the Investors named therein (Exhibit 4.8 to Amdocs'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Registration No. 333-8826)</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Shareholders Agreement, Summary of Terms, dated September</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22, 1997 (Exhibit 4.9 to Amdocs' Registration Statement on</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Form F-1 dated June 19, 1998; Registration No. 333-8826)</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4.10</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Certain proxies executed by investment partnerships</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affiliated with Welsh, Carson, Anderson and Stowe and</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certain other entities in favor of Conbond Holding Company</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w w:val="99"/>
              </w:rPr>
              <w:t>Ltd. (Exhibit 4.10 to Amdocs' Registration Statement on Form</w:t>
            </w:r>
          </w:p>
        </w:tc>
      </w:tr>
      <w:tr>
        <w:trPr>
          <w:trHeight w:val="172"/>
        </w:trPr>
        <w:tc>
          <w:tcPr>
            <w:tcW w:w="840" w:type="dxa"/>
            <w:vAlign w:val="bottom"/>
          </w:tcPr>
          <w:p>
            <w:pPr>
              <w:spacing w:after="0"/>
              <w:rPr>
                <w:sz w:val="14"/>
                <w:szCs w:val="14"/>
                <w:color w:val="auto"/>
              </w:rPr>
            </w:pP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F-1 dated June 19, 1998; Registration No. 333-8826)</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Opinion of Carey Langlois</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*23.2</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*23.3</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Consent of Carey Langlois (included in Exhibit 5.1).</w:t>
            </w:r>
          </w:p>
        </w:tc>
      </w:tr>
      <w:tr>
        <w:trPr>
          <w:trHeight w:val="172"/>
        </w:trPr>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**24.1</w:t>
            </w:r>
          </w:p>
        </w:tc>
        <w:tc>
          <w:tcPr>
            <w:tcW w:w="5420" w:type="dxa"/>
            <w:vAlign w:val="bottom"/>
          </w:tcPr>
          <w:p>
            <w:pPr>
              <w:ind w:left="40"/>
              <w:spacing w:after="0"/>
              <w:rPr>
                <w:sz w:val="20"/>
                <w:szCs w:val="20"/>
                <w:color w:val="auto"/>
              </w:rPr>
            </w:pPr>
            <w:r>
              <w:rPr>
                <w:rFonts w:ascii="Courier New" w:cs="Courier New" w:eastAsia="Courier New" w:hAnsi="Courier New"/>
                <w:sz w:val="15"/>
                <w:szCs w:val="15"/>
                <w:color w:val="auto"/>
              </w:rPr>
              <w:t>Powers of Attorney.</w:t>
            </w:r>
          </w:p>
        </w:tc>
      </w:tr>
    </w:tbl>
    <w:p>
      <w:pPr>
        <w:spacing w:after="0" w:line="200" w:lineRule="exact"/>
        <w:rPr>
          <w:sz w:val="20"/>
          <w:szCs w:val="20"/>
          <w:color w:val="auto"/>
        </w:rPr>
      </w:pPr>
    </w:p>
    <w:p>
      <w:pPr>
        <w:spacing w:after="0" w:line="318" w:lineRule="exact"/>
        <w:rPr>
          <w:sz w:val="20"/>
          <w:szCs w:val="20"/>
          <w:color w:val="auto"/>
        </w:rPr>
      </w:pPr>
    </w:p>
    <w:p>
      <w:pPr>
        <w:ind w:left="188" w:hanging="188"/>
        <w:spacing w:after="0"/>
        <w:tabs>
          <w:tab w:leader="none" w:pos="188"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Filed herewith.</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348" w:hanging="259"/>
        <w:spacing w:after="0"/>
        <w:tabs>
          <w:tab w:leader="none" w:pos="348"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w:t>
      </w:r>
    </w:p>
    <w:p>
      <w:pPr>
        <w:sectPr>
          <w:pgSz w:w="11900" w:h="16838" w:orient="portrait"/>
          <w:cols w:equalWidth="0" w:num="1">
            <w:col w:w="10227"/>
          </w:cols>
          <w:pgMar w:left="232" w:top="289"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1.1</w:t>
      </w:r>
    </w:p>
    <w:p>
      <w:pPr>
        <w:spacing w:after="0" w:line="200" w:lineRule="exact"/>
        <w:rPr>
          <w:sz w:val="20"/>
          <w:szCs w:val="20"/>
          <w:color w:val="auto"/>
        </w:rPr>
      </w:pPr>
    </w:p>
    <w:p>
      <w:pPr>
        <w:spacing w:after="0" w:line="31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ORDINARY SHARES</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(L0.01 PAR VALUE)</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UNDERWRITING AGREEMENT</w:t>
      </w:r>
    </w:p>
    <w:p>
      <w:pPr>
        <w:spacing w:after="0" w:line="346"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 1999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Goldman, Sachs &amp; Co.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Banc of America Securities LLC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Deutsche Bank Securities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Lehman Brothers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Prudential Securities Incorporated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representatives of the several Underwriters</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named in Schedule I hereto,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Goldman, Sachs &amp; Co.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85 Broad Street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 10004</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6"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The shareholder named in Schedule II hereto (the "Selling Stockholder") of Amdocs Limited, a Guernsey corporation (the "Company"), proposes, subject to the terms and conditions stated herein, to sell to the Underwriters named in Schedule I hereto (the "Underwriters") an aggregate of 18,000,000 Ordinary Shares, Pound Sterling 0.01 par value ("Stock") of the Company (the "Firm Shares") and, at the election of the Underwriters, up to 2,700,000 additional shares of Stock (the "Optional Shares")(the Firm Shares and the Optional Shares that the Underwriters elect to purchase pursuant to Section 2 hereof are herein collectively called the "Shares").</w:t>
      </w:r>
    </w:p>
    <w:p>
      <w:pPr>
        <w:spacing w:after="0" w:line="350" w:lineRule="exact"/>
        <w:rPr>
          <w:sz w:val="20"/>
          <w:szCs w:val="20"/>
          <w:color w:val="auto"/>
        </w:rPr>
      </w:pPr>
    </w:p>
    <w:p>
      <w:pPr>
        <w:ind w:right="3259" w:firstLine="886"/>
        <w:spacing w:after="0"/>
        <w:tabs>
          <w:tab w:leader="none" w:pos="1163"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Company represents and warrants to, and agrees with, each of the Underwriters and the Selling Stockholder that:</w:t>
      </w:r>
    </w:p>
    <w:p>
      <w:pPr>
        <w:sectPr>
          <w:pgSz w:w="11900" w:h="16838" w:orient="portrait"/>
          <w:cols w:equalWidth="0" w:num="1">
            <w:col w:w="10219"/>
          </w:cols>
          <w:pgMar w:left="240" w:top="140" w:right="1440" w:bottom="1440" w:gutter="0" w:footer="0" w:header="0"/>
        </w:sectPr>
      </w:pPr>
    </w:p>
    <w:bookmarkStart w:id="139" w:name="page140"/>
    <w:bookmarkEnd w:id="139"/>
    <w:p>
      <w:pPr>
        <w:ind w:left="268"/>
        <w:spacing w:after="0"/>
        <w:rPr>
          <w:sz w:val="20"/>
          <w:szCs w:val="20"/>
          <w:color w:val="auto"/>
        </w:rPr>
      </w:pPr>
      <w:r>
        <w:rPr>
          <w:rFonts w:ascii="Courier New" w:cs="Courier New" w:eastAsia="Courier New" w:hAnsi="Courier New"/>
          <w:sz w:val="15"/>
          <w:szCs w:val="15"/>
          <w:color w:val="auto"/>
        </w:rPr>
        <w:t>2</w:t>
      </w:r>
    </w:p>
    <w:p>
      <w:pPr>
        <w:spacing w:after="0" w:line="176" w:lineRule="exact"/>
        <w:rPr>
          <w:sz w:val="20"/>
          <w:szCs w:val="20"/>
          <w:color w:val="auto"/>
        </w:rPr>
      </w:pPr>
    </w:p>
    <w:p>
      <w:pPr>
        <w:ind w:left="8" w:right="3079" w:firstLine="886"/>
        <w:spacing w:after="0" w:line="242" w:lineRule="auto"/>
        <w:tabs>
          <w:tab w:leader="none" w:pos="126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registration statement on Form F-3 (File No. 333-86609) (the "Initial Registration Statement") in respect of the Shares has been filed with the Securities and Exchange Commission (the "Commission"); the Initial Registration Statement and any post-effective amendment thereto, each in the form heretofore delivered to you, and, excluding exhibits thereto but including all documents incorporated by reference in the prospectus contained therein, to you for each of the other Underwriters, have been or will be declared effective by the Commission in such form; other than a registration statement, if any, increasing the size of the offering (a "Rule 462(b) Registration Statement"), to be filed pursuant to Rule 462(b) under the Securities Act of 1933, as amended (the "Act"), which will become effective upon filing, no other document with respect to the Initial Registration Statement or document incorporated by reference therein has heretofore been filed with the Commission; and no stop order suspending the effectiveness of the Initial Registration Statement, any post-effective amendment thereto or the Rule 462(b) Registration Statement, if any, has been issued and no proceeding for that purpose has been initiated or</w:t>
      </w:r>
    </w:p>
    <w:p>
      <w:pPr>
        <w:spacing w:after="0" w:line="9"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threatened by the Commission (the preliminary prospectus dated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1999</w:t>
            </w:r>
          </w:p>
        </w:tc>
      </w:tr>
    </w:tbl>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filed with the Commission pursuant to Rule 424(a) of the rules and regulations of the Commission under the Act and each preliminary prospectus filed as part of any subsequent amendment to the Initial Registration Statement or filed with the Commission pursuant to Rule 424(a) is hereinafter called a "Preliminary Prospectus"; the various parts of the Initial Registration Statement and the Rule 462(b) Registration Statement, if any, including all exhibits thereto and including (i) the information contained in the form of final prospectus filed with the Commission pursuant to Rule 424(b) under the Act in accordance with Section 5(a) hereof and deemed by virtue of Rule 430A under the Act to be part of the Initial Registration Statement at the time it was declared effective and</w:t>
      </w:r>
    </w:p>
    <w:p>
      <w:pPr>
        <w:spacing w:after="0" w:line="7" w:lineRule="exact"/>
        <w:rPr>
          <w:sz w:val="20"/>
          <w:szCs w:val="20"/>
          <w:color w:val="auto"/>
        </w:rPr>
      </w:pPr>
    </w:p>
    <w:p>
      <w:pPr>
        <w:ind w:left="8" w:right="3079" w:hanging="8"/>
        <w:spacing w:after="0" w:line="260" w:lineRule="auto"/>
        <w:tabs>
          <w:tab w:leader="none" w:pos="455"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documents incorporated by reference in the prospectus contained in the Initial Registration Statement at the time such part of the Initial Registration Statement became effective, each as amended at the time such part of the Initial Registration Statement became effective or such part of the Rule 462(b)</w:t>
      </w:r>
    </w:p>
    <w:p>
      <w:pPr>
        <w:ind w:left="8" w:right="307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Registration Statement, if any, became or hereafter becomes effective, are hereinafter collectively called the "Registration Statement"; such final prospectus, in the form first filed pursuant to Rule 424(b) under the Act, is hereinafter called the "Prospectus"); any reference herein to any Preliminary Prospectus or the Prospectus shall be deemed to refer to and include the documents incorporated by reference therein pursuant to Item 12 of Form F-3 under the Act, as of the date of such Preliminary Prospectus or Prospectus, as the case may be; any reference to any amendment or supplement to any Preliminary Prospectus or the Prospectus shall be deemed to refer to and include any documents filed after the date of such Preliminary Prospectus or Prospectus, as the case may be, under the Securities Exchange Act of 1934, as amended (the "Exchange Act"), and incorporated by reference in such Preliminary Prospectus or Prospectus, as the case may be; and any reference to any amendment to the Registration Statement shall be deemed to refer to and include</w:t>
      </w:r>
    </w:p>
    <w:p>
      <w:pPr>
        <w:spacing w:after="0" w:line="35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289"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5"/>
          <w:szCs w:val="15"/>
          <w:color w:val="auto"/>
        </w:rPr>
        <w:t>3</w:t>
      </w:r>
    </w:p>
    <w:p>
      <w:pPr>
        <w:spacing w:after="0" w:line="348" w:lineRule="exact"/>
        <w:rPr>
          <w:sz w:val="20"/>
          <w:szCs w:val="20"/>
          <w:color w:val="auto"/>
        </w:rPr>
      </w:pPr>
    </w:p>
    <w:p>
      <w:pPr>
        <w:jc w:val="both"/>
        <w:ind w:right="3079"/>
        <w:spacing w:after="0" w:line="241" w:lineRule="auto"/>
        <w:rPr>
          <w:sz w:val="20"/>
          <w:szCs w:val="20"/>
          <w:color w:val="auto"/>
        </w:rPr>
      </w:pPr>
      <w:r>
        <w:rPr>
          <w:rFonts w:ascii="Courier New" w:cs="Courier New" w:eastAsia="Courier New" w:hAnsi="Courier New"/>
          <w:sz w:val="15"/>
          <w:szCs w:val="15"/>
          <w:color w:val="auto"/>
        </w:rPr>
        <w:t>any annual report of the Company filed pursuant to Section 13(a) or 15(d) of the Exchange Act after the effective date of the Initial Registration Statement that is incorporated by reference in the Registration Statement;</w:t>
      </w:r>
    </w:p>
    <w:p>
      <w:pPr>
        <w:spacing w:after="0" w:line="176" w:lineRule="exact"/>
        <w:rPr>
          <w:sz w:val="20"/>
          <w:szCs w:val="20"/>
          <w:color w:val="auto"/>
        </w:rPr>
      </w:pPr>
    </w:p>
    <w:p>
      <w:pPr>
        <w:ind w:right="3159" w:firstLine="886"/>
        <w:spacing w:after="0" w:line="242" w:lineRule="auto"/>
        <w:tabs>
          <w:tab w:leader="none" w:pos="1342"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order preventing or suspending the use of any Preliminary Prospectus has been issued by the Commission, and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 any statements or omissions made in reliance upon and in conformity with information furnished in writing to the Company by an Underwriter through Goldman, Sachs &amp; Co. expressly for use therein or by the Selling Stockholder expressly for use in the preparation of the answers therein to Item 7 of Form F-3;</w:t>
      </w:r>
    </w:p>
    <w:p>
      <w:pPr>
        <w:spacing w:after="0" w:line="180" w:lineRule="exact"/>
        <w:rPr>
          <w:rFonts w:ascii="Courier New" w:cs="Courier New" w:eastAsia="Courier New" w:hAnsi="Courier New"/>
          <w:sz w:val="15"/>
          <w:szCs w:val="15"/>
          <w:color w:val="auto"/>
        </w:rPr>
      </w:pPr>
    </w:p>
    <w:p>
      <w:pPr>
        <w:ind w:right="3079" w:firstLine="886"/>
        <w:spacing w:after="0" w:line="242" w:lineRule="auto"/>
        <w:tabs>
          <w:tab w:leader="none" w:pos="1431"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documents incorporated by reference in the Prospectus, when they became effective or were filed 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and any further documents so filed and incorporated by reference in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through Goldman, Sachs &amp; Co. expressly for use therein;</w:t>
      </w:r>
    </w:p>
    <w:p>
      <w:pPr>
        <w:spacing w:after="0" w:line="184" w:lineRule="exact"/>
        <w:rPr>
          <w:rFonts w:ascii="Courier New" w:cs="Courier New" w:eastAsia="Courier New" w:hAnsi="Courier New"/>
          <w:sz w:val="15"/>
          <w:szCs w:val="15"/>
          <w:color w:val="auto"/>
        </w:rPr>
      </w:pPr>
    </w:p>
    <w:p>
      <w:pPr>
        <w:ind w:right="3159" w:firstLine="886"/>
        <w:spacing w:after="0" w:line="242" w:lineRule="auto"/>
        <w:tabs>
          <w:tab w:leader="none" w:pos="1342"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conforms, and the Prospectus and any further amendments or supplements to the Registration Statement or the Prospectus, when they became effective or are filed with the Commission, will conform, in all material respects to the requirements of the Act and the rules and regulations of the Commission thereunder and do not and will not, as of the applicable effective date as to the Registration Statement and any amendment thereto and as of the applicable filing date as to the Prospectus and any amendment or supplement</w:t>
      </w:r>
    </w:p>
    <w:p>
      <w:pPr>
        <w:spacing w:after="0" w:line="200" w:lineRule="exact"/>
        <w:rPr>
          <w:sz w:val="20"/>
          <w:szCs w:val="20"/>
          <w:color w:val="auto"/>
        </w:rPr>
      </w:pPr>
    </w:p>
    <w:p>
      <w:pPr>
        <w:spacing w:after="0" w:line="32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9" w:right="1440" w:bottom="1440"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5"/>
          <w:szCs w:val="15"/>
          <w:color w:val="auto"/>
        </w:rPr>
        <w:t>4</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thereto,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an Underwriter through Goldman, Sachs &amp; Co. expressly for use therein or by the Selling Stockholder expressly for use in the preparation of the answers therein to Item 7 of Form F-3;</w:t>
      </w:r>
    </w:p>
    <w:p>
      <w:pPr>
        <w:spacing w:after="0" w:line="177" w:lineRule="exact"/>
        <w:rPr>
          <w:sz w:val="20"/>
          <w:szCs w:val="20"/>
          <w:color w:val="auto"/>
        </w:rPr>
      </w:pPr>
    </w:p>
    <w:p>
      <w:pPr>
        <w:ind w:right="3079" w:firstLine="886"/>
        <w:spacing w:after="0" w:line="242" w:lineRule="auto"/>
        <w:tabs>
          <w:tab w:leader="none" w:pos="1252"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sustained since the date of the latest audited financial statements included or incorporated by reference in the Prospectus any material loss or interference with its business from fire, explosion, flood or other calamity, whether or not covered by insurance, or from any labor dispute or court or governmental action, order or decree, otherwise than as set forth or contemplated in the Prospectus; and, since the respective dates as of which information is given in the Registration Statement and the Prospectus, there has not been any change in the capital stock, net current assets, shareholders' equity or long-term debt of the Company or any of its subsidiaries or any material adverse change, or any development involving a prospective material adverse change, in or affecting the general affairs, management, financial position, shareholders' equity or results of operations of the Company and its subsidiaries, otherwise than as set forth or contemplated in the Prospectus;</w:t>
      </w:r>
    </w:p>
    <w:p>
      <w:pPr>
        <w:spacing w:after="0" w:line="181" w:lineRule="exact"/>
        <w:rPr>
          <w:rFonts w:ascii="Courier New" w:cs="Courier New" w:eastAsia="Courier New" w:hAnsi="Courier New"/>
          <w:sz w:val="15"/>
          <w:szCs w:val="15"/>
          <w:color w:val="auto"/>
        </w:rPr>
      </w:pPr>
    </w:p>
    <w:p>
      <w:pPr>
        <w:ind w:right="3079" w:firstLine="886"/>
        <w:spacing w:after="0" w:line="242" w:lineRule="auto"/>
        <w:tabs>
          <w:tab w:leader="none" w:pos="1342"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have good and marketable title in fee simple to all real property and good and marketable title to all personal property owned by them, in each case free and clear of all liens, encumbrances and defects except such as are described in the Prospectus or such as do not materially affect the value of such property and do not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w:t>
      </w:r>
    </w:p>
    <w:p>
      <w:pPr>
        <w:spacing w:after="0" w:line="179" w:lineRule="exact"/>
        <w:rPr>
          <w:rFonts w:ascii="Courier New" w:cs="Courier New" w:eastAsia="Courier New" w:hAnsi="Courier New"/>
          <w:sz w:val="15"/>
          <w:szCs w:val="15"/>
          <w:color w:val="auto"/>
        </w:rPr>
      </w:pPr>
    </w:p>
    <w:p>
      <w:pPr>
        <w:ind w:right="3079" w:firstLine="886"/>
        <w:spacing w:after="0" w:line="242" w:lineRule="auto"/>
        <w:tabs>
          <w:tab w:leader="none" w:pos="1431"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duly incorporated and is validly existing as a company under the laws of Guernsey, with power and authority (corporate and other) to own its properties and conduct its business as described in the Prospectus; the Company has filed its most recent statutory annual return, has paid all fees due thereon and there are no outstanding unsatisfied judgements registered in Guernsey against the Company and there are no outstanding applications, orders or resolutions for the winding-up of the Company; the Company has been duly qualified as a foreign corporation for the transaction of business and is in good standing under the laws of each other jurisdiction in which it owns or leases properties or conducts any business so as to require such qualification, or is subject to no material</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9" w:right="1440" w:bottom="1440" w:gutter="0" w:footer="0" w:header="0"/>
        </w:sectPr>
      </w:pPr>
    </w:p>
    <w:bookmarkStart w:id="142" w:name="page143"/>
    <w:bookmarkEnd w:id="142"/>
    <w:p>
      <w:pPr>
        <w:ind w:left="260"/>
        <w:spacing w:after="0"/>
        <w:rPr>
          <w:sz w:val="20"/>
          <w:szCs w:val="20"/>
          <w:color w:val="auto"/>
        </w:rPr>
      </w:pPr>
      <w:r>
        <w:rPr>
          <w:rFonts w:ascii="Courier New" w:cs="Courier New" w:eastAsia="Courier New" w:hAnsi="Courier New"/>
          <w:sz w:val="15"/>
          <w:szCs w:val="15"/>
          <w:color w:val="auto"/>
        </w:rPr>
        <w:t>5</w:t>
      </w:r>
    </w:p>
    <w:p>
      <w:pPr>
        <w:spacing w:after="0" w:line="176" w:lineRule="exact"/>
        <w:rPr>
          <w:sz w:val="20"/>
          <w:szCs w:val="20"/>
          <w:color w:val="auto"/>
        </w:rPr>
      </w:pPr>
    </w:p>
    <w:p>
      <w:pPr>
        <w:jc w:val="both"/>
        <w:ind w:right="3159"/>
        <w:spacing w:after="0" w:line="242" w:lineRule="auto"/>
        <w:rPr>
          <w:sz w:val="20"/>
          <w:szCs w:val="20"/>
          <w:color w:val="auto"/>
        </w:rPr>
      </w:pPr>
      <w:r>
        <w:rPr>
          <w:rFonts w:ascii="Courier New" w:cs="Courier New" w:eastAsia="Courier New" w:hAnsi="Courier New"/>
          <w:sz w:val="15"/>
          <w:szCs w:val="15"/>
          <w:color w:val="auto"/>
        </w:rPr>
        <w:t>liability or disability by reason of the failure to be so qualified in any such jurisdiction; and each subsidiary of the Company has been duly incorporated and is validly existing as a corporation in good standing (where applicable) under the laws of its jurisdiction of incorporation;</w:t>
      </w:r>
    </w:p>
    <w:p>
      <w:pPr>
        <w:spacing w:after="0" w:line="175" w:lineRule="exact"/>
        <w:rPr>
          <w:sz w:val="20"/>
          <w:szCs w:val="20"/>
          <w:color w:val="auto"/>
        </w:rPr>
      </w:pPr>
    </w:p>
    <w:p>
      <w:pPr>
        <w:ind w:right="3079" w:firstLine="886"/>
        <w:spacing w:after="0" w:line="242" w:lineRule="auto"/>
        <w:tabs>
          <w:tab w:leader="none" w:pos="1521"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an authorized capitalization as set forth in the Prospectus, and all of the issued shares of capital stock of the Company have been duly and validly authorized and issued, are fully paid and non-assessable and conform to the description of the Stock contained in the Prospectus; and all of the issued shares of capital stock of each subsidiary of the Company have been duly and validly authorized and issued, are fully paid and non-assessable and (except for directors' qualifying shares and except as set forth in the Registration Statement) are owned directly or indirectly by the Company, free and clear of all liens, encumbrances, equities or claims; all of the shares of issued and outstanding capital stock of the Company (including the Shares) have been duly listed and admitted for trading on the New York Stock Exchange ("NYSE"); the holders of outstanding shares of capital stock of the Company are not entitled to preemptive or other rights to acquire the Shares; there are no outstanding securities convertible into or exchangeable for, or warrants, rights or options to purchase from the Company, or obligations of the Company to issue, the Stock or any other class of capital stock of the Company (except as set forth in the Prospectus under "Management" and "Principal Shareholders and Selling Shareholder" ); and there are no restrictions on subsequent transfers of the Shares under the laws of Guernsey and of the United States;</w:t>
      </w:r>
    </w:p>
    <w:p>
      <w:pPr>
        <w:spacing w:after="0" w:line="185" w:lineRule="exact"/>
        <w:rPr>
          <w:rFonts w:ascii="Courier New" w:cs="Courier New" w:eastAsia="Courier New" w:hAnsi="Courier New"/>
          <w:sz w:val="15"/>
          <w:szCs w:val="15"/>
          <w:color w:val="auto"/>
        </w:rPr>
      </w:pPr>
    </w:p>
    <w:p>
      <w:pPr>
        <w:ind w:right="3079" w:firstLine="886"/>
        <w:spacing w:after="0" w:line="242" w:lineRule="auto"/>
        <w:tabs>
          <w:tab w:leader="none" w:pos="1342"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dividends and other distributions declared and payable on the shares of capital stock of the Company may under the current laws and regulations of Guernsey be paid in U.S. dollars that may be freely transferred out of Guernsey, and all such dividends and other distributions will not be subject to withholding or other taxes under the current laws and regulations of Guernsey and are otherwise free and clear of any other tax, withholding or deduction in Guernsey and without the necessity of obtaining any Governmental Authorization in Guernsey;</w:t>
      </w:r>
    </w:p>
    <w:p>
      <w:pPr>
        <w:spacing w:after="0" w:line="177" w:lineRule="exact"/>
        <w:rPr>
          <w:rFonts w:ascii="Courier New" w:cs="Courier New" w:eastAsia="Courier New" w:hAnsi="Courier New"/>
          <w:sz w:val="15"/>
          <w:szCs w:val="15"/>
          <w:color w:val="auto"/>
        </w:rPr>
      </w:pPr>
    </w:p>
    <w:p>
      <w:pPr>
        <w:ind w:right="3079" w:firstLine="886"/>
        <w:spacing w:after="0" w:line="242" w:lineRule="auto"/>
        <w:tabs>
          <w:tab w:leader="none" w:pos="1252"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compliance by the Company with all of the provisions of this Agreement and the consummation of the transactions herein contemplated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nor will such action result in any violation of the provisions of the Memorandum of Association and the Articles of Association of the Company or any statute or any order, rule or regulation of any court or governmental agency or body (hereinafter</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5"/>
          <w:szCs w:val="15"/>
          <w:color w:val="auto"/>
        </w:rPr>
        <w:t>6</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referred to as a "Governmental Agency") having jurisdiction over the Company or any of its subsidiaries or any of their properties; and no consent, approval, authorization, order, registration or qualification of or with any such Governmental Agency (hereinafter referred to as "Governmental Authorizations") is required for the sale of the Shares or the consummation by the Company of the transactions contemplated by this Agreement, except (A) the registration under the Act of the Shares, (B) such Governmental Authorizations as have been duly obtained and are in full force and effect and copies of which have been furnished to you and (C) such Governmental Authorizations as may be required under state securities or Blue Sky laws or any laws of jurisdictions outside Guernsey and the United States in connection with the purchase and distribution of the Shares by or for the account of the Underwriters;</w:t>
      </w:r>
    </w:p>
    <w:p>
      <w:pPr>
        <w:spacing w:after="0" w:line="180" w:lineRule="exact"/>
        <w:rPr>
          <w:sz w:val="20"/>
          <w:szCs w:val="20"/>
          <w:color w:val="auto"/>
        </w:rPr>
      </w:pPr>
    </w:p>
    <w:p>
      <w:pPr>
        <w:ind w:right="3079" w:firstLine="886"/>
        <w:spacing w:after="0" w:line="242" w:lineRule="auto"/>
        <w:tabs>
          <w:tab w:leader="none" w:pos="1342"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is in violation of its constituent documents or in default in the performance or observance of any material obligation, agreement, covenant or condition contained in any indenture, mortgage, deed of trust, loan agreement lease or other agreement or instrument to which it is a party or by which it or any of its properties may be bound;</w:t>
      </w:r>
    </w:p>
    <w:p>
      <w:pPr>
        <w:spacing w:after="0" w:line="176" w:lineRule="exact"/>
        <w:rPr>
          <w:rFonts w:ascii="Courier New" w:cs="Courier New" w:eastAsia="Courier New" w:hAnsi="Courier New"/>
          <w:sz w:val="15"/>
          <w:szCs w:val="15"/>
          <w:color w:val="auto"/>
        </w:rPr>
      </w:pPr>
    </w:p>
    <w:p>
      <w:pPr>
        <w:ind w:right="3439" w:firstLine="886"/>
        <w:spacing w:after="0" w:line="242" w:lineRule="auto"/>
        <w:tabs>
          <w:tab w:leader="none" w:pos="1431"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taken, directly or indirectly, any action which was designed to or which has constituted or which might reasonably be expected to cause or result in stabilization or manipulation of the price of any security of the Company to facilitate the sale or resale of the Shares;</w:t>
      </w:r>
    </w:p>
    <w:p>
      <w:pPr>
        <w:spacing w:after="0" w:line="175" w:lineRule="exact"/>
        <w:rPr>
          <w:rFonts w:ascii="Courier New" w:cs="Courier New" w:eastAsia="Courier New" w:hAnsi="Courier New"/>
          <w:sz w:val="15"/>
          <w:szCs w:val="15"/>
          <w:color w:val="auto"/>
        </w:rPr>
      </w:pPr>
    </w:p>
    <w:p>
      <w:pPr>
        <w:ind w:right="3079" w:firstLine="886"/>
        <w:spacing w:after="0" w:line="263" w:lineRule="auto"/>
        <w:tabs>
          <w:tab w:leader="none" w:pos="1521"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statements set forth in the Prospectus under the caption "Description of Share Capital", insofar as they purport to constitute a summary of the terms of the Stock, under the caption "Taxation of the Company" and under the caption "Underwriting", insofar as they purport to describe the provisions of the laws and documents referred to therein, are accurate, complete and fair;</w:t>
      </w:r>
    </w:p>
    <w:p>
      <w:pPr>
        <w:spacing w:after="0" w:line="163" w:lineRule="exact"/>
        <w:rPr>
          <w:rFonts w:ascii="Courier New" w:cs="Courier New" w:eastAsia="Courier New" w:hAnsi="Courier New"/>
          <w:sz w:val="14"/>
          <w:szCs w:val="14"/>
          <w:color w:val="auto"/>
        </w:rPr>
      </w:pPr>
    </w:p>
    <w:p>
      <w:pPr>
        <w:ind w:right="3079" w:firstLine="886"/>
        <w:spacing w:after="0" w:line="262" w:lineRule="auto"/>
        <w:tabs>
          <w:tab w:leader="none" w:pos="1431"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as set forth in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current or future consolidated financial position, shareholders' equity or results of operations of the Company and its subsidiaries; and, to the best of the Company's knowledge, no such proceedings are threatened or contemplated by any Governmental Agency or threatened by others;</w:t>
      </w:r>
    </w:p>
    <w:p>
      <w:pPr>
        <w:spacing w:after="0" w:line="161" w:lineRule="exact"/>
        <w:rPr>
          <w:rFonts w:ascii="Courier New" w:cs="Courier New" w:eastAsia="Courier New" w:hAnsi="Courier New"/>
          <w:sz w:val="14"/>
          <w:szCs w:val="14"/>
          <w:color w:val="auto"/>
        </w:rPr>
      </w:pPr>
    </w:p>
    <w:p>
      <w:pPr>
        <w:ind w:right="3079" w:firstLine="886"/>
        <w:spacing w:after="0" w:line="242" w:lineRule="auto"/>
        <w:tabs>
          <w:tab w:leader="none" w:pos="1342"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and, after giving effect to the offering and sale of the Shares, will not be an "investment company", as such term is defined in the Investment Company Act of 1940, as amended (the "Investment Company Act");</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9" w:right="1440" w:bottom="1440" w:gutter="0" w:footer="0" w:header="0"/>
        </w:sectPr>
      </w:pPr>
    </w:p>
    <w:bookmarkStart w:id="144" w:name="page145"/>
    <w:bookmarkEnd w:id="144"/>
    <w:p>
      <w:pPr>
        <w:spacing w:after="0"/>
        <w:rPr>
          <w:sz w:val="20"/>
          <w:szCs w:val="20"/>
          <w:color w:val="auto"/>
        </w:rPr>
      </w:pPr>
      <w:r>
        <w:rPr>
          <w:rFonts w:ascii="Courier New" w:cs="Courier New" w:eastAsia="Courier New" w:hAnsi="Courier New"/>
          <w:sz w:val="15"/>
          <w:szCs w:val="15"/>
          <w:color w:val="auto"/>
        </w:rPr>
        <w:t>7</w:t>
      </w:r>
    </w:p>
    <w:p>
      <w:pPr>
        <w:spacing w:after="0" w:line="348" w:lineRule="exact"/>
        <w:rPr>
          <w:sz w:val="20"/>
          <w:szCs w:val="20"/>
          <w:color w:val="auto"/>
        </w:rPr>
      </w:pPr>
    </w:p>
    <w:p>
      <w:pPr>
        <w:ind w:left="-260" w:right="3159" w:firstLine="886"/>
        <w:spacing w:after="0" w:line="242" w:lineRule="auto"/>
        <w:tabs>
          <w:tab w:leader="none" w:pos="1171"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of its subsidiaries have all licenses, franchises, permits, authorizations, approvals and orders and other concessions of and from all Governmental Agencies that are necessary to own or lease their properties and conduct their businesses as described in the Prospectus except where the failure to have such licenses, franchises, permits, authorizations, approvals and orders and other concessions would not, singly or in the aggregate, result in a material adverse effect on the current or future consolidated financial position, shareholders' equity or results of operations of the Company and its subsidiaries;</w:t>
      </w:r>
    </w:p>
    <w:p>
      <w:pPr>
        <w:spacing w:after="0" w:line="178" w:lineRule="exact"/>
        <w:rPr>
          <w:rFonts w:ascii="Courier New" w:cs="Courier New" w:eastAsia="Courier New" w:hAnsi="Courier New"/>
          <w:sz w:val="15"/>
          <w:szCs w:val="15"/>
          <w:color w:val="auto"/>
        </w:rPr>
      </w:pPr>
    </w:p>
    <w:p>
      <w:pPr>
        <w:ind w:left="-260" w:right="3699" w:firstLine="886"/>
        <w:spacing w:after="0" w:line="241" w:lineRule="auto"/>
        <w:tabs>
          <w:tab w:leader="none" w:pos="1261"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a Passive Foreign Investment Company ("PFIC") within the meaning of Section 1296 of the United States Internal Revenue Code of 1986, as amended;</w:t>
      </w:r>
    </w:p>
    <w:p>
      <w:pPr>
        <w:spacing w:after="0" w:line="176" w:lineRule="exact"/>
        <w:rPr>
          <w:rFonts w:ascii="Courier New" w:cs="Courier New" w:eastAsia="Courier New" w:hAnsi="Courier New"/>
          <w:sz w:val="15"/>
          <w:szCs w:val="15"/>
          <w:color w:val="auto"/>
        </w:rPr>
      </w:pPr>
    </w:p>
    <w:p>
      <w:pPr>
        <w:ind w:left="-260" w:right="3079" w:firstLine="886"/>
        <w:spacing w:after="0" w:line="242" w:lineRule="auto"/>
        <w:tabs>
          <w:tab w:leader="none" w:pos="135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are in compliance in all material respects with all conditions and requirements stipulated by the instruments of approval granted to it with respect to the "Approved Enterprise" status of any of the Company's Israeli subsidiary's facilities as well as with respect to the other tax benefits received by the Company's Israeli subsidiary as set forth under the caption "Taxation of the Company" in the Prospectus and by Israeli laws and regulations relating to such "Approved Enterprise" status and the aforementioned other tax benefits received by the Company's Israeli subsidiary; and neither the Company nor the Israeli subsidiary has received any notice of any proceeding or investigation relating to revocation or modification of any "Approved Enterprise" status granted with respect to any of the Israeli subsidiary's facilities;</w:t>
      </w:r>
    </w:p>
    <w:p>
      <w:pPr>
        <w:spacing w:after="0" w:line="180" w:lineRule="exact"/>
        <w:rPr>
          <w:rFonts w:ascii="Courier New" w:cs="Courier New" w:eastAsia="Courier New" w:hAnsi="Courier New"/>
          <w:sz w:val="15"/>
          <w:szCs w:val="15"/>
          <w:color w:val="auto"/>
        </w:rPr>
      </w:pPr>
    </w:p>
    <w:p>
      <w:pPr>
        <w:ind w:left="-260" w:right="3159" w:firstLine="886"/>
        <w:spacing w:after="0" w:line="242" w:lineRule="auto"/>
        <w:tabs>
          <w:tab w:leader="none" w:pos="1171"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qualifies as an "exempt company" in Guernsey and is in compliance with all conditions and requirements, whether imposed by applicable law or otherwise, to the extent necessary to maintain its status as an exempt company;</w:t>
      </w:r>
    </w:p>
    <w:p>
      <w:pPr>
        <w:spacing w:after="0" w:line="174" w:lineRule="exact"/>
        <w:rPr>
          <w:rFonts w:ascii="Courier New" w:cs="Courier New" w:eastAsia="Courier New" w:hAnsi="Courier New"/>
          <w:sz w:val="15"/>
          <w:szCs w:val="15"/>
          <w:color w:val="auto"/>
        </w:rPr>
      </w:pPr>
    </w:p>
    <w:p>
      <w:pPr>
        <w:ind w:left="-260" w:right="3879" w:firstLine="886"/>
        <w:spacing w:after="0" w:line="242" w:lineRule="auto"/>
        <w:tabs>
          <w:tab w:leader="none" w:pos="1082"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Ernst &amp; Young LLP, who have certified certain financial statements of the Company and its subsidiaries and of International Telecommunication Data Systems, Inc. ("ITDS"), are independent public accountants as required by the Act and the rules and regulations of the Commission thereunder;</w:t>
      </w:r>
    </w:p>
    <w:p>
      <w:pPr>
        <w:spacing w:after="0" w:line="175" w:lineRule="exact"/>
        <w:rPr>
          <w:rFonts w:ascii="Courier New" w:cs="Courier New" w:eastAsia="Courier New" w:hAnsi="Courier New"/>
          <w:sz w:val="15"/>
          <w:szCs w:val="15"/>
          <w:color w:val="auto"/>
        </w:rPr>
      </w:pPr>
    </w:p>
    <w:p>
      <w:pPr>
        <w:ind w:left="-260" w:right="3519" w:firstLine="886"/>
        <w:spacing w:after="0" w:line="241" w:lineRule="auto"/>
        <w:tabs>
          <w:tab w:leader="none" w:pos="1171"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affiliates does business with the government of Cuba within the meaning of Section 517.075, Florida Statutes; and</w:t>
      </w:r>
    </w:p>
    <w:p>
      <w:pPr>
        <w:spacing w:after="0" w:line="176" w:lineRule="exact"/>
        <w:rPr>
          <w:rFonts w:ascii="Courier New" w:cs="Courier New" w:eastAsia="Courier New" w:hAnsi="Courier New"/>
          <w:sz w:val="15"/>
          <w:szCs w:val="15"/>
          <w:color w:val="auto"/>
        </w:rPr>
      </w:pPr>
    </w:p>
    <w:p>
      <w:pPr>
        <w:ind w:left="-260" w:right="3439" w:firstLine="886"/>
        <w:spacing w:after="0" w:line="242" w:lineRule="auto"/>
        <w:tabs>
          <w:tab w:leader="none" w:pos="1261"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reviewed its operations and those of its subsidiaries and any third parties with which the Company or any of its subsidiaries has a material relationship to evaluate the extent to which the business or operations</w:t>
      </w:r>
    </w:p>
    <w:p>
      <w:pPr>
        <w:spacing w:after="0" w:line="34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59"/>
          </w:cols>
          <w:pgMar w:left="500" w:top="289" w:right="1440" w:bottom="1440" w:gutter="0" w:footer="0" w:header="0"/>
        </w:sectPr>
      </w:pPr>
    </w:p>
    <w:bookmarkStart w:id="145" w:name="page146"/>
    <w:bookmarkEnd w:id="145"/>
    <w:p>
      <w:pPr>
        <w:spacing w:after="0"/>
        <w:rPr>
          <w:sz w:val="20"/>
          <w:szCs w:val="20"/>
          <w:color w:val="auto"/>
        </w:rPr>
      </w:pPr>
      <w:r>
        <w:rPr>
          <w:rFonts w:ascii="Courier New" w:cs="Courier New" w:eastAsia="Courier New" w:hAnsi="Courier New"/>
          <w:sz w:val="15"/>
          <w:szCs w:val="15"/>
          <w:color w:val="auto"/>
        </w:rPr>
        <w:t>8</w:t>
      </w:r>
    </w:p>
    <w:p>
      <w:pPr>
        <w:spacing w:after="0" w:line="348" w:lineRule="exact"/>
        <w:rPr>
          <w:sz w:val="20"/>
          <w:szCs w:val="20"/>
          <w:color w:val="auto"/>
        </w:rPr>
      </w:pPr>
    </w:p>
    <w:p>
      <w:pPr>
        <w:ind w:left="620" w:right="3079"/>
        <w:spacing w:after="0" w:line="261" w:lineRule="auto"/>
        <w:rPr>
          <w:sz w:val="20"/>
          <w:szCs w:val="20"/>
          <w:color w:val="auto"/>
        </w:rPr>
      </w:pPr>
      <w:r>
        <w:rPr>
          <w:rFonts w:ascii="Courier New" w:cs="Courier New" w:eastAsia="Courier New" w:hAnsi="Courier New"/>
          <w:sz w:val="14"/>
          <w:szCs w:val="14"/>
          <w:color w:val="auto"/>
        </w:rPr>
        <w:t>of the Company or any of its subsidiaries will be affected by the Year 2000 Problem. As a result of such review, the Company does not believe that the Year 2000 Problem will have a material adverse effect on the general affairs, management, the current or future consolidated financial position, shareholders' equity or results of operations of the Company and its subsidiaries or result in any material loss or interference with the Company's business or operations. The "Year 2000 Problem" as used herein means any significant risk that computer hardware or software used in the receipt, transmission, processing, manipulation, storage, retrieval, retransmission or other utilization of data or in the operation of mechanical or electrical systems of any kind will not, in the case of dates or time periods occurring after December 31, 1999, function at least as effectively as in the case of dates or time periods occurring prior to January 1, 2000.</w:t>
      </w:r>
    </w:p>
    <w:p>
      <w:pPr>
        <w:spacing w:after="0" w:line="166" w:lineRule="exact"/>
        <w:rPr>
          <w:sz w:val="20"/>
          <w:szCs w:val="20"/>
          <w:color w:val="auto"/>
        </w:rPr>
      </w:pPr>
    </w:p>
    <w:p>
      <w:pPr>
        <w:ind w:left="-260" w:right="3779" w:firstLine="528"/>
        <w:spacing w:after="0"/>
        <w:tabs>
          <w:tab w:leader="none" w:pos="634"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Selling Stockholder represents and warrants to, and agrees with, each of the Underwriters and the Company that:</w:t>
      </w:r>
    </w:p>
    <w:p>
      <w:pPr>
        <w:spacing w:after="0" w:line="176" w:lineRule="exact"/>
        <w:rPr>
          <w:rFonts w:ascii="Courier New" w:cs="Courier New" w:eastAsia="Courier New" w:hAnsi="Courier New"/>
          <w:sz w:val="15"/>
          <w:szCs w:val="15"/>
          <w:color w:val="auto"/>
        </w:rPr>
      </w:pPr>
    </w:p>
    <w:p>
      <w:pPr>
        <w:ind w:left="620" w:right="3259" w:firstLine="901"/>
        <w:spacing w:after="0" w:line="261" w:lineRule="auto"/>
        <w:tabs>
          <w:tab w:leader="none" w:pos="1872"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Governmental Authorizations required for the sale and delivery of the Shares to be sold by the Selling Stockholder hereunder and for the execution and delivery by the Selling Stockholder of this Agreement, the Power of Attorney and the Custody Agreement hereinafter referred to, and for the sale and delivery of the Shares to be sold by the Selling Stockholder hereunder have been obtained; and the Selling Stockholder has full right, power and authority to enter into this Agreement, the Power of Attorney and Custody Agreement, and to sell, assign, transfer and deliver the Shares to be sold by the Selling Stockholder hereunder;</w:t>
      </w:r>
    </w:p>
    <w:p>
      <w:pPr>
        <w:spacing w:after="0" w:line="167" w:lineRule="exact"/>
        <w:rPr>
          <w:rFonts w:ascii="Courier New" w:cs="Courier New" w:eastAsia="Courier New" w:hAnsi="Courier New"/>
          <w:sz w:val="14"/>
          <w:szCs w:val="14"/>
          <w:color w:val="auto"/>
        </w:rPr>
      </w:pPr>
    </w:p>
    <w:p>
      <w:pPr>
        <w:ind w:left="620" w:right="3079" w:firstLine="901"/>
        <w:spacing w:after="0" w:line="242" w:lineRule="auto"/>
        <w:tabs>
          <w:tab w:leader="none" w:pos="1962"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the Shares to be sold by the Selling Stockholder hereunder and the compliance by the Selling Stockholder with all of the provisions of this Agreement, the Power of Attorney and Custody Agreement and the consummation of the transactions herein and therein contemplated will not conflict with or result in a breach or violation of any of the terms or provisions of, or constitute a default under, any statute, indenture, mortgage, deed of trust, loan agreement or other agreement or instrument to which the Selling Stockholder is a party or by which the Selling Stockholder is bound, or to which any of the property or assets of the Selling Stockholder is subject, nor will such action result in any violation of the provisions of the constituent documents of the Selling Stockholder, or any statute or any order, rule or regulation of any Governmental Agency having jurisdiction over the Selling Stockholder or the property of the Selling Stockholder;</w:t>
      </w:r>
    </w:p>
    <w:p>
      <w:pPr>
        <w:spacing w:after="0" w:line="182" w:lineRule="exact"/>
        <w:rPr>
          <w:rFonts w:ascii="Courier New" w:cs="Courier New" w:eastAsia="Courier New" w:hAnsi="Courier New"/>
          <w:sz w:val="15"/>
          <w:szCs w:val="15"/>
          <w:color w:val="auto"/>
        </w:rPr>
      </w:pPr>
    </w:p>
    <w:p>
      <w:pPr>
        <w:ind w:left="620" w:right="3079" w:firstLine="901"/>
        <w:spacing w:after="0" w:line="242" w:lineRule="auto"/>
        <w:tabs>
          <w:tab w:leader="none" w:pos="2051"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Selling Stockholder has, and immediately prior to each Time of Delivery (as defined in Section 4 hereof) the Selling Stockholder will have, good and valid title to the Shares to be sold by the Selling Stockholder hereunder, free and clear of all liens, encumbrances, equities or claims; and, upon delivery of such Shares and payment therefor pursuant hereto and thereto, good and valid title to</w:t>
      </w:r>
    </w:p>
    <w:p>
      <w:pPr>
        <w:spacing w:after="0" w:line="347"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959"/>
          </w:cols>
          <w:pgMar w:left="500" w:top="289" w:right="1440" w:bottom="1440" w:gutter="0" w:footer="0" w:header="0"/>
        </w:sectPr>
      </w:pPr>
    </w:p>
    <w:bookmarkStart w:id="146" w:name="page147"/>
    <w:bookmarkEnd w:id="146"/>
    <w:p>
      <w:pPr>
        <w:ind w:left="260"/>
        <w:spacing w:after="0"/>
        <w:rPr>
          <w:sz w:val="20"/>
          <w:szCs w:val="20"/>
          <w:color w:val="auto"/>
        </w:rPr>
      </w:pPr>
      <w:r>
        <w:rPr>
          <w:rFonts w:ascii="Courier New" w:cs="Courier New" w:eastAsia="Courier New" w:hAnsi="Courier New"/>
          <w:sz w:val="15"/>
          <w:szCs w:val="15"/>
          <w:color w:val="auto"/>
        </w:rPr>
        <w:t>9</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such Shares, free and clear of all liens, encumbrances, equities or claims, will pass to the several Underwriters;</w:t>
      </w:r>
    </w:p>
    <w:p>
      <w:pPr>
        <w:spacing w:after="0" w:line="176" w:lineRule="exact"/>
        <w:rPr>
          <w:sz w:val="20"/>
          <w:szCs w:val="20"/>
          <w:color w:val="auto"/>
        </w:rPr>
      </w:pPr>
    </w:p>
    <w:p>
      <w:pPr>
        <w:ind w:right="3079" w:firstLine="886"/>
        <w:spacing w:after="0" w:line="242" w:lineRule="auto"/>
        <w:tabs>
          <w:tab w:leader="none" w:pos="1342"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Selling Stockholder has not taken and will not take, directly or indirectly, any action which is designed to or which has constituted or which might reasonably be expected to cause or result in stabilization or manipulation of the price of any security of the Company to facilitate the sale or resale of the Shares;</w:t>
      </w:r>
    </w:p>
    <w:p>
      <w:pPr>
        <w:spacing w:after="0" w:line="175" w:lineRule="exact"/>
        <w:rPr>
          <w:rFonts w:ascii="Courier New" w:cs="Courier New" w:eastAsia="Courier New" w:hAnsi="Courier New"/>
          <w:sz w:val="15"/>
          <w:szCs w:val="15"/>
          <w:color w:val="auto"/>
        </w:rPr>
      </w:pPr>
    </w:p>
    <w:p>
      <w:pPr>
        <w:ind w:right="3079" w:firstLine="886"/>
        <w:spacing w:after="0" w:line="242" w:lineRule="auto"/>
        <w:tabs>
          <w:tab w:leader="none" w:pos="1252"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any statements made in the Registration Statement, any Preliminary Prospectus, the Prospectus or any amendment or supplement thereto are made in reliance upon and in conformity with written information furnished to the Company by the Selling Stockholder expressly for use therein, such Preliminary Prospectus and the Registration Statement did, and the Prospectus and any further amendments or supplements to the Registration Statement and the Prospectus, when they become effective or are filed with the Commission, as the case may be, will conform in all material respects to the requirements of the Act and the rules and regulations of the Commission thereunder and will not contain any untrue statement of a material fact or omit to state any material fact required to be stated therein or necessary to make the statements therein not misleading;</w:t>
      </w:r>
    </w:p>
    <w:p>
      <w:pPr>
        <w:spacing w:after="0" w:line="180" w:lineRule="exact"/>
        <w:rPr>
          <w:rFonts w:ascii="Courier New" w:cs="Courier New" w:eastAsia="Courier New" w:hAnsi="Courier New"/>
          <w:sz w:val="15"/>
          <w:szCs w:val="15"/>
          <w:color w:val="auto"/>
        </w:rPr>
      </w:pPr>
    </w:p>
    <w:p>
      <w:pPr>
        <w:ind w:right="3079" w:firstLine="886"/>
        <w:spacing w:after="0" w:line="242" w:lineRule="auto"/>
        <w:tabs>
          <w:tab w:leader="none" w:pos="1342"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document the Underwriters' compliance with the reporting and withholding provisions of the Tax Equity and Fiscal Responsibility Act of 1982 with respect to the transactions herein contemplated, the Selling Stockholder will deliver to you prior to or at the First Time of Delivery (as hereinafter defined) a properly completed and executed United States Treasury Department Form W-9 (or other applicable form or statement specified by Treasury Department regulations in lieu thereof);</w:t>
      </w:r>
    </w:p>
    <w:p>
      <w:pPr>
        <w:spacing w:after="0" w:line="176" w:lineRule="exact"/>
        <w:rPr>
          <w:rFonts w:ascii="Courier New" w:cs="Courier New" w:eastAsia="Courier New" w:hAnsi="Courier New"/>
          <w:sz w:val="15"/>
          <w:szCs w:val="15"/>
          <w:color w:val="auto"/>
        </w:rPr>
      </w:pPr>
    </w:p>
    <w:p>
      <w:pPr>
        <w:ind w:right="3079" w:firstLine="886"/>
        <w:spacing w:after="0" w:line="242" w:lineRule="auto"/>
        <w:tabs>
          <w:tab w:leader="none" w:pos="1431"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in negotiable form representing all of the Shares to be sold by the Selling Stockholder hereunder have been placed in custody under a Custody Agreement (the "Custody Agreement"), in the form heretofore furnished to you, duly executed and delivered by the Selling Stockholder to the party designated in Schedule II hereto as the Selling Stockholder's custodian (the "Custodian"), and the Selling Stockholder has duly executed and delivered a Power of Attorney (the "Power of Attorney"), in the form heretofore furnished to you, appointing the persons indicated in Schedule II hereto, and each of them, as the Selling Stockholder's attorneys-in-fact (the "Attorneys-in-Fact") with authority to execute and deliver this Agreement on behalf of the Selling Stockholder, to determine the purchase price to be paid by the Underwriters to the Selling Stockholder as provided in Section 2 hereof, to authorize the delivery of the Shares to be sold by the Selling Stockholder hereunder and otherwise to act on behalf of the Selling Stockholder in connection</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9"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5"/>
          <w:szCs w:val="15"/>
          <w:color w:val="auto"/>
        </w:rPr>
        <w:t>10</w:t>
      </w:r>
    </w:p>
    <w:p>
      <w:pPr>
        <w:spacing w:after="0" w:line="176" w:lineRule="exact"/>
        <w:rPr>
          <w:sz w:val="20"/>
          <w:szCs w:val="20"/>
          <w:color w:val="auto"/>
        </w:rPr>
      </w:pPr>
    </w:p>
    <w:p>
      <w:pPr>
        <w:ind w:left="880" w:right="3259"/>
        <w:spacing w:after="0"/>
        <w:rPr>
          <w:sz w:val="20"/>
          <w:szCs w:val="20"/>
          <w:color w:val="auto"/>
        </w:rPr>
      </w:pPr>
      <w:r>
        <w:rPr>
          <w:rFonts w:ascii="Courier New" w:cs="Courier New" w:eastAsia="Courier New" w:hAnsi="Courier New"/>
          <w:sz w:val="15"/>
          <w:szCs w:val="15"/>
          <w:color w:val="auto"/>
        </w:rPr>
        <w:t>with the transactions contemplated by this Agreement and the Custody Agreement; and</w:t>
      </w:r>
    </w:p>
    <w:p>
      <w:pPr>
        <w:spacing w:after="0" w:line="176" w:lineRule="exact"/>
        <w:rPr>
          <w:sz w:val="20"/>
          <w:szCs w:val="20"/>
          <w:color w:val="auto"/>
        </w:rPr>
      </w:pPr>
    </w:p>
    <w:p>
      <w:pPr>
        <w:ind w:left="880" w:right="3079" w:firstLine="901"/>
        <w:spacing w:after="0" w:line="261" w:lineRule="auto"/>
        <w:tabs>
          <w:tab w:leader="none" w:pos="2401" w:val="left"/>
        </w:tabs>
        <w:numPr>
          <w:ilvl w:val="1"/>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represented by the certificates held in custody for the Selling Stockholder under the Custody Agreement are subject to the interests of the Underwriters hereunder; the arrangements made by the Selling Stockholder for such custody, and the appointment by the Selling Stockholder of the Attorneys-in-Fact by the Power of Attorney, are to that extent irrevocable; the obligations of the Selling Stockholder hereunder shall not be terminated by operation of law, whether by the dissolution of the Selling Stockholder or by the occurrence of any other event; if the Selling Stockholder should be dissolved, or if any other such event should occur, before the delivery of the Shares hereunder, certificates representing the Shares shall be delivered by or on behalf of the Selling Stockholder in accordance with the terms and conditions of this Agreement and of the Custody Agreement; and actions taken by the Attorneys-in-Fact pursuant to the Power of Attorney shall be as valid as if such dissolution or other event had not occurred, regardless of whether or not the Custodian, the Attorneys-in-Fact, or any of them, shall have received notice of such dissolution or other event.</w:t>
      </w:r>
    </w:p>
    <w:p>
      <w:pPr>
        <w:spacing w:after="0" w:line="334" w:lineRule="exact"/>
        <w:rPr>
          <w:rFonts w:ascii="Courier New" w:cs="Courier New" w:eastAsia="Courier New" w:hAnsi="Courier New"/>
          <w:sz w:val="14"/>
          <w:szCs w:val="14"/>
          <w:color w:val="auto"/>
        </w:rPr>
      </w:pPr>
    </w:p>
    <w:p>
      <w:pPr>
        <w:ind w:left="880" w:hanging="262"/>
        <w:spacing w:after="0"/>
        <w:tabs>
          <w:tab w:leader="none" w:pos="88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herein set forth, (a) the</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Selling Stockholder agrees to sell to each of the Underwriters, and each of the Underwriters agrees, severally and not jointly, to purchase from the Selling Stockholder, at a purchase price per Share of $ , the number of Firm Shares (to be adjusted by you so as to eliminate fractional shares) determined by multiplying the aggregate number of Firm Shares to be sold by the Selling Stockholder by a fraction, the numerator of which is the aggregate number of Firm Shares to be purchased by such Underwriter as set forth opposite the name of such Underwriter in Schedule I hereto and the denominator of which is the aggregate number of Firm Shares to be purchased by all of the Underwriters from the Selling Stockholder hereunder and (b) in the event and to the extent that the Underwriters shall exercise the election to purchase Optional Shares as provided below, the Selling Stockholder agrees to sell to each of the Underwriters, and each of the Underwriters agrees, severally and not jointly, to purchase from the Selling Stockholder, at the purchase price per Share set forth in clause (a) of this Section 2,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187"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The Selling Stockholder hereby grants to the Underwriters the right to</w:t>
      </w:r>
    </w:p>
    <w:p>
      <w:pPr>
        <w:spacing w:after="0" w:line="13"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purchase at their election up to Optional Shares, at the purchase price per Share set forth in the paragraph above, for the sole purpose of covering sales of shares in excess of the number of Firm Shares. Any such election to purchase Optional Shares may be exercised only by written notice from you</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9" w:right="1440" w:bottom="1440" w:gutter="0" w:footer="0" w:header="0"/>
        </w:sectPr>
      </w:pPr>
    </w:p>
    <w:bookmarkStart w:id="148" w:name="page149"/>
    <w:bookmarkEnd w:id="148"/>
    <w:p>
      <w:pPr>
        <w:ind w:left="260"/>
        <w:spacing w:after="0"/>
        <w:rPr>
          <w:sz w:val="20"/>
          <w:szCs w:val="20"/>
          <w:color w:val="auto"/>
        </w:rPr>
      </w:pPr>
      <w:r>
        <w:rPr>
          <w:rFonts w:ascii="Courier New" w:cs="Courier New" w:eastAsia="Courier New" w:hAnsi="Courier New"/>
          <w:sz w:val="15"/>
          <w:szCs w:val="15"/>
          <w:color w:val="auto"/>
        </w:rPr>
        <w:t>11</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to the Attorneys-in-Fact, given within a period of 30 calendar days after the date of this Agreement and setting forth the aggregate number of Optional Shares to be purchased and the date on which such Optional Shares are to be delivered, as determined by you but in no event earlier than the First Time of Delivery (as defined in Section 4 hereof) or, unless you and the Attorneys-in-Fact otherwise agree in writing, earlier than two or later than ten business days after the date of such notice.</w:t>
      </w:r>
    </w:p>
    <w:p>
      <w:pPr>
        <w:spacing w:after="0" w:line="177" w:lineRule="exact"/>
        <w:rPr>
          <w:sz w:val="20"/>
          <w:szCs w:val="20"/>
          <w:color w:val="auto"/>
        </w:rPr>
      </w:pPr>
    </w:p>
    <w:p>
      <w:pPr>
        <w:ind w:right="3339" w:firstLine="886"/>
        <w:spacing w:after="0" w:line="241" w:lineRule="auto"/>
        <w:tabs>
          <w:tab w:leader="none" w:pos="1163"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authorization by you of the release of the Firm Shares, the several Underwriters propose to offer the Firm Shares for sale upon the terms and conditions set forth in the Prospectus.</w:t>
      </w:r>
    </w:p>
    <w:p>
      <w:pPr>
        <w:spacing w:after="0" w:line="176" w:lineRule="exact"/>
        <w:rPr>
          <w:rFonts w:ascii="Courier New" w:cs="Courier New" w:eastAsia="Courier New" w:hAnsi="Courier New"/>
          <w:sz w:val="15"/>
          <w:szCs w:val="15"/>
          <w:color w:val="auto"/>
        </w:rPr>
      </w:pPr>
    </w:p>
    <w:p>
      <w:pPr>
        <w:ind w:right="3079" w:firstLine="886"/>
        <w:spacing w:after="0" w:line="242" w:lineRule="auto"/>
        <w:tabs>
          <w:tab w:leader="none" w:pos="1163"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Shares to be purchased by each Underwriter hereunder, in definitive form, and in such authorized denominations and registered in such names as Goldman, Sachs &amp; Co. may request upon at least forty-eight hours' notice to the Company and the Selling Stockholder and the Custodian prior to a Time of Delivery (as defined below) (the "Notification Time"), shall be delivered by or on behalf of the Selling Stockholder to Goldman, Sachs &amp; Co., for the account of such Underwriter, against payment by or on behalf of such Underwriter of the purchase price therefor by wire transfer of Federal (same-day) funds to the account specified by the Selling Stockholder to Goldman, Sachs &amp; Co. at least forty-eight hours in advance. The Company and the Selling Stockholder will cause the certificates representing the Shares to be made available for checking and packaging at least twenty-four hours prior to the Time of Delivery (as defined below) with respect thereto at the office of Goldman, Sachs &amp; Co., 85 Broad Street, New York, New York 10004 (the "Designated Office").</w:t>
      </w:r>
    </w:p>
    <w:p>
      <w:pPr>
        <w:spacing w:after="0" w:line="18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The time and date of such delivery and payment shall be, with respect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to the Firm Shares, 9:30 a.m., New York City time, on , 1999 or such other time and date as Goldman, Sachs &amp; Co. and the Company and the Attorneys-in-Fact may agree upon in writing, and, with respect to the Optional Shares, 9:30 a.m., New York City time, on the date specified by Goldman, Sachs &amp; Co. in the written notice given by Goldman, Sachs &amp; Co. of the Underwriters' election to purchase such Optional Shares, or such other time and date as Goldman, Sachs &amp; Co. and the Company and the Attorneys-in-Fact may agree upon in writing. Such time and date for delivery of the Firm Shares is herein called the "First Time of Delivery", such time and date for delivery of the Optional Shares, if not the First Time of Delivery, is herein called the "Second Time of Delivery", and each such time and date for delivery is herein called a "Time of Delivery".</w:t>
      </w:r>
    </w:p>
    <w:p>
      <w:pPr>
        <w:spacing w:after="0" w:line="179" w:lineRule="exact"/>
        <w:rPr>
          <w:sz w:val="20"/>
          <w:szCs w:val="20"/>
          <w:color w:val="auto"/>
        </w:rPr>
      </w:pPr>
    </w:p>
    <w:p>
      <w:pPr>
        <w:ind w:right="3079" w:firstLine="886"/>
        <w:spacing w:after="0" w:line="242" w:lineRule="auto"/>
        <w:tabs>
          <w:tab w:leader="none" w:pos="1252"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documents to be delivered at each Time of Delivery by or on behalf of the parties hereto pursuant to Section 7 hereof, including the cross-receipt for the Shares and any additional documents requested by the Underwriters pursuant to Section 7(p) hereof, will be delivered at the offices of Skadden, Arps, Slate, Meagher &amp; Flom LLP, 919 Third Avenue, New York, New York 10022 (the "Closing Location"), and the Shares will be delivered as specified in Section 4(a) above, all at such Time of Delivery. A meeting will be held at the Closing Location at 4:30 p.m., New York City time, on the New York Business Day next preceding such Time of Delivery, at which meeting the final drafts of the documents to be delivered pursuant to the preceding sentence will be available for review by the parties hereto. For the purposes of this Section 4, "New York Business Day" shall</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9"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5"/>
          <w:szCs w:val="15"/>
          <w:color w:val="auto"/>
        </w:rPr>
        <w:t>12</w:t>
      </w:r>
    </w:p>
    <w:p>
      <w:pPr>
        <w:spacing w:after="0" w:line="176"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mean each Monday, Tuesday, Wednesday, Thursday and Friday which is not a day on which banking institutions in New York are generally authorized or obligated by law or executive order to close.</w:t>
      </w:r>
    </w:p>
    <w:p>
      <w:pPr>
        <w:spacing w:after="0" w:line="174" w:lineRule="exact"/>
        <w:rPr>
          <w:sz w:val="20"/>
          <w:szCs w:val="20"/>
          <w:color w:val="auto"/>
        </w:rPr>
      </w:pPr>
    </w:p>
    <w:p>
      <w:pPr>
        <w:ind w:left="880" w:hanging="262"/>
        <w:spacing w:after="0"/>
        <w:tabs>
          <w:tab w:leader="none" w:pos="88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Company agrees with each of the Underwriters:</w:t>
      </w:r>
    </w:p>
    <w:p>
      <w:pPr>
        <w:spacing w:after="0" w:line="175" w:lineRule="exact"/>
        <w:rPr>
          <w:rFonts w:ascii="Courier New" w:cs="Courier New" w:eastAsia="Courier New" w:hAnsi="Courier New"/>
          <w:sz w:val="15"/>
          <w:szCs w:val="15"/>
          <w:color w:val="auto"/>
        </w:rPr>
      </w:pPr>
    </w:p>
    <w:p>
      <w:pPr>
        <w:ind w:left="880" w:right="3079" w:firstLine="901"/>
        <w:spacing w:after="0" w:line="242" w:lineRule="auto"/>
        <w:tabs>
          <w:tab w:leader="none" w:pos="2132"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prepare the Prospectus in a form approved by you and to file such Prospectus pursuant to Rule 424(b) under the Act not later than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Prospectus prior to the last Time of Delivery which shall be disapproved by you promptly after reasonable notice thereof; to advise you, promptly after it receives notice thereof, of the time when any amendment to the Registration Statement has been filed or becomes effective or any supplement to the Prospectus or any amended Prospectus has been filed and to furnish you copies thereof; to file promptly all reports required to be filed by the Company with the Commission pursuant to Section 13(a), 13(c) or 15(d) of the Exchange Act subsequent to the date of the Prospectus and for so long as the delivery of a prospectus is required in connection with the offering or sale of the Shares; to advise you, promptly after it receives notice thereof, of the issuance by the Commission of any stop order or of any order preventing or suspending the use of any Preliminary Prospectus or prospectus, of the suspension of the qualification of the Shares for offering or sale in any jurisdiction, of the initiation or threatening of any proceeding for any such purpose, or of any request by the Commission for the amending or supplementing of the Registration Statement or Prospectus or for additional information; and, in the event of the issuance of any stop order or of any order preventing or suspending the use of any Preliminary Prospectus or prospectus or suspending any such qualification, promptly to use its best efforts to obtain the withdrawal of such order;</w:t>
      </w:r>
    </w:p>
    <w:p>
      <w:pPr>
        <w:spacing w:after="0" w:line="191" w:lineRule="exact"/>
        <w:rPr>
          <w:rFonts w:ascii="Courier New" w:cs="Courier New" w:eastAsia="Courier New" w:hAnsi="Courier New"/>
          <w:sz w:val="15"/>
          <w:szCs w:val="15"/>
          <w:color w:val="auto"/>
        </w:rPr>
      </w:pPr>
    </w:p>
    <w:p>
      <w:pPr>
        <w:ind w:left="880" w:right="3079" w:firstLine="901"/>
        <w:spacing w:after="0" w:line="242" w:lineRule="auto"/>
        <w:tabs>
          <w:tab w:leader="none" w:pos="2222"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from time to time to take such action as you may reasonably request to qualify the Shares for offering and sale under the securities laws of such jurisdictions as you may request and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or to file a general consent to service of process in any jurisdiction;</w:t>
      </w:r>
    </w:p>
    <w:p>
      <w:pPr>
        <w:spacing w:after="0" w:line="178" w:lineRule="exact"/>
        <w:rPr>
          <w:rFonts w:ascii="Courier New" w:cs="Courier New" w:eastAsia="Courier New" w:hAnsi="Courier New"/>
          <w:sz w:val="15"/>
          <w:szCs w:val="15"/>
          <w:color w:val="auto"/>
        </w:rPr>
      </w:pPr>
    </w:p>
    <w:p>
      <w:pPr>
        <w:ind w:left="880" w:right="3159" w:firstLine="901"/>
        <w:spacing w:after="0" w:line="242" w:lineRule="auto"/>
        <w:tabs>
          <w:tab w:leader="none" w:pos="2311"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10:00 A.M., New York City time, on the New York Business Day next succeeding the date of this Agreement and from time to time, to furnish the Underwriters with copies of the Prospectus in New York City in such quantities as you may reasonably request, and, if the delivery of a prospectus is required at any</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9" w:right="1440" w:bottom="1440" w:gutter="0" w:footer="0" w:header="0"/>
        </w:sectPr>
      </w:pPr>
    </w:p>
    <w:bookmarkStart w:id="150" w:name="page151"/>
    <w:bookmarkEnd w:id="150"/>
    <w:p>
      <w:pPr>
        <w:ind w:left="260"/>
        <w:spacing w:after="0"/>
        <w:rPr>
          <w:sz w:val="20"/>
          <w:szCs w:val="20"/>
          <w:color w:val="auto"/>
        </w:rPr>
      </w:pPr>
      <w:r>
        <w:rPr>
          <w:rFonts w:ascii="Courier New" w:cs="Courier New" w:eastAsia="Courier New" w:hAnsi="Courier New"/>
          <w:sz w:val="15"/>
          <w:szCs w:val="15"/>
          <w:color w:val="auto"/>
        </w:rPr>
        <w:t>13</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time prior to the expiration of nine months after the time of issue of the Prospectus in connection with the offering or sale of the Shares and if at such time any events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during such period to amend or supplement the Prospectus or to file under the Exchange Act any document incorporated by reference in the Prospectus in order to comply with the Act or the Exchange Act, to notify you and upon your request to file such document and to prepare and furnish without charge to each Underwriter and to any dealer in securities as many copies as you may from time to time reasonably request of an amended Prospectus or a supplement to the Prospectus which will correct such statement or omission or effect such compliance, and in case any Underwriter is required to deliver a prospectus in connection with sales of any of the Shares at any time nine months or more after the time of issue of the Prospectus, upon your request but at the expense of such Underwriter, to prepare and deliver to such Underwriter as many copies as you may request of an amended or supplemented Prospectus complying with Section 10(a)(3) of the Act;</w:t>
      </w:r>
    </w:p>
    <w:p>
      <w:pPr>
        <w:spacing w:after="0" w:line="186" w:lineRule="exact"/>
        <w:rPr>
          <w:sz w:val="20"/>
          <w:szCs w:val="20"/>
          <w:color w:val="auto"/>
        </w:rPr>
      </w:pPr>
    </w:p>
    <w:p>
      <w:pPr>
        <w:ind w:right="3079" w:firstLine="886"/>
        <w:spacing w:after="0" w:line="242" w:lineRule="auto"/>
        <w:tabs>
          <w:tab w:leader="none" w:pos="1342"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generally available to its securityholders as soon as practicable, but in any event not later than eighteen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176" w:lineRule="exact"/>
        <w:rPr>
          <w:rFonts w:ascii="Courier New" w:cs="Courier New" w:eastAsia="Courier New" w:hAnsi="Courier New"/>
          <w:sz w:val="15"/>
          <w:szCs w:val="15"/>
          <w:color w:val="auto"/>
        </w:rPr>
      </w:pPr>
    </w:p>
    <w:p>
      <w:pPr>
        <w:ind w:right="3079" w:firstLine="886"/>
        <w:spacing w:after="0" w:line="242" w:lineRule="auto"/>
        <w:tabs>
          <w:tab w:leader="none" w:pos="1252"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beginning from the date hereof and continuing to and including the date 90 days after the date of the Prospectus, not to offer, sell, contract to sell or otherwise dispose of, except as provided hereunder, any securities of the Company that are substantially similar to the Shares, including but not limited to any securities that are convertible into or exchangeable for, or that represent the right to receive, Stock or any such substantially similar securities (other than pursuant to employee stock or stock option plans existing on the date of this Agreement and stock option plans entered into after the date hereof under which options which are granted will not be exercisable until 91 days after the date of the Prospectus), without your prior written consent;</w:t>
      </w:r>
    </w:p>
    <w:p>
      <w:pPr>
        <w:spacing w:after="0" w:line="179" w:lineRule="exact"/>
        <w:rPr>
          <w:rFonts w:ascii="Courier New" w:cs="Courier New" w:eastAsia="Courier New" w:hAnsi="Courier New"/>
          <w:sz w:val="15"/>
          <w:szCs w:val="15"/>
          <w:color w:val="auto"/>
        </w:rPr>
      </w:pPr>
    </w:p>
    <w:p>
      <w:pPr>
        <w:ind w:right="3079" w:firstLine="886"/>
        <w:spacing w:after="0" w:line="242" w:lineRule="auto"/>
        <w:tabs>
          <w:tab w:leader="none" w:pos="1342"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furnish to its shareholders as soon as practicable after the end of each fiscal year an annual report (including a balance sheet and statements of income, shareholders' equity and cash flows of the Company and its consolidated subsidiaries certified by independent public accountants and prepared in conformity with generally accepted accounting principles in the U.S. ("GAAP")) and to make</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9" w:right="1440" w:bottom="1440" w:gutter="0" w:footer="0" w:header="0"/>
        </w:sectPr>
      </w:pPr>
    </w:p>
    <w:bookmarkStart w:id="151" w:name="page152"/>
    <w:bookmarkEnd w:id="151"/>
    <w:p>
      <w:pPr>
        <w:ind w:left="268"/>
        <w:spacing w:after="0"/>
        <w:rPr>
          <w:sz w:val="20"/>
          <w:szCs w:val="20"/>
          <w:color w:val="auto"/>
        </w:rPr>
      </w:pPr>
      <w:r>
        <w:rPr>
          <w:rFonts w:ascii="Courier New" w:cs="Courier New" w:eastAsia="Courier New" w:hAnsi="Courier New"/>
          <w:sz w:val="15"/>
          <w:szCs w:val="15"/>
          <w:color w:val="auto"/>
        </w:rPr>
        <w:t>14</w:t>
      </w:r>
    </w:p>
    <w:p>
      <w:pPr>
        <w:spacing w:after="0" w:line="176" w:lineRule="exact"/>
        <w:rPr>
          <w:sz w:val="20"/>
          <w:szCs w:val="20"/>
          <w:color w:val="auto"/>
        </w:rPr>
      </w:pPr>
    </w:p>
    <w:p>
      <w:pPr>
        <w:ind w:left="888" w:right="3079"/>
        <w:spacing w:after="0" w:line="242" w:lineRule="auto"/>
        <w:rPr>
          <w:sz w:val="20"/>
          <w:szCs w:val="20"/>
          <w:color w:val="auto"/>
        </w:rPr>
      </w:pPr>
      <w:r>
        <w:rPr>
          <w:rFonts w:ascii="Courier New" w:cs="Courier New" w:eastAsia="Courier New" w:hAnsi="Courier New"/>
          <w:sz w:val="15"/>
          <w:szCs w:val="15"/>
          <w:color w:val="auto"/>
        </w:rPr>
        <w:t>available to its shareholders, as soon as practicable after the end of each of the first three quarters of each fiscal year prepared in accordance with GAAP (beginning with the fiscal quarter ending after the effective date of the Registration Statement), consolidated summary financial information of the Company and its subsidiaries for such quarter in reasonable detail;</w:t>
      </w:r>
    </w:p>
    <w:p>
      <w:pPr>
        <w:spacing w:after="0" w:line="176" w:lineRule="exact"/>
        <w:rPr>
          <w:sz w:val="20"/>
          <w:szCs w:val="20"/>
          <w:color w:val="auto"/>
        </w:rPr>
      </w:pPr>
    </w:p>
    <w:p>
      <w:pPr>
        <w:ind w:left="888" w:right="3079" w:firstLine="901"/>
        <w:spacing w:after="0" w:line="261" w:lineRule="auto"/>
        <w:tabs>
          <w:tab w:leader="none" w:pos="2319" w:val="left"/>
        </w:tabs>
        <w:numPr>
          <w:ilvl w:val="1"/>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 period of five years from the effective date of the Registration Statement, to furnish to you copies of all reports or other communications (financial or other) furnished to shareholders, and to deliver to you (i) as soon as they are available, copies of any reports and financial statements furnished to or filed with the Commission or any securities exchange on which any class of securities of the Company is listed; and (ii) such additional information concerning the business and financial condition of the Company as you may from time to time reasonably request (such financial statements to be on a consolidated basis to the extent the accounts of the Company and its subsidiaries are consolidated in reports furnished to its shareholders generally or to the Commission);</w:t>
      </w:r>
    </w:p>
    <w:p>
      <w:pPr>
        <w:spacing w:after="0" w:line="338" w:lineRule="exact"/>
        <w:rPr>
          <w:rFonts w:ascii="Courier New" w:cs="Courier New" w:eastAsia="Courier New" w:hAnsi="Courier New"/>
          <w:sz w:val="14"/>
          <w:szCs w:val="14"/>
          <w:color w:val="auto"/>
        </w:rPr>
      </w:pPr>
    </w:p>
    <w:p>
      <w:pPr>
        <w:ind w:left="888" w:right="3259" w:firstLine="901"/>
        <w:spacing w:after="0" w:line="263" w:lineRule="auto"/>
        <w:tabs>
          <w:tab w:leader="none" w:pos="2409" w:val="left"/>
        </w:tabs>
        <w:numPr>
          <w:ilvl w:val="1"/>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to (and to cause its subsidiaries not to) take, directly or indirectly, any action which is designed to or which constitutes or which might reasonably be expected to cause or result in stabilization or manipulation of the price of any security of the Company or facilitate the sale or resale or the Shares;</w:t>
      </w:r>
    </w:p>
    <w:p>
      <w:pPr>
        <w:spacing w:after="0" w:line="163" w:lineRule="exact"/>
        <w:rPr>
          <w:rFonts w:ascii="Courier New" w:cs="Courier New" w:eastAsia="Courier New" w:hAnsi="Courier New"/>
          <w:sz w:val="14"/>
          <w:szCs w:val="14"/>
          <w:color w:val="auto"/>
        </w:rPr>
      </w:pPr>
    </w:p>
    <w:p>
      <w:pPr>
        <w:ind w:left="2228" w:hanging="439"/>
        <w:spacing w:after="0"/>
        <w:tabs>
          <w:tab w:leader="none" w:pos="2228" w:val="left"/>
        </w:tabs>
        <w:numPr>
          <w:ilvl w:val="1"/>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use its best efforts to list the Shares on the NYSE;</w:t>
      </w:r>
    </w:p>
    <w:p>
      <w:pPr>
        <w:spacing w:after="0" w:line="11" w:lineRule="exact"/>
        <w:rPr>
          <w:rFonts w:ascii="Courier New" w:cs="Courier New" w:eastAsia="Courier New" w:hAnsi="Courier New"/>
          <w:sz w:val="14"/>
          <w:szCs w:val="14"/>
          <w:color w:val="auto"/>
        </w:rPr>
      </w:pPr>
    </w:p>
    <w:p>
      <w:pPr>
        <w:ind w:left="8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and</w:t>
      </w:r>
    </w:p>
    <w:p>
      <w:pPr>
        <w:spacing w:after="0" w:line="175" w:lineRule="exact"/>
        <w:rPr>
          <w:rFonts w:ascii="Courier New" w:cs="Courier New" w:eastAsia="Courier New" w:hAnsi="Courier New"/>
          <w:sz w:val="14"/>
          <w:szCs w:val="14"/>
          <w:color w:val="auto"/>
        </w:rPr>
      </w:pPr>
    </w:p>
    <w:p>
      <w:pPr>
        <w:ind w:left="888" w:right="3079" w:firstLine="901"/>
        <w:spacing w:after="0" w:line="262" w:lineRule="auto"/>
        <w:tabs>
          <w:tab w:leader="none" w:pos="2140" w:val="left"/>
        </w:tabs>
        <w:numPr>
          <w:ilvl w:val="1"/>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111(b) under the Act.</w:t>
      </w:r>
    </w:p>
    <w:p>
      <w:pPr>
        <w:spacing w:after="0" w:line="162" w:lineRule="exact"/>
        <w:rPr>
          <w:rFonts w:ascii="Courier New" w:cs="Courier New" w:eastAsia="Courier New" w:hAnsi="Courier New"/>
          <w:sz w:val="14"/>
          <w:szCs w:val="14"/>
          <w:color w:val="auto"/>
        </w:rPr>
      </w:pPr>
    </w:p>
    <w:p>
      <w:pPr>
        <w:ind w:left="888" w:hanging="888"/>
        <w:spacing w:after="0"/>
        <w:tabs>
          <w:tab w:leader="none" w:pos="888"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Selling Stockholder agrees with each of the Underwriters:</w:t>
      </w:r>
    </w:p>
    <w:p>
      <w:pPr>
        <w:spacing w:after="0" w:line="175" w:lineRule="exact"/>
        <w:rPr>
          <w:rFonts w:ascii="Courier New" w:cs="Courier New" w:eastAsia="Courier New" w:hAnsi="Courier New"/>
          <w:sz w:val="15"/>
          <w:szCs w:val="15"/>
          <w:color w:val="auto"/>
        </w:rPr>
      </w:pPr>
    </w:p>
    <w:p>
      <w:pPr>
        <w:ind w:left="888" w:right="3079" w:firstLine="901"/>
        <w:spacing w:after="0" w:line="242" w:lineRule="auto"/>
        <w:tabs>
          <w:tab w:leader="none" w:pos="2140" w:val="left"/>
        </w:tabs>
        <w:numPr>
          <w:ilvl w:val="1"/>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beginning from the date hereof and continuing to and including the date 90 days after the date of the Prospectus, not to offer, sell, contract to sell or otherwise dispose of, except as provided hereunder, any securities of the Company that are substantially similar to the Shares, including but not limited to any securities that are convertible into or exchangeable for, or that represent the right to receive, Stock or any such substantially similar securities (other than pursuant to employee stock option plans existing on, or upon the conversion or exchange of convertible or exchangeable securities outstanding as of, the date of this Agreement), without your prior written consent; provided, however, that the Selling Stockholder may sell or transfer Stock or any securities of the Company that</w:t>
      </w:r>
    </w:p>
    <w:p>
      <w:pPr>
        <w:spacing w:after="0" w:line="351"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7"/>
          </w:cols>
          <w:pgMar w:left="232" w:top="289"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5"/>
          <w:szCs w:val="15"/>
          <w:color w:val="auto"/>
        </w:rPr>
        <w:t>15</w:t>
      </w:r>
    </w:p>
    <w:p>
      <w:pPr>
        <w:spacing w:after="0" w:line="176" w:lineRule="exact"/>
        <w:rPr>
          <w:sz w:val="20"/>
          <w:szCs w:val="20"/>
          <w:color w:val="auto"/>
        </w:rPr>
      </w:pPr>
    </w:p>
    <w:p>
      <w:pPr>
        <w:ind w:left="880" w:right="3079"/>
        <w:spacing w:after="0" w:line="242" w:lineRule="auto"/>
        <w:rPr>
          <w:sz w:val="20"/>
          <w:szCs w:val="20"/>
          <w:color w:val="auto"/>
        </w:rPr>
      </w:pPr>
      <w:r>
        <w:rPr>
          <w:rFonts w:ascii="Courier New" w:cs="Courier New" w:eastAsia="Courier New" w:hAnsi="Courier New"/>
          <w:sz w:val="15"/>
          <w:szCs w:val="15"/>
          <w:color w:val="auto"/>
        </w:rPr>
        <w:t>are substantially similar to the Stock (i) to the shareholders of the Selling Stockholder or to trusts for the benefit of such shareholders or members of the family of a shareholder or (ii) by way of gift or donation, provided that in each case the transferee thereof undertakes in writing to comply with the foregoing restrictions; and</w:t>
      </w:r>
    </w:p>
    <w:p>
      <w:pPr>
        <w:spacing w:after="0" w:line="175" w:lineRule="exact"/>
        <w:rPr>
          <w:sz w:val="20"/>
          <w:szCs w:val="20"/>
          <w:color w:val="auto"/>
        </w:rPr>
      </w:pPr>
    </w:p>
    <w:p>
      <w:pPr>
        <w:jc w:val="both"/>
        <w:ind w:left="880" w:right="3259" w:firstLine="901"/>
        <w:spacing w:after="0" w:line="263" w:lineRule="auto"/>
        <w:tabs>
          <w:tab w:leader="none" w:pos="2222"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to (and to cause its affiliates not to) take, directly or indirectly, any action which is designed to or which constitutes or which might reasonably be expected to cause or result in stabilization or manipulation of the price of any security of the Company or facilitate the sale or resale of the Shares.</w:t>
      </w:r>
    </w:p>
    <w:p>
      <w:pPr>
        <w:spacing w:after="0" w:line="163" w:lineRule="exact"/>
        <w:rPr>
          <w:rFonts w:ascii="Courier New" w:cs="Courier New" w:eastAsia="Courier New" w:hAnsi="Courier New"/>
          <w:sz w:val="14"/>
          <w:szCs w:val="14"/>
          <w:color w:val="auto"/>
        </w:rPr>
      </w:pPr>
    </w:p>
    <w:p>
      <w:pPr>
        <w:ind w:right="3079" w:firstLine="618"/>
        <w:spacing w:after="0" w:line="260" w:lineRule="auto"/>
        <w:tabs>
          <w:tab w:leader="none" w:pos="894"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covenants and agrees with the several Underwriters that it will pay or cause to be paid the following: (i) the fees, disbursements and expenses of the Company's counsel and accountants in connection with the registration of the Shares under the Act and all other expenses in connection with the preparation, printing and filing of the Registration Statement, any Preliminary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compilations thereof) and any other documents in connection with the offering, purchase, sale and delivery of the Shares; (iii) all expenses in connection with the qualification of the Shares for offering and sale under state securities laws as provided in Section 5(a)(ii) hereof, including the fees and disbursements of counsel for the Underwriters in connection with such qualification and in connection with the Blue Sky survey; (iv) all fees and expenses in connection with listing the Shares on the NYSE; (v) the cost of preparing stock certificates; (vi) the cost and charges of any transfer agent or registrar; (vii) all other costs and expenses incident to the performance of its obligations hereunder which are not otherwise specifically provided for in this Section and (viii) all costs and expenses incident to the performance of the Selling Stockholder's obligations hereunder which are not otherwise specifically provided for in this Section, including (1) any fees and expenses of counsel for the Selling Stockholder, (2) the fees and expenses of the Attorneys-in-Fact and the Custodian and (3) all expenses and taxes incident to the sale and delivery of the Shares to be sold by the Selling Stockholder to the Underwriters hereunder. In connection with clause (viii)(3) of the preceding sentence, Goldman, Sachs &amp; Co. agrees to pay New York State stock transfer tax, and the Company agrees to reimburse Goldman, Sachs &amp; Co. for associated carrying costs if such tax payment is not rebated on the day of payment and for any portion of such tax payment not rebated. It is understood, however, that, except as provided in this Section, and Sections 8 and 11 hereof, the Underwriters will pay all of their own costs and expenses, including the fees of their counsel, stock transfer taxes on resale of any of the Shares by them, and any advertising expenses connected with any offers they may make.</w:t>
      </w:r>
    </w:p>
    <w:p>
      <w:pPr>
        <w:spacing w:after="0" w:line="200" w:lineRule="exact"/>
        <w:rPr>
          <w:rFonts w:ascii="Courier New" w:cs="Courier New" w:eastAsia="Courier New" w:hAnsi="Courier New"/>
          <w:sz w:val="14"/>
          <w:szCs w:val="14"/>
          <w:color w:val="auto"/>
        </w:rPr>
      </w:pPr>
    </w:p>
    <w:p>
      <w:pPr>
        <w:spacing w:after="0" w:line="320" w:lineRule="exact"/>
        <w:rPr>
          <w:rFonts w:ascii="Courier New" w:cs="Courier New" w:eastAsia="Courier New" w:hAnsi="Courier New"/>
          <w:sz w:val="14"/>
          <w:szCs w:val="14"/>
          <w:color w:val="auto"/>
        </w:rPr>
      </w:pPr>
    </w:p>
    <w:p>
      <w:pPr>
        <w:ind w:left="880" w:hanging="262"/>
        <w:spacing w:after="0"/>
        <w:tabs>
          <w:tab w:leader="none" w:pos="88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the Underwriters hereunder, as to the Shares to</w:t>
      </w:r>
    </w:p>
    <w:p>
      <w:pPr>
        <w:spacing w:after="0" w:line="4" w:lineRule="exact"/>
        <w:rPr>
          <w:sz w:val="20"/>
          <w:szCs w:val="20"/>
          <w:color w:val="auto"/>
        </w:rPr>
      </w:pPr>
    </w:p>
    <w:p>
      <w:pPr>
        <w:ind w:right="3079"/>
        <w:spacing w:after="0" w:line="265" w:lineRule="auto"/>
        <w:rPr>
          <w:sz w:val="20"/>
          <w:szCs w:val="20"/>
          <w:color w:val="auto"/>
        </w:rPr>
      </w:pPr>
      <w:r>
        <w:rPr>
          <w:rFonts w:ascii="Courier New" w:cs="Courier New" w:eastAsia="Courier New" w:hAnsi="Courier New"/>
          <w:sz w:val="14"/>
          <w:szCs w:val="14"/>
          <w:color w:val="auto"/>
        </w:rPr>
        <w:t>be delivered at each Time of Delivery, shall be subject, in their discretion, to the condition that all representations and warranties and other statements of the Company and of the Selling Stockholder herein are, at and as of such Time of Delivery, true and correct, the condition that the Company and the Selling</w:t>
      </w:r>
    </w:p>
    <w:p>
      <w:pPr>
        <w:spacing w:after="0" w:line="33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9" w:right="1440" w:bottom="1440" w:gutter="0" w:footer="0" w:header="0"/>
        </w:sectPr>
      </w:pPr>
    </w:p>
    <w:bookmarkStart w:id="153" w:name="page154"/>
    <w:bookmarkEnd w:id="153"/>
    <w:p>
      <w:pPr>
        <w:ind w:left="260"/>
        <w:spacing w:after="0"/>
        <w:rPr>
          <w:sz w:val="20"/>
          <w:szCs w:val="20"/>
          <w:color w:val="auto"/>
        </w:rPr>
      </w:pPr>
      <w:r>
        <w:rPr>
          <w:rFonts w:ascii="Courier New" w:cs="Courier New" w:eastAsia="Courier New" w:hAnsi="Courier New"/>
          <w:sz w:val="15"/>
          <w:szCs w:val="15"/>
          <w:color w:val="auto"/>
        </w:rPr>
        <w:t>16</w:t>
      </w:r>
    </w:p>
    <w:p>
      <w:pPr>
        <w:spacing w:after="0" w:line="348" w:lineRule="exact"/>
        <w:rPr>
          <w:sz w:val="20"/>
          <w:szCs w:val="20"/>
          <w:color w:val="auto"/>
        </w:rPr>
      </w:pPr>
    </w:p>
    <w:p>
      <w:pPr>
        <w:ind w:right="3519"/>
        <w:spacing w:after="0" w:line="274" w:lineRule="auto"/>
        <w:rPr>
          <w:sz w:val="20"/>
          <w:szCs w:val="20"/>
          <w:color w:val="auto"/>
        </w:rPr>
      </w:pPr>
      <w:r>
        <w:rPr>
          <w:rFonts w:ascii="Courier New" w:cs="Courier New" w:eastAsia="Courier New" w:hAnsi="Courier New"/>
          <w:sz w:val="14"/>
          <w:szCs w:val="14"/>
          <w:color w:val="auto"/>
        </w:rPr>
        <w:t>Stockholder shall have performed all of its and their obligations hereunder theretofore to be performed, and the following additional conditions:</w:t>
      </w:r>
    </w:p>
    <w:p>
      <w:pPr>
        <w:spacing w:after="0" w:line="154" w:lineRule="exact"/>
        <w:rPr>
          <w:sz w:val="20"/>
          <w:szCs w:val="20"/>
          <w:color w:val="auto"/>
        </w:rPr>
      </w:pPr>
    </w:p>
    <w:p>
      <w:pPr>
        <w:ind w:left="880" w:right="3079" w:firstLine="901"/>
        <w:spacing w:after="0" w:line="242" w:lineRule="auto"/>
        <w:tabs>
          <w:tab w:leader="none" w:pos="2132"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Prospectus shall have been filed with the Commission pursuant to Rule 424(b) within the applicable time period prescribed for such filing by the rules and regulations under the Act and in accordance with Section 5(a)(i) hereof; if the Company has elected to rely upon Rule 462(b), the Rule 462(b) Registration Statement shall have become effective by 10:00 P.M., Washington, D.C. time, on the date of this Agreement;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your reasonable satisfaction;</w:t>
      </w:r>
    </w:p>
    <w:p>
      <w:pPr>
        <w:spacing w:after="0" w:line="180" w:lineRule="exact"/>
        <w:rPr>
          <w:rFonts w:ascii="Courier New" w:cs="Courier New" w:eastAsia="Courier New" w:hAnsi="Courier New"/>
          <w:sz w:val="15"/>
          <w:szCs w:val="15"/>
          <w:color w:val="auto"/>
        </w:rPr>
      </w:pPr>
    </w:p>
    <w:p>
      <w:pPr>
        <w:ind w:left="880" w:right="3159" w:firstLine="901"/>
        <w:spacing w:after="0" w:line="242" w:lineRule="auto"/>
        <w:tabs>
          <w:tab w:leader="none" w:pos="2132"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Skadden, Arps, Slate, Meagher &amp; Flom LLP, counsel for the Underwriters, shall have furnished to you such written opinion or opinions, dated such Time of Delivery, in form and substance satisfactory to you, and such counsel shall have received such papers and information as they may reasonably request to enable them to pass upon such matters;</w:t>
      </w:r>
    </w:p>
    <w:p>
      <w:pPr>
        <w:spacing w:after="0" w:line="176" w:lineRule="exact"/>
        <w:rPr>
          <w:rFonts w:ascii="Courier New" w:cs="Courier New" w:eastAsia="Courier New" w:hAnsi="Courier New"/>
          <w:sz w:val="15"/>
          <w:szCs w:val="15"/>
          <w:color w:val="auto"/>
        </w:rPr>
      </w:pPr>
    </w:p>
    <w:p>
      <w:pPr>
        <w:ind w:left="880" w:right="3159" w:firstLine="901"/>
        <w:spacing w:after="0" w:line="242" w:lineRule="auto"/>
        <w:tabs>
          <w:tab w:leader="none" w:pos="2132"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Reboul, MacMurray, Hewitt, Maynard &amp; Kristol, counsel for the Company, shall have furnished to you their written opinion (a draft of such opinion is attached as Annex III(a) hereto), dated such Time of Delivery, in form and substance satisfactory to you, to the effect that:</w:t>
      </w:r>
    </w:p>
    <w:p>
      <w:pPr>
        <w:spacing w:after="0" w:line="175" w:lineRule="exact"/>
        <w:rPr>
          <w:sz w:val="20"/>
          <w:szCs w:val="20"/>
          <w:color w:val="auto"/>
        </w:rPr>
      </w:pPr>
    </w:p>
    <w:p>
      <w:pPr>
        <w:ind w:left="880" w:right="3079" w:firstLine="901"/>
        <w:spacing w:after="0" w:line="242" w:lineRule="auto"/>
        <w:tabs>
          <w:tab w:leader="none" w:pos="2132"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duly qualified as a foreign corporation for the transaction of business and is in good standing under the laws of each jurisdiction in the United States in which it owns or leases properties or conducts any business so as to require such qualification, or is subject to no material liability or disability by reason of failure to be so qualified in any such jurisdiction (such counsel being entitled to rely in respect of the opinion in this clause upon opinions of local counsel and in respect of matters of fact upon certificates of officers of the Company, provided that such counsel shall state that they believe that both you and they are justified in relying upon such opinions and certificates);</w:t>
      </w:r>
    </w:p>
    <w:p>
      <w:pPr>
        <w:spacing w:after="0" w:line="180" w:lineRule="exact"/>
        <w:rPr>
          <w:rFonts w:ascii="Courier New" w:cs="Courier New" w:eastAsia="Courier New" w:hAnsi="Courier New"/>
          <w:sz w:val="15"/>
          <w:szCs w:val="15"/>
          <w:color w:val="auto"/>
        </w:rPr>
      </w:pPr>
    </w:p>
    <w:p>
      <w:pPr>
        <w:ind w:left="880" w:right="3079" w:firstLine="901"/>
        <w:spacing w:after="0" w:line="242" w:lineRule="auto"/>
        <w:tabs>
          <w:tab w:leader="none" w:pos="2222"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U.S. subsidiary of the Company has been duly incorporated and is validly existing as a corporation in good standing under the laws of its jurisdiction of incorporation; and all of the issued shares of capital stock of each such subsidiary have been duly and validly authorized and issued, are fully paid and non-assessable, and (except for directors' qualifying shares) are owned directly or indirectly by the Company, free and clear of all liens, encumbrances, equities or claims (such counsel being entitled to rely in respect of the opinion in this clause upon opinions of local counsel and in respect of matters of fact upon certificates of</w:t>
      </w:r>
    </w:p>
    <w:p>
      <w:pPr>
        <w:spacing w:after="0" w:line="200" w:lineRule="exact"/>
        <w:rPr>
          <w:sz w:val="20"/>
          <w:szCs w:val="20"/>
          <w:color w:val="auto"/>
        </w:rPr>
      </w:pPr>
    </w:p>
    <w:p>
      <w:pPr>
        <w:spacing w:after="0" w:line="32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9" w:right="1440" w:bottom="1440" w:gutter="0" w:footer="0" w:header="0"/>
        </w:sectPr>
      </w:pPr>
    </w:p>
    <w:bookmarkStart w:id="154" w:name="page155"/>
    <w:bookmarkEnd w:id="154"/>
    <w:p>
      <w:pPr>
        <w:spacing w:after="0"/>
        <w:rPr>
          <w:sz w:val="20"/>
          <w:szCs w:val="20"/>
          <w:color w:val="auto"/>
        </w:rPr>
      </w:pPr>
      <w:r>
        <w:rPr>
          <w:rFonts w:ascii="Courier New" w:cs="Courier New" w:eastAsia="Courier New" w:hAnsi="Courier New"/>
          <w:sz w:val="15"/>
          <w:szCs w:val="15"/>
          <w:color w:val="auto"/>
        </w:rPr>
        <w:t>17</w:t>
      </w:r>
    </w:p>
    <w:p>
      <w:pPr>
        <w:spacing w:after="0" w:line="4" w:lineRule="exact"/>
        <w:rPr>
          <w:sz w:val="20"/>
          <w:szCs w:val="20"/>
          <w:color w:val="auto"/>
        </w:rPr>
      </w:pPr>
    </w:p>
    <w:p>
      <w:pPr>
        <w:jc w:val="both"/>
        <w:ind w:left="620" w:right="3599"/>
        <w:spacing w:after="0" w:line="241" w:lineRule="auto"/>
        <w:rPr>
          <w:sz w:val="20"/>
          <w:szCs w:val="20"/>
          <w:color w:val="auto"/>
        </w:rPr>
      </w:pPr>
      <w:r>
        <w:rPr>
          <w:rFonts w:ascii="Courier New" w:cs="Courier New" w:eastAsia="Courier New" w:hAnsi="Courier New"/>
          <w:sz w:val="15"/>
          <w:szCs w:val="15"/>
          <w:color w:val="auto"/>
        </w:rPr>
        <w:t>officers of the Company or its subsidiaries, provided that such counsel shall state that they believe that both you and they are justified in relying upon such opinions and certificates);</w:t>
      </w:r>
    </w:p>
    <w:p>
      <w:pPr>
        <w:spacing w:after="0" w:line="176" w:lineRule="exact"/>
        <w:rPr>
          <w:sz w:val="20"/>
          <w:szCs w:val="20"/>
          <w:color w:val="auto"/>
        </w:rPr>
      </w:pPr>
    </w:p>
    <w:p>
      <w:pPr>
        <w:ind w:left="2060" w:hanging="539"/>
        <w:spacing w:after="0"/>
        <w:tabs>
          <w:tab w:leader="none" w:pos="206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has been duly executed and delivered by</w:t>
      </w:r>
    </w:p>
    <w:p>
      <w:pPr>
        <w:spacing w:after="0" w:line="11"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the Company;</w:t>
      </w:r>
    </w:p>
    <w:p>
      <w:pPr>
        <w:spacing w:after="0" w:line="175" w:lineRule="exact"/>
        <w:rPr>
          <w:rFonts w:ascii="Courier New" w:cs="Courier New" w:eastAsia="Courier New" w:hAnsi="Courier New"/>
          <w:sz w:val="14"/>
          <w:szCs w:val="14"/>
          <w:color w:val="auto"/>
        </w:rPr>
      </w:pPr>
    </w:p>
    <w:p>
      <w:pPr>
        <w:ind w:left="620" w:right="3159" w:firstLine="901"/>
        <w:spacing w:after="0" w:line="242" w:lineRule="auto"/>
        <w:tabs>
          <w:tab w:leader="none" w:pos="1962"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statements in the Prospectus under "Comparison of United States and Guernsey Corporate Law" to the extent such statements relate to matters of United States law or regulation or to the provisions of documents therein described, are accurate, complete and fair in all material respects, and nothing has been omitted from such statements which would make the same misleading in any material respect;</w:t>
      </w:r>
    </w:p>
    <w:p>
      <w:pPr>
        <w:spacing w:after="0" w:line="176" w:lineRule="exact"/>
        <w:rPr>
          <w:rFonts w:ascii="Courier New" w:cs="Courier New" w:eastAsia="Courier New" w:hAnsi="Courier New"/>
          <w:sz w:val="15"/>
          <w:szCs w:val="15"/>
          <w:color w:val="auto"/>
        </w:rPr>
      </w:pPr>
    </w:p>
    <w:p>
      <w:pPr>
        <w:ind w:left="620" w:right="3079" w:firstLine="901"/>
        <w:spacing w:after="0" w:line="262" w:lineRule="auto"/>
        <w:tabs>
          <w:tab w:leader="none" w:pos="1872"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Company's U.S. subsidiaries are in violation of their respective constituent documents or, to the best of such counsel's knowledge, in default in the performance or observance of any material obligation, agreement, covenant or condition contained in any indenture, mortgage, deed of trust, loan agreement, lease or other agreement or instrument to which any of them is a party or by which any of them or any of their properties may be bound;</w:t>
      </w:r>
    </w:p>
    <w:p>
      <w:pPr>
        <w:spacing w:after="0" w:line="164" w:lineRule="exact"/>
        <w:rPr>
          <w:rFonts w:ascii="Courier New" w:cs="Courier New" w:eastAsia="Courier New" w:hAnsi="Courier New"/>
          <w:sz w:val="14"/>
          <w:szCs w:val="14"/>
          <w:color w:val="auto"/>
        </w:rPr>
      </w:pPr>
    </w:p>
    <w:p>
      <w:pPr>
        <w:ind w:left="620" w:right="3159" w:firstLine="901"/>
        <w:spacing w:after="0" w:line="242" w:lineRule="auto"/>
        <w:tabs>
          <w:tab w:leader="none" w:pos="1962"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statements set forth in the Prospectus under the captions "Underwriting" and "Taxation of Holders of Ordinary Shares", insofar as they purport to describe provisions of United States federal or New York law and documents referred to therein, are accurate, complete and fair in all material respects;</w:t>
      </w:r>
    </w:p>
    <w:p>
      <w:pPr>
        <w:spacing w:after="0" w:line="175" w:lineRule="exact"/>
        <w:rPr>
          <w:rFonts w:ascii="Courier New" w:cs="Courier New" w:eastAsia="Courier New" w:hAnsi="Courier New"/>
          <w:sz w:val="15"/>
          <w:szCs w:val="15"/>
          <w:color w:val="auto"/>
        </w:rPr>
      </w:pPr>
    </w:p>
    <w:p>
      <w:pPr>
        <w:ind w:left="620" w:right="3079" w:firstLine="901"/>
        <w:spacing w:after="0" w:line="242" w:lineRule="auto"/>
        <w:tabs>
          <w:tab w:leader="none" w:pos="2051"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laws of the State of New York relating to personal jurisdiction, the Company has, pursuant to Section 14 of this Agreement, validly and irrevocably submitted to the personal jurisdiction of any state or federal court located in the Borough of Manhattan, The City of New York, New York (each a "New York Court") in any action arising out of or relating to this Agreement or the transactions contemplated hereby, has validly and irrevocably waived any objection to the venue of a proceeding in any such court, and has validly and irrevocably appointed the Authorized Agent (as defined herein) as its authorized agent for the purpose described in Section</w:t>
      </w:r>
    </w:p>
    <w:p>
      <w:pPr>
        <w:spacing w:after="0" w:line="6" w:lineRule="exact"/>
        <w:rPr>
          <w:rFonts w:ascii="Courier New" w:cs="Courier New" w:eastAsia="Courier New" w:hAnsi="Courier New"/>
          <w:sz w:val="15"/>
          <w:szCs w:val="15"/>
          <w:color w:val="auto"/>
        </w:rPr>
      </w:pPr>
    </w:p>
    <w:p>
      <w:pPr>
        <w:ind w:left="62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14 hereof; and service of process effected on such agent in the manner set forth in Section 14 hereof will be effective insofar as the law of the State of New York is concerned to confer valid personal jurisdiction over the Company;</w:t>
      </w:r>
    </w:p>
    <w:p>
      <w:pPr>
        <w:spacing w:after="0" w:line="174" w:lineRule="exact"/>
        <w:rPr>
          <w:rFonts w:ascii="Courier New" w:cs="Courier New" w:eastAsia="Courier New" w:hAnsi="Courier New"/>
          <w:sz w:val="15"/>
          <w:szCs w:val="15"/>
          <w:color w:val="auto"/>
        </w:rPr>
      </w:pPr>
    </w:p>
    <w:p>
      <w:pPr>
        <w:ind w:left="620" w:right="3079" w:firstLine="901"/>
        <w:spacing w:after="0" w:line="242" w:lineRule="auto"/>
        <w:tabs>
          <w:tab w:leader="none" w:pos="2141"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such counsel's knowledge and other than as set forth in the Prospectus, there are no legal or governmental proceedings pending in any United States federal or state court to which the Company or any of its subsidiaries is a party or of which any property of the Company or any of its subsidiaries is the subject which, if determined adversely to the Company or any of its subsidiaries,</w:t>
      </w:r>
    </w:p>
    <w:p>
      <w:pPr>
        <w:spacing w:after="0" w:line="200" w:lineRule="exact"/>
        <w:rPr>
          <w:sz w:val="20"/>
          <w:szCs w:val="20"/>
          <w:color w:val="auto"/>
        </w:rPr>
      </w:pPr>
    </w:p>
    <w:p>
      <w:pPr>
        <w:spacing w:after="0" w:line="319"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959"/>
          </w:cols>
          <w:pgMar w:left="500" w:top="289" w:right="1440" w:bottom="1440" w:gutter="0" w:footer="0" w:header="0"/>
        </w:sectPr>
      </w:pPr>
    </w:p>
    <w:bookmarkStart w:id="155" w:name="page156"/>
    <w:bookmarkEnd w:id="155"/>
    <w:p>
      <w:pPr>
        <w:spacing w:after="0"/>
        <w:rPr>
          <w:sz w:val="20"/>
          <w:szCs w:val="20"/>
          <w:color w:val="auto"/>
        </w:rPr>
      </w:pPr>
      <w:r>
        <w:rPr>
          <w:rFonts w:ascii="Courier New" w:cs="Courier New" w:eastAsia="Courier New" w:hAnsi="Courier New"/>
          <w:sz w:val="15"/>
          <w:szCs w:val="15"/>
          <w:color w:val="auto"/>
        </w:rPr>
        <w:t>18</w:t>
      </w:r>
    </w:p>
    <w:p>
      <w:pPr>
        <w:spacing w:after="0" w:line="4" w:lineRule="exact"/>
        <w:rPr>
          <w:sz w:val="20"/>
          <w:szCs w:val="20"/>
          <w:color w:val="auto"/>
        </w:rPr>
      </w:pPr>
    </w:p>
    <w:p>
      <w:pPr>
        <w:ind w:left="620" w:right="3159"/>
        <w:spacing w:after="0" w:line="242" w:lineRule="auto"/>
        <w:rPr>
          <w:sz w:val="20"/>
          <w:szCs w:val="20"/>
          <w:color w:val="auto"/>
        </w:rPr>
      </w:pPr>
      <w:r>
        <w:rPr>
          <w:rFonts w:ascii="Courier New" w:cs="Courier New" w:eastAsia="Courier New" w:hAnsi="Courier New"/>
          <w:sz w:val="15"/>
          <w:szCs w:val="15"/>
          <w:color w:val="auto"/>
        </w:rPr>
        <w:t>would individually or in the aggregate be reasonably likely to have a material adverse effect on the current or future consolidated financial position, shareholders' equity or results of operations of the Company and its subsidiaries; and, to the best of such counsel's knowledge, no such proceedings are threatened or contemplated by any Governmental Agency or threatened by others;</w:t>
      </w:r>
    </w:p>
    <w:p>
      <w:pPr>
        <w:spacing w:after="0" w:line="176" w:lineRule="exact"/>
        <w:rPr>
          <w:sz w:val="20"/>
          <w:szCs w:val="20"/>
          <w:color w:val="auto"/>
        </w:rPr>
      </w:pPr>
    </w:p>
    <w:p>
      <w:pPr>
        <w:ind w:left="620" w:right="3079" w:firstLine="901"/>
        <w:spacing w:after="0" w:line="242" w:lineRule="auto"/>
        <w:tabs>
          <w:tab w:leader="none" w:pos="1962"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compliance by the Company with all of the provisions of this Agreement and the consummation of the transactions herein contemplated will not conflict with or result in a breach or violation of any of the terms or provisions of, or constitute a default under, any indenture, mortgage, deed of trust, loan agreement or other agreement or instrument known to such counsel to which the Company or any of the Company's U.S. subsidiaries is a party or by which the Company or any of the Company's U.S. subsidiaries is bound or to which any of the property or assets of the Company or any of such subsidiaries is subject, nor will such action result in any violation of any statute or any order, rule or regulation known to such counsel of any United States Federal or New York Governmental Agency having jurisdiction over the Company or any of its subsidiaries or any of their properties;</w:t>
      </w:r>
    </w:p>
    <w:p>
      <w:pPr>
        <w:spacing w:after="0" w:line="181" w:lineRule="exact"/>
        <w:rPr>
          <w:rFonts w:ascii="Courier New" w:cs="Courier New" w:eastAsia="Courier New" w:hAnsi="Courier New"/>
          <w:sz w:val="15"/>
          <w:szCs w:val="15"/>
          <w:color w:val="auto"/>
        </w:rPr>
      </w:pPr>
    </w:p>
    <w:p>
      <w:pPr>
        <w:ind w:left="620" w:right="3079" w:firstLine="901"/>
        <w:spacing w:after="0" w:line="242" w:lineRule="auto"/>
        <w:tabs>
          <w:tab w:leader="none" w:pos="1872"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Governmental Authorization of the United States or the State of New York is required for the sale of the Shares or the consummation by the Company of the transactions contemplated by this Agreement, except the registration under the Act of the Shares, and such consents, approvals, authorizations, registrations or qualifications as may be required under state securities or Blue Sky laws in connection with the purchase and distribution of the Shares by the Underwriters or which have been obtained and are in full force and effect;</w:t>
      </w:r>
    </w:p>
    <w:p>
      <w:pPr>
        <w:spacing w:after="0" w:line="178" w:lineRule="exact"/>
        <w:rPr>
          <w:rFonts w:ascii="Courier New" w:cs="Courier New" w:eastAsia="Courier New" w:hAnsi="Courier New"/>
          <w:sz w:val="15"/>
          <w:szCs w:val="15"/>
          <w:color w:val="auto"/>
        </w:rPr>
      </w:pPr>
    </w:p>
    <w:p>
      <w:pPr>
        <w:ind w:left="620" w:right="3439" w:firstLine="901"/>
        <w:spacing w:after="0"/>
        <w:tabs>
          <w:tab w:leader="none" w:pos="1962"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an "investment company", as such term is defined in the Investment Company Act;</w:t>
      </w:r>
    </w:p>
    <w:p>
      <w:pPr>
        <w:spacing w:after="0" w:line="176" w:lineRule="exact"/>
        <w:rPr>
          <w:rFonts w:ascii="Courier New" w:cs="Courier New" w:eastAsia="Courier New" w:hAnsi="Courier New"/>
          <w:sz w:val="15"/>
          <w:szCs w:val="15"/>
          <w:color w:val="auto"/>
        </w:rPr>
      </w:pPr>
    </w:p>
    <w:p>
      <w:pPr>
        <w:ind w:left="620" w:right="3079" w:firstLine="901"/>
        <w:spacing w:after="0" w:line="242" w:lineRule="auto"/>
        <w:tabs>
          <w:tab w:leader="none" w:pos="2051"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documents incorporated by reference in the Prospectus or any further amendment or supplement thereto made by the Company prior to such Time of Delivery (other than the financial statements and related schedules and other financial data derived from the Company's accounting records contained therein, as to which such counsel need express no opinion), when they became effective or were filed with the Commission, as the case may be, appeared on their face to be appropriately responsive in all material respects to the requirements of the Exchange Act and the rules and regulations promulgated thereunder; and they have no reason to believe that any of such documents, when such documents became effective or were so filed, as the case may be, contained, in the case of a registration statement which became effective under the Act, an untrue statement of a material fact or omitted to state a material fact required to be stated therein or necessary to make the statements therein not misleading, or, in the case of other documents which were filed under the Exchange Act with the Commission, an untrue statement</w:t>
      </w:r>
    </w:p>
    <w:p>
      <w:pPr>
        <w:spacing w:after="0" w:line="200" w:lineRule="exact"/>
        <w:rPr>
          <w:sz w:val="20"/>
          <w:szCs w:val="20"/>
          <w:color w:val="auto"/>
        </w:rPr>
      </w:pPr>
    </w:p>
    <w:p>
      <w:pPr>
        <w:spacing w:after="0" w:line="32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959"/>
          </w:cols>
          <w:pgMar w:left="500" w:top="289" w:right="1440" w:bottom="1440" w:gutter="0" w:footer="0" w:header="0"/>
        </w:sectPr>
      </w:pPr>
    </w:p>
    <w:bookmarkStart w:id="156" w:name="page157"/>
    <w:bookmarkEnd w:id="156"/>
    <w:p>
      <w:pPr>
        <w:ind w:left="260"/>
        <w:spacing w:after="0"/>
        <w:rPr>
          <w:sz w:val="20"/>
          <w:szCs w:val="20"/>
          <w:color w:val="auto"/>
        </w:rPr>
      </w:pPr>
      <w:r>
        <w:rPr>
          <w:rFonts w:ascii="Courier New" w:cs="Courier New" w:eastAsia="Courier New" w:hAnsi="Courier New"/>
          <w:sz w:val="15"/>
          <w:szCs w:val="15"/>
          <w:color w:val="auto"/>
        </w:rPr>
        <w:t>19</w:t>
      </w:r>
    </w:p>
    <w:p>
      <w:pPr>
        <w:spacing w:after="0" w:line="176" w:lineRule="exact"/>
        <w:rPr>
          <w:sz w:val="20"/>
          <w:szCs w:val="20"/>
          <w:color w:val="auto"/>
        </w:rPr>
      </w:pPr>
    </w:p>
    <w:p>
      <w:pPr>
        <w:ind w:left="880" w:right="3259"/>
        <w:spacing w:after="0" w:line="242" w:lineRule="auto"/>
        <w:rPr>
          <w:sz w:val="20"/>
          <w:szCs w:val="20"/>
          <w:color w:val="auto"/>
        </w:rPr>
      </w:pPr>
      <w:r>
        <w:rPr>
          <w:rFonts w:ascii="Courier New" w:cs="Courier New" w:eastAsia="Courier New" w:hAnsi="Courier New"/>
          <w:sz w:val="15"/>
          <w:szCs w:val="15"/>
          <w:color w:val="auto"/>
        </w:rPr>
        <w:t>of a material fact or omitted to state a material fact necessary in order to make the statements therein, in the light of the circumstances under which they were made when such documents were so filed, not misleading; and</w:t>
      </w:r>
    </w:p>
    <w:p>
      <w:pPr>
        <w:spacing w:after="0" w:line="175" w:lineRule="exact"/>
        <w:rPr>
          <w:sz w:val="20"/>
          <w:szCs w:val="20"/>
          <w:color w:val="auto"/>
        </w:rPr>
      </w:pPr>
    </w:p>
    <w:p>
      <w:pPr>
        <w:ind w:left="880" w:right="3079" w:firstLine="901"/>
        <w:spacing w:after="0" w:line="260" w:lineRule="auto"/>
        <w:tabs>
          <w:tab w:leader="none" w:pos="2401"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and the Prospectus and any further amendments and supplements thereto made by the Company prior to such Time of Delivery (other than the financial statements and related schedules and other financial data derived from the Company's accounting records contained therein, as to which such counsel need express no opinion) comply as to form in all material respects with the requirements of the Act and the rules and regulations thereunder; although they do not assume any responsibility for the accuracy, completeness or fairness of the statements contained in the Registration Statement or the Prospectus, except for those referred to in the opinion in subsections (iv) and (vi) of this Section 7(c), they have no reason to believe that, as of its effective date, the Registration Statement or any further amendment thereto made by the Company prior to such Time of Delivery (other than the financial statements and related schedules and other financial data derived from the Company's accounting records contained therein, as to which such counsel need express no opinion) contained an untrue statement of a material fact or omitted to state a material fact required to be stated therein or necessary to make the statements therein not misleading or that, as of its date, the Prospectus or any further amendment or supplement thereto made by the Company prior to such Time of Delivery (other than the financial statements and related schedules and other financial data derived from the Company's accounting records contained therein, as to which such counsel need express no opinion) contained an untrue statement of a material fact or omitted to state a material fact necessary to make the statements therein, in the light of the circumstances under which they were made, not misleading or that, as of such Time of Delivery, either the Registration Statement or the Prospectus or any further amendment or supplement thereto made by the Company prior to such Time of Delivery (other than the financial statements and related schedules and other financial data derived from the Company's accounting records contained therein, as to which such counsel need express no opinion) contains an untrue statement of a material fact or omits to state a material fact necessary to make the statements therein, in the light of the circumstances under which they were made, not misleading; and they do not know of any amendment to the Registration Statement required to be filed or of any contracts or other documents of a character required to be filed as an exhibit to the Registration Statement or required to be incorporated by reference into the Prospectus or required to be described in the Registration Statement or the Prospectus which are not filed or incorporated by reference or described as required;</w:t>
      </w:r>
    </w:p>
    <w:p>
      <w:pPr>
        <w:spacing w:after="0" w:line="200" w:lineRule="exact"/>
        <w:rPr>
          <w:sz w:val="20"/>
          <w:szCs w:val="20"/>
          <w:color w:val="auto"/>
        </w:rPr>
      </w:pPr>
    </w:p>
    <w:p>
      <w:pPr>
        <w:spacing w:after="0" w:line="324"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In rendering such opinion, such counsel may state that they express no opinion as to the laws of any jurisdiction outside the United States;</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9" w:right="1440" w:bottom="1440" w:gutter="0" w:footer="0" w:header="0"/>
        </w:sectPr>
      </w:pPr>
    </w:p>
    <w:bookmarkStart w:id="157" w:name="page158"/>
    <w:bookmarkEnd w:id="157"/>
    <w:p>
      <w:pPr>
        <w:spacing w:after="0"/>
        <w:rPr>
          <w:sz w:val="20"/>
          <w:szCs w:val="20"/>
          <w:color w:val="auto"/>
        </w:rPr>
      </w:pPr>
      <w:r>
        <w:rPr>
          <w:rFonts w:ascii="Courier New" w:cs="Courier New" w:eastAsia="Courier New" w:hAnsi="Courier New"/>
          <w:sz w:val="15"/>
          <w:szCs w:val="15"/>
          <w:color w:val="auto"/>
        </w:rPr>
        <w:t>20</w:t>
      </w:r>
    </w:p>
    <w:p>
      <w:pPr>
        <w:spacing w:after="0" w:line="4" w:lineRule="exact"/>
        <w:rPr>
          <w:sz w:val="20"/>
          <w:szCs w:val="20"/>
          <w:color w:val="auto"/>
        </w:rPr>
      </w:pPr>
    </w:p>
    <w:p>
      <w:pPr>
        <w:ind w:left="620" w:right="3079" w:firstLine="901"/>
        <w:spacing w:after="0" w:line="242" w:lineRule="auto"/>
        <w:tabs>
          <w:tab w:leader="none" w:pos="1872"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Carey Langlois, counsel for the Company, shall have furnished to you their written opinion (a draft of such opinion is attached as Annex III(b) hereto), dated such Time of Delivery, in form and substance satisfactory to you, to the effect that:</w:t>
      </w:r>
    </w:p>
    <w:p>
      <w:pPr>
        <w:spacing w:after="0" w:line="175" w:lineRule="exact"/>
        <w:rPr>
          <w:sz w:val="20"/>
          <w:szCs w:val="20"/>
          <w:color w:val="auto"/>
        </w:rPr>
      </w:pPr>
    </w:p>
    <w:p>
      <w:pPr>
        <w:ind w:left="620" w:right="3079" w:firstLine="901"/>
        <w:spacing w:after="0" w:line="262" w:lineRule="auto"/>
        <w:tabs>
          <w:tab w:leader="none" w:pos="1872"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been duly incorporated and is validly existing as a company under the laws of Guernsey, with power and authority (corporate and other) to own its properties and conduct its business as described in the Prospectus; and the Company has filed its most recent statutory annual return, has paid all fees due thereon and there are no outstanding unsatisfied judgements registered in Guernsey against the Company and there are no outstanding applications, orders or resolutions for the winding-up of the Company;</w:t>
      </w:r>
    </w:p>
    <w:p>
      <w:pPr>
        <w:spacing w:after="0" w:line="163" w:lineRule="exact"/>
        <w:rPr>
          <w:rFonts w:ascii="Courier New" w:cs="Courier New" w:eastAsia="Courier New" w:hAnsi="Courier New"/>
          <w:sz w:val="14"/>
          <w:szCs w:val="14"/>
          <w:color w:val="auto"/>
        </w:rPr>
      </w:pPr>
    </w:p>
    <w:p>
      <w:pPr>
        <w:ind w:left="620" w:right="3079" w:firstLine="901"/>
        <w:spacing w:after="0" w:line="242" w:lineRule="auto"/>
        <w:tabs>
          <w:tab w:leader="none" w:pos="1962"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an authorized capitalization as set forth in the Prospectus, and all of the issued shares of capital stock of the Company (including the Shares) have been duly and validly authorized and issued and are fully paid and non-assessable; the holders of outstanding shares of capital stock of the Company are not entitled to preemptive or other rights to acquire the Shares to be purchased from the Selling Stockholder under this Agreement which have not been complied with; there are no restrictions on subsequent transfers of the Shares; and the Shares conform to the description of the Stock contained in the Prospectus;</w:t>
      </w:r>
    </w:p>
    <w:p>
      <w:pPr>
        <w:spacing w:after="0" w:line="178" w:lineRule="exact"/>
        <w:rPr>
          <w:rFonts w:ascii="Courier New" w:cs="Courier New" w:eastAsia="Courier New" w:hAnsi="Courier New"/>
          <w:sz w:val="15"/>
          <w:szCs w:val="15"/>
          <w:color w:val="auto"/>
        </w:rPr>
      </w:pPr>
    </w:p>
    <w:p>
      <w:pPr>
        <w:ind w:left="620" w:right="3079" w:firstLine="901"/>
        <w:spacing w:after="0" w:line="261" w:lineRule="auto"/>
        <w:tabs>
          <w:tab w:leader="none" w:pos="2051"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of such counsel's knowledge and other than as set forth in the Prospectus, there are no legal or governmental proceedings pending in Guernsey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current or future consolidated financial position, shareholders' equity or results of operations of the Company and its subsidiaries; and, to the best of such counsel's knowledge, no such proceedings are threatened or contemplated by any Governmental Agency or threatened by others;</w:t>
      </w:r>
    </w:p>
    <w:p>
      <w:pPr>
        <w:spacing w:after="0" w:line="166" w:lineRule="exact"/>
        <w:rPr>
          <w:rFonts w:ascii="Courier New" w:cs="Courier New" w:eastAsia="Courier New" w:hAnsi="Courier New"/>
          <w:sz w:val="14"/>
          <w:szCs w:val="14"/>
          <w:color w:val="auto"/>
        </w:rPr>
      </w:pPr>
    </w:p>
    <w:p>
      <w:pPr>
        <w:ind w:left="1960" w:hanging="439"/>
        <w:spacing w:after="0"/>
        <w:tabs>
          <w:tab w:leader="none" w:pos="196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has been duly authorized by the Company;</w:t>
      </w:r>
    </w:p>
    <w:p>
      <w:pPr>
        <w:spacing w:after="0" w:line="185" w:lineRule="exact"/>
        <w:rPr>
          <w:rFonts w:ascii="Courier New" w:cs="Courier New" w:eastAsia="Courier New" w:hAnsi="Courier New"/>
          <w:sz w:val="14"/>
          <w:szCs w:val="14"/>
          <w:color w:val="auto"/>
        </w:rPr>
      </w:pPr>
    </w:p>
    <w:p>
      <w:pPr>
        <w:ind w:left="620" w:right="3079" w:firstLine="901"/>
        <w:spacing w:after="0" w:line="262" w:lineRule="auto"/>
        <w:tabs>
          <w:tab w:leader="none" w:pos="1872"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compliance by the Company with all of the provisions of this Agreement and the consummation of the transactions herein contemplated will not result in any violation of the provisions of the Memorandum of Association and Articles of Association of the Company or any Guernsey statute or any order, rule or regulation known to such counsel of any Governmental Agency in Guernsey having jurisdiction over the Company or any of its properties;</w:t>
      </w:r>
    </w:p>
    <w:p>
      <w:pPr>
        <w:spacing w:after="0" w:line="200" w:lineRule="exact"/>
        <w:rPr>
          <w:sz w:val="20"/>
          <w:szCs w:val="20"/>
          <w:color w:val="auto"/>
        </w:rPr>
      </w:pPr>
    </w:p>
    <w:p>
      <w:pPr>
        <w:spacing w:after="0" w:line="30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959"/>
          </w:cols>
          <w:pgMar w:left="500" w:top="289" w:right="1440" w:bottom="1440" w:gutter="0" w:footer="0" w:header="0"/>
        </w:sectPr>
      </w:pPr>
    </w:p>
    <w:bookmarkStart w:id="158" w:name="page159"/>
    <w:bookmarkEnd w:id="158"/>
    <w:p>
      <w:pPr>
        <w:spacing w:after="0"/>
        <w:rPr>
          <w:sz w:val="20"/>
          <w:szCs w:val="20"/>
          <w:color w:val="auto"/>
        </w:rPr>
      </w:pPr>
      <w:r>
        <w:rPr>
          <w:rFonts w:ascii="Courier New" w:cs="Courier New" w:eastAsia="Courier New" w:hAnsi="Courier New"/>
          <w:sz w:val="15"/>
          <w:szCs w:val="15"/>
          <w:color w:val="auto"/>
        </w:rPr>
        <w:t>21</w:t>
      </w:r>
    </w:p>
    <w:p>
      <w:pPr>
        <w:spacing w:after="0" w:line="4" w:lineRule="exact"/>
        <w:rPr>
          <w:sz w:val="20"/>
          <w:szCs w:val="20"/>
          <w:color w:val="auto"/>
        </w:rPr>
      </w:pPr>
    </w:p>
    <w:p>
      <w:pPr>
        <w:ind w:left="620" w:right="3079" w:firstLine="901"/>
        <w:spacing w:after="0" w:line="263" w:lineRule="auto"/>
        <w:tabs>
          <w:tab w:leader="none" w:pos="1962"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Governmental Authorization of or with any Governmental Agency is required in Guernsey for the sale of the Shares or the consummation by the Company of the transactions contemplated by this Agreement, except any such consents, approvals, authorizations or orders which have been duly obtained and are in full force and effect;</w:t>
      </w:r>
    </w:p>
    <w:p>
      <w:pPr>
        <w:spacing w:after="0" w:line="163" w:lineRule="exact"/>
        <w:rPr>
          <w:rFonts w:ascii="Courier New" w:cs="Courier New" w:eastAsia="Courier New" w:hAnsi="Courier New"/>
          <w:sz w:val="14"/>
          <w:szCs w:val="14"/>
          <w:color w:val="auto"/>
        </w:rPr>
      </w:pPr>
    </w:p>
    <w:p>
      <w:pPr>
        <w:ind w:left="620" w:right="3159" w:firstLine="901"/>
        <w:spacing w:after="0" w:line="242" w:lineRule="auto"/>
        <w:tabs>
          <w:tab w:leader="none" w:pos="2051"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statements in the Prospectus under "Comparison of United States and Guernsey Corporate Law" to the extent such statements relate to matters of Guernsey law or regulation or to the provisions of documents therein described, are accurate, complete and fair in all material respects, and nothing has been omitted from such statements which would make the same misleading in any material respect;</w:t>
      </w:r>
    </w:p>
    <w:p>
      <w:pPr>
        <w:spacing w:after="0" w:line="176" w:lineRule="exact"/>
        <w:rPr>
          <w:rFonts w:ascii="Courier New" w:cs="Courier New" w:eastAsia="Courier New" w:hAnsi="Courier New"/>
          <w:sz w:val="15"/>
          <w:szCs w:val="15"/>
          <w:color w:val="auto"/>
        </w:rPr>
      </w:pPr>
    </w:p>
    <w:p>
      <w:pPr>
        <w:ind w:left="620" w:right="3079" w:firstLine="901"/>
        <w:spacing w:after="0" w:line="263" w:lineRule="auto"/>
        <w:tabs>
          <w:tab w:leader="none" w:pos="2141"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matters of Guernsey law are concerned, the Registration Statement and the filing of the Registration Statement with the Commission have been duly authorized by and on behalf of the Company; and the Registration Statement has been duly executed pursuant to such authorization by and on behalf of the Company;</w:t>
      </w:r>
    </w:p>
    <w:p>
      <w:pPr>
        <w:spacing w:after="0" w:line="163" w:lineRule="exact"/>
        <w:rPr>
          <w:rFonts w:ascii="Courier New" w:cs="Courier New" w:eastAsia="Courier New" w:hAnsi="Courier New"/>
          <w:sz w:val="14"/>
          <w:szCs w:val="14"/>
          <w:color w:val="auto"/>
        </w:rPr>
      </w:pPr>
    </w:p>
    <w:p>
      <w:pPr>
        <w:ind w:left="620" w:right="3079" w:firstLine="901"/>
        <w:spacing w:after="0" w:line="261" w:lineRule="auto"/>
        <w:tabs>
          <w:tab w:leader="none" w:pos="1962"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agreement to the choice of law provisions set forth in Section 14 hereof will be recognized by the courts of Guernsey; the Company can sue and be sued in its own name under the laws of Guernsey; the irrevocable submission of the Company to the exclusive jurisdiction of a New York Court, the waiver by the Company of any objection to the venue of a proceeding of a New York Court and the agreement of the Company that this Agreement shall be governed by and construed in accordance with the laws of the State of New York are legal, valid and binding; service of process effected in the manner set forth in Section 14 hereof will be effective, insofar as the law of Guernsey is concerned, to confer valid personal jurisdiction over the Company; and judgment obtained in a New York Court arising out of or in relation to the obligations of the Company under this Agreement would be enforceable against the Company in the courts of Guernsey;</w:t>
      </w:r>
    </w:p>
    <w:p>
      <w:pPr>
        <w:spacing w:after="0" w:line="165" w:lineRule="exact"/>
        <w:rPr>
          <w:rFonts w:ascii="Courier New" w:cs="Courier New" w:eastAsia="Courier New" w:hAnsi="Courier New"/>
          <w:sz w:val="14"/>
          <w:szCs w:val="14"/>
          <w:color w:val="auto"/>
        </w:rPr>
      </w:pPr>
    </w:p>
    <w:p>
      <w:pPr>
        <w:ind w:left="620" w:right="3079" w:firstLine="901"/>
        <w:spacing w:after="0" w:line="241" w:lineRule="auto"/>
        <w:tabs>
          <w:tab w:leader="none" w:pos="1872"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and contribution provisions set forth in Section 8 hereof do not contravene any statute or any express statement of the public policy or laws of Guernsey;</w:t>
      </w:r>
    </w:p>
    <w:p>
      <w:pPr>
        <w:spacing w:after="0" w:line="176" w:lineRule="exact"/>
        <w:rPr>
          <w:rFonts w:ascii="Courier New" w:cs="Courier New" w:eastAsia="Courier New" w:hAnsi="Courier New"/>
          <w:sz w:val="15"/>
          <w:szCs w:val="15"/>
          <w:color w:val="auto"/>
        </w:rPr>
      </w:pPr>
    </w:p>
    <w:p>
      <w:pPr>
        <w:ind w:left="620" w:right="3159" w:firstLine="901"/>
        <w:spacing w:after="0" w:line="242" w:lineRule="auto"/>
        <w:tabs>
          <w:tab w:leader="none" w:pos="1962"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dividends and other distributions declared and payable on the shares of capital stock of the Company may be paid in U.S. dollars under the current laws and regulations of Guernsey and may be freely transferred out of Guernsey, and all such dividends and other distributions will not be subject to withholding or other taxes under the current laws and regulations of Guernsey and are otherwise free and clear of any other tax, withholding or deduction in Guernsey and without the necessity of obtaining any Governmental Authorization in Guernsey; and</w:t>
      </w:r>
    </w:p>
    <w:p>
      <w:pPr>
        <w:spacing w:after="0" w:line="200" w:lineRule="exact"/>
        <w:rPr>
          <w:sz w:val="20"/>
          <w:szCs w:val="20"/>
          <w:color w:val="auto"/>
        </w:rPr>
      </w:pPr>
    </w:p>
    <w:p>
      <w:pPr>
        <w:spacing w:after="0" w:line="320"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959"/>
          </w:cols>
          <w:pgMar w:left="500" w:top="289" w:right="1440" w:bottom="1440" w:gutter="0" w:footer="0" w:header="0"/>
        </w:sectPr>
      </w:pPr>
    </w:p>
    <w:bookmarkStart w:id="159" w:name="page160"/>
    <w:bookmarkEnd w:id="159"/>
    <w:p>
      <w:pPr>
        <w:ind w:left="260"/>
        <w:spacing w:after="0"/>
        <w:rPr>
          <w:sz w:val="20"/>
          <w:szCs w:val="20"/>
          <w:color w:val="auto"/>
        </w:rPr>
      </w:pPr>
      <w:r>
        <w:rPr>
          <w:rFonts w:ascii="Courier New" w:cs="Courier New" w:eastAsia="Courier New" w:hAnsi="Courier New"/>
          <w:sz w:val="15"/>
          <w:szCs w:val="15"/>
          <w:color w:val="auto"/>
        </w:rPr>
        <w:t>22</w:t>
      </w:r>
    </w:p>
    <w:p>
      <w:pPr>
        <w:spacing w:after="0" w:line="176" w:lineRule="exact"/>
        <w:rPr>
          <w:sz w:val="20"/>
          <w:szCs w:val="20"/>
          <w:color w:val="auto"/>
        </w:rPr>
      </w:pPr>
    </w:p>
    <w:p>
      <w:pPr>
        <w:ind w:left="880" w:right="3079" w:firstLine="901"/>
        <w:spacing w:after="0" w:line="242" w:lineRule="auto"/>
        <w:tabs>
          <w:tab w:leader="none" w:pos="2311"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statements set forth in the Prospectus under the caption "Description of Share Capital", insofar as they purport to constitute a summary of the terms of the Stock, and under the captions "Taxation of the Company" and "Taxation of Holders of Ordinary Shares", insofar as they purport to describe the provisions of Guernsey law and documents referred to therein, are accurate, complete and fair;</w:t>
      </w:r>
    </w:p>
    <w:p>
      <w:pPr>
        <w:spacing w:after="0" w:line="177" w:lineRule="exact"/>
        <w:rPr>
          <w:sz w:val="20"/>
          <w:szCs w:val="20"/>
          <w:color w:val="auto"/>
        </w:rPr>
      </w:pPr>
    </w:p>
    <w:p>
      <w:pPr>
        <w:ind w:right="3779" w:firstLine="447"/>
        <w:spacing w:after="0"/>
        <w:rPr>
          <w:sz w:val="20"/>
          <w:szCs w:val="20"/>
          <w:color w:val="auto"/>
        </w:rPr>
      </w:pPr>
      <w:r>
        <w:rPr>
          <w:rFonts w:ascii="Courier New" w:cs="Courier New" w:eastAsia="Courier New" w:hAnsi="Courier New"/>
          <w:sz w:val="15"/>
          <w:szCs w:val="15"/>
          <w:color w:val="auto"/>
        </w:rPr>
        <w:t>In giving such opinion, such counsel may state that they express no opinion as to the laws of any jurisdiction other than Guernsey;</w:t>
      </w:r>
    </w:p>
    <w:p>
      <w:pPr>
        <w:spacing w:after="0" w:line="176" w:lineRule="exact"/>
        <w:rPr>
          <w:sz w:val="20"/>
          <w:szCs w:val="20"/>
          <w:color w:val="auto"/>
        </w:rPr>
      </w:pPr>
    </w:p>
    <w:p>
      <w:pPr>
        <w:ind w:left="880" w:right="3159" w:firstLine="901"/>
        <w:spacing w:after="0" w:line="242" w:lineRule="auto"/>
        <w:tabs>
          <w:tab w:leader="none" w:pos="2132"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Meitar, Liquornik, Geva &amp; Co., special Israeli counsel for the Company, shall have furnished to you their written opinion (a draft of such opinion is attached as Annex III(c) hereto), dated such Time of Delivery, in form and substance satisfactory to you, to the effect that:</w:t>
      </w:r>
    </w:p>
    <w:p>
      <w:pPr>
        <w:spacing w:after="0" w:line="175" w:lineRule="exact"/>
        <w:rPr>
          <w:sz w:val="20"/>
          <w:szCs w:val="20"/>
          <w:color w:val="auto"/>
        </w:rPr>
      </w:pPr>
    </w:p>
    <w:p>
      <w:pPr>
        <w:ind w:left="880" w:right="3079" w:firstLine="901"/>
        <w:spacing w:after="0" w:line="242" w:lineRule="auto"/>
        <w:tabs>
          <w:tab w:leader="none" w:pos="213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Israeli subsidiary has been duly incorporated and is validly existing under the laws of Israel, with power and authority (corporate and other) to own its properties and conduct its business as described in the Prospectus; and all of the issued shares of capital stock of such subsidiary have been duly and validly authorized and issued, are fully paid and non-assessable, and are owned directly or indirectly by the Company, free and clear of all liens, encumbrances, equities or claims, except for 32,068 Ordinary C Shares owned by Boaz Dotan;</w:t>
      </w:r>
    </w:p>
    <w:p>
      <w:pPr>
        <w:spacing w:after="0" w:line="178" w:lineRule="exact"/>
        <w:rPr>
          <w:rFonts w:ascii="Courier New" w:cs="Courier New" w:eastAsia="Courier New" w:hAnsi="Courier New"/>
          <w:sz w:val="15"/>
          <w:szCs w:val="15"/>
          <w:color w:val="auto"/>
        </w:rPr>
      </w:pPr>
    </w:p>
    <w:p>
      <w:pPr>
        <w:ind w:left="880" w:right="3079" w:firstLine="901"/>
        <w:spacing w:after="0" w:line="242" w:lineRule="auto"/>
        <w:tabs>
          <w:tab w:leader="none" w:pos="222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buildings held under lease by such subsidiary are held by it under valid, subsisting and enforceable leases with such exceptions as are not material and do not interfere with the use made and proposed to be made of such property and buildings by such subsidiary (in giving the opinion in this clause, such counsel may state that no examination of record titles for the purpose of such opinion has been made, and that they are relying upon a general review of the titles of such subsidiary, upon opinions of counsel to the lessors of such property and, in respect of matters of fact, upon certificates of officers of such subsidiary, provided that such counsel shall state that they believe that both you and they are justified in relying upon such opinions, abstracts, reports, policies and certificates);</w:t>
      </w:r>
    </w:p>
    <w:p>
      <w:pPr>
        <w:spacing w:after="0" w:line="180" w:lineRule="exact"/>
        <w:rPr>
          <w:rFonts w:ascii="Courier New" w:cs="Courier New" w:eastAsia="Courier New" w:hAnsi="Courier New"/>
          <w:sz w:val="15"/>
          <w:szCs w:val="15"/>
          <w:color w:val="auto"/>
        </w:rPr>
      </w:pPr>
    </w:p>
    <w:p>
      <w:pPr>
        <w:ind w:left="880" w:right="3079" w:firstLine="901"/>
        <w:spacing w:after="0" w:line="242" w:lineRule="auto"/>
        <w:tabs>
          <w:tab w:leader="none" w:pos="2311"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as set forth in the Prospectus, to the best of such counsel's knowledge, there are no legal or governmental proceedings pending to which the Company's Israeli subsidiary is a party or of which any property of the Company's Israeli subsidiary is the subject which, if determined adversely to such subsidiary, would individually or in the aggregate have a material adverse effect on the current or future consolidated financial position, shareholders' equity or results of operations of such subsidiary; and, to the best of such counsel's knowledge, no such proceedings are threatened or contemplated by any Governmental Agency or threatened by others;</w:t>
      </w:r>
    </w:p>
    <w:p>
      <w:pPr>
        <w:spacing w:after="0" w:line="200" w:lineRule="exact"/>
        <w:rPr>
          <w:sz w:val="20"/>
          <w:szCs w:val="20"/>
          <w:color w:val="auto"/>
        </w:rPr>
      </w:pPr>
    </w:p>
    <w:p>
      <w:pPr>
        <w:spacing w:after="0" w:line="32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9" w:right="1440" w:bottom="1440" w:gutter="0" w:footer="0" w:header="0"/>
        </w:sectPr>
      </w:pPr>
    </w:p>
    <w:bookmarkStart w:id="160" w:name="page161"/>
    <w:bookmarkEnd w:id="160"/>
    <w:p>
      <w:pPr>
        <w:spacing w:after="0"/>
        <w:rPr>
          <w:sz w:val="20"/>
          <w:szCs w:val="20"/>
          <w:color w:val="auto"/>
        </w:rPr>
      </w:pPr>
      <w:r>
        <w:rPr>
          <w:rFonts w:ascii="Courier New" w:cs="Courier New" w:eastAsia="Courier New" w:hAnsi="Courier New"/>
          <w:sz w:val="15"/>
          <w:szCs w:val="15"/>
          <w:color w:val="auto"/>
        </w:rPr>
        <w:t>23</w:t>
      </w:r>
    </w:p>
    <w:p>
      <w:pPr>
        <w:spacing w:after="0" w:line="4" w:lineRule="exact"/>
        <w:rPr>
          <w:sz w:val="20"/>
          <w:szCs w:val="20"/>
          <w:color w:val="auto"/>
        </w:rPr>
      </w:pPr>
    </w:p>
    <w:p>
      <w:pPr>
        <w:ind w:left="620" w:right="3079" w:firstLine="901"/>
        <w:spacing w:after="0" w:line="242" w:lineRule="auto"/>
        <w:tabs>
          <w:tab w:leader="none" w:pos="1962"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compliance by the Company with all of the provisions of this Agreement and the consummation of the transactions herein contemplated will not conflict with or result in a breach or violation of any of the terms or provisions of, or constitute a default under, any of the agreements set forth on Schedule 1 to such counsel's opinion, nor will such action result in any violation of the provisions of the constituent documents of such subsidiary or any statute or any order, rule or regulation known to such counsel of any Israeli Governmental Agency having jurisdiction over the Company's Israeli subsidiary or any of its properties;</w:t>
      </w:r>
    </w:p>
    <w:p>
      <w:pPr>
        <w:spacing w:after="0" w:line="178" w:lineRule="exact"/>
        <w:rPr>
          <w:rFonts w:ascii="Courier New" w:cs="Courier New" w:eastAsia="Courier New" w:hAnsi="Courier New"/>
          <w:sz w:val="15"/>
          <w:szCs w:val="15"/>
          <w:color w:val="auto"/>
        </w:rPr>
      </w:pPr>
    </w:p>
    <w:p>
      <w:pPr>
        <w:ind w:left="620" w:right="3079" w:firstLine="901"/>
        <w:spacing w:after="0" w:line="263" w:lineRule="auto"/>
        <w:tabs>
          <w:tab w:leader="none" w:pos="1872"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Governmental Authorization of or with any Governmental Agency is required in Israel for the sale of the Shares or the consummation by the Company of the transactions contemplated by this Agreement, except any such consents, approvals, authorizations or orders which have been duly obtained and are in full force and effect;</w:t>
      </w:r>
    </w:p>
    <w:p>
      <w:pPr>
        <w:spacing w:after="0" w:line="163" w:lineRule="exact"/>
        <w:rPr>
          <w:rFonts w:ascii="Courier New" w:cs="Courier New" w:eastAsia="Courier New" w:hAnsi="Courier New"/>
          <w:sz w:val="14"/>
          <w:szCs w:val="14"/>
          <w:color w:val="auto"/>
        </w:rPr>
      </w:pPr>
    </w:p>
    <w:p>
      <w:pPr>
        <w:ind w:left="620" w:right="3079" w:firstLine="901"/>
        <w:spacing w:after="0" w:line="242" w:lineRule="auto"/>
        <w:tabs>
          <w:tab w:leader="none" w:pos="1962"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Israeli subsidiary has all licenses and concessions of and from all Governmental Agencies that are necessary to own or lease its properties and conduct its businesses as described in the Prospectus; and the Company's Israeli subsidiary has all franchises, permits, authorizations, approvals and orders and other licenses and concessions of and from all Governmental Agencies that are necessary to own or lease its other properties and conduct its businesses as described in the Prospectus except for such licenses, franchises, permits, authorizations, approvals and orders the failure to obtain which will not have a material adverse effect on the financial condition or results of operations of the Company and its subsidiaries;</w:t>
      </w:r>
    </w:p>
    <w:p>
      <w:pPr>
        <w:spacing w:after="0" w:line="180" w:lineRule="exact"/>
        <w:rPr>
          <w:rFonts w:ascii="Courier New" w:cs="Courier New" w:eastAsia="Courier New" w:hAnsi="Courier New"/>
          <w:sz w:val="15"/>
          <w:szCs w:val="15"/>
          <w:color w:val="auto"/>
        </w:rPr>
      </w:pPr>
    </w:p>
    <w:p>
      <w:pPr>
        <w:ind w:left="620" w:right="3079" w:firstLine="901"/>
        <w:spacing w:after="0" w:line="263" w:lineRule="auto"/>
        <w:tabs>
          <w:tab w:leader="none" w:pos="2051"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of such counsel's knowledge, the Company's Israeli subsidiary is not in violation of its constituent documents or in default in the performance or observance of any material obligation, agreement, covenant or condition contained in any of the agreements set forth on Schedule 1 to such counsel's opinion;</w:t>
      </w:r>
    </w:p>
    <w:p>
      <w:pPr>
        <w:spacing w:after="0" w:line="163" w:lineRule="exact"/>
        <w:rPr>
          <w:rFonts w:ascii="Courier New" w:cs="Courier New" w:eastAsia="Courier New" w:hAnsi="Courier New"/>
          <w:sz w:val="14"/>
          <w:szCs w:val="14"/>
          <w:color w:val="auto"/>
        </w:rPr>
      </w:pPr>
    </w:p>
    <w:p>
      <w:pPr>
        <w:ind w:left="620" w:right="3079" w:firstLine="901"/>
        <w:spacing w:after="0" w:line="242" w:lineRule="auto"/>
        <w:tabs>
          <w:tab w:leader="none" w:pos="2141"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statements set forth in the Prospectus under the caption "Taxation of the Company", insofar as they purport to describe the provisions of Israeli law and documents referred to therein, are accurate, fair and complete in all material respects;</w:t>
      </w:r>
    </w:p>
    <w:p>
      <w:pPr>
        <w:spacing w:after="0" w:line="174" w:lineRule="exact"/>
        <w:rPr>
          <w:rFonts w:ascii="Courier New" w:cs="Courier New" w:eastAsia="Courier New" w:hAnsi="Courier New"/>
          <w:sz w:val="15"/>
          <w:szCs w:val="15"/>
          <w:color w:val="auto"/>
        </w:rPr>
      </w:pPr>
    </w:p>
    <w:p>
      <w:pPr>
        <w:ind w:left="620" w:right="3079" w:firstLine="901"/>
        <w:spacing w:after="0" w:line="263" w:lineRule="auto"/>
        <w:tabs>
          <w:tab w:leader="none" w:pos="1962"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best knowledge of such counsel, the Company and its Israeli subsidiary are in compliance in all material respects with all conditions and requirements stipulated by the instruments of approval granted to it with respect to the "Approved Enterprise" status of any of the Company's Israeli subsidiary's facilities as well as with respect to the other tax benefits received by the Company's</w:t>
      </w:r>
    </w:p>
    <w:p>
      <w:pPr>
        <w:spacing w:after="0" w:line="200" w:lineRule="exact"/>
        <w:rPr>
          <w:sz w:val="20"/>
          <w:szCs w:val="20"/>
          <w:color w:val="auto"/>
        </w:rPr>
      </w:pPr>
    </w:p>
    <w:p>
      <w:pPr>
        <w:spacing w:after="0" w:line="30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9959"/>
          </w:cols>
          <w:pgMar w:left="500" w:top="289" w:right="1440" w:bottom="1440" w:gutter="0" w:footer="0" w:header="0"/>
        </w:sectPr>
      </w:pPr>
    </w:p>
    <w:bookmarkStart w:id="161" w:name="page162"/>
    <w:bookmarkEnd w:id="161"/>
    <w:p>
      <w:pPr>
        <w:spacing w:after="0"/>
        <w:rPr>
          <w:sz w:val="20"/>
          <w:szCs w:val="20"/>
          <w:color w:val="auto"/>
        </w:rPr>
      </w:pPr>
      <w:r>
        <w:rPr>
          <w:rFonts w:ascii="Courier New" w:cs="Courier New" w:eastAsia="Courier New" w:hAnsi="Courier New"/>
          <w:sz w:val="15"/>
          <w:szCs w:val="15"/>
          <w:color w:val="auto"/>
        </w:rPr>
        <w:t>24</w:t>
      </w:r>
    </w:p>
    <w:p>
      <w:pPr>
        <w:spacing w:after="0" w:line="4" w:lineRule="exact"/>
        <w:rPr>
          <w:sz w:val="20"/>
          <w:szCs w:val="20"/>
          <w:color w:val="auto"/>
        </w:rPr>
      </w:pPr>
    </w:p>
    <w:p>
      <w:pPr>
        <w:ind w:left="620" w:right="3159"/>
        <w:spacing w:after="0" w:line="242" w:lineRule="auto"/>
        <w:rPr>
          <w:sz w:val="20"/>
          <w:szCs w:val="20"/>
          <w:color w:val="auto"/>
        </w:rPr>
      </w:pPr>
      <w:r>
        <w:rPr>
          <w:rFonts w:ascii="Courier New" w:cs="Courier New" w:eastAsia="Courier New" w:hAnsi="Courier New"/>
          <w:sz w:val="15"/>
          <w:szCs w:val="15"/>
          <w:color w:val="auto"/>
        </w:rPr>
        <w:t>Israeli subsidiary as set forth under the caption "Taxation of the Company" in the Prospectus and by Israeli laws and regulations relating to such "Approved Enterprise" status and the aforementioned other tax benefits received by the Company's Israeli subsidiary; and, to the best knowledge of such counsel, neither the Company nor the Israeli subsidiary has received any notice of any proceeding or investigation relating to revocation or modification of any "Approved Enterprise" status granted with respect to any of the Israeli subsidiary's facilities;</w:t>
      </w:r>
    </w:p>
    <w:p>
      <w:pPr>
        <w:spacing w:after="0" w:line="178" w:lineRule="exact"/>
        <w:rPr>
          <w:sz w:val="20"/>
          <w:szCs w:val="20"/>
          <w:color w:val="auto"/>
        </w:rPr>
      </w:pPr>
    </w:p>
    <w:p>
      <w:pPr>
        <w:ind w:left="620" w:right="3079" w:firstLine="901"/>
        <w:spacing w:after="0" w:line="261" w:lineRule="auto"/>
        <w:tabs>
          <w:tab w:leader="none" w:pos="1872"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counsel have no reason to believe that any of the documents incorporated by reference in the Prospectus or any further amendment or supplement thereto made by the Company prior to such Time of Delivery (other than the financial statements and related schedules and other financial data derived from the Company's accounting records contained therein, as to which such counsel need express no opinion), when they became effective or were filed with the Commission, as the case may be, contained, in the case of a registration statement which became effective under the Act, an untrue statement of a material fact or omitted to state a material fact required to be stated therein or necessary to make the statements therein not misleading, or, in the case of other documents which were filed under the Exchange Act with the Commission, an untrue statement of a material fact or omitted to state a material fact necessary in order to make the statements therein, in the light of the circumstances under which they were made when such documents were so filed, not misleading; and</w:t>
      </w:r>
    </w:p>
    <w:p>
      <w:pPr>
        <w:spacing w:after="0" w:line="164" w:lineRule="exact"/>
        <w:rPr>
          <w:rFonts w:ascii="Courier New" w:cs="Courier New" w:eastAsia="Courier New" w:hAnsi="Courier New"/>
          <w:sz w:val="14"/>
          <w:szCs w:val="14"/>
          <w:color w:val="auto"/>
        </w:rPr>
      </w:pPr>
    </w:p>
    <w:p>
      <w:pPr>
        <w:ind w:left="620" w:right="3079" w:firstLine="901"/>
        <w:spacing w:after="0" w:line="242" w:lineRule="auto"/>
        <w:tabs>
          <w:tab w:leader="none" w:pos="1962"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Although they do not assume any responsibility for the accuracy, completeness or fairness of the statements contained in the Registration Statement or the Prospectus, except for those referred to in the opinion in subsection (viii) of this Section 7(e), they have no reason to believe that, as of its effective date, the Registration Statement or any further amendment thereto made by the Company prior to such Time of Delivery (other than the financial statements and related schedules and other financial data derived from the Company's accounting records contained therein, as to which such counsel need express no opinion) contained an untrue statement of a material fact or omitted to state a material fact required to be stated therein or necessary to make the statements therein not misleading or that, as of its date, the Prospectus or any further amendment or supplement thereto made by the Company prior to such Time of Delivery (other than the financial statements and related schedules and other financial data derived from the Company's accounting records contained therein, as to which such counsel need express no opinion) contained an untrue statement of a material fact or omitted to state a material fact necessary to make the statements therein, in the light of the circumstances under which they were made, not misleading or that, as of such Time of Delivery, either the Registration Statement or the Prospectus or any further amendment or supplement thereto made by the Company prior to such Time of Delivery (other than the financial statements and related schedules and other</w:t>
      </w:r>
    </w:p>
    <w:p>
      <w:pPr>
        <w:spacing w:after="0" w:line="187"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9959"/>
          </w:cols>
          <w:pgMar w:left="500" w:top="289" w:right="1440" w:bottom="1440" w:gutter="0" w:footer="0" w:header="0"/>
        </w:sectPr>
      </w:pPr>
    </w:p>
    <w:bookmarkStart w:id="162" w:name="page163"/>
    <w:bookmarkEnd w:id="162"/>
    <w:p>
      <w:pPr>
        <w:ind w:left="260"/>
        <w:spacing w:after="0"/>
        <w:rPr>
          <w:sz w:val="20"/>
          <w:szCs w:val="20"/>
          <w:color w:val="auto"/>
        </w:rPr>
      </w:pPr>
      <w:r>
        <w:rPr>
          <w:rFonts w:ascii="Courier New" w:cs="Courier New" w:eastAsia="Courier New" w:hAnsi="Courier New"/>
          <w:sz w:val="15"/>
          <w:szCs w:val="15"/>
          <w:color w:val="auto"/>
        </w:rPr>
        <w:t>25</w:t>
      </w:r>
    </w:p>
    <w:p>
      <w:pPr>
        <w:spacing w:after="0" w:line="4" w:lineRule="exact"/>
        <w:rPr>
          <w:sz w:val="20"/>
          <w:szCs w:val="20"/>
          <w:color w:val="auto"/>
        </w:rPr>
      </w:pPr>
    </w:p>
    <w:p>
      <w:pPr>
        <w:ind w:left="880" w:right="3079"/>
        <w:spacing w:after="0" w:line="242" w:lineRule="auto"/>
        <w:rPr>
          <w:sz w:val="20"/>
          <w:szCs w:val="20"/>
          <w:color w:val="auto"/>
        </w:rPr>
      </w:pPr>
      <w:r>
        <w:rPr>
          <w:rFonts w:ascii="Courier New" w:cs="Courier New" w:eastAsia="Courier New" w:hAnsi="Courier New"/>
          <w:sz w:val="15"/>
          <w:szCs w:val="15"/>
          <w:color w:val="auto"/>
        </w:rPr>
        <w:t>financial data derived from the Company's accounting records contained therein, as to which such counsel need express no opinion) contains an untrue statement of a material fact or omits to state a material fact necessary to make the statements therein, in the light of the circumstances under which they were made, not misleading;</w:t>
      </w:r>
    </w:p>
    <w:p>
      <w:pPr>
        <w:spacing w:after="0" w:line="175" w:lineRule="exact"/>
        <w:rPr>
          <w:sz w:val="20"/>
          <w:szCs w:val="20"/>
          <w:color w:val="auto"/>
        </w:rPr>
      </w:pPr>
    </w:p>
    <w:p>
      <w:pPr>
        <w:ind w:right="3779" w:firstLine="447"/>
        <w:spacing w:after="0"/>
        <w:rPr>
          <w:sz w:val="20"/>
          <w:szCs w:val="20"/>
          <w:color w:val="auto"/>
        </w:rPr>
      </w:pPr>
      <w:r>
        <w:rPr>
          <w:rFonts w:ascii="Courier New" w:cs="Courier New" w:eastAsia="Courier New" w:hAnsi="Courier New"/>
          <w:sz w:val="15"/>
          <w:szCs w:val="15"/>
          <w:color w:val="auto"/>
        </w:rPr>
        <w:t>In giving such opinion, such counsel may state that they express no opinion as to the laws of any jurisdiction other than Israel;</w:t>
      </w:r>
    </w:p>
    <w:p>
      <w:pPr>
        <w:spacing w:after="0" w:line="176" w:lineRule="exact"/>
        <w:rPr>
          <w:sz w:val="20"/>
          <w:szCs w:val="20"/>
          <w:color w:val="auto"/>
        </w:rPr>
      </w:pPr>
    </w:p>
    <w:p>
      <w:pPr>
        <w:ind w:left="880" w:right="3259" w:firstLine="901"/>
        <w:spacing w:after="0" w:line="265" w:lineRule="auto"/>
        <w:tabs>
          <w:tab w:leader="none" w:pos="2132"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Olswang, special U.K. counsel for the Company, shall have furnished to you their written opinion (a draft of such opinion is attached as Annex III(d) hereto), dated such Time of Delivery, in form and substance satisfactory to you, to the effect that:</w:t>
      </w:r>
    </w:p>
    <w:p>
      <w:pPr>
        <w:spacing w:after="0" w:line="160" w:lineRule="exact"/>
        <w:rPr>
          <w:sz w:val="20"/>
          <w:szCs w:val="20"/>
          <w:color w:val="auto"/>
        </w:rPr>
      </w:pPr>
    </w:p>
    <w:p>
      <w:pPr>
        <w:ind w:left="880" w:right="3079" w:firstLine="901"/>
        <w:spacing w:after="0" w:line="262" w:lineRule="auto"/>
        <w:tabs>
          <w:tab w:leader="none" w:pos="2132"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U.K. subsidiaries have been duly incorporated and are validly existing as corporations in good standing under the laws of the U.K., with power and authority (corporate and other) to own their properties and conduct their business as described in the Prospectus; and all of the issued shares of capital stock of each such subsidiary have been duly and validly authorized and issued, are fully paid and non-assessable, and (except for directors' qualifying shares) are owned directly or indirectly by the Company, free and clear of all liens, encumbrances, equities or claims;</w:t>
      </w:r>
    </w:p>
    <w:p>
      <w:pPr>
        <w:spacing w:after="0" w:line="161" w:lineRule="exact"/>
        <w:rPr>
          <w:rFonts w:ascii="Courier New" w:cs="Courier New" w:eastAsia="Courier New" w:hAnsi="Courier New"/>
          <w:sz w:val="14"/>
          <w:szCs w:val="14"/>
          <w:color w:val="auto"/>
        </w:rPr>
      </w:pPr>
    </w:p>
    <w:p>
      <w:pPr>
        <w:ind w:left="880" w:right="3079" w:firstLine="901"/>
        <w:spacing w:after="0" w:line="242" w:lineRule="auto"/>
        <w:tabs>
          <w:tab w:leader="none" w:pos="2222"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Having searched its computer records, such counsel is not currently acting in relation to any pending legal or governmental proceedings to which the Company's U.K. subsidiaries are a party or of which any property of the Company's U.K. subsidiaries are the subject; and, the chief executive officers of each of the Company's U.K. subsidiaries have certified to such counsel that, to the best of their knowledge, no such proceedings are threatened or pending;</w:t>
      </w:r>
    </w:p>
    <w:p>
      <w:pPr>
        <w:spacing w:after="0" w:line="176" w:lineRule="exact"/>
        <w:rPr>
          <w:rFonts w:ascii="Courier New" w:cs="Courier New" w:eastAsia="Courier New" w:hAnsi="Courier New"/>
          <w:sz w:val="15"/>
          <w:szCs w:val="15"/>
          <w:color w:val="auto"/>
        </w:rPr>
      </w:pPr>
    </w:p>
    <w:p>
      <w:pPr>
        <w:ind w:left="880" w:right="3079" w:firstLine="901"/>
        <w:spacing w:after="0" w:line="242" w:lineRule="auto"/>
        <w:tabs>
          <w:tab w:leader="none" w:pos="2311"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compliance by the Company with all of the provisions of this Agreement and the consummation of the transactions herein contemplated will not conflict with or result in a breach or violation of any of the terms or provisions of, or constitute a default under, any indenture, mortgage, deed of trust, loan agreement or other agreement or instrument reviewed by such counsel to which the Company's U.K. subsidiaries are a party or by which the Company's U.K. subsidiaries are bound or to which any of the property or assets of the Company or such subsidiaries are subject, nor will such action result in any violation of the provisions of the constituent documents of such subsidiaries or any statute or any order, rule or regulation known to such counsel of any U.K. Governmental Agency having jurisdiction over the Company's U.K. subsidiaries or any of their properties; and, the chief executive officers of each of the Company's U.K. subsidiaries have certified to such counsel</w:t>
      </w:r>
    </w:p>
    <w:p>
      <w:pPr>
        <w:spacing w:after="0" w:line="200" w:lineRule="exact"/>
        <w:rPr>
          <w:sz w:val="20"/>
          <w:szCs w:val="20"/>
          <w:color w:val="auto"/>
        </w:rPr>
      </w:pPr>
    </w:p>
    <w:p>
      <w:pPr>
        <w:spacing w:after="0" w:line="32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9" w:right="1440" w:bottom="1440" w:gutter="0" w:footer="0" w:header="0"/>
        </w:sectPr>
      </w:pPr>
    </w:p>
    <w:bookmarkStart w:id="163" w:name="page164"/>
    <w:bookmarkEnd w:id="163"/>
    <w:p>
      <w:pPr>
        <w:ind w:left="260"/>
        <w:spacing w:after="0"/>
        <w:rPr>
          <w:sz w:val="20"/>
          <w:szCs w:val="20"/>
          <w:color w:val="auto"/>
        </w:rPr>
      </w:pPr>
      <w:r>
        <w:rPr>
          <w:rFonts w:ascii="Courier New" w:cs="Courier New" w:eastAsia="Courier New" w:hAnsi="Courier New"/>
          <w:sz w:val="15"/>
          <w:szCs w:val="15"/>
          <w:color w:val="auto"/>
        </w:rPr>
        <w:t>26</w:t>
      </w:r>
    </w:p>
    <w:p>
      <w:pPr>
        <w:spacing w:after="0" w:line="176" w:lineRule="exact"/>
        <w:rPr>
          <w:sz w:val="20"/>
          <w:szCs w:val="20"/>
          <w:color w:val="auto"/>
        </w:rPr>
      </w:pPr>
    </w:p>
    <w:p>
      <w:pPr>
        <w:ind w:left="880" w:right="3599"/>
        <w:spacing w:after="0" w:line="241" w:lineRule="auto"/>
        <w:rPr>
          <w:sz w:val="20"/>
          <w:szCs w:val="20"/>
          <w:color w:val="auto"/>
        </w:rPr>
      </w:pPr>
      <w:r>
        <w:rPr>
          <w:rFonts w:ascii="Courier New" w:cs="Courier New" w:eastAsia="Courier New" w:hAnsi="Courier New"/>
          <w:sz w:val="15"/>
          <w:szCs w:val="15"/>
          <w:color w:val="auto"/>
        </w:rPr>
        <w:t>that, to the best of their knowledge, there are no such material agreements (other than those which have been reviewed by such counsel);</w:t>
      </w:r>
    </w:p>
    <w:p>
      <w:pPr>
        <w:spacing w:after="0" w:line="176" w:lineRule="exact"/>
        <w:rPr>
          <w:sz w:val="20"/>
          <w:szCs w:val="20"/>
          <w:color w:val="auto"/>
        </w:rPr>
      </w:pPr>
    </w:p>
    <w:p>
      <w:pPr>
        <w:ind w:left="880" w:right="3079" w:firstLine="901"/>
        <w:spacing w:after="0" w:line="242" w:lineRule="auto"/>
        <w:tabs>
          <w:tab w:leader="none" w:pos="2222"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Governmental Authorization of or with any Governmental Agency is required in the U.K. for the sale of the Shares or the consummation by the Company of the transactions contemplated by this Agreement, except any such consents, approvals, authorizations or orders which have been duly obtained and are in full force and effect; and</w:t>
      </w:r>
    </w:p>
    <w:p>
      <w:pPr>
        <w:spacing w:after="0" w:line="176" w:lineRule="exact"/>
        <w:rPr>
          <w:rFonts w:ascii="Courier New" w:cs="Courier New" w:eastAsia="Courier New" w:hAnsi="Courier New"/>
          <w:sz w:val="15"/>
          <w:szCs w:val="15"/>
          <w:color w:val="auto"/>
        </w:rPr>
      </w:pPr>
    </w:p>
    <w:p>
      <w:pPr>
        <w:ind w:left="880" w:right="3159" w:firstLine="901"/>
        <w:spacing w:after="0" w:line="242" w:lineRule="auto"/>
        <w:tabs>
          <w:tab w:leader="none" w:pos="2132"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U.K. subsidiaries have all powers and licenses necessary to own or lease their properties and conduct their businesses as described in the Prospectus; and the Company's U.K. subsidiaries have all franchises, permits, authorizations, approvals and orders and other licenses and concessions of and from all Governmental Agencies that are necessary to own or lease its other properties and conduct its businesses as described in the Prospectus except for such licenses, franchises, permits, authorizations, approvals and orders the failure to obtain which will not have a material adverse effect on the financial condition or results of operations of the Company and its subsidiaries;</w:t>
      </w:r>
    </w:p>
    <w:p>
      <w:pPr>
        <w:spacing w:after="0" w:line="179" w:lineRule="exact"/>
        <w:rPr>
          <w:sz w:val="20"/>
          <w:szCs w:val="20"/>
          <w:color w:val="auto"/>
        </w:rPr>
      </w:pPr>
    </w:p>
    <w:p>
      <w:pPr>
        <w:ind w:right="3779" w:firstLine="447"/>
        <w:spacing w:after="0"/>
        <w:rPr>
          <w:sz w:val="20"/>
          <w:szCs w:val="20"/>
          <w:color w:val="auto"/>
        </w:rPr>
      </w:pPr>
      <w:r>
        <w:rPr>
          <w:rFonts w:ascii="Courier New" w:cs="Courier New" w:eastAsia="Courier New" w:hAnsi="Courier New"/>
          <w:sz w:val="15"/>
          <w:szCs w:val="15"/>
          <w:color w:val="auto"/>
        </w:rPr>
        <w:t>In giving such opinion, such counsel may state that they express no opinion as to the laws of any jurisdiction other than the U.K.;</w:t>
      </w:r>
    </w:p>
    <w:p>
      <w:pPr>
        <w:spacing w:after="0" w:line="176" w:lineRule="exact"/>
        <w:rPr>
          <w:sz w:val="20"/>
          <w:szCs w:val="20"/>
          <w:color w:val="auto"/>
        </w:rPr>
      </w:pPr>
    </w:p>
    <w:p>
      <w:pPr>
        <w:ind w:left="880" w:right="3439" w:firstLine="901"/>
        <w:spacing w:after="0" w:line="242" w:lineRule="auto"/>
        <w:tabs>
          <w:tab w:leader="none" w:pos="2132"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Carey Langlois, counsel for the Selling Stockholder, shall have furnished to you their written opinion (a draft of such opinion is attached as Annex III(e) hereto), dated such Time of Delivery, in form and substance satisfactory to you, to the effect that:</w:t>
      </w:r>
    </w:p>
    <w:p>
      <w:pPr>
        <w:spacing w:after="0" w:line="175" w:lineRule="exact"/>
        <w:rPr>
          <w:sz w:val="20"/>
          <w:szCs w:val="20"/>
          <w:color w:val="auto"/>
        </w:rPr>
      </w:pPr>
    </w:p>
    <w:p>
      <w:pPr>
        <w:jc w:val="both"/>
        <w:ind w:left="880" w:right="3159" w:firstLine="901"/>
        <w:spacing w:after="0" w:line="242" w:lineRule="auto"/>
        <w:tabs>
          <w:tab w:leader="none" w:pos="2132"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Power of Attorney and a Custody Agreement have been duly executed and delivered by the Selling Stockholder and constitute valid and binding agreements of the Selling Stockholder in accordance with their terms;</w:t>
      </w:r>
    </w:p>
    <w:p>
      <w:pPr>
        <w:spacing w:after="0" w:line="174" w:lineRule="exact"/>
        <w:rPr>
          <w:rFonts w:ascii="Courier New" w:cs="Courier New" w:eastAsia="Courier New" w:hAnsi="Courier New"/>
          <w:sz w:val="15"/>
          <w:szCs w:val="15"/>
          <w:color w:val="auto"/>
        </w:rPr>
      </w:pPr>
    </w:p>
    <w:p>
      <w:pPr>
        <w:ind w:left="880" w:right="3079" w:firstLine="901"/>
        <w:spacing w:after="0" w:line="242" w:lineRule="auto"/>
        <w:tabs>
          <w:tab w:leader="none" w:pos="2222"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has been duly executed and delivered by or on behalf of the Selling Stockholder; and the sale of the Shares to be sold by the Selling Stockholder hereunder and the compliance by the Selling Stockholder with all of the provisions of this Agreement, the Power of Attorney and the Custody Agreement and the consummation of the transactions herein and therein contemplated will not conflict with or result in a breach or violation of any terms or provisions of, or constitute a default under, any statute, indenture, mortgage, deed of trust, loan agreement or other agreement or instrument known to such counsel to which the Selling Stockholder is a party or by which the Selling Stockholder is bound, or to which any of the property or assets of the Selling Stockholder is subject, nor will such action result in any violation of the provisions of the constituent documents of the Selling Stockholder or any order, rule or regulation known to such counsel of any</w:t>
      </w:r>
    </w:p>
    <w:p>
      <w:pPr>
        <w:spacing w:after="0" w:line="200" w:lineRule="exact"/>
        <w:rPr>
          <w:sz w:val="20"/>
          <w:szCs w:val="20"/>
          <w:color w:val="auto"/>
        </w:rPr>
      </w:pPr>
    </w:p>
    <w:p>
      <w:pPr>
        <w:spacing w:after="0" w:line="32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9" w:right="1440" w:bottom="1440" w:gutter="0" w:footer="0" w:header="0"/>
        </w:sectPr>
      </w:pPr>
    </w:p>
    <w:bookmarkStart w:id="164" w:name="page165"/>
    <w:bookmarkEnd w:id="164"/>
    <w:p>
      <w:pPr>
        <w:ind w:left="260"/>
        <w:spacing w:after="0"/>
        <w:rPr>
          <w:sz w:val="20"/>
          <w:szCs w:val="20"/>
          <w:color w:val="auto"/>
        </w:rPr>
      </w:pPr>
      <w:r>
        <w:rPr>
          <w:rFonts w:ascii="Courier New" w:cs="Courier New" w:eastAsia="Courier New" w:hAnsi="Courier New"/>
          <w:sz w:val="15"/>
          <w:szCs w:val="15"/>
          <w:color w:val="auto"/>
        </w:rPr>
        <w:t>27</w:t>
      </w:r>
    </w:p>
    <w:p>
      <w:pPr>
        <w:spacing w:after="0" w:line="176" w:lineRule="exact"/>
        <w:rPr>
          <w:sz w:val="20"/>
          <w:szCs w:val="20"/>
          <w:color w:val="auto"/>
        </w:rPr>
      </w:pPr>
    </w:p>
    <w:p>
      <w:pPr>
        <w:ind w:right="3699"/>
        <w:spacing w:after="0"/>
        <w:rPr>
          <w:sz w:val="20"/>
          <w:szCs w:val="20"/>
          <w:color w:val="auto"/>
        </w:rPr>
      </w:pPr>
      <w:r>
        <w:rPr>
          <w:rFonts w:ascii="Courier New" w:cs="Courier New" w:eastAsia="Courier New" w:hAnsi="Courier New"/>
          <w:sz w:val="15"/>
          <w:szCs w:val="15"/>
          <w:color w:val="auto"/>
        </w:rPr>
        <w:t>court or governmental agency or body having jurisdiction over the Selling Stockholder or the property of the Selling Stockholder;</w:t>
      </w:r>
    </w:p>
    <w:p>
      <w:pPr>
        <w:spacing w:after="0" w:line="176" w:lineRule="exact"/>
        <w:rPr>
          <w:sz w:val="20"/>
          <w:szCs w:val="20"/>
          <w:color w:val="auto"/>
        </w:rPr>
      </w:pPr>
    </w:p>
    <w:p>
      <w:pPr>
        <w:ind w:right="3079" w:firstLine="886"/>
        <w:spacing w:after="0" w:line="242" w:lineRule="auto"/>
        <w:tabs>
          <w:tab w:leader="none" w:pos="1431"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Governmental Authorization of or with any Governmental Agency in Guernsey is required for the consummation of the transactions contemplated by this Agreement in connection with the Shares to be sold by the Selling Stockholder hereunder except such consents, approvals, authorizations or orders which have been duly obtained and are in full force and effect, such as have been obtained under the Act and such as may be required under state securities or Blue Sky laws in connection with the purchase and distribution of such Shares by the Underwriters;</w:t>
      </w:r>
    </w:p>
    <w:p>
      <w:pPr>
        <w:spacing w:after="0" w:line="177" w:lineRule="exact"/>
        <w:rPr>
          <w:rFonts w:ascii="Courier New" w:cs="Courier New" w:eastAsia="Courier New" w:hAnsi="Courier New"/>
          <w:sz w:val="15"/>
          <w:szCs w:val="15"/>
          <w:color w:val="auto"/>
        </w:rPr>
      </w:pPr>
    </w:p>
    <w:p>
      <w:pPr>
        <w:ind w:right="3159" w:firstLine="886"/>
        <w:spacing w:after="0" w:line="242" w:lineRule="auto"/>
        <w:tabs>
          <w:tab w:leader="none" w:pos="1342"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prior to such Time of Delivery, the Selling Stockholder had good and valid title to the Shares to be sold at such Time of Delivery by the Selling Stockholder under this Agreement, free and clear of all liens, encumbrances, equities or claims, and full right, power and authority to sell, assign, transfer and deliver the Shares to be sold by the Selling Stockholder hereunder;</w:t>
      </w:r>
    </w:p>
    <w:p>
      <w:pPr>
        <w:spacing w:after="0" w:line="176" w:lineRule="exact"/>
        <w:rPr>
          <w:rFonts w:ascii="Courier New" w:cs="Courier New" w:eastAsia="Courier New" w:hAnsi="Courier New"/>
          <w:sz w:val="15"/>
          <w:szCs w:val="15"/>
          <w:color w:val="auto"/>
        </w:rPr>
      </w:pPr>
    </w:p>
    <w:p>
      <w:pPr>
        <w:ind w:right="3079" w:firstLine="886"/>
        <w:spacing w:after="0" w:line="242" w:lineRule="auto"/>
        <w:tabs>
          <w:tab w:leader="none" w:pos="1252"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and valid title to such Shares, free and clear of all liens, encumbrances, equities or claims, has been transferred to each of the several Underwriters, who have purchased such Shares in good faith and without notice of any such lien, encumbrance, equity or claim or any other adverse claim within the meaning of the Uniform Commercial Code;</w:t>
      </w:r>
    </w:p>
    <w:p>
      <w:pPr>
        <w:spacing w:after="0" w:line="175" w:lineRule="exact"/>
        <w:rPr>
          <w:rFonts w:ascii="Courier New" w:cs="Courier New" w:eastAsia="Courier New" w:hAnsi="Courier New"/>
          <w:sz w:val="15"/>
          <w:szCs w:val="15"/>
          <w:color w:val="auto"/>
        </w:rPr>
      </w:pPr>
    </w:p>
    <w:p>
      <w:pPr>
        <w:ind w:right="3159" w:firstLine="886"/>
        <w:spacing w:after="0" w:line="261" w:lineRule="auto"/>
        <w:tabs>
          <w:tab w:leader="none" w:pos="1342"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Selling Stockholder's agreement to the choice of law provisions set forth in Section 14 hereof will be recognized by the courts of Guernsey; the Selling Stockholder can sue and be sued in its own name under the laws of Guernsey; the irrevocable submission of the Selling Stockholder to the exclusive jurisdiction of a New York Court, the waiver by the Selling Stockholder of any objection to the venue of a proceeding of a New York court and the agreement of the Selling Stockholder that this Agreement shall be governed by and construed in accordance with the laws of the State of New York are legal, valid and binding; service of process effected in the manner set forth in Section 14 hereof will be effective, insofar as the laws of Guernsey are concerned, to confer valid personal jurisdiction over the Selling Stockholder; and judgment obtained in a New York court arising out of or in relation to the obligations of the Selling Stockholder under this Agreement would be enforceable against the Selling Stockholder in the courts of Guernsey;</w:t>
      </w:r>
    </w:p>
    <w:p>
      <w:pPr>
        <w:spacing w:after="0" w:line="338" w:lineRule="exact"/>
        <w:rPr>
          <w:rFonts w:ascii="Courier New" w:cs="Courier New" w:eastAsia="Courier New" w:hAnsi="Courier New"/>
          <w:sz w:val="14"/>
          <w:szCs w:val="14"/>
          <w:color w:val="auto"/>
        </w:rPr>
      </w:pPr>
    </w:p>
    <w:p>
      <w:pPr>
        <w:ind w:right="3079" w:firstLine="886"/>
        <w:spacing w:after="0" w:line="242" w:lineRule="auto"/>
        <w:tabs>
          <w:tab w:leader="none" w:pos="1431"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Although such counsel does not assume any responsibility for the accuracy, completeness or fairness of the statements contained in the Registration Statement or the Prospectus, such counsel has no reason to believe that, as of its effective date, the Registration Statement or any further amendment thereto made by the Company prior to such Time of Delivery (other than the financial statements</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9" w:right="1440" w:bottom="1440" w:gutter="0" w:footer="0" w:header="0"/>
        </w:sectPr>
      </w:pPr>
    </w:p>
    <w:bookmarkStart w:id="165" w:name="page166"/>
    <w:bookmarkEnd w:id="165"/>
    <w:p>
      <w:pPr>
        <w:ind w:left="260"/>
        <w:spacing w:after="0"/>
        <w:rPr>
          <w:sz w:val="20"/>
          <w:szCs w:val="20"/>
          <w:color w:val="auto"/>
        </w:rPr>
      </w:pPr>
      <w:r>
        <w:rPr>
          <w:rFonts w:ascii="Courier New" w:cs="Courier New" w:eastAsia="Courier New" w:hAnsi="Courier New"/>
          <w:sz w:val="15"/>
          <w:szCs w:val="15"/>
          <w:color w:val="auto"/>
        </w:rPr>
        <w:t>28</w:t>
      </w:r>
    </w:p>
    <w:p>
      <w:pPr>
        <w:spacing w:after="0" w:line="176" w:lineRule="exact"/>
        <w:rPr>
          <w:sz w:val="20"/>
          <w:szCs w:val="20"/>
          <w:color w:val="auto"/>
        </w:rPr>
      </w:pPr>
    </w:p>
    <w:p>
      <w:pPr>
        <w:ind w:left="880" w:right="3079"/>
        <w:spacing w:after="0" w:line="242" w:lineRule="auto"/>
        <w:rPr>
          <w:sz w:val="20"/>
          <w:szCs w:val="20"/>
          <w:color w:val="auto"/>
        </w:rPr>
      </w:pPr>
      <w:r>
        <w:rPr>
          <w:rFonts w:ascii="Courier New" w:cs="Courier New" w:eastAsia="Courier New" w:hAnsi="Courier New"/>
          <w:sz w:val="15"/>
          <w:szCs w:val="15"/>
          <w:color w:val="auto"/>
        </w:rPr>
        <w:t>and related schedules and other financial data derived from the Company's accounting records contained therein, as to which such counsel need express no opinion) contained an untrue statement of a material fact or omitted to state a material fact required to be stated therein or necessary to make the statements therein not misleading or that, as of its date, the Prospectus or any further amendment or supplement thereto made by the Company prior to such Time of Delivery (other than the financial statements and related schedules and other financial data derived from the Company's accounting records contained therein, as to which such counsel need express no opinion) contained an untrue statement of a material fact or omitted to state a material fact necessary to make the statements therein, in the light of the circumstances under which they were made, not misleading or that, as of such Time of Delivery, either the Registration Statement or the Prospectus or any further amendment or supplement thereto made by the Company prior to such Time of Delivery (other than the financial statements and related schedules and other financial data derived from the Company's accounting records contained therein, as to which such counsel need express no opinion) contains an untrue statement of a material fact or omits to state a material fact necessary to make the statements therein, in the light of the circumstances under which they were made, not misleading; and such counsel does not know of any amendment to the Registration Statement required to be filed or of any contracts or other documents of a character required to be filed as an exhibit to the Registration Statement or required to be incorporated by reference into the Prospectus or required to be described in the Registration Statement or the Prospectus which are not filed or incorporated by reference or described as required.</w:t>
      </w:r>
    </w:p>
    <w:p>
      <w:pPr>
        <w:spacing w:after="0" w:line="19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rendering such opinion, such counsel may state that they express no opinion as to the laws of any jurisdiction other than Guernsey, in rendering the opinion in subparagraph (iv) such counsel may rely upon a certificate of the Selling Stockholder in respect of matters of fact as to ownership of and liens, encumbrances, equities or claims on, the Shares sold by the Selling Stockholder, provided that such counsel shall state that he believes that both you and he are justified in relying upon such certificate and in making the statement in paragraph (vii) such counsel may limit the scope of its statement to the extent that any statements made in the Registration Statement and the Prospectus and any further amendments and supplements thereto are made by the Company prior to such Time of Delivery in reliance upon and in conformity with written information furnished to the Company by the Selling Stockholder;</w:t>
      </w:r>
    </w:p>
    <w:p>
      <w:pPr>
        <w:spacing w:after="0" w:line="180" w:lineRule="exact"/>
        <w:rPr>
          <w:sz w:val="20"/>
          <w:szCs w:val="20"/>
          <w:color w:val="auto"/>
        </w:rPr>
      </w:pPr>
    </w:p>
    <w:p>
      <w:pPr>
        <w:ind w:left="880" w:right="3079" w:firstLine="901"/>
        <w:spacing w:after="0" w:line="242" w:lineRule="auto"/>
        <w:tabs>
          <w:tab w:leader="none" w:pos="2132"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of the Prospectus at a time prior to the execution of this Agreement, at 9:30 a.m., New York City time, on the effective date of any post-effective amendment to the Registration Statement filed subsequent to the date of this Agreement and also at each Time of Delivery, Ernst &amp; Young LLP shall have furnished to you a letter or letters, dated the respective dates of delivery thereof, in form and substance satisfactory to you, to the effect set forth in Annex I hereto (the executed copy of the letter delivered prior to the execution of this Agreement is</w:t>
      </w:r>
    </w:p>
    <w:p>
      <w:pPr>
        <w:spacing w:after="0" w:line="200" w:lineRule="exact"/>
        <w:rPr>
          <w:sz w:val="20"/>
          <w:szCs w:val="20"/>
          <w:color w:val="auto"/>
        </w:rPr>
      </w:pPr>
    </w:p>
    <w:p>
      <w:pPr>
        <w:spacing w:after="0" w:line="32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9" w:right="1440" w:bottom="1440" w:gutter="0" w:footer="0" w:header="0"/>
        </w:sectPr>
      </w:pPr>
    </w:p>
    <w:bookmarkStart w:id="166" w:name="page167"/>
    <w:bookmarkEnd w:id="166"/>
    <w:p>
      <w:pPr>
        <w:ind w:left="260"/>
        <w:spacing w:after="0"/>
        <w:rPr>
          <w:sz w:val="20"/>
          <w:szCs w:val="20"/>
          <w:color w:val="auto"/>
        </w:rPr>
      </w:pPr>
      <w:r>
        <w:rPr>
          <w:rFonts w:ascii="Courier New" w:cs="Courier New" w:eastAsia="Courier New" w:hAnsi="Courier New"/>
          <w:sz w:val="15"/>
          <w:szCs w:val="15"/>
          <w:color w:val="auto"/>
        </w:rPr>
        <w:t>29</w:t>
      </w:r>
    </w:p>
    <w:p>
      <w:pPr>
        <w:spacing w:after="0" w:line="176" w:lineRule="exact"/>
        <w:rPr>
          <w:sz w:val="20"/>
          <w:szCs w:val="20"/>
          <w:color w:val="auto"/>
        </w:rPr>
      </w:pPr>
    </w:p>
    <w:p>
      <w:pPr>
        <w:ind w:right="3159"/>
        <w:spacing w:after="0" w:line="267" w:lineRule="auto"/>
        <w:rPr>
          <w:sz w:val="20"/>
          <w:szCs w:val="20"/>
          <w:color w:val="auto"/>
        </w:rPr>
      </w:pPr>
      <w:r>
        <w:rPr>
          <w:rFonts w:ascii="Courier New" w:cs="Courier New" w:eastAsia="Courier New" w:hAnsi="Courier New"/>
          <w:sz w:val="14"/>
          <w:szCs w:val="14"/>
          <w:color w:val="auto"/>
        </w:rPr>
        <w:t>attached as Annex I(a) hereto and a draft of the form of letter to be delivered on the effective date of any post-effective amendment to the Registration Statement and as of each Time of Delivery is attached as Annex I(b) hereto);</w:t>
      </w:r>
    </w:p>
    <w:p>
      <w:pPr>
        <w:spacing w:after="0" w:line="159" w:lineRule="exact"/>
        <w:rPr>
          <w:sz w:val="20"/>
          <w:szCs w:val="20"/>
          <w:color w:val="auto"/>
        </w:rPr>
      </w:pPr>
    </w:p>
    <w:p>
      <w:pPr>
        <w:ind w:right="3079" w:firstLine="886"/>
        <w:spacing w:after="0" w:line="242" w:lineRule="auto"/>
        <w:tabs>
          <w:tab w:leader="none" w:pos="1252"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of the Prospectus at a time prior to the execution of this Agreement, at 9:30 a.m., New York City time, on the effective date of any post-effective amendment to the Registration Statement filed subsequent to the date of this Agreement and also at each Time of Delivery, Ernst &amp; Young LLP shall have furnished to you a letter or letters, dated the respective dates of delivery thereof, in form and substance satisfactory to you, to the effect set forth in Annex II hereto (the executed copy of the letter delivered prior to the execution of this Agreement is attached as Annex II(a) hereto and a draft of the form of letter to be delivered on the effective date of any post-effective amendment to the Registration Statement and as of each Time of Delivery is attached as Annex II(b) hereto);</w:t>
      </w:r>
    </w:p>
    <w:p>
      <w:pPr>
        <w:spacing w:after="0" w:line="179" w:lineRule="exact"/>
        <w:rPr>
          <w:rFonts w:ascii="Courier New" w:cs="Courier New" w:eastAsia="Courier New" w:hAnsi="Courier New"/>
          <w:sz w:val="15"/>
          <w:szCs w:val="15"/>
          <w:color w:val="auto"/>
        </w:rPr>
      </w:pPr>
    </w:p>
    <w:p>
      <w:pPr>
        <w:ind w:right="3079" w:firstLine="886"/>
        <w:spacing w:after="0" w:line="242" w:lineRule="auto"/>
        <w:tabs>
          <w:tab w:leader="none" w:pos="1252"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Neither the Company nor any of its subsidiaries shall have sustained since the date of the latest audited financial statements included in the Prospectus any loss or interference with its business from fire, explosion, flood or other calamity, whether or not covered by insurance, or from any labor dispute or court or governmental action, order or decree, otherwise than as set forth or contemplated in the Prospectus, and (ii) since the respective dates as of which information is given in the Prospectus there shall not have been any change in the capital stock, net current assets, shareholders' equity or long-term debt of the Company or any of its subsidiaries or any change, or any development involving a prospective change, in or affecting the general affairs, management, financial position, shareholders' equity or results of operations of the Company and its subsidiaries, otherwise than as set forth or contemplated in the Prospectus, the effect of which, in any such case described in clause (i) or (ii), is in the judgment of the Representatives so material and adverse as to make it impracticable or inadvisable to proceed with the public offering or the delivery of the Shares being delivered at such Time of Delivery on the terms and in the manner contemplated in the Prospectus;</w:t>
      </w:r>
    </w:p>
    <w:p>
      <w:pPr>
        <w:spacing w:after="0" w:line="183" w:lineRule="exact"/>
        <w:rPr>
          <w:rFonts w:ascii="Courier New" w:cs="Courier New" w:eastAsia="Courier New" w:hAnsi="Courier New"/>
          <w:sz w:val="15"/>
          <w:szCs w:val="15"/>
          <w:color w:val="auto"/>
        </w:rPr>
      </w:pPr>
    </w:p>
    <w:p>
      <w:pPr>
        <w:ind w:right="3079" w:firstLine="886"/>
        <w:spacing w:after="0" w:line="242" w:lineRule="auto"/>
        <w:tabs>
          <w:tab w:leader="none" w:pos="1252"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after the date hereof (i) no downgrading shall have occurred in the rating accorded the Company's debt securities by any "nationally recognized statistical rating organization", as that term is defined by the Commission for purposes of Rule 436(g)(2) under the Act, and (ii) no such organization shall have publicly announced that it has under surveillance or review, with possible negative implications, its rating of any of the Company's debt securities;</w:t>
      </w:r>
    </w:p>
    <w:p>
      <w:pPr>
        <w:spacing w:after="0" w:line="176" w:lineRule="exact"/>
        <w:rPr>
          <w:rFonts w:ascii="Courier New" w:cs="Courier New" w:eastAsia="Courier New" w:hAnsi="Courier New"/>
          <w:sz w:val="15"/>
          <w:szCs w:val="15"/>
          <w:color w:val="auto"/>
        </w:rPr>
      </w:pPr>
    </w:p>
    <w:p>
      <w:pPr>
        <w:ind w:right="3159" w:firstLine="886"/>
        <w:spacing w:after="0" w:line="242" w:lineRule="auto"/>
        <w:tabs>
          <w:tab w:leader="none" w:pos="1252"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after the date hereof there shall not have occurred any of the following: (i) a suspension or material limitation in trading in securities generally on the NYSE; (ii) a suspension or material limitation in trading in the Company's</w:t>
      </w:r>
    </w:p>
    <w:p>
      <w:pPr>
        <w:spacing w:after="0" w:line="200" w:lineRule="exact"/>
        <w:rPr>
          <w:sz w:val="20"/>
          <w:szCs w:val="20"/>
          <w:color w:val="auto"/>
        </w:rPr>
      </w:pPr>
    </w:p>
    <w:p>
      <w:pPr>
        <w:spacing w:after="0" w:line="31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9" w:right="1440" w:bottom="1440" w:gutter="0" w:footer="0" w:header="0"/>
        </w:sectPr>
      </w:pPr>
    </w:p>
    <w:bookmarkStart w:id="167" w:name="page168"/>
    <w:bookmarkEnd w:id="167"/>
    <w:p>
      <w:pPr>
        <w:spacing w:after="0"/>
        <w:rPr>
          <w:sz w:val="20"/>
          <w:szCs w:val="20"/>
          <w:color w:val="auto"/>
        </w:rPr>
      </w:pPr>
      <w:r>
        <w:rPr>
          <w:rFonts w:ascii="Courier New" w:cs="Courier New" w:eastAsia="Courier New" w:hAnsi="Courier New"/>
          <w:sz w:val="15"/>
          <w:szCs w:val="15"/>
          <w:color w:val="auto"/>
        </w:rPr>
        <w:t>30</w:t>
      </w:r>
    </w:p>
    <w:p>
      <w:pPr>
        <w:spacing w:after="0" w:line="176" w:lineRule="exact"/>
        <w:rPr>
          <w:sz w:val="20"/>
          <w:szCs w:val="20"/>
          <w:color w:val="auto"/>
        </w:rPr>
      </w:pPr>
    </w:p>
    <w:p>
      <w:pPr>
        <w:ind w:left="620" w:right="3079"/>
        <w:spacing w:after="0" w:line="261" w:lineRule="auto"/>
        <w:rPr>
          <w:sz w:val="20"/>
          <w:szCs w:val="20"/>
          <w:color w:val="auto"/>
        </w:rPr>
      </w:pPr>
      <w:r>
        <w:rPr>
          <w:rFonts w:ascii="Courier New" w:cs="Courier New" w:eastAsia="Courier New" w:hAnsi="Courier New"/>
          <w:sz w:val="14"/>
          <w:szCs w:val="14"/>
          <w:color w:val="auto"/>
        </w:rPr>
        <w:t>securities on the NYSE; (iii) a general moratorium on commercial banking activities in New York, London or Israel declared by the relevant authorities; (iv) a change or development involving a prospective change in Guernsey taxation affecting the Company, the Shares or the transfer thereof or the imposition of exchange controls by the United States or Guernsey; or (v) the outbreak or escalation of hostilities involving the United States, the United Kingdom or Israel or the declaration by the United States, the United Kingdom or Israel of a national emergency or war, if the effect of any such event specified in this clause (v) in the judgment of the Representatives makes it impracticable or inadvisable to proceed with the public offering or the delivery of the Shares being delivered at such Time of Delivery on the terms and in the manner contemplated in the Prospectus or (vi) the occurrence of any material adverse change in the existing financial, political or economic conditions in the United States, the United Kingdom or Israel or elsewhere which, in the judgment of the Representatives, would materially and adversely affect the financial markets or the market for the Shares and other equity securities;</w:t>
      </w:r>
    </w:p>
    <w:p>
      <w:pPr>
        <w:spacing w:after="0" w:line="164" w:lineRule="exact"/>
        <w:rPr>
          <w:sz w:val="20"/>
          <w:szCs w:val="20"/>
          <w:color w:val="auto"/>
        </w:rPr>
      </w:pPr>
    </w:p>
    <w:p>
      <w:pPr>
        <w:ind w:left="620" w:right="3079" w:firstLine="901"/>
        <w:spacing w:after="0" w:line="241" w:lineRule="auto"/>
        <w:tabs>
          <w:tab w:leader="none" w:pos="1872"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to be sold by the Selling Stockholder at such Time of Delivery shall have been duly listed, subject to notice of issuance, on the NYSE;</w:t>
      </w:r>
    </w:p>
    <w:p>
      <w:pPr>
        <w:spacing w:after="0" w:line="176" w:lineRule="exact"/>
        <w:rPr>
          <w:rFonts w:ascii="Courier New" w:cs="Courier New" w:eastAsia="Courier New" w:hAnsi="Courier New"/>
          <w:sz w:val="15"/>
          <w:szCs w:val="15"/>
          <w:color w:val="auto"/>
        </w:rPr>
      </w:pPr>
    </w:p>
    <w:p>
      <w:pPr>
        <w:ind w:left="620" w:right="3159" w:firstLine="901"/>
        <w:spacing w:after="0" w:line="242" w:lineRule="auto"/>
        <w:tabs>
          <w:tab w:leader="none" w:pos="1872"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complied with the provisions of Section 5(a)(iii) hereof with respect to the furnishing of prospectuses on the New York Business Day next succeeding the date of this Agreement;</w:t>
      </w:r>
    </w:p>
    <w:p>
      <w:pPr>
        <w:spacing w:after="0" w:line="174" w:lineRule="exact"/>
        <w:rPr>
          <w:rFonts w:ascii="Courier New" w:cs="Courier New" w:eastAsia="Courier New" w:hAnsi="Courier New"/>
          <w:sz w:val="15"/>
          <w:szCs w:val="15"/>
          <w:color w:val="auto"/>
        </w:rPr>
      </w:pPr>
    </w:p>
    <w:p>
      <w:pPr>
        <w:ind w:left="620" w:right="3079" w:firstLine="901"/>
        <w:spacing w:after="0" w:line="242" w:lineRule="auto"/>
        <w:tabs>
          <w:tab w:leader="none" w:pos="1872"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obtained and delivered to the Underwriters executed copies of an agreement from each person who is a director or officer of the Company and such of its shareholders as have been heretofore designated by you and listed on Schedule III attached hereto, to the effect set forth in Subsection 5(b)(i) hereof in form and substance satisfactory to you; and</w:t>
      </w:r>
    </w:p>
    <w:p>
      <w:pPr>
        <w:spacing w:after="0" w:line="176" w:lineRule="exact"/>
        <w:rPr>
          <w:rFonts w:ascii="Courier New" w:cs="Courier New" w:eastAsia="Courier New" w:hAnsi="Courier New"/>
          <w:sz w:val="15"/>
          <w:szCs w:val="15"/>
          <w:color w:val="auto"/>
        </w:rPr>
      </w:pPr>
    </w:p>
    <w:p>
      <w:pPr>
        <w:ind w:left="620" w:right="3079" w:firstLine="901"/>
        <w:spacing w:after="0" w:line="242" w:lineRule="auto"/>
        <w:tabs>
          <w:tab w:leader="none" w:pos="1872" w:val="left"/>
        </w:tabs>
        <w:numPr>
          <w:ilvl w:val="1"/>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Selling Stockholder shall have furnished or caused to be furnished to you at such Time of Delivery certificates of officers of the Company and the Selling Stockholder satisfactory to you as to the accuracy of the representations and warranties of the Company and the Selling Stockholder herein at and as of such Time of Delivery, as to the performance by the Company and the Selling Stockholder of all of their respective obligations hereunder to be performed at or prior to such Time of Delivery, and as to such other matters as you may reasonably request, and the Company shall have furnished or caused to be furnished certificates as to the matters set forth in subsections (a) and (j) of this Section, and as to such other matters as you may reasonably request.</w:t>
      </w:r>
    </w:p>
    <w:p>
      <w:pPr>
        <w:spacing w:after="0" w:line="180" w:lineRule="exact"/>
        <w:rPr>
          <w:rFonts w:ascii="Courier New" w:cs="Courier New" w:eastAsia="Courier New" w:hAnsi="Courier New"/>
          <w:sz w:val="15"/>
          <w:szCs w:val="15"/>
          <w:color w:val="auto"/>
        </w:rPr>
      </w:pPr>
    </w:p>
    <w:p>
      <w:pPr>
        <w:ind w:left="-260" w:right="3259" w:firstLine="528"/>
        <w:spacing w:after="0" w:line="242" w:lineRule="auto"/>
        <w:tabs>
          <w:tab w:leader="none" w:pos="545"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The Company and the Selling Stockholder, jointly and severally, will indemnify and hold harmless each Underwriter against any losses, claims, damages or liabilities, joint or several, to which such Underwriter may become subject, under the Act or otherwise, insofar as such</w:t>
      </w:r>
    </w:p>
    <w:p>
      <w:pPr>
        <w:spacing w:after="0" w:line="200" w:lineRule="exact"/>
        <w:rPr>
          <w:sz w:val="20"/>
          <w:szCs w:val="20"/>
          <w:color w:val="auto"/>
        </w:rPr>
      </w:pPr>
    </w:p>
    <w:p>
      <w:pPr>
        <w:spacing w:after="0" w:line="317"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9959"/>
          </w:cols>
          <w:pgMar w:left="500" w:top="289" w:right="1440" w:bottom="1440" w:gutter="0" w:footer="0" w:header="0"/>
        </w:sectPr>
      </w:pPr>
    </w:p>
    <w:bookmarkStart w:id="168" w:name="page169"/>
    <w:bookmarkEnd w:id="168"/>
    <w:p>
      <w:pPr>
        <w:ind w:left="268"/>
        <w:spacing w:after="0"/>
        <w:rPr>
          <w:sz w:val="20"/>
          <w:szCs w:val="20"/>
          <w:color w:val="auto"/>
        </w:rPr>
      </w:pPr>
      <w:r>
        <w:rPr>
          <w:rFonts w:ascii="Courier New" w:cs="Courier New" w:eastAsia="Courier New" w:hAnsi="Courier New"/>
          <w:sz w:val="15"/>
          <w:szCs w:val="15"/>
          <w:color w:val="auto"/>
        </w:rPr>
        <w:t>31</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losses, claims, damages or liabilities (or actions in respect thereof) arise out of or are based upon an untrue statement or alleged untrue statement of a material fact contained in any Preliminary Prospectus, the Registration Statement or the Prospectus, or any amendment or supplement thereto,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and the Selling Stockholder shall not be liable in any such case to the extent that any such loss, claim, damage or liability arises out of or is based upon an untrue statement or alleged untrue statement or omission or alleged omission made in any Preliminary Prospectus, the Registration Statement or the Prospectus or any such amendment or supplement in reliance upon and in conformity with written information furnished to the Company by any Underwriter through Goldman, Sachs &amp; Co. expressly for use therein.</w:t>
      </w:r>
    </w:p>
    <w:p>
      <w:pPr>
        <w:spacing w:after="0" w:line="184" w:lineRule="exact"/>
        <w:rPr>
          <w:sz w:val="20"/>
          <w:szCs w:val="20"/>
          <w:color w:val="auto"/>
        </w:rPr>
      </w:pPr>
    </w:p>
    <w:p>
      <w:pPr>
        <w:ind w:left="8" w:right="3079" w:firstLine="886"/>
        <w:spacing w:after="0" w:line="242" w:lineRule="auto"/>
        <w:tabs>
          <w:tab w:leader="none" w:pos="1260"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Underwriter will indemnify and hold harmless the Company and the Selling Stockholder against any losses, claims, damages or liabilities to which the Company or the Selling Stockholder may become subject, under the Act or otherwise, insofar as such losses, claims, damages or liabilities (or actions in respect thereof) arise out of or are based upon an untrue statement or alleged untrue statement of a material fact contained in any Preliminary Prospectus, the Registration Statement or the Prospectus,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the Registration Statement or the Prospectus or any such amendment or supplement in reliance upon and in conformity with written information furnished to the Company by such Underwriter through Goldman, Sachs &amp; Co. expressly for use therein; and will reimburse the Company and the Selling Stockholder for any legal or other expenses reasonably incurred by the Company or the Selling Stockholder in connection with investigating or defending any such action or claim as such expenses are incurred.</w:t>
      </w:r>
    </w:p>
    <w:p>
      <w:pPr>
        <w:spacing w:after="0" w:line="183" w:lineRule="exact"/>
        <w:rPr>
          <w:rFonts w:ascii="Courier New" w:cs="Courier New" w:eastAsia="Courier New" w:hAnsi="Courier New"/>
          <w:sz w:val="15"/>
          <w:szCs w:val="15"/>
          <w:color w:val="auto"/>
        </w:rPr>
      </w:pPr>
    </w:p>
    <w:p>
      <w:pPr>
        <w:ind w:left="1248" w:hanging="354"/>
        <w:spacing w:after="0"/>
        <w:tabs>
          <w:tab w:leader="none" w:pos="1248" w:val="left"/>
        </w:tabs>
        <w:numPr>
          <w:ilvl w:val="1"/>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receipt by an indemnified party under subsection</w:t>
      </w:r>
    </w:p>
    <w:p>
      <w:pPr>
        <w:spacing w:after="0" w:line="3" w:lineRule="exact"/>
        <w:rPr>
          <w:rFonts w:ascii="Courier New" w:cs="Courier New" w:eastAsia="Courier New" w:hAnsi="Courier New"/>
          <w:sz w:val="15"/>
          <w:szCs w:val="15"/>
          <w:color w:val="auto"/>
        </w:rPr>
      </w:pPr>
    </w:p>
    <w:p>
      <w:pPr>
        <w:ind w:left="8" w:right="3079" w:hanging="8"/>
        <w:spacing w:after="0" w:line="242" w:lineRule="auto"/>
        <w:tabs>
          <w:tab w:leader="none" w:pos="366"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(b) above of notice of the commencement of any action, such indemnified party shall, if a claim in respect thereof is to be made against an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(which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w:t>
      </w:r>
    </w:p>
    <w:p>
      <w:pPr>
        <w:spacing w:after="0" w:line="200" w:lineRule="exact"/>
        <w:rPr>
          <w:sz w:val="20"/>
          <w:szCs w:val="20"/>
          <w:color w:val="auto"/>
        </w:rPr>
      </w:pPr>
    </w:p>
    <w:p>
      <w:pPr>
        <w:spacing w:after="0" w:line="32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27"/>
          </w:cols>
          <w:pgMar w:left="232" w:top="289" w:right="1440" w:bottom="1440" w:gutter="0" w:footer="0" w:header="0"/>
        </w:sectPr>
      </w:pPr>
    </w:p>
    <w:bookmarkStart w:id="169" w:name="page170"/>
    <w:bookmarkEnd w:id="169"/>
    <w:p>
      <w:pPr>
        <w:ind w:left="260"/>
        <w:spacing w:after="0"/>
        <w:rPr>
          <w:sz w:val="20"/>
          <w:szCs w:val="20"/>
          <w:color w:val="auto"/>
        </w:rPr>
      </w:pPr>
      <w:r>
        <w:rPr>
          <w:rFonts w:ascii="Courier New" w:cs="Courier New" w:eastAsia="Courier New" w:hAnsi="Courier New"/>
          <w:sz w:val="15"/>
          <w:szCs w:val="15"/>
          <w:color w:val="auto"/>
        </w:rPr>
        <w:t>32</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81" w:lineRule="exact"/>
        <w:rPr>
          <w:sz w:val="20"/>
          <w:szCs w:val="20"/>
          <w:color w:val="auto"/>
        </w:rPr>
      </w:pPr>
    </w:p>
    <w:p>
      <w:pPr>
        <w:ind w:right="3079" w:firstLine="886"/>
        <w:spacing w:after="0" w:line="260" w:lineRule="auto"/>
        <w:tabs>
          <w:tab w:leader="none" w:pos="1252"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indemnification provided for in this Section 8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and the Selling Stockholder on the one hand and the Underwriters on the other from the offering of the Shares.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and the Selling Stockholder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and the Selling Stockholder on the one hand and the Underwriters on the other shall be deemed to be in the same proportion as the total net proceeds from the offering of the Shares purchased under this Agreement (before deducting expenses) received by the Company and the Selling Stockholder bear to the total underwriting discount received by the Underwriters with respect to the Shares purchased under this Agreement,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or the Selling Stockholder on the one hand or the Underwriters on the other and the parties' relative intent, knowledge, access to information and opportunity to correct or prevent such statement or omission. The Company, the Selling Stockholder and the Underwriters agree that it would not be just and equitable if contributions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89" w:right="1440" w:bottom="1440" w:gutter="0" w:footer="0" w:header="0"/>
        </w:sectPr>
      </w:pPr>
    </w:p>
    <w:bookmarkStart w:id="170" w:name="page171"/>
    <w:bookmarkEnd w:id="170"/>
    <w:p>
      <w:pPr>
        <w:ind w:left="260"/>
        <w:spacing w:after="0"/>
        <w:rPr>
          <w:sz w:val="20"/>
          <w:szCs w:val="20"/>
          <w:color w:val="auto"/>
        </w:rPr>
      </w:pPr>
      <w:r>
        <w:rPr>
          <w:rFonts w:ascii="Courier New" w:cs="Courier New" w:eastAsia="Courier New" w:hAnsi="Courier New"/>
          <w:sz w:val="15"/>
          <w:szCs w:val="15"/>
          <w:color w:val="auto"/>
        </w:rPr>
        <w:t>33</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defending any such action or claim. Notwithstanding the provisions of this subsection (d),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179" w:lineRule="exact"/>
        <w:rPr>
          <w:sz w:val="20"/>
          <w:szCs w:val="20"/>
          <w:color w:val="auto"/>
        </w:rPr>
      </w:pPr>
    </w:p>
    <w:p>
      <w:pPr>
        <w:ind w:right="3079" w:firstLine="886"/>
        <w:spacing w:after="0" w:line="242" w:lineRule="auto"/>
        <w:tabs>
          <w:tab w:leader="none" w:pos="1252"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the Company and the Selling Stockholder under this Section 8 shall be in addition to any liability which the Company and the Selling Stockholder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or the Selling Stockholder within the meaning of the Act.</w:t>
      </w:r>
    </w:p>
    <w:p>
      <w:pPr>
        <w:spacing w:after="0" w:line="179" w:lineRule="exact"/>
        <w:rPr>
          <w:sz w:val="20"/>
          <w:szCs w:val="20"/>
          <w:color w:val="auto"/>
        </w:rPr>
      </w:pPr>
    </w:p>
    <w:p>
      <w:pPr>
        <w:ind w:right="3079" w:firstLine="886"/>
        <w:spacing w:after="0" w:line="242" w:lineRule="auto"/>
        <w:tabs>
          <w:tab w:leader="none" w:pos="1252"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If any Underwriter shall default in its obligation to purchase the Shares which it has agreed to purchase hereunder at a Time of Delivery, you may in your discretion arrange for you or another party or other parties to purchase such Shares on the terms contained herein. If within thirty-six hours after such default by any Underwriter you do not arrange for the purchase of such Shares, then the Selling Stockholder shall be entitled to a further period of thirty-six hours within which to procure another party or other parties satisfactory to you to purchase such Shares on such terms. In the event that, within the respective prescribed periods, you notify the Selling Stockholder that you have so arranged for the purchase of such Shares, or the Selling Stockholder notifies you that they have so arranged for the purchase of such Shares, you or the Selling Stockholder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186" w:lineRule="exact"/>
        <w:rPr>
          <w:sz w:val="20"/>
          <w:szCs w:val="20"/>
          <w:color w:val="auto"/>
        </w:rPr>
      </w:pPr>
    </w:p>
    <w:p>
      <w:pPr>
        <w:ind w:right="3259" w:firstLine="886"/>
        <w:spacing w:after="0" w:line="242" w:lineRule="auto"/>
        <w:tabs>
          <w:tab w:leader="none" w:pos="1252"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giving effect to any arrangements for the purchase of the Shares of a defaulting Underwriter or Underwriters by you and the Selling Stockholder as provided in subsection (a) above, the aggregate number of such Shares which remains unpurchased does not exceed one-eleventh of the aggregate number of all of the Shares to be purchased at such Time of Delivery, then the Selling Stockholder shall have the right to require each non-defaulting Underwriter to purchase the number of Shares which such Underwriter agreed to purchase hereunder at such</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89" w:right="1440" w:bottom="1440" w:gutter="0" w:footer="0" w:header="0"/>
        </w:sectPr>
      </w:pPr>
    </w:p>
    <w:bookmarkStart w:id="171" w:name="page172"/>
    <w:bookmarkEnd w:id="171"/>
    <w:p>
      <w:pPr>
        <w:ind w:left="260"/>
        <w:spacing w:after="0"/>
        <w:rPr>
          <w:sz w:val="20"/>
          <w:szCs w:val="20"/>
          <w:color w:val="auto"/>
        </w:rPr>
      </w:pPr>
      <w:r>
        <w:rPr>
          <w:rFonts w:ascii="Courier New" w:cs="Courier New" w:eastAsia="Courier New" w:hAnsi="Courier New"/>
          <w:sz w:val="15"/>
          <w:szCs w:val="15"/>
          <w:color w:val="auto"/>
        </w:rPr>
        <w:t>34</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176" w:lineRule="exact"/>
        <w:rPr>
          <w:sz w:val="20"/>
          <w:szCs w:val="20"/>
          <w:color w:val="auto"/>
        </w:rPr>
      </w:pPr>
    </w:p>
    <w:p>
      <w:pPr>
        <w:ind w:right="3079" w:firstLine="886"/>
        <w:spacing w:after="0" w:line="261" w:lineRule="auto"/>
        <w:tabs>
          <w:tab w:leader="none" w:pos="1252"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giving effect to any arrangements for the purchase of the Shares of a defaulting Underwriter or Underwriters by you and the Selling Stockholder as provided in subsection (a) above, the aggregate number of such Shares which remains unpurchased exceeds one-eleventh of the aggregate number of all of the Shares to be purchased at such Time of Delivery, or if the Selling Stockholder shall not exercise the right described in subsection (b) above to require non-defaulting Underwriters to purchase Shares of a defaulting Underwriter or Underwriters, then this Agreement (or, with respect to the Second Time of Delivery, the obligations of the Underwriters to purchase and of the Selling Stockholder to sell the Optional Shares) shall thereupon terminate, without liability on the part of any non-defaulting Underwriter or the Company or the Selling Stockholder, except for the expenses to be borne by the Company and the Selling Stockholder and the Underwriters as provided in Section 6 hereof and the indemnity and contribution agreements in Section 8 hereof; but nothing herein shall relieve a defaulting Underwriter from liability for its default.</w:t>
      </w:r>
    </w:p>
    <w:p>
      <w:pPr>
        <w:spacing w:after="0" w:line="165" w:lineRule="exact"/>
        <w:rPr>
          <w:sz w:val="20"/>
          <w:szCs w:val="20"/>
          <w:color w:val="auto"/>
        </w:rPr>
      </w:pPr>
    </w:p>
    <w:p>
      <w:pPr>
        <w:ind w:right="3159" w:firstLine="886"/>
        <w:spacing w:after="0" w:line="262" w:lineRule="auto"/>
        <w:tabs>
          <w:tab w:leader="none" w:pos="1252"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respective indemnities, agreements, representations, warranties and other statements of the Company, the Selling Stockholder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the Selling Stockholder, or any officer or director or controlling person of the Company, or any controlling person of the Selling Stockholder, and shall survive delivery of and payment for the Shares.</w:t>
      </w:r>
    </w:p>
    <w:p>
      <w:pPr>
        <w:spacing w:after="0" w:line="161" w:lineRule="exact"/>
        <w:rPr>
          <w:rFonts w:ascii="Courier New" w:cs="Courier New" w:eastAsia="Courier New" w:hAnsi="Courier New"/>
          <w:sz w:val="14"/>
          <w:szCs w:val="14"/>
          <w:color w:val="auto"/>
        </w:rPr>
      </w:pPr>
    </w:p>
    <w:p>
      <w:pPr>
        <w:ind w:right="3079" w:firstLine="886"/>
        <w:spacing w:after="0" w:line="242" w:lineRule="auto"/>
        <w:tabs>
          <w:tab w:leader="none" w:pos="1252"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this Agreement shall be terminated pursuant to Section 9 hereof, neither the Company nor the Selling Stockholder shall then be under any liability to any Underwriter except as provided in Sections 6 and 8 hereof; but, if for any other reason any Shares are not delivered by or on behalf of the Selling Stockholder as provided herein, the Company will reimburse the Underwriters through you for all out-of-pocket expenses approved in writing by you, including fees and disbursements of counsel, reasonably incurred by the Underwriters in making preparations for the purchase, sale and delivery of the Shares not so delivered, but the Company and the Selling Stockholder shall then be under no further liability to any Underwriter in respect of the Shares not so delivered except as provided in Sections 6 and 8 hereof.</w:t>
      </w:r>
    </w:p>
    <w:p>
      <w:pPr>
        <w:spacing w:after="0" w:line="179" w:lineRule="exact"/>
        <w:rPr>
          <w:rFonts w:ascii="Courier New" w:cs="Courier New" w:eastAsia="Courier New" w:hAnsi="Courier New"/>
          <w:sz w:val="15"/>
          <w:szCs w:val="15"/>
          <w:color w:val="auto"/>
        </w:rPr>
      </w:pPr>
    </w:p>
    <w:p>
      <w:pPr>
        <w:ind w:right="3079" w:firstLine="886"/>
        <w:spacing w:after="0" w:line="242" w:lineRule="auto"/>
        <w:tabs>
          <w:tab w:leader="none" w:pos="1252"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all dealings hereunder, you shall act on behalf of each of the Underwriters, and the parties hereto shall be entitled to act and rely upon any statement, request, notice or agreement on behalf of any Underwriter made or given by you jointly or by Goldman, Sachs &amp; Co. on behalf of you as the representatives; and in all dealings with the Selling Stockholder hereunder, you and the Company shall be entitled to act and rely only upon any statement, request, notice or agreement</w:t>
      </w:r>
    </w:p>
    <w:p>
      <w:pPr>
        <w:spacing w:after="0" w:line="200" w:lineRule="exact"/>
        <w:rPr>
          <w:sz w:val="20"/>
          <w:szCs w:val="20"/>
          <w:color w:val="auto"/>
        </w:rPr>
      </w:pPr>
    </w:p>
    <w:p>
      <w:pPr>
        <w:spacing w:after="0" w:line="31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89" w:right="1440" w:bottom="1440" w:gutter="0" w:footer="0" w:header="0"/>
        </w:sectPr>
      </w:pPr>
    </w:p>
    <w:bookmarkStart w:id="172" w:name="page173"/>
    <w:bookmarkEnd w:id="172"/>
    <w:p>
      <w:pPr>
        <w:ind w:left="260"/>
        <w:spacing w:after="0"/>
        <w:rPr>
          <w:sz w:val="20"/>
          <w:szCs w:val="20"/>
          <w:color w:val="auto"/>
        </w:rPr>
      </w:pPr>
      <w:r>
        <w:rPr>
          <w:rFonts w:ascii="Courier New" w:cs="Courier New" w:eastAsia="Courier New" w:hAnsi="Courier New"/>
          <w:sz w:val="15"/>
          <w:szCs w:val="15"/>
          <w:color w:val="auto"/>
        </w:rPr>
        <w:t>35</w:t>
      </w:r>
    </w:p>
    <w:p>
      <w:pPr>
        <w:spacing w:after="0" w:line="176" w:lineRule="exact"/>
        <w:rPr>
          <w:sz w:val="20"/>
          <w:szCs w:val="20"/>
          <w:color w:val="auto"/>
        </w:rPr>
      </w:pPr>
    </w:p>
    <w:p>
      <w:pPr>
        <w:ind w:right="3879"/>
        <w:spacing w:after="0"/>
        <w:rPr>
          <w:sz w:val="20"/>
          <w:szCs w:val="20"/>
          <w:color w:val="auto"/>
        </w:rPr>
      </w:pPr>
      <w:r>
        <w:rPr>
          <w:rFonts w:ascii="Courier New" w:cs="Courier New" w:eastAsia="Courier New" w:hAnsi="Courier New"/>
          <w:sz w:val="15"/>
          <w:szCs w:val="15"/>
          <w:color w:val="auto"/>
        </w:rPr>
        <w:t>on behalf of the Selling Stockholder made or given by any or all of the Attorneys-in-Fact for such Selling Stockholder.</w:t>
      </w:r>
    </w:p>
    <w:p>
      <w:pPr>
        <w:spacing w:after="0" w:line="176" w:lineRule="exact"/>
        <w:rPr>
          <w:sz w:val="20"/>
          <w:szCs w:val="20"/>
          <w:color w:val="auto"/>
        </w:rPr>
      </w:pPr>
    </w:p>
    <w:p>
      <w:pPr>
        <w:ind w:right="3079" w:firstLine="894"/>
        <w:spacing w:after="0" w:line="260" w:lineRule="auto"/>
        <w:rPr>
          <w:sz w:val="20"/>
          <w:szCs w:val="20"/>
          <w:color w:val="auto"/>
        </w:rPr>
      </w:pPr>
      <w:r>
        <w:rPr>
          <w:rFonts w:ascii="Courier New" w:cs="Courier New" w:eastAsia="Courier New" w:hAnsi="Courier New"/>
          <w:sz w:val="14"/>
          <w:szCs w:val="14"/>
          <w:color w:val="auto"/>
        </w:rPr>
        <w:t>All statements, requests, notices and agreements hereunder shall be in writing, and if to the Underwriters shall be delivered or sent by mail, telex or facsimile transmission to you as the representatives in care of Goldman, Sachs &amp; Co., 32 Old Slip, 21st Floor, New York, New York 10005, Attention: Registration Department; if to the Selling Stockholder shall be delivered or sent by mail, telex or facsimile transmission to the Selling Stockholder at its address set forth in Schedule ll hereto; and if to the Company shall be delivered or sent by mail, telex or facsimile transmission to the Company in care of Amdocs, Inc.</w:t>
      </w:r>
    </w:p>
    <w:p>
      <w:pPr>
        <w:spacing w:after="0" w:line="2"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1390 Timberlake Manor Parkway, Chesterfield, Missouri, 63017, Attention: Secretary; provided, however, that any notice to an Underwriter pursuant to Section 8 (d) hereof shall be delivered or sent by mail, telex or facsimile transmission to such Underwriter at its address set forth in its Underwriters' Questionnaire or telex constituting such Questionnaire, which address will be supplied to the Company or the Selling Stockholder by you upon request. Any such statements, requests, notices or agreements shall take effect upon receipt thereof.</w:t>
      </w:r>
    </w:p>
    <w:p>
      <w:pPr>
        <w:spacing w:after="0" w:line="177" w:lineRule="exact"/>
        <w:rPr>
          <w:sz w:val="20"/>
          <w:szCs w:val="20"/>
          <w:color w:val="auto"/>
        </w:rPr>
      </w:pPr>
    </w:p>
    <w:p>
      <w:pPr>
        <w:ind w:right="3079" w:firstLine="886"/>
        <w:spacing w:after="0" w:line="242" w:lineRule="auto"/>
        <w:tabs>
          <w:tab w:leader="none" w:pos="1252"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binding upon, and inure solely to the benefit of, the Underwriters, the Company and the Selling Stockholder and, to the extent provided in Sections 8 and 10 hereof, the officers and directors of the Company and each person who controls the Company, the Selling Stockholder or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178" w:lineRule="exact"/>
        <w:rPr>
          <w:rFonts w:ascii="Courier New" w:cs="Courier New" w:eastAsia="Courier New" w:hAnsi="Courier New"/>
          <w:sz w:val="15"/>
          <w:szCs w:val="15"/>
          <w:color w:val="auto"/>
        </w:rPr>
      </w:pPr>
    </w:p>
    <w:p>
      <w:pPr>
        <w:ind w:right="3079" w:firstLine="886"/>
        <w:spacing w:after="0" w:line="242" w:lineRule="auto"/>
        <w:tabs>
          <w:tab w:leader="none" w:pos="1252"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parties hereto irrevocably (i) agrees that any legal suit, action or proceeding against the Company or the Selling Stockholder brought by any Underwriter or by any person who controls any Underwriter arising out of or based upon this Agreement or the transactions contemplated hereby may be instituted in any New York Court, (ii) waives, to the fullest extent it may effectively do so, any objection which it may now or hereafter have to the laying of venue of any such proceeding and (iii) submits to the exclusive jurisdiction of such courts in any such suit, action or proceeding. Each of the Company and the Selling Stockholder has appointed Amdocs Inc. as its authorized agent (the "Authorized Agent") upon whom process may be served in any such action arising out of or based on this Agreement or the transactions contemplated hereby which may be instituted in any New York Court by any Underwriter or by any person who controls any Underwriter, expressly consents to the jurisdiction of any such court in respect of any such action, and waives any other requirements of or objections to personal jurisdiction with respect thereto. Such appointment shall be irrevocable. Each of the Company and the Selling Stockholder represents and warrants that the Authorized Agent has agreed to act as such agent for service of process and agrees to take any and all action, including the filing of any and all documents and instruments, that may be necessary to continue such appointment in full force and effect as aforesaid. Service of process upon the Authorized Agent and written notice of such service to the</w:t>
      </w:r>
    </w:p>
    <w:p>
      <w:pPr>
        <w:spacing w:after="0" w:line="35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89" w:right="1440" w:bottom="1440" w:gutter="0" w:footer="0" w:header="0"/>
        </w:sectPr>
      </w:pPr>
    </w:p>
    <w:bookmarkStart w:id="173" w:name="page174"/>
    <w:bookmarkEnd w:id="173"/>
    <w:p>
      <w:pPr>
        <w:ind w:left="260"/>
        <w:spacing w:after="0"/>
        <w:rPr>
          <w:sz w:val="20"/>
          <w:szCs w:val="20"/>
          <w:color w:val="auto"/>
        </w:rPr>
      </w:pPr>
      <w:r>
        <w:rPr>
          <w:rFonts w:ascii="Courier New" w:cs="Courier New" w:eastAsia="Courier New" w:hAnsi="Courier New"/>
          <w:sz w:val="15"/>
          <w:szCs w:val="15"/>
          <w:color w:val="auto"/>
        </w:rPr>
        <w:t>36</w:t>
      </w:r>
    </w:p>
    <w:p>
      <w:pPr>
        <w:spacing w:after="0" w:line="176" w:lineRule="exact"/>
        <w:rPr>
          <w:sz w:val="20"/>
          <w:szCs w:val="20"/>
          <w:color w:val="auto"/>
        </w:rPr>
      </w:pPr>
    </w:p>
    <w:p>
      <w:pPr>
        <w:ind w:right="3879"/>
        <w:spacing w:after="0" w:line="274" w:lineRule="auto"/>
        <w:rPr>
          <w:sz w:val="20"/>
          <w:szCs w:val="20"/>
          <w:color w:val="auto"/>
        </w:rPr>
      </w:pPr>
      <w:r>
        <w:rPr>
          <w:rFonts w:ascii="Courier New" w:cs="Courier New" w:eastAsia="Courier New" w:hAnsi="Courier New"/>
          <w:sz w:val="14"/>
          <w:szCs w:val="14"/>
          <w:color w:val="auto"/>
        </w:rPr>
        <w:t>Company shall be deemed, in every respect, effective service of process upon the Company and the Selling Stockholder, as the case may be.</w:t>
      </w:r>
    </w:p>
    <w:p>
      <w:pPr>
        <w:spacing w:after="0" w:line="154" w:lineRule="exact"/>
        <w:rPr>
          <w:sz w:val="20"/>
          <w:szCs w:val="20"/>
          <w:color w:val="auto"/>
        </w:rPr>
      </w:pPr>
    </w:p>
    <w:p>
      <w:pPr>
        <w:ind w:right="3079" w:firstLine="886"/>
        <w:spacing w:after="0" w:line="261" w:lineRule="auto"/>
        <w:tabs>
          <w:tab w:leader="none" w:pos="1252"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respect of any judgment or order given or made for any amount due hereunder that is expressed and paid in a currency (the "judgment currency") other than United States dollars, the Company and the Selling Stockholder, as the case may be, will indemnify each Underwriter against any loss incurred by such Underwriter as a result of any variation as between (i) the rate of exchange at which the United States dollar amount is converted into the judgment currency for the purpose of such judgment or order and (ii) the rate of exchange at which an Underwriter is able to purchase United States dollars with the amount of the judgment currency actually received by such Underwriter. The foregoing indemnity shall constitute a separate and independent obligation of the Company and the Selling Stockholder and shall continue in full force and effect notwithstanding any such judgment or order as aforesaid. The term "rate of exchange" shall include any premiums and costs of exchange payable in connection with the purchase of or conversion into United States dollars.</w:t>
      </w:r>
    </w:p>
    <w:p>
      <w:pPr>
        <w:spacing w:after="0" w:line="165" w:lineRule="exact"/>
        <w:rPr>
          <w:rFonts w:ascii="Courier New" w:cs="Courier New" w:eastAsia="Courier New" w:hAnsi="Courier New"/>
          <w:sz w:val="14"/>
          <w:szCs w:val="14"/>
          <w:color w:val="auto"/>
        </w:rPr>
      </w:pPr>
    </w:p>
    <w:p>
      <w:pPr>
        <w:ind w:right="3339" w:firstLine="886"/>
        <w:spacing w:after="0" w:line="241" w:lineRule="auto"/>
        <w:tabs>
          <w:tab w:leader="none" w:pos="1252"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shall be of the essence of this Agreement. As used herein, the term "business day" shall mean any day when the Commission's office in Washington, D.C. is open for business.</w:t>
      </w:r>
    </w:p>
    <w:p>
      <w:pPr>
        <w:spacing w:after="0" w:line="176" w:lineRule="exact"/>
        <w:rPr>
          <w:rFonts w:ascii="Courier New" w:cs="Courier New" w:eastAsia="Courier New" w:hAnsi="Courier New"/>
          <w:sz w:val="15"/>
          <w:szCs w:val="15"/>
          <w:color w:val="auto"/>
        </w:rPr>
      </w:pPr>
    </w:p>
    <w:p>
      <w:pPr>
        <w:ind w:right="3339" w:firstLine="886"/>
        <w:spacing w:after="0"/>
        <w:tabs>
          <w:tab w:leader="none" w:pos="1252"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GOVERNED BY AND CONSTRUED IN ACCORDANCE WITH THE LAWS OF THE STATE OF NEW YORK.</w:t>
      </w:r>
    </w:p>
    <w:p>
      <w:pPr>
        <w:spacing w:after="0" w:line="176" w:lineRule="exact"/>
        <w:rPr>
          <w:rFonts w:ascii="Courier New" w:cs="Courier New" w:eastAsia="Courier New" w:hAnsi="Courier New"/>
          <w:sz w:val="15"/>
          <w:szCs w:val="15"/>
          <w:color w:val="auto"/>
        </w:rPr>
      </w:pPr>
    </w:p>
    <w:p>
      <w:pPr>
        <w:ind w:right="3259" w:firstLine="886"/>
        <w:spacing w:after="0" w:line="242" w:lineRule="auto"/>
        <w:tabs>
          <w:tab w:leader="none" w:pos="1252"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be executed by any one or more of the parties hereto in any number of counterparts, each of which shall be deemed to be an original, but all such counterparts shall together constitute one and the same instrument.</w:t>
      </w:r>
    </w:p>
    <w:p>
      <w:pPr>
        <w:spacing w:after="0" w:line="200" w:lineRule="exact"/>
        <w:rPr>
          <w:sz w:val="20"/>
          <w:szCs w:val="20"/>
          <w:color w:val="auto"/>
        </w:rPr>
      </w:pPr>
    </w:p>
    <w:p>
      <w:pPr>
        <w:spacing w:after="0" w:line="31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89" w:right="1440" w:bottom="1440" w:gutter="0" w:footer="0" w:header="0"/>
        </w:sectPr>
      </w:pPr>
    </w:p>
    <w:bookmarkStart w:id="174" w:name="page175"/>
    <w:bookmarkEnd w:id="174"/>
    <w:p>
      <w:pPr>
        <w:ind w:left="260"/>
        <w:spacing w:after="0"/>
        <w:rPr>
          <w:sz w:val="20"/>
          <w:szCs w:val="20"/>
          <w:color w:val="auto"/>
        </w:rPr>
      </w:pPr>
      <w:r>
        <w:rPr>
          <w:rFonts w:ascii="Courier New" w:cs="Courier New" w:eastAsia="Courier New" w:hAnsi="Courier New"/>
          <w:sz w:val="15"/>
          <w:szCs w:val="15"/>
          <w:color w:val="auto"/>
        </w:rPr>
        <w:t>37</w:t>
      </w:r>
    </w:p>
    <w:p>
      <w:pPr>
        <w:spacing w:after="0" w:line="348"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If the foregoing is in accordance with your understanding, please sign and return to us twelve counterparts hereof, and upon the acceptance hereof by you, on behalf of each of the Underwriters, this letter and such acceptance hereof shall constitute a binding agreement among each of the Underwriters, the Company and the Selling Stockholder. It is understood that your acceptance of this letter on behalf of each of the Underwriters is pursuant to the authority set forth in a form of Agreement among Underwriters, the form of which shall be submitted to the Company and the Selling Stockholder for examination upon request, but without warranty on your part as to the authority of the signers thereof.</w:t>
      </w:r>
    </w:p>
    <w:p>
      <w:pPr>
        <w:spacing w:after="0" w:line="179"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Any person executing and delivering this Agreement as Attorney-in-Fact for the Selling Stockholder represents by so doing that he has been duly appointed as Attorney-in-Fact by the Selling Stockholder pursuant to a validly existing and binding Power of Attorney which authorizes such Attorney-in-Fact to take such action.</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Very truly yours,</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Amdocs Limited</w:t>
      </w:r>
    </w:p>
    <w:p>
      <w:pPr>
        <w:spacing w:after="0" w:line="346"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Title:</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Amdocs International Limited</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Title: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as of the date hereof:</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Goldman, Sachs &amp; Co.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Banc of America Securities LLC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Deutsche Bank Securities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Lehman Brothers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Prudential Securities Incorporated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(Goldman, Sachs &amp; Co.)</w:t>
      </w: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On behalf of each of the Underwriters</w:t>
      </w:r>
    </w:p>
    <w:p>
      <w:pPr>
        <w:sectPr>
          <w:pgSz w:w="11900" w:h="16838" w:orient="portrait"/>
          <w:cols w:equalWidth="0" w:num="1">
            <w:col w:w="10219"/>
          </w:cols>
          <w:pgMar w:left="240" w:top="289" w:right="1440" w:bottom="1440" w:gutter="0" w:footer="0" w:header="0"/>
        </w:sectPr>
      </w:pPr>
    </w:p>
    <w:bookmarkStart w:id="175" w:name="page176"/>
    <w:bookmarkEnd w:id="175"/>
    <w:p>
      <w:pPr>
        <w:ind w:left="260"/>
        <w:spacing w:after="0"/>
        <w:rPr>
          <w:sz w:val="20"/>
          <w:szCs w:val="20"/>
          <w:color w:val="auto"/>
        </w:rPr>
      </w:pPr>
      <w:r>
        <w:rPr>
          <w:rFonts w:ascii="Courier New" w:cs="Courier New" w:eastAsia="Courier New" w:hAnsi="Courier New"/>
          <w:sz w:val="15"/>
          <w:szCs w:val="15"/>
          <w:color w:val="auto"/>
        </w:rPr>
        <w:t>38</w:t>
      </w:r>
    </w:p>
    <w:p>
      <w:pPr>
        <w:spacing w:after="0" w:line="176" w:lineRule="exact"/>
        <w:rPr>
          <w:sz w:val="20"/>
          <w:szCs w:val="20"/>
          <w:color w:val="auto"/>
        </w:rPr>
      </w:pPr>
    </w:p>
    <w:p>
      <w:pPr>
        <w:ind w:left="3120"/>
        <w:spacing w:after="0"/>
        <w:rPr>
          <w:sz w:val="20"/>
          <w:szCs w:val="20"/>
          <w:color w:val="auto"/>
        </w:rPr>
      </w:pPr>
      <w:r>
        <w:rPr>
          <w:rFonts w:ascii="Courier New" w:cs="Courier New" w:eastAsia="Courier New" w:hAnsi="Courier New"/>
          <w:sz w:val="14"/>
          <w:szCs w:val="14"/>
          <w:color w:val="auto"/>
        </w:rPr>
        <w:t>SCHEDULE I</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UNDERWRITER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NUMBER OF OPTIONAL</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SHARES TO BE</w:t>
      </w:r>
    </w:p>
    <w:p>
      <w:pPr>
        <w:spacing w:after="0" w:line="2" w:lineRule="exact"/>
        <w:rPr>
          <w:sz w:val="20"/>
          <w:szCs w:val="20"/>
          <w:color w:val="auto"/>
        </w:rPr>
      </w:pPr>
    </w:p>
    <w:p>
      <w:pPr>
        <w:ind w:left="80"/>
        <w:spacing w:after="0"/>
        <w:tabs>
          <w:tab w:leader="none" w:pos="2300" w:val="left"/>
        </w:tabs>
        <w:rPr>
          <w:sz w:val="20"/>
          <w:szCs w:val="20"/>
          <w:color w:val="auto"/>
        </w:rPr>
      </w:pPr>
      <w:r>
        <w:rPr>
          <w:rFonts w:ascii="Courier New" w:cs="Courier New" w:eastAsia="Courier New" w:hAnsi="Courier New"/>
          <w:sz w:val="15"/>
          <w:szCs w:val="15"/>
          <w:color w:val="auto"/>
        </w:rPr>
        <w:t>TOTAL NUMBER OF</w:t>
      </w:r>
      <w:r>
        <w:rPr>
          <w:sz w:val="20"/>
          <w:szCs w:val="20"/>
          <w:color w:val="auto"/>
        </w:rPr>
        <w:tab/>
      </w:r>
      <w:r>
        <w:rPr>
          <w:rFonts w:ascii="Courier New" w:cs="Courier New" w:eastAsia="Courier New" w:hAnsi="Courier New"/>
          <w:sz w:val="14"/>
          <w:szCs w:val="14"/>
          <w:color w:val="auto"/>
        </w:rPr>
        <w:t>PURCHASED IF</w:t>
      </w:r>
    </w:p>
    <w:p>
      <w:pPr>
        <w:spacing w:after="0" w:line="2" w:lineRule="exact"/>
        <w:rPr>
          <w:sz w:val="20"/>
          <w:szCs w:val="20"/>
          <w:color w:val="auto"/>
        </w:rPr>
      </w:pPr>
    </w:p>
    <w:p>
      <w:pPr>
        <w:ind w:left="260"/>
        <w:spacing w:after="0"/>
        <w:tabs>
          <w:tab w:leader="none" w:pos="2220" w:val="left"/>
        </w:tabs>
        <w:rPr>
          <w:sz w:val="20"/>
          <w:szCs w:val="20"/>
          <w:color w:val="auto"/>
        </w:rPr>
      </w:pPr>
      <w:r>
        <w:rPr>
          <w:rFonts w:ascii="Courier New" w:cs="Courier New" w:eastAsia="Courier New" w:hAnsi="Courier New"/>
          <w:sz w:val="15"/>
          <w:szCs w:val="15"/>
          <w:color w:val="auto"/>
        </w:rPr>
        <w:t>FIRM SHARES</w:t>
      </w:r>
      <w:r>
        <w:rPr>
          <w:sz w:val="20"/>
          <w:szCs w:val="20"/>
          <w:color w:val="auto"/>
        </w:rPr>
        <w:tab/>
      </w:r>
      <w:r>
        <w:rPr>
          <w:rFonts w:ascii="Courier New" w:cs="Courier New" w:eastAsia="Courier New" w:hAnsi="Courier New"/>
          <w:sz w:val="14"/>
          <w:szCs w:val="14"/>
          <w:color w:val="auto"/>
        </w:rPr>
        <w:t>MAXIMUM OPTION</w:t>
      </w:r>
    </w:p>
    <w:p>
      <w:pPr>
        <w:spacing w:after="0" w:line="2" w:lineRule="exact"/>
        <w:rPr>
          <w:sz w:val="20"/>
          <w:szCs w:val="20"/>
          <w:color w:val="auto"/>
        </w:rPr>
      </w:pPr>
    </w:p>
    <w:p>
      <w:pPr>
        <w:ind w:left="80"/>
        <w:spacing w:after="0"/>
        <w:tabs>
          <w:tab w:leader="none" w:pos="2400" w:val="left"/>
        </w:tabs>
        <w:rPr>
          <w:sz w:val="20"/>
          <w:szCs w:val="20"/>
          <w:color w:val="auto"/>
        </w:rPr>
      </w:pPr>
      <w:r>
        <w:rPr>
          <w:rFonts w:ascii="Courier New" w:cs="Courier New" w:eastAsia="Courier New" w:hAnsi="Courier New"/>
          <w:sz w:val="15"/>
          <w:szCs w:val="15"/>
          <w:color w:val="auto"/>
        </w:rPr>
        <w:t>TO BE PURCHASED</w:t>
      </w:r>
      <w:r>
        <w:rPr>
          <w:sz w:val="20"/>
          <w:szCs w:val="20"/>
          <w:color w:val="auto"/>
        </w:rPr>
        <w:tab/>
      </w:r>
      <w:r>
        <w:rPr>
          <w:rFonts w:ascii="Courier New" w:cs="Courier New" w:eastAsia="Courier New" w:hAnsi="Courier New"/>
          <w:sz w:val="14"/>
          <w:szCs w:val="14"/>
          <w:color w:val="auto"/>
        </w:rPr>
        <w:t>EXERCISED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5" w:lineRule="exact"/>
        <w:rPr>
          <w:sz w:val="20"/>
          <w:szCs w:val="20"/>
          <w:color w:val="auto"/>
        </w:rPr>
      </w:pPr>
    </w:p>
    <w:p>
      <w:pPr>
        <w:sectPr>
          <w:pgSz w:w="11900" w:h="16838" w:orient="portrait"/>
          <w:cols w:equalWidth="0" w:num="2">
            <w:col w:w="5720" w:space="180"/>
            <w:col w:w="431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Goldman, Sachs &amp; Co...........................................</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Banc of America Securities LLC................................</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Deutsche Bank Securities Inc..................................</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Lehman Brothers Inc...........................................</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Prudential Securities Incorporated............................</w:t>
      </w:r>
    </w:p>
    <w:p>
      <w:pPr>
        <w:sectPr>
          <w:pgSz w:w="11900" w:h="16838" w:orient="portrait"/>
          <w:cols w:equalWidth="0" w:num="1">
            <w:col w:w="10219"/>
          </w:cols>
          <w:pgMar w:left="240" w:top="289" w:right="1440" w:bottom="1440" w:gutter="0" w:footer="0" w:header="0"/>
          <w:type w:val="continuous"/>
        </w:sectPr>
      </w:pPr>
    </w:p>
    <w:p>
      <w:pPr>
        <w:spacing w:after="0" w:line="184"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2">
            <w:col w:w="5000" w:space="720"/>
            <w:col w:w="4499"/>
          </w:cols>
          <w:pgMar w:left="240" w:top="289" w:right="1440" w:bottom="1440" w:gutter="0" w:footer="0" w:header="0"/>
          <w:type w:val="continuous"/>
        </w:sectPr>
      </w:pPr>
    </w:p>
    <w:bookmarkStart w:id="176" w:name="page177"/>
    <w:bookmarkEnd w:id="176"/>
    <w:p>
      <w:pPr>
        <w:ind w:left="260"/>
        <w:spacing w:after="0"/>
        <w:rPr>
          <w:sz w:val="20"/>
          <w:szCs w:val="20"/>
          <w:color w:val="auto"/>
        </w:rPr>
      </w:pPr>
      <w:r>
        <w:rPr>
          <w:rFonts w:ascii="Courier New" w:cs="Courier New" w:eastAsia="Courier New" w:hAnsi="Courier New"/>
          <w:sz w:val="15"/>
          <w:szCs w:val="15"/>
          <w:color w:val="auto"/>
        </w:rPr>
        <w:t>39</w:t>
      </w:r>
    </w:p>
    <w:p>
      <w:pPr>
        <w:spacing w:after="0" w:line="346" w:lineRule="exact"/>
        <w:rPr>
          <w:sz w:val="20"/>
          <w:szCs w:val="20"/>
          <w:color w:val="auto"/>
        </w:rPr>
      </w:pPr>
    </w:p>
    <w:p>
      <w:pPr>
        <w:jc w:val="right"/>
        <w:ind w:right="6199"/>
        <w:spacing w:after="0"/>
        <w:rPr>
          <w:sz w:val="20"/>
          <w:szCs w:val="20"/>
          <w:color w:val="auto"/>
        </w:rPr>
      </w:pPr>
      <w:r>
        <w:rPr>
          <w:rFonts w:ascii="Courier New" w:cs="Courier New" w:eastAsia="Courier New" w:hAnsi="Courier New"/>
          <w:sz w:val="15"/>
          <w:szCs w:val="15"/>
          <w:color w:val="auto"/>
        </w:rPr>
        <w:t>SCHEDULE II</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Stockholder: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Amdocs International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Custodian: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[American Stock Transfer]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Attorney-in-Fact: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come]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89" w:right="1440" w:bottom="1440" w:gutter="0" w:footer="0" w:header="0"/>
        </w:sectPr>
      </w:pPr>
    </w:p>
    <w:bookmarkStart w:id="177" w:name="page178"/>
    <w:bookmarkEnd w:id="177"/>
    <w:p>
      <w:pPr>
        <w:ind w:left="260"/>
        <w:spacing w:after="0"/>
        <w:rPr>
          <w:sz w:val="20"/>
          <w:szCs w:val="20"/>
          <w:color w:val="auto"/>
        </w:rPr>
      </w:pPr>
      <w:r>
        <w:rPr>
          <w:rFonts w:ascii="Courier New" w:cs="Courier New" w:eastAsia="Courier New" w:hAnsi="Courier New"/>
          <w:sz w:val="15"/>
          <w:szCs w:val="15"/>
          <w:color w:val="auto"/>
        </w:rPr>
        <w:t>40</w:t>
      </w:r>
    </w:p>
    <w:p>
      <w:pPr>
        <w:spacing w:after="0" w:line="346" w:lineRule="exact"/>
        <w:rPr>
          <w:sz w:val="20"/>
          <w:szCs w:val="20"/>
          <w:color w:val="auto"/>
        </w:rPr>
      </w:pPr>
    </w:p>
    <w:p>
      <w:pPr>
        <w:jc w:val="right"/>
        <w:ind w:right="6119"/>
        <w:spacing w:after="0"/>
        <w:rPr>
          <w:sz w:val="20"/>
          <w:szCs w:val="20"/>
          <w:color w:val="auto"/>
        </w:rPr>
      </w:pPr>
      <w:r>
        <w:rPr>
          <w:rFonts w:ascii="Courier New" w:cs="Courier New" w:eastAsia="Courier New" w:hAnsi="Courier New"/>
          <w:sz w:val="15"/>
          <w:szCs w:val="15"/>
          <w:color w:val="auto"/>
        </w:rPr>
        <w:t>SCHEDULE III</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come]</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89" w:right="1440" w:bottom="1440" w:gutter="0" w:footer="0" w:header="0"/>
        </w:sectPr>
      </w:pPr>
    </w:p>
    <w:bookmarkStart w:id="178" w:name="page179"/>
    <w:bookmarkEnd w:id="178"/>
    <w:p>
      <w:pPr>
        <w:ind w:left="260"/>
        <w:spacing w:after="0"/>
        <w:rPr>
          <w:sz w:val="20"/>
          <w:szCs w:val="20"/>
          <w:color w:val="auto"/>
        </w:rPr>
      </w:pPr>
      <w:r>
        <w:rPr>
          <w:rFonts w:ascii="Courier New" w:cs="Courier New" w:eastAsia="Courier New" w:hAnsi="Courier New"/>
          <w:sz w:val="15"/>
          <w:szCs w:val="15"/>
          <w:color w:val="auto"/>
        </w:rPr>
        <w:t>41</w:t>
      </w:r>
    </w:p>
    <w:p>
      <w:pPr>
        <w:spacing w:after="0" w:line="346"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ANNEX I</w:t>
      </w:r>
    </w:p>
    <w:p>
      <w:pPr>
        <w:spacing w:after="0" w:line="176" w:lineRule="exact"/>
        <w:rPr>
          <w:sz w:val="20"/>
          <w:szCs w:val="20"/>
          <w:color w:val="auto"/>
        </w:rPr>
      </w:pPr>
    </w:p>
    <w:p>
      <w:pPr>
        <w:ind w:right="3699" w:firstLine="1073"/>
        <w:spacing w:after="0" w:line="274" w:lineRule="auto"/>
        <w:rPr>
          <w:sz w:val="20"/>
          <w:szCs w:val="20"/>
          <w:color w:val="auto"/>
        </w:rPr>
      </w:pPr>
      <w:r>
        <w:rPr>
          <w:rFonts w:ascii="Courier New" w:cs="Courier New" w:eastAsia="Courier New" w:hAnsi="Courier New"/>
          <w:sz w:val="14"/>
          <w:szCs w:val="14"/>
          <w:color w:val="auto"/>
        </w:rPr>
        <w:t>Pursuant to Section 7(h) of the Underwriting Agreement, the accountants shall furnish letters to the Underwriters to the effect that:</w:t>
      </w:r>
    </w:p>
    <w:p>
      <w:pPr>
        <w:spacing w:after="0" w:line="154" w:lineRule="exact"/>
        <w:rPr>
          <w:sz w:val="20"/>
          <w:szCs w:val="20"/>
          <w:color w:val="auto"/>
        </w:rPr>
      </w:pPr>
    </w:p>
    <w:p>
      <w:pPr>
        <w:ind w:left="880" w:right="3159" w:firstLine="901"/>
        <w:spacing w:after="0" w:line="267" w:lineRule="auto"/>
        <w:tabs>
          <w:tab w:leader="none" w:pos="2132"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They are independent certified public accountants with respect to the Company and its subsidiaries within the meaning of the Act and the applicable published rules and regulations thereunder;</w:t>
      </w:r>
    </w:p>
    <w:p>
      <w:pPr>
        <w:spacing w:after="0" w:line="158" w:lineRule="exact"/>
        <w:rPr>
          <w:rFonts w:ascii="Courier New" w:cs="Courier New" w:eastAsia="Courier New" w:hAnsi="Courier New"/>
          <w:sz w:val="14"/>
          <w:szCs w:val="14"/>
          <w:color w:val="auto"/>
        </w:rPr>
      </w:pPr>
    </w:p>
    <w:p>
      <w:pPr>
        <w:ind w:left="880" w:right="3079" w:firstLine="901"/>
        <w:spacing w:after="0" w:line="242" w:lineRule="auto"/>
        <w:tabs>
          <w:tab w:leader="none" w:pos="2222"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opinion, the financial statements examined by them and included or incorporated by reference in the Prospectus or the Registration Statement comply as to form in all material respects with the applicable accounting requirements of the Act or the Exchange Act, as applicable, and the related published rules and regulations thereunder;</w:t>
      </w:r>
    </w:p>
    <w:p>
      <w:pPr>
        <w:spacing w:after="0" w:line="176" w:lineRule="exact"/>
        <w:rPr>
          <w:rFonts w:ascii="Courier New" w:cs="Courier New" w:eastAsia="Courier New" w:hAnsi="Courier New"/>
          <w:sz w:val="15"/>
          <w:szCs w:val="15"/>
          <w:color w:val="auto"/>
        </w:rPr>
      </w:pPr>
    </w:p>
    <w:p>
      <w:pPr>
        <w:ind w:left="880" w:right="3079" w:firstLine="901"/>
        <w:spacing w:after="0" w:line="242" w:lineRule="auto"/>
        <w:tabs>
          <w:tab w:leader="none" w:pos="2311"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have made a review in accordance with standards established by the American Institute of Certified Public Accountants of the unaudited condensed consolidated statements of operations, consolidated balance sheets, consolidated statement of changes in shareholders' equity and consolidated statements of cash flows included in the Prospectus and/or included in the Company's Current Report on Form 6-K incorporated by reference into the Prospectus; and on the basis of specified procedures including inquiries of officials of the Company who have responsibility for financial and accounting matters regarding whether the unaudited condensed consolidated financial statements referred to in paragraph (v)(1)(i) below comply as to form in all material respects with the applicable accounting requirements of the Act and the Exchange Act and the related published rules and regulations, nothing came to their attention that caused them to believe that the unaudited condensed consolidated financial statements do not comply as to form in all material respects with the applicable accounting requirements of the Act and the Exchange Act and the related published rules and regulations;</w:t>
      </w:r>
    </w:p>
    <w:p>
      <w:pPr>
        <w:spacing w:after="0" w:line="184" w:lineRule="exact"/>
        <w:rPr>
          <w:rFonts w:ascii="Courier New" w:cs="Courier New" w:eastAsia="Courier New" w:hAnsi="Courier New"/>
          <w:sz w:val="15"/>
          <w:szCs w:val="15"/>
          <w:color w:val="auto"/>
        </w:rPr>
      </w:pPr>
    </w:p>
    <w:p>
      <w:pPr>
        <w:ind w:left="880" w:right="3079" w:firstLine="901"/>
        <w:spacing w:after="0" w:line="242" w:lineRule="auto"/>
        <w:tabs>
          <w:tab w:leader="none" w:pos="2222"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have compared the information in the Prospectus under selected captions with the disclosure requirements of Regulation S-K and on the basis of limited procedures specified in such letter nothing came to their attention as a result of the foregoing procedures that caused them to believe that this information does not conform in all material respects with the disclosure requirements of Item 8 of Form 20-F and of Regulation S-K;</w:t>
      </w:r>
    </w:p>
    <w:p>
      <w:pPr>
        <w:spacing w:after="0" w:line="176" w:lineRule="exact"/>
        <w:rPr>
          <w:rFonts w:ascii="Courier New" w:cs="Courier New" w:eastAsia="Courier New" w:hAnsi="Courier New"/>
          <w:sz w:val="15"/>
          <w:szCs w:val="15"/>
          <w:color w:val="auto"/>
        </w:rPr>
      </w:pPr>
    </w:p>
    <w:p>
      <w:pPr>
        <w:ind w:left="880" w:right="3079" w:firstLine="901"/>
        <w:spacing w:after="0" w:line="263" w:lineRule="auto"/>
        <w:tabs>
          <w:tab w:leader="none" w:pos="2132"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basis of limited procedures, not constituting an examination in accordance with generally accepted auditing standards, consisting of a reading of the unaudited financial statements and other information referred to below, a reading of the latest available interim financial statements of the Company and its subsidiaries, inspection of the minute books of the Company and its subsidiaries</w:t>
      </w:r>
    </w:p>
    <w:p>
      <w:pPr>
        <w:spacing w:after="0" w:line="33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89" w:right="1440" w:bottom="1440" w:gutter="0" w:footer="0" w:header="0"/>
        </w:sectPr>
      </w:pPr>
    </w:p>
    <w:bookmarkStart w:id="179" w:name="page180"/>
    <w:bookmarkEnd w:id="179"/>
    <w:p>
      <w:pPr>
        <w:ind w:left="260"/>
        <w:spacing w:after="0"/>
        <w:rPr>
          <w:sz w:val="20"/>
          <w:szCs w:val="20"/>
          <w:color w:val="auto"/>
        </w:rPr>
      </w:pPr>
      <w:r>
        <w:rPr>
          <w:rFonts w:ascii="Courier New" w:cs="Courier New" w:eastAsia="Courier New" w:hAnsi="Courier New"/>
          <w:sz w:val="15"/>
          <w:szCs w:val="15"/>
          <w:color w:val="auto"/>
        </w:rPr>
        <w:t>42</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since the date of the latest audited financial statements included or incorporated by reference in the Prospectus, inquiries of officials of the Company and its subsidiaries responsible for financial and accounting matters and such other inquiries and procedures as may be specified in such letter, nothing came to their attention that caused them to believe that:</w:t>
      </w:r>
    </w:p>
    <w:p>
      <w:pPr>
        <w:spacing w:after="0" w:line="175" w:lineRule="exact"/>
        <w:rPr>
          <w:sz w:val="20"/>
          <w:szCs w:val="20"/>
          <w:color w:val="auto"/>
        </w:rPr>
      </w:pPr>
    </w:p>
    <w:p>
      <w:pPr>
        <w:ind w:left="880" w:right="3079" w:firstLine="901"/>
        <w:spacing w:after="0" w:line="242" w:lineRule="auto"/>
        <w:tabs>
          <w:tab w:leader="none" w:pos="2043"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unaudited consolidated statements of operations, consolidated balance sheets, consolidated statement of changes in shareholders' equity and consolidated statements of cash flows included in the Prospectus and/or included or incorporated by reference in an interim report on Form 6-K incorporated by reference in the Prospectus do not comply as to form in all material respects with the applicable accounting requirements of the Act or the Exchange Act, as applicable, and the related published rules and regulations, or (ii) any material modifications should be made to the unaudited consolidated statements of operations, consolidated balance sheets, consolidated statement of changes in shareholders' equity and consolidated statements of cash flows included in the Prospectus or included in an interim report on Form 6-K incorporated by reference in the Prospectus for them to be in conformity with generally accepted accounting principles;</w:t>
      </w:r>
    </w:p>
    <w:p>
      <w:pPr>
        <w:spacing w:after="0" w:line="182" w:lineRule="exact"/>
        <w:rPr>
          <w:rFonts w:ascii="Courier New" w:cs="Courier New" w:eastAsia="Courier New" w:hAnsi="Courier New"/>
          <w:sz w:val="15"/>
          <w:szCs w:val="15"/>
          <w:color w:val="auto"/>
        </w:rPr>
      </w:pPr>
    </w:p>
    <w:p>
      <w:pPr>
        <w:ind w:left="880" w:right="3079" w:firstLine="901"/>
        <w:spacing w:after="0" w:line="242" w:lineRule="auto"/>
        <w:tabs>
          <w:tab w:leader="none" w:pos="2043"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unaudited income statement data and balance sheet items included in the Prospectus do not agree with the corresponding items in the unaudited consolidated financial statements from which such data and items were derived, and any such unaudited data and items were not determined on a basis substantially consistent with the basis for the corresponding amounts in the audited consolidated financial statements included in the Prospectus or incorporated by reference in the Company's Annual Report on Form 20-F for the most recent fiscal year;</w:t>
      </w:r>
    </w:p>
    <w:p>
      <w:pPr>
        <w:spacing w:after="0" w:line="178" w:lineRule="exact"/>
        <w:rPr>
          <w:rFonts w:ascii="Courier New" w:cs="Courier New" w:eastAsia="Courier New" w:hAnsi="Courier New"/>
          <w:sz w:val="15"/>
          <w:szCs w:val="15"/>
          <w:color w:val="auto"/>
        </w:rPr>
      </w:pPr>
    </w:p>
    <w:p>
      <w:pPr>
        <w:ind w:left="880" w:right="3159" w:firstLine="901"/>
        <w:spacing w:after="0" w:line="242" w:lineRule="auto"/>
        <w:tabs>
          <w:tab w:leader="none" w:pos="2043"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financial statements which were not included in the Prospectus but from which were derived any unaudited condensed financial statements referred to in Clause (1) and any unaudited income statement data and balance sheet items included in the Prospectus and referred to in Clause (2) were not determined on a basis substantially consistent with the basis for the audited consolidated financial statements included in the Prospectus or incorporated by reference in the Company's Annual Report on Form 20-F for the most recent fiscal year;</w:t>
      </w:r>
    </w:p>
    <w:p>
      <w:pPr>
        <w:spacing w:after="0" w:line="200" w:lineRule="exact"/>
        <w:rPr>
          <w:sz w:val="20"/>
          <w:szCs w:val="20"/>
          <w:color w:val="auto"/>
        </w:rPr>
      </w:pPr>
    </w:p>
    <w:p>
      <w:pPr>
        <w:spacing w:after="0" w:line="32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89" w:right="1440" w:bottom="1440" w:gutter="0" w:footer="0" w:header="0"/>
        </w:sectPr>
      </w:pPr>
    </w:p>
    <w:bookmarkStart w:id="180" w:name="page181"/>
    <w:bookmarkEnd w:id="180"/>
    <w:p>
      <w:pPr>
        <w:ind w:left="260"/>
        <w:spacing w:after="0"/>
        <w:rPr>
          <w:sz w:val="20"/>
          <w:szCs w:val="20"/>
          <w:color w:val="auto"/>
        </w:rPr>
      </w:pPr>
      <w:r>
        <w:rPr>
          <w:rFonts w:ascii="Courier New" w:cs="Courier New" w:eastAsia="Courier New" w:hAnsi="Courier New"/>
          <w:sz w:val="15"/>
          <w:szCs w:val="15"/>
          <w:color w:val="auto"/>
        </w:rPr>
        <w:t>43</w:t>
      </w:r>
    </w:p>
    <w:p>
      <w:pPr>
        <w:spacing w:after="0" w:line="176" w:lineRule="exact"/>
        <w:rPr>
          <w:sz w:val="20"/>
          <w:szCs w:val="20"/>
          <w:color w:val="auto"/>
        </w:rPr>
      </w:pPr>
    </w:p>
    <w:p>
      <w:pPr>
        <w:ind w:left="880" w:right="3079" w:firstLine="894"/>
        <w:spacing w:after="0" w:line="261" w:lineRule="auto"/>
        <w:rPr>
          <w:sz w:val="20"/>
          <w:szCs w:val="20"/>
          <w:color w:val="auto"/>
        </w:rPr>
      </w:pPr>
      <w:r>
        <w:rPr>
          <w:rFonts w:ascii="Courier New" w:cs="Courier New" w:eastAsia="Courier New" w:hAnsi="Courier New"/>
          <w:sz w:val="14"/>
          <w:szCs w:val="14"/>
          <w:color w:val="auto"/>
        </w:rPr>
        <w:t>4) as of , 1999, there have been any changes in the consolidated capital stock (other than issuances of capital stock upon exercise of options and stock appreciation rights, upon earn-outs of performance shares and upon conversions of convertible securities, in each case which were outstanding on the date of the latest financial statements included in the Prospectus or incorporated by reference in the Prospectus) or any increase in the consolidated long-term debt of the Company and its subsidiaries, or any decreases in consolidated net current assets or shareholders' equity, in each case as compared with amounts shown in the latest balance sheet included or incorporated by reference in the Prospectus, except in each case for changes, increases or decreases which the Prospectus discloses have occurred or may occur or which are described in such letter; and</w:t>
      </w:r>
    </w:p>
    <w:p>
      <w:pPr>
        <w:spacing w:after="0" w:line="166" w:lineRule="exact"/>
        <w:rPr>
          <w:sz w:val="20"/>
          <w:szCs w:val="20"/>
          <w:color w:val="auto"/>
        </w:rPr>
      </w:pPr>
    </w:p>
    <w:p>
      <w:pPr>
        <w:ind w:left="880" w:right="3079" w:firstLine="901"/>
        <w:spacing w:after="0" w:line="242" w:lineRule="auto"/>
        <w:tabs>
          <w:tab w:leader="none" w:pos="2043"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period from the date of the latest financial statements included or incorporated by reference in the Prospectus to the specified date referred to in Clause (4) there were any decreases in consolidated net revenues or the total or per share amounts of consolidated net income, in each case as compared with the comparable period of the preceding year, except in each case for decreases or increases which the Prospectus discloses have occurred or may occur or which are described in such letter; and</w:t>
      </w:r>
    </w:p>
    <w:p>
      <w:pPr>
        <w:spacing w:after="0" w:line="175"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Although they are unable to and do not express any opinion on the</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pro forma consolidated financial statements of operations (the "Pro Forma Statements"), included in the Prospectus or on the pro forma adjustments applied to the historical amounts included in the Pro Forma Statements; for purposes of this letter they have performed the following procedures:</w:t>
      </w:r>
    </w:p>
    <w:p>
      <w:pPr>
        <w:spacing w:after="0" w:line="173" w:lineRule="exact"/>
        <w:rPr>
          <w:sz w:val="20"/>
          <w:szCs w:val="20"/>
          <w:color w:val="auto"/>
        </w:rPr>
      </w:pPr>
    </w:p>
    <w:p>
      <w:pPr>
        <w:ind w:left="1780" w:hanging="894"/>
        <w:spacing w:after="0"/>
        <w:tabs>
          <w:tab w:leader="none" w:pos="178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read the Pro Forma Statements;</w:t>
      </w:r>
    </w:p>
    <w:p>
      <w:pPr>
        <w:spacing w:after="0" w:line="175" w:lineRule="exact"/>
        <w:rPr>
          <w:rFonts w:ascii="Courier New" w:cs="Courier New" w:eastAsia="Courier New" w:hAnsi="Courier New"/>
          <w:sz w:val="15"/>
          <w:szCs w:val="15"/>
          <w:color w:val="auto"/>
        </w:rPr>
      </w:pPr>
    </w:p>
    <w:p>
      <w:pPr>
        <w:ind w:left="1780" w:right="3159" w:hanging="894"/>
        <w:spacing w:after="0"/>
        <w:tabs>
          <w:tab w:leader="none" w:pos="178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performed an audit of the financial statements to which the pro forma adjustments were applied;</w:t>
      </w:r>
    </w:p>
    <w:p>
      <w:pPr>
        <w:spacing w:after="0" w:line="176" w:lineRule="exact"/>
        <w:rPr>
          <w:rFonts w:ascii="Courier New" w:cs="Courier New" w:eastAsia="Courier New" w:hAnsi="Courier New"/>
          <w:sz w:val="15"/>
          <w:szCs w:val="15"/>
          <w:color w:val="auto"/>
        </w:rPr>
      </w:pPr>
    </w:p>
    <w:p>
      <w:pPr>
        <w:ind w:left="1780" w:right="3079" w:hanging="894"/>
        <w:spacing w:after="0" w:line="263" w:lineRule="auto"/>
        <w:tabs>
          <w:tab w:leader="none" w:pos="178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made inquires of certain officials of the Company who have responsibility for financial and accounting matters about the basis for their determination of the pro forma adjustments and whether the Pro Forma Statements comply as to form in all material respects with the applicable accounting requirements of Rule 11-02 of Regulation S-X; and</w:t>
      </w:r>
    </w:p>
    <w:p>
      <w:pPr>
        <w:spacing w:after="0" w:line="200" w:lineRule="exact"/>
        <w:rPr>
          <w:sz w:val="20"/>
          <w:szCs w:val="20"/>
          <w:color w:val="auto"/>
        </w:rPr>
      </w:pPr>
    </w:p>
    <w:p>
      <w:pPr>
        <w:spacing w:after="0" w:line="30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89" w:right="1440" w:bottom="1440" w:gutter="0" w:footer="0" w:header="0"/>
        </w:sectPr>
      </w:pPr>
    </w:p>
    <w:bookmarkStart w:id="181" w:name="page182"/>
    <w:bookmarkEnd w:id="181"/>
    <w:p>
      <w:pPr>
        <w:spacing w:after="0"/>
        <w:rPr>
          <w:sz w:val="20"/>
          <w:szCs w:val="20"/>
          <w:color w:val="auto"/>
        </w:rPr>
      </w:pPr>
      <w:r>
        <w:rPr>
          <w:rFonts w:ascii="Courier New" w:cs="Courier New" w:eastAsia="Courier New" w:hAnsi="Courier New"/>
          <w:sz w:val="15"/>
          <w:szCs w:val="15"/>
          <w:color w:val="auto"/>
        </w:rPr>
        <w:t>44</w:t>
      </w:r>
    </w:p>
    <w:p>
      <w:pPr>
        <w:spacing w:after="0" w:line="176" w:lineRule="exact"/>
        <w:rPr>
          <w:sz w:val="20"/>
          <w:szCs w:val="20"/>
          <w:color w:val="auto"/>
        </w:rPr>
      </w:pPr>
    </w:p>
    <w:p>
      <w:pPr>
        <w:ind w:left="1520" w:right="3079" w:hanging="894"/>
        <w:spacing w:after="0" w:line="260" w:lineRule="auto"/>
        <w:tabs>
          <w:tab w:leader="none" w:pos="1520"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proved the arithmetic accuracy of the application of the pro forma adjustments to the historical amounts in the Pro Forma Statements; and on the basis of such procedures and such other inquiries and procedures as specified herein, nothing came to their attention that caused them to believe that (i) the Pro Forma Statements included in the Prospectus do not comply as to form in all material respects with the applicable requirements of Rule 11-02 of Regulations S-X or</w:t>
      </w:r>
    </w:p>
    <w:p>
      <w:pPr>
        <w:spacing w:after="0" w:line="1" w:lineRule="exact"/>
        <w:rPr>
          <w:rFonts w:ascii="Courier New" w:cs="Courier New" w:eastAsia="Courier New" w:hAnsi="Courier New"/>
          <w:sz w:val="14"/>
          <w:szCs w:val="14"/>
          <w:color w:val="auto"/>
        </w:rPr>
      </w:pPr>
    </w:p>
    <w:p>
      <w:pPr>
        <w:ind w:left="1520" w:right="3519" w:firstLine="1"/>
        <w:spacing w:after="0" w:line="241" w:lineRule="auto"/>
        <w:tabs>
          <w:tab w:leader="none" w:pos="1967" w:val="left"/>
        </w:tabs>
        <w:numPr>
          <w:ilvl w:val="2"/>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adjustments have not been properly applied to the historical amounts in the compilation of those statements.</w:t>
      </w:r>
    </w:p>
    <w:p>
      <w:pPr>
        <w:spacing w:after="0" w:line="176" w:lineRule="exact"/>
        <w:rPr>
          <w:rFonts w:ascii="Courier New" w:cs="Courier New" w:eastAsia="Courier New" w:hAnsi="Courier New"/>
          <w:sz w:val="15"/>
          <w:szCs w:val="15"/>
          <w:color w:val="auto"/>
        </w:rPr>
      </w:pPr>
    </w:p>
    <w:p>
      <w:pPr>
        <w:ind w:left="-260" w:right="3079" w:firstLine="439"/>
        <w:spacing w:after="0" w:line="242" w:lineRule="auto"/>
        <w:tabs>
          <w:tab w:leader="none" w:pos="724"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examination referred to in their report(s) included or incorporated by reference in the Prospectus and the limited procedures, inspection of minute books, inquiries and other procedures referred to in paragraphs (iii) and (v) above, they have carried out certain specified procedures, not constituting an examination in accordance with generally accepted auditing standards, with respect to certain amounts, percentages and financial information specified by the Representatives, which are derived from the general accounting records of the Company and its subsidiaries, which appear in the Prospectus (excluding documents incorporated by reference), or in Part II of, or in exhibits and schedules to, the Registration Statement specified by the Representatives or in documents incorporated by reference in the Prospectus specified by the Representatives, and have compared certain of such amounts, percentages and financial information with the accounting records of the Company and its subsidiaries and have found them to be in agreement.</w:t>
      </w:r>
    </w:p>
    <w:p>
      <w:pPr>
        <w:spacing w:after="0" w:line="35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9959"/>
          </w:cols>
          <w:pgMar w:left="500" w:top="289" w:right="1440" w:bottom="1440" w:gutter="0" w:footer="0" w:header="0"/>
        </w:sectPr>
      </w:pPr>
    </w:p>
    <w:bookmarkStart w:id="182" w:name="page183"/>
    <w:bookmarkEnd w:id="182"/>
    <w:p>
      <w:pPr>
        <w:ind w:left="260"/>
        <w:spacing w:after="0"/>
        <w:rPr>
          <w:sz w:val="20"/>
          <w:szCs w:val="20"/>
          <w:color w:val="auto"/>
        </w:rPr>
      </w:pPr>
      <w:r>
        <w:rPr>
          <w:rFonts w:ascii="Courier New" w:cs="Courier New" w:eastAsia="Courier New" w:hAnsi="Courier New"/>
          <w:sz w:val="15"/>
          <w:szCs w:val="15"/>
          <w:color w:val="auto"/>
        </w:rPr>
        <w:t>45</w:t>
      </w:r>
    </w:p>
    <w:p>
      <w:pPr>
        <w:spacing w:after="0" w:line="346"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ANNEX II</w:t>
      </w:r>
    </w:p>
    <w:p>
      <w:pPr>
        <w:spacing w:after="0" w:line="348" w:lineRule="exact"/>
        <w:rPr>
          <w:sz w:val="20"/>
          <w:szCs w:val="20"/>
          <w:color w:val="auto"/>
        </w:rPr>
      </w:pPr>
    </w:p>
    <w:p>
      <w:pPr>
        <w:ind w:right="3699" w:firstLine="1073"/>
        <w:spacing w:after="0" w:line="274" w:lineRule="auto"/>
        <w:rPr>
          <w:sz w:val="20"/>
          <w:szCs w:val="20"/>
          <w:color w:val="auto"/>
        </w:rPr>
      </w:pPr>
      <w:r>
        <w:rPr>
          <w:rFonts w:ascii="Courier New" w:cs="Courier New" w:eastAsia="Courier New" w:hAnsi="Courier New"/>
          <w:sz w:val="14"/>
          <w:szCs w:val="14"/>
          <w:color w:val="auto"/>
        </w:rPr>
        <w:t>Pursuant to Section 7(i) of the Underwriting Agreement, the accountants shall furnish letters to the Underwriters to the effect that:</w:t>
      </w:r>
    </w:p>
    <w:p>
      <w:pPr>
        <w:spacing w:after="0" w:line="154" w:lineRule="exact"/>
        <w:rPr>
          <w:sz w:val="20"/>
          <w:szCs w:val="20"/>
          <w:color w:val="auto"/>
        </w:rPr>
      </w:pPr>
    </w:p>
    <w:p>
      <w:pPr>
        <w:ind w:left="880" w:right="3159" w:firstLine="543"/>
        <w:spacing w:after="0" w:line="242" w:lineRule="auto"/>
        <w:tabs>
          <w:tab w:leader="none" w:pos="1774"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are independent certified public accountants with respect to the Company and ITDS and its subsidiaries within the meaning of the Act and the applicable published rules and regulations thereunder;</w:t>
      </w:r>
    </w:p>
    <w:p>
      <w:pPr>
        <w:spacing w:after="0" w:line="174" w:lineRule="exact"/>
        <w:rPr>
          <w:rFonts w:ascii="Courier New" w:cs="Courier New" w:eastAsia="Courier New" w:hAnsi="Courier New"/>
          <w:sz w:val="15"/>
          <w:szCs w:val="15"/>
          <w:color w:val="auto"/>
        </w:rPr>
      </w:pPr>
    </w:p>
    <w:p>
      <w:pPr>
        <w:ind w:left="880" w:right="3079" w:firstLine="453"/>
        <w:spacing w:after="0" w:line="242" w:lineRule="auto"/>
        <w:tabs>
          <w:tab w:leader="none" w:pos="1774"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opinion, the financial statements examined by them and included in the Prospectus or the Registration Statement comply as to form in all material respects with the applicable accounting requirements of the Act and the related published rules and regulations thereunder;</w:t>
      </w:r>
    </w:p>
    <w:p>
      <w:pPr>
        <w:spacing w:after="0" w:line="175" w:lineRule="exact"/>
        <w:rPr>
          <w:rFonts w:ascii="Courier New" w:cs="Courier New" w:eastAsia="Courier New" w:hAnsi="Courier New"/>
          <w:sz w:val="15"/>
          <w:szCs w:val="15"/>
          <w:color w:val="auto"/>
        </w:rPr>
      </w:pPr>
    </w:p>
    <w:p>
      <w:pPr>
        <w:ind w:left="880" w:right="3079" w:firstLine="364"/>
        <w:spacing w:after="0" w:line="242" w:lineRule="auto"/>
        <w:tabs>
          <w:tab w:leader="none" w:pos="1774"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have made a review in accordance with standards established by the American Institute of Certified Public Accountants of the unaudited condensed consolidated statements of operations, consolidated balance sheets, consolidated statement of changes in shareholders' equity and consolidated statements of cash flows of ITDS included in the Prospectus; and on the basis of specified procedures including inquiries of officials of ITDS who have responsibility for financial and accounting matters regarding whether the unaudited condensed consolidated financial statements referred to in paragraph (iv)(1)(i) below comply as to form in all material respects with the applicable accounting requirements of the Act and the related published rules and regulations, nothing came to their attention that caused them to believe that the unaudited condensed consolidated financial statements do not comply as to form in all material respects with the applicable accounting requirements of the Act and the related published rules and regulations;</w:t>
      </w:r>
    </w:p>
    <w:p>
      <w:pPr>
        <w:spacing w:after="0" w:line="182" w:lineRule="exact"/>
        <w:rPr>
          <w:rFonts w:ascii="Courier New" w:cs="Courier New" w:eastAsia="Courier New" w:hAnsi="Courier New"/>
          <w:sz w:val="15"/>
          <w:szCs w:val="15"/>
          <w:color w:val="auto"/>
        </w:rPr>
      </w:pPr>
    </w:p>
    <w:p>
      <w:pPr>
        <w:ind w:left="880" w:right="3079" w:firstLine="453"/>
        <w:spacing w:after="0" w:line="242" w:lineRule="auto"/>
        <w:tabs>
          <w:tab w:leader="none" w:pos="1774"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basis of limited procedures, not constituting an examination in accordance with generally accepted auditing standards, consisting of a reading of the unaudited financial statements and other information referred to below, a reading of the latest available interim financial statements of ITDS and its subsidiaries, inspection of the minute books of ITDS and its subsidiaries since the date of the latest audited financial statements included in the Prospectus, inquiries of officials of ITDS and its subsidiaries responsible for financial and accounting matters and such other inquiries and procedures as may be specified in such letter, nothing came to their attention that caused them to believe that:</w:t>
      </w:r>
    </w:p>
    <w:p>
      <w:pPr>
        <w:spacing w:after="0" w:line="179" w:lineRule="exact"/>
        <w:rPr>
          <w:rFonts w:ascii="Courier New" w:cs="Courier New" w:eastAsia="Courier New" w:hAnsi="Courier New"/>
          <w:sz w:val="15"/>
          <w:szCs w:val="15"/>
          <w:color w:val="auto"/>
        </w:rPr>
      </w:pPr>
    </w:p>
    <w:p>
      <w:pPr>
        <w:ind w:left="1780" w:right="3339" w:firstLine="895"/>
        <w:spacing w:after="0" w:line="242" w:lineRule="auto"/>
        <w:tabs>
          <w:tab w:leader="none" w:pos="2943"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unaudited consolidated statements of operations, consolidated balance sheets, consolidated statement of changes in shareholders' equity and consolidated statements of cash flows of ITDS included in the Prospectus do not comply as to form in</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9" w:right="1440" w:bottom="1440" w:gutter="0" w:footer="0" w:header="0"/>
        </w:sectPr>
      </w:pPr>
    </w:p>
    <w:bookmarkStart w:id="183" w:name="page184"/>
    <w:bookmarkEnd w:id="183"/>
    <w:p>
      <w:pPr>
        <w:spacing w:after="0"/>
        <w:rPr>
          <w:sz w:val="20"/>
          <w:szCs w:val="20"/>
          <w:color w:val="auto"/>
        </w:rPr>
      </w:pPr>
      <w:r>
        <w:rPr>
          <w:rFonts w:ascii="Courier New" w:cs="Courier New" w:eastAsia="Courier New" w:hAnsi="Courier New"/>
          <w:sz w:val="15"/>
          <w:szCs w:val="15"/>
          <w:color w:val="auto"/>
        </w:rPr>
        <w:t>46</w:t>
      </w:r>
    </w:p>
    <w:p>
      <w:pPr>
        <w:spacing w:after="0" w:line="176" w:lineRule="exact"/>
        <w:rPr>
          <w:sz w:val="20"/>
          <w:szCs w:val="20"/>
          <w:color w:val="auto"/>
        </w:rPr>
      </w:pPr>
    </w:p>
    <w:p>
      <w:pPr>
        <w:ind w:left="980" w:right="3159"/>
        <w:spacing w:after="0" w:line="260" w:lineRule="auto"/>
        <w:rPr>
          <w:sz w:val="20"/>
          <w:szCs w:val="20"/>
          <w:color w:val="auto"/>
        </w:rPr>
      </w:pPr>
      <w:r>
        <w:rPr>
          <w:rFonts w:ascii="Courier New" w:cs="Courier New" w:eastAsia="Courier New" w:hAnsi="Courier New"/>
          <w:sz w:val="14"/>
          <w:szCs w:val="14"/>
          <w:color w:val="auto"/>
        </w:rPr>
        <w:t>all material respects with the applicable accounting requirements of the Act and the related published rules and regulations, or</w:t>
      </w:r>
    </w:p>
    <w:p>
      <w:pPr>
        <w:ind w:left="980" w:right="3159" w:firstLine="4"/>
        <w:spacing w:after="0" w:line="242" w:lineRule="auto"/>
        <w:tabs>
          <w:tab w:leader="none" w:pos="1427"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modifications should be made to the unaudited consolidated statements of operations, consolidated balance sheets, consolidated statement of changes in shareholders' equity and consolidated statements of cash flows of ITDS included in the Prospectus for them to be in conformity with generally accepted accounting principles;</w:t>
      </w:r>
    </w:p>
    <w:p>
      <w:pPr>
        <w:spacing w:after="0" w:line="176" w:lineRule="exact"/>
        <w:rPr>
          <w:sz w:val="20"/>
          <w:szCs w:val="20"/>
          <w:color w:val="auto"/>
        </w:rPr>
      </w:pPr>
    </w:p>
    <w:p>
      <w:pPr>
        <w:ind w:left="1080" w:right="3079" w:firstLine="1342"/>
        <w:spacing w:after="0" w:line="241" w:lineRule="auto"/>
        <w:rPr>
          <w:sz w:val="20"/>
          <w:szCs w:val="20"/>
          <w:color w:val="auto"/>
        </w:rPr>
      </w:pPr>
      <w:r>
        <w:rPr>
          <w:rFonts w:ascii="Courier New" w:cs="Courier New" w:eastAsia="Courier New" w:hAnsi="Courier New"/>
          <w:sz w:val="15"/>
          <w:szCs w:val="15"/>
          <w:color w:val="auto"/>
        </w:rPr>
        <w:t>2) as of , 1999, there have been any changes in the consolidated capital stock (other than issuances of capital stock upon exercise of options and stock appreciation</w:t>
      </w:r>
    </w:p>
    <w:p>
      <w:pPr>
        <w:spacing w:after="0" w:line="4" w:lineRule="exact"/>
        <w:rPr>
          <w:sz w:val="20"/>
          <w:szCs w:val="20"/>
          <w:color w:val="auto"/>
        </w:rPr>
      </w:pPr>
    </w:p>
    <w:p>
      <w:pPr>
        <w:ind w:left="1080" w:right="3079"/>
        <w:spacing w:after="0" w:line="242" w:lineRule="auto"/>
        <w:rPr>
          <w:sz w:val="20"/>
          <w:szCs w:val="20"/>
          <w:color w:val="auto"/>
        </w:rPr>
      </w:pPr>
      <w:r>
        <w:rPr>
          <w:rFonts w:ascii="Courier New" w:cs="Courier New" w:eastAsia="Courier New" w:hAnsi="Courier New"/>
          <w:sz w:val="15"/>
          <w:szCs w:val="15"/>
          <w:color w:val="auto"/>
        </w:rPr>
        <w:t>rights, upon earn-outs of performance shares and upon conversions of convertible securities, in each case which were outstanding on the date of the latest financial statements included in the Prospectus) or any increase in the consolidated long-term debt of ITDS and its subsidiaries, or any decreases in consolidated net current assets or shareholders' equity, in each case as compared with amounts shown in the latest balance sheet included in the Prospectus, except in each case for changes, increases or decreases which the Prospectus discloses have occurred or may occur or which are described in such letter; and</w:t>
      </w:r>
    </w:p>
    <w:p>
      <w:pPr>
        <w:spacing w:after="0" w:line="179" w:lineRule="exact"/>
        <w:rPr>
          <w:sz w:val="20"/>
          <w:szCs w:val="20"/>
          <w:color w:val="auto"/>
        </w:rPr>
      </w:pPr>
    </w:p>
    <w:p>
      <w:pPr>
        <w:ind w:left="980" w:right="3159" w:firstLine="1435"/>
        <w:spacing w:after="0" w:line="262" w:lineRule="auto"/>
        <w:tabs>
          <w:tab w:leader="none" w:pos="2679"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period from the date of the latest financial statements of ITDS included in the Prospectus to the specified date referred to in Clause (2) there were any decreases in consolidated net revenues or the total or per share amounts of consolidated net income, in each case as compared with the comparable period of the preceding year, except in each case for decreases or increases which the Prospectus discloses have occurred or may occur or which are described in such letter; and</w:t>
      </w:r>
    </w:p>
    <w:p>
      <w:pPr>
        <w:spacing w:after="0" w:line="163" w:lineRule="exact"/>
        <w:rPr>
          <w:rFonts w:ascii="Courier New" w:cs="Courier New" w:eastAsia="Courier New" w:hAnsi="Courier New"/>
          <w:sz w:val="14"/>
          <w:szCs w:val="14"/>
          <w:color w:val="auto"/>
        </w:rPr>
      </w:pPr>
    </w:p>
    <w:p>
      <w:pPr>
        <w:ind w:left="-260" w:right="3159" w:firstLine="886"/>
        <w:spacing w:after="0" w:line="242" w:lineRule="auto"/>
        <w:tabs>
          <w:tab w:leader="none" w:pos="992"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examination referred to in their report(s) included in the Prospectus and the limited procedures, inspection of minute books, inquiries and other procedures referred to in paragraphs (iii) and (iv) above, they have carried out certain specified procedures, not constituting an examination in accordance with generally accepted auditing standards, with respect to certain amounts, percentages and financial information specified by the Representatives, which are derived from the general accounting records of ITDS and its subsidiaries, which appear in the Prospectus, or in Part II of, or in exhibits and schedules to, the Registration Statement specified by the Representatives, and have compared certain of such amounts, percentages and financial information with the accounting records of ITDS and its subsidiaries and have found them to be in agreement.</w:t>
      </w:r>
    </w:p>
    <w:p>
      <w:pPr>
        <w:sectPr>
          <w:pgSz w:w="11900" w:h="16838" w:orient="portrait"/>
          <w:cols w:equalWidth="0" w:num="1">
            <w:col w:w="9959"/>
          </w:cols>
          <w:pgMar w:left="500" w:top="289" w:right="1440" w:bottom="1440" w:gutter="0" w:footer="0" w:header="0"/>
        </w:sectPr>
      </w:pPr>
    </w:p>
    <w:bookmarkStart w:id="184" w:name="page185"/>
    <w:bookmarkEnd w:id="184"/>
    <w:p>
      <w:pPr>
        <w:ind w:left="268"/>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[CAREY LANGLOIS LETTERHEAD]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Tower Hill House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Le Bordage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 Peter Port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Guernsey</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Channel Islands</w:t>
      </w:r>
    </w:p>
    <w:p>
      <w:pPr>
        <w:spacing w:after="0" w:line="174" w:lineRule="exact"/>
        <w:rPr>
          <w:sz w:val="20"/>
          <w:szCs w:val="20"/>
          <w:color w:val="auto"/>
        </w:rPr>
      </w:pPr>
    </w:p>
    <w:p>
      <w:pPr>
        <w:ind w:left="6088"/>
        <w:spacing w:after="0"/>
        <w:rPr>
          <w:sz w:val="20"/>
          <w:szCs w:val="20"/>
          <w:color w:val="auto"/>
        </w:rPr>
      </w:pPr>
      <w:r>
        <w:rPr>
          <w:rFonts w:ascii="Courier New" w:cs="Courier New" w:eastAsia="Courier New" w:hAnsi="Courier New"/>
          <w:sz w:val="15"/>
          <w:szCs w:val="15"/>
          <w:color w:val="auto"/>
        </w:rPr>
        <w:t>EXHIBIT 5.1</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01 October 1999</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Dear Sirs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 AMDOCS LIMITED</w:t>
      </w:r>
    </w:p>
    <w:p>
      <w:pPr>
        <w:spacing w:after="0" w:line="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REGISTRATION STATEMENT ON FORM F-3</w:t>
      </w:r>
    </w:p>
    <w:p>
      <w:pPr>
        <w:spacing w:after="0" w:line="176" w:lineRule="exact"/>
        <w:rPr>
          <w:sz w:val="20"/>
          <w:szCs w:val="20"/>
          <w:color w:val="auto"/>
        </w:rPr>
      </w:pPr>
    </w:p>
    <w:p>
      <w:pPr>
        <w:ind w:left="8" w:right="3259"/>
        <w:spacing w:after="0" w:line="263" w:lineRule="auto"/>
        <w:rPr>
          <w:sz w:val="20"/>
          <w:szCs w:val="20"/>
          <w:color w:val="auto"/>
        </w:rPr>
      </w:pPr>
      <w:r>
        <w:rPr>
          <w:rFonts w:ascii="Courier New" w:cs="Courier New" w:eastAsia="Courier New" w:hAnsi="Courier New"/>
          <w:sz w:val="14"/>
          <w:szCs w:val="14"/>
          <w:color w:val="auto"/>
        </w:rPr>
        <w:t>We have acted as counsel to Amdocs Limited, a Guernsey Corporation ("the Company"), in connection with its Registration Statement on form F-3 ("the Registration Statement"), filed under the Securities Act of 1933, as amended ("the Act"), relating to the proposed public offering of up to 20,700,000 Ordinary Shares, Pound Sterling 0.01 per value ("the shares"), of the Company.</w:t>
      </w:r>
    </w:p>
    <w:p>
      <w:pPr>
        <w:spacing w:after="0" w:line="163"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In that connection, we have examined originals, or copies, certified or otherwise identified to our satisfaction of such documents, corporate records and other instruments as we have deemed necessary or appropriate for purposes of this opinion, including the Amended and Restated Articles of Association and the Memorandum of Association of the Company.</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Based upon the foregoing, we are of the opinion that:</w:t>
      </w:r>
    </w:p>
    <w:p>
      <w:pPr>
        <w:spacing w:after="0" w:line="176" w:lineRule="exact"/>
        <w:rPr>
          <w:sz w:val="20"/>
          <w:szCs w:val="20"/>
          <w:color w:val="auto"/>
        </w:rPr>
      </w:pPr>
    </w:p>
    <w:p>
      <w:pPr>
        <w:ind w:left="808" w:right="3079" w:hanging="808"/>
        <w:spacing w:after="0"/>
        <w:tabs>
          <w:tab w:leader="none" w:pos="808"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duly organised and is validly existing as a corporation under the laws of Guernsey</w:t>
      </w:r>
    </w:p>
    <w:p>
      <w:pPr>
        <w:spacing w:after="0" w:line="176" w:lineRule="exact"/>
        <w:rPr>
          <w:rFonts w:ascii="Courier New" w:cs="Courier New" w:eastAsia="Courier New" w:hAnsi="Courier New"/>
          <w:sz w:val="15"/>
          <w:szCs w:val="15"/>
          <w:color w:val="auto"/>
        </w:rPr>
      </w:pPr>
    </w:p>
    <w:p>
      <w:pPr>
        <w:ind w:left="808" w:right="3259" w:hanging="808"/>
        <w:spacing w:after="0" w:line="242" w:lineRule="auto"/>
        <w:tabs>
          <w:tab w:leader="none" w:pos="808"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have been duly authorised, and the Shares being sold by Amdocs International Limited when issued in accordance with the terms of the Underwriting Agreement in substantially the form filed as Exhibit 1.1 to the Registration Statement, will be validly issued, fully paid, and non-assessable.</w:t>
      </w:r>
    </w:p>
    <w:p>
      <w:pPr>
        <w:sectPr>
          <w:pgSz w:w="11900" w:h="16838" w:orient="portrait"/>
          <w:cols w:equalWidth="0" w:num="1">
            <w:col w:w="10227"/>
          </w:cols>
          <w:pgMar w:left="232" w:top="140" w:right="1440" w:bottom="1440" w:gutter="0" w:footer="0" w:header="0"/>
        </w:sectPr>
      </w:pPr>
    </w:p>
    <w:bookmarkStart w:id="185" w:name="page186"/>
    <w:bookmarkEnd w:id="185"/>
    <w:p>
      <w:pPr>
        <w:ind w:left="260"/>
        <w:spacing w:after="0"/>
        <w:rPr>
          <w:sz w:val="20"/>
          <w:szCs w:val="20"/>
          <w:color w:val="auto"/>
        </w:rPr>
      </w:pPr>
      <w:r>
        <w:rPr>
          <w:rFonts w:ascii="Courier New" w:cs="Courier New" w:eastAsia="Courier New" w:hAnsi="Courier New"/>
          <w:sz w:val="15"/>
          <w:szCs w:val="15"/>
          <w:color w:val="auto"/>
        </w:rPr>
        <w:t>2</w:t>
      </w:r>
    </w:p>
    <w:p>
      <w:pPr>
        <w:spacing w:after="0" w:line="176"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[CAREY LANGLOIS LETTERHEAD]</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w:t>
      </w:r>
    </w:p>
    <w:p>
      <w:pPr>
        <w:spacing w:after="0" w:line="2"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5"/>
          <w:szCs w:val="15"/>
          <w:color w:val="auto"/>
        </w:rPr>
        <w:t>Amdocs Limited</w:t>
      </w:r>
      <w:r>
        <w:rPr>
          <w:sz w:val="20"/>
          <w:szCs w:val="20"/>
          <w:color w:val="auto"/>
        </w:rPr>
        <w:tab/>
      </w:r>
      <w:r>
        <w:rPr>
          <w:rFonts w:ascii="Courier New" w:cs="Courier New" w:eastAsia="Courier New" w:hAnsi="Courier New"/>
          <w:sz w:val="14"/>
          <w:szCs w:val="14"/>
          <w:color w:val="auto"/>
        </w:rPr>
        <w:t>1 October 1999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w:t>
      </w:r>
    </w:p>
    <w:p>
      <w:pPr>
        <w:spacing w:after="0" w:line="13"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We hereby consent to the use of this opinion as an exhibit to the Registration Statement, and to the reference to our firm under "Enforceability of Civil Liabilities" and "Legal Matters" in the Prospectus comprising a part of the Registration Statement.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Yours faithfully</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[CAREY LANGLOIS SIGNATURE]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Carey Langlois</w:t>
      </w:r>
    </w:p>
    <w:p>
      <w:pPr>
        <w:sectPr>
          <w:pgSz w:w="11900" w:h="16838" w:orient="portrait"/>
          <w:cols w:equalWidth="0" w:num="1">
            <w:col w:w="10219"/>
          </w:cols>
          <w:pgMar w:left="240" w:top="289" w:right="1440" w:bottom="1440" w:gutter="0" w:footer="0" w:header="0"/>
        </w:sectPr>
      </w:pPr>
    </w:p>
    <w:bookmarkStart w:id="186" w:name="page187"/>
    <w:bookmarkEnd w:id="186"/>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23.1</w:t>
      </w:r>
    </w:p>
    <w:p>
      <w:pPr>
        <w:spacing w:after="0" w:line="346"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 consent to the reference to our firm under the captions "Summary Historical Consolidated Financial Information," "Selected Historical Consolidated Financial Information" and "Experts" and to the use of our report dated November 8, 1998, in Amendment No. 2 to the Registration Statement (Form F-3 No. 333-86609) and related Prospectus of Amdocs Limited for the registration of 20,700,000 shares of its ordinary shares.</w:t>
      </w:r>
    </w:p>
    <w:p>
      <w:pPr>
        <w:spacing w:after="0" w:line="346" w:lineRule="exact"/>
        <w:rPr>
          <w:sz w:val="20"/>
          <w:szCs w:val="20"/>
          <w:color w:val="auto"/>
        </w:rPr>
      </w:pPr>
    </w:p>
    <w:p>
      <w:pPr>
        <w:ind w:left="4460"/>
        <w:spacing w:after="0"/>
        <w:rPr>
          <w:sz w:val="20"/>
          <w:szCs w:val="20"/>
          <w:color w:val="auto"/>
        </w:rPr>
      </w:pPr>
      <w:r>
        <w:rPr>
          <w:rFonts w:ascii="Courier New" w:cs="Courier New" w:eastAsia="Courier New" w:hAnsi="Courier New"/>
          <w:sz w:val="15"/>
          <w:szCs w:val="15"/>
          <w:color w:val="auto"/>
        </w:rPr>
        <w:t>/s/ ERNST &amp; YOUNG LLP</w:t>
      </w:r>
    </w:p>
    <w:p>
      <w:pPr>
        <w:spacing w:after="0" w:line="2" w:lineRule="exact"/>
        <w:rPr>
          <w:sz w:val="20"/>
          <w:szCs w:val="20"/>
          <w:color w:val="auto"/>
        </w:rPr>
      </w:pPr>
    </w:p>
    <w:p>
      <w:pPr>
        <w:ind w:left="44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5"/>
          <w:szCs w:val="15"/>
          <w:color w:val="auto"/>
        </w:rPr>
        <w:t>Ernst &amp; Young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 Louis, Missouri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1, 1999</w:t>
      </w:r>
    </w:p>
    <w:p>
      <w:pPr>
        <w:sectPr>
          <w:pgSz w:w="11900" w:h="16838" w:orient="portrait"/>
          <w:cols w:equalWidth="0" w:num="1">
            <w:col w:w="10219"/>
          </w:cols>
          <w:pgMar w:left="240" w:top="140" w:right="1440" w:bottom="1440" w:gutter="0" w:footer="0" w:header="0"/>
        </w:sectPr>
      </w:pPr>
    </w:p>
    <w:bookmarkStart w:id="187" w:name="page188"/>
    <w:bookmarkEnd w:id="187"/>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23.2</w:t>
      </w:r>
    </w:p>
    <w:p>
      <w:pPr>
        <w:spacing w:after="0" w:line="346"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348"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We consent to the reference to our firm under the caption "Experts" and to the use of our report dated February 16, 1999, with respect to the financial statements and schedules of International Telecommunication Data Systems, Inc. included in Amendment No. 2 to the Registration Statement (Form F-3 No.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333-86609) and related Prospectus of Amdocs Limited for the registration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20,700,000 shares of its ordinary shares.</w:t>
      </w:r>
    </w:p>
    <w:p>
      <w:pPr>
        <w:spacing w:after="0" w:line="346" w:lineRule="exact"/>
        <w:rPr>
          <w:sz w:val="20"/>
          <w:szCs w:val="20"/>
          <w:color w:val="auto"/>
        </w:rPr>
      </w:pPr>
    </w:p>
    <w:p>
      <w:pPr>
        <w:ind w:left="4460"/>
        <w:spacing w:after="0"/>
        <w:rPr>
          <w:sz w:val="20"/>
          <w:szCs w:val="20"/>
          <w:color w:val="auto"/>
        </w:rPr>
      </w:pPr>
      <w:r>
        <w:rPr>
          <w:rFonts w:ascii="Courier New" w:cs="Courier New" w:eastAsia="Courier New" w:hAnsi="Courier New"/>
          <w:sz w:val="15"/>
          <w:szCs w:val="15"/>
          <w:color w:val="auto"/>
        </w:rPr>
        <w:t>/s/ Ernst &amp; Young LLP</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Stamford, Connecticut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28, 1999</w:t>
      </w:r>
    </w:p>
    <w:sectPr>
      <w:pgSz w:w="11900" w:h="16838" w:orient="portrait"/>
      <w:cols w:equalWidth="0" w:num="1">
        <w:col w:w="10219"/>
      </w:cols>
      <w:pgMar w:left="2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A32234B"/>
    <w:multiLevelType w:val="hybridMultilevel"/>
    <w:lvl w:ilvl="0">
      <w:lvlJc w:val="left"/>
      <w:lvlText w:val="-"/>
      <w:numFmt w:val="bullet"/>
      <w:start w:val="1"/>
    </w:lvl>
  </w:abstractNum>
  <w:abstractNum w:abstractNumId="1">
    <w:nsid w:val="3B0FD379"/>
    <w:multiLevelType w:val="hybridMultilevel"/>
    <w:lvl w:ilvl="0">
      <w:lvlJc w:val="left"/>
      <w:lvlText w:val="-"/>
      <w:numFmt w:val="bullet"/>
      <w:start w:val="1"/>
    </w:lvl>
  </w:abstractNum>
  <w:abstractNum w:abstractNumId="2">
    <w:nsid w:val="68EB2F63"/>
    <w:multiLevelType w:val="hybridMultilevel"/>
    <w:lvl w:ilvl="0">
      <w:lvlJc w:val="left"/>
      <w:lvlText w:val="*"/>
      <w:numFmt w:val="bullet"/>
      <w:start w:val="1"/>
    </w:lvl>
  </w:abstractNum>
  <w:abstractNum w:abstractNumId="3">
    <w:nsid w:val="4962813B"/>
    <w:multiLevelType w:val="hybridMultilevel"/>
    <w:lvl w:ilvl="0">
      <w:lvlJc w:val="left"/>
      <w:lvlText w:val="-"/>
      <w:numFmt w:val="bullet"/>
      <w:start w:val="1"/>
    </w:lvl>
  </w:abstractNum>
  <w:abstractNum w:abstractNumId="4">
    <w:nsid w:val="60B6DF70"/>
    <w:multiLevelType w:val="hybridMultilevel"/>
    <w:lvl w:ilvl="0">
      <w:lvlJc w:val="left"/>
      <w:lvlText w:val="-"/>
      <w:numFmt w:val="bullet"/>
      <w:start w:val="1"/>
    </w:lvl>
  </w:abstractNum>
  <w:abstractNum w:abstractNumId="5">
    <w:nsid w:val="6A5EE64"/>
    <w:multiLevelType w:val="hybridMultilevel"/>
    <w:lvl w:ilvl="0">
      <w:lvlJc w:val="left"/>
      <w:lvlText w:val="(%1)"/>
      <w:numFmt w:val="decimal"/>
      <w:start w:val="1"/>
    </w:lvl>
  </w:abstractNum>
  <w:abstractNum w:abstractNumId="6">
    <w:nsid w:val="14330624"/>
    <w:multiLevelType w:val="hybridMultilevel"/>
    <w:lvl w:ilvl="0">
      <w:lvlJc w:val="left"/>
      <w:lvlText w:val="(%1)"/>
      <w:numFmt w:val="decimal"/>
      <w:start w:val="1"/>
    </w:lvl>
  </w:abstractNum>
  <w:abstractNum w:abstractNumId="7">
    <w:nsid w:val="7FFFCA11"/>
    <w:multiLevelType w:val="hybridMultilevel"/>
    <w:lvl w:ilvl="0">
      <w:lvlJc w:val="left"/>
      <w:lvlText w:val="-"/>
      <w:numFmt w:val="bullet"/>
      <w:start w:val="1"/>
    </w:lvl>
  </w:abstractNum>
  <w:abstractNum w:abstractNumId="8">
    <w:nsid w:val="1A27709E"/>
    <w:multiLevelType w:val="hybridMultilevel"/>
    <w:lvl w:ilvl="0">
      <w:lvlJc w:val="left"/>
      <w:lvlText w:val="-"/>
      <w:numFmt w:val="bullet"/>
      <w:start w:val="1"/>
    </w:lvl>
  </w:abstractNum>
  <w:abstractNum w:abstractNumId="9">
    <w:nsid w:val="71EA1109"/>
    <w:multiLevelType w:val="hybridMultilevel"/>
    <w:lvl w:ilvl="0">
      <w:lvlJc w:val="left"/>
      <w:lvlText w:val="-"/>
      <w:numFmt w:val="bullet"/>
      <w:start w:val="1"/>
    </w:lvl>
  </w:abstractNum>
  <w:abstractNum w:abstractNumId="10">
    <w:nsid w:val="100F59DC"/>
    <w:multiLevelType w:val="hybridMultilevel"/>
    <w:lvl w:ilvl="0">
      <w:lvlJc w:val="left"/>
      <w:lvlText w:val="-"/>
      <w:numFmt w:val="bullet"/>
      <w:start w:val="1"/>
    </w:lvl>
  </w:abstractNum>
  <w:abstractNum w:abstractNumId="11">
    <w:nsid w:val="7FB7E0AA"/>
    <w:multiLevelType w:val="hybridMultilevel"/>
    <w:lvl w:ilvl="0">
      <w:lvlJc w:val="left"/>
      <w:lvlText w:val="-"/>
      <w:numFmt w:val="bullet"/>
      <w:start w:val="1"/>
    </w:lvl>
  </w:abstractNum>
  <w:abstractNum w:abstractNumId="12">
    <w:nsid w:val="6EB5BD4"/>
    <w:multiLevelType w:val="hybridMultilevel"/>
    <w:lvl w:ilvl="0">
      <w:lvlJc w:val="left"/>
      <w:lvlText w:val="-"/>
      <w:numFmt w:val="bullet"/>
      <w:start w:val="1"/>
    </w:lvl>
  </w:abstractNum>
  <w:abstractNum w:abstractNumId="13">
    <w:nsid w:val="6F6DD9AC"/>
    <w:multiLevelType w:val="hybridMultilevel"/>
    <w:lvl w:ilvl="0">
      <w:lvlJc w:val="left"/>
      <w:lvlText w:val="(%1)"/>
      <w:numFmt w:val="decimal"/>
      <w:start w:val="1"/>
    </w:lvl>
  </w:abstractNum>
  <w:abstractNum w:abstractNumId="14">
    <w:nsid w:val="94211F2"/>
    <w:multiLevelType w:val="hybridMultilevel"/>
    <w:lvl w:ilvl="0">
      <w:lvlJc w:val="left"/>
      <w:lvlText w:val="-"/>
      <w:numFmt w:val="bullet"/>
      <w:start w:val="1"/>
    </w:lvl>
  </w:abstractNum>
  <w:abstractNum w:abstractNumId="15">
    <w:nsid w:val="885E1B"/>
    <w:multiLevelType w:val="hybridMultilevel"/>
    <w:lvl w:ilvl="0">
      <w:lvlJc w:val="left"/>
      <w:lvlText w:val="-"/>
      <w:numFmt w:val="bullet"/>
      <w:start w:val="1"/>
    </w:lvl>
  </w:abstractNum>
  <w:abstractNum w:abstractNumId="16">
    <w:nsid w:val="76272110"/>
    <w:multiLevelType w:val="hybridMultilevel"/>
    <w:lvl w:ilvl="0">
      <w:lvlJc w:val="left"/>
      <w:lvlText w:val="-"/>
      <w:numFmt w:val="bullet"/>
      <w:start w:val="1"/>
    </w:lvl>
  </w:abstractNum>
  <w:abstractNum w:abstractNumId="17">
    <w:nsid w:val="4C04A8AF"/>
    <w:multiLevelType w:val="hybridMultilevel"/>
    <w:lvl w:ilvl="0">
      <w:lvlJc w:val="left"/>
      <w:lvlText w:val="-"/>
      <w:numFmt w:val="bullet"/>
      <w:start w:val="1"/>
    </w:lvl>
  </w:abstractNum>
  <w:abstractNum w:abstractNumId="18">
    <w:nsid w:val="1716703B"/>
    <w:multiLevelType w:val="hybridMultilevel"/>
    <w:lvl w:ilvl="0">
      <w:lvlJc w:val="left"/>
      <w:lvlText w:val="-"/>
      <w:numFmt w:val="bullet"/>
      <w:start w:val="1"/>
    </w:lvl>
  </w:abstractNum>
  <w:abstractNum w:abstractNumId="19">
    <w:nsid w:val="14E17E33"/>
    <w:multiLevelType w:val="hybridMultilevel"/>
    <w:lvl w:ilvl="0">
      <w:lvlJc w:val="left"/>
      <w:lvlText w:val="-"/>
      <w:numFmt w:val="bullet"/>
      <w:start w:val="1"/>
    </w:lvl>
  </w:abstractNum>
  <w:abstractNum w:abstractNumId="20">
    <w:nsid w:val="3222E7CD"/>
    <w:multiLevelType w:val="hybridMultilevel"/>
    <w:lvl w:ilvl="0">
      <w:lvlJc w:val="left"/>
      <w:lvlText w:val="(*)"/>
      <w:numFmt w:val="bullet"/>
      <w:start w:val="1"/>
    </w:lvl>
  </w:abstractNum>
  <w:abstractNum w:abstractNumId="21">
    <w:nsid w:val="74DE0EE3"/>
    <w:multiLevelType w:val="hybridMultilevel"/>
    <w:lvl w:ilvl="0">
      <w:lvlJc w:val="left"/>
      <w:lvlText w:val="(%1)"/>
      <w:numFmt w:val="decimal"/>
      <w:start w:val="1"/>
    </w:lvl>
  </w:abstractNum>
  <w:abstractNum w:abstractNumId="22">
    <w:nsid w:val="68EBC550"/>
    <w:multiLevelType w:val="hybridMultilevel"/>
    <w:lvl w:ilvl="0">
      <w:lvlJc w:val="left"/>
      <w:lvlText w:val="(%1)"/>
      <w:numFmt w:val="decimal"/>
      <w:start w:val="3"/>
    </w:lvl>
  </w:abstractNum>
  <w:abstractNum w:abstractNumId="23">
    <w:nsid w:val="2DF6D648"/>
    <w:multiLevelType w:val="hybridMultilevel"/>
    <w:lvl w:ilvl="0">
      <w:lvlJc w:val="left"/>
      <w:lvlText w:val="(%1)"/>
      <w:numFmt w:val="decimal"/>
      <w:start w:val="6"/>
    </w:lvl>
  </w:abstractNum>
  <w:abstractNum w:abstractNumId="24">
    <w:nsid w:val="46B7D447"/>
    <w:multiLevelType w:val="hybridMultilevel"/>
    <w:lvl w:ilvl="0">
      <w:lvlJc w:val="left"/>
      <w:lvlText w:val="(%1)"/>
      <w:numFmt w:val="decimal"/>
      <w:start w:val="7"/>
    </w:lvl>
  </w:abstractNum>
  <w:abstractNum w:abstractNumId="25">
    <w:nsid w:val="4A2AC315"/>
    <w:multiLevelType w:val="hybridMultilevel"/>
    <w:lvl w:ilvl="0">
      <w:lvlJc w:val="left"/>
      <w:lvlText w:val="-"/>
      <w:numFmt w:val="bullet"/>
      <w:start w:val="1"/>
    </w:lvl>
  </w:abstractNum>
  <w:abstractNum w:abstractNumId="26">
    <w:nsid w:val="39EE015C"/>
    <w:multiLevelType w:val="hybridMultilevel"/>
    <w:lvl w:ilvl="0">
      <w:lvlJc w:val="left"/>
      <w:lvlText w:val="-"/>
      <w:numFmt w:val="bullet"/>
      <w:start w:val="1"/>
    </w:lvl>
  </w:abstractNum>
  <w:abstractNum w:abstractNumId="27">
    <w:nsid w:val="57FC4FBB"/>
    <w:multiLevelType w:val="hybridMultilevel"/>
    <w:lvl w:ilvl="0">
      <w:lvlJc w:val="left"/>
      <w:lvlText w:val="-"/>
      <w:numFmt w:val="bullet"/>
      <w:start w:val="1"/>
    </w:lvl>
  </w:abstractNum>
  <w:abstractNum w:abstractNumId="28">
    <w:nsid w:val="CC1016F"/>
    <w:multiLevelType w:val="hybridMultilevel"/>
    <w:lvl w:ilvl="0">
      <w:lvlJc w:val="left"/>
      <w:lvlText w:val="-"/>
      <w:numFmt w:val="bullet"/>
      <w:start w:val="1"/>
    </w:lvl>
  </w:abstractNum>
  <w:abstractNum w:abstractNumId="29">
    <w:nsid w:val="43F18422"/>
    <w:multiLevelType w:val="hybridMultilevel"/>
    <w:lvl w:ilvl="0">
      <w:lvlJc w:val="left"/>
      <w:lvlText w:val="-"/>
      <w:numFmt w:val="bullet"/>
      <w:start w:val="1"/>
    </w:lvl>
  </w:abstractNum>
  <w:abstractNum w:abstractNumId="30">
    <w:nsid w:val="60EF0119"/>
    <w:multiLevelType w:val="hybridMultilevel"/>
    <w:lvl w:ilvl="0">
      <w:lvlJc w:val="left"/>
      <w:lvlText w:val="-"/>
      <w:numFmt w:val="bullet"/>
      <w:start w:val="1"/>
    </w:lvl>
  </w:abstractNum>
  <w:abstractNum w:abstractNumId="31">
    <w:nsid w:val="26F324BA"/>
    <w:multiLevelType w:val="hybridMultilevel"/>
    <w:lvl w:ilvl="0">
      <w:lvlJc w:val="left"/>
      <w:lvlText w:val="-"/>
      <w:numFmt w:val="bullet"/>
      <w:start w:val="1"/>
    </w:lvl>
  </w:abstractNum>
  <w:abstractNum w:abstractNumId="32">
    <w:nsid w:val="7F01579B"/>
    <w:multiLevelType w:val="hybridMultilevel"/>
    <w:lvl w:ilvl="0">
      <w:lvlJc w:val="left"/>
      <w:lvlText w:val="-"/>
      <w:numFmt w:val="bullet"/>
      <w:start w:val="1"/>
    </w:lvl>
  </w:abstractNum>
  <w:abstractNum w:abstractNumId="33">
    <w:nsid w:val="49DA307D"/>
    <w:multiLevelType w:val="hybridMultilevel"/>
    <w:lvl w:ilvl="0">
      <w:lvlJc w:val="left"/>
      <w:lvlText w:val="(%1)"/>
      <w:numFmt w:val="decimal"/>
      <w:start w:val="1"/>
    </w:lvl>
  </w:abstractNum>
  <w:abstractNum w:abstractNumId="34">
    <w:nsid w:val="7055A5F5"/>
    <w:multiLevelType w:val="hybridMultilevel"/>
    <w:lvl w:ilvl="0">
      <w:lvlJc w:val="left"/>
      <w:lvlText w:val="-"/>
      <w:numFmt w:val="bullet"/>
      <w:start w:val="1"/>
    </w:lvl>
    <w:lvl w:ilvl="1">
      <w:lvlJc w:val="left"/>
      <w:lvlText w:val="(%2)"/>
      <w:numFmt w:val="decimal"/>
      <w:start w:val="1"/>
    </w:lvl>
  </w:abstractNum>
  <w:abstractNum w:abstractNumId="35">
    <w:nsid w:val="5FB8370B"/>
    <w:multiLevelType w:val="hybridMultilevel"/>
    <w:lvl w:ilvl="0">
      <w:lvlJc w:val="left"/>
      <w:lvlText w:val="(%1)"/>
      <w:numFmt w:val="decimal"/>
      <w:start w:val="6"/>
    </w:lvl>
  </w:abstractNum>
  <w:abstractNum w:abstractNumId="36">
    <w:nsid w:val="50801EE1"/>
    <w:multiLevelType w:val="hybridMultilevel"/>
    <w:lvl w:ilvl="0">
      <w:lvlJc w:val="left"/>
      <w:lvlText w:val="&amp;"/>
      <w:numFmt w:val="bullet"/>
      <w:start w:val="1"/>
    </w:lvl>
  </w:abstractNum>
  <w:abstractNum w:abstractNumId="37">
    <w:nsid w:val="488AC1A"/>
    <w:multiLevelType w:val="hybridMultilevel"/>
    <w:lvl w:ilvl="0">
      <w:lvlJc w:val="left"/>
      <w:lvlText w:val="-"/>
      <w:numFmt w:val="bullet"/>
      <w:start w:val="1"/>
    </w:lvl>
  </w:abstractNum>
  <w:abstractNum w:abstractNumId="38">
    <w:nsid w:val="5FB8011C"/>
    <w:multiLevelType w:val="hybridMultilevel"/>
    <w:lvl w:ilvl="0">
      <w:lvlJc w:val="left"/>
      <w:lvlText w:val="%1"/>
      <w:numFmt w:val="lowerRoman"/>
      <w:start w:val="1"/>
    </w:lvl>
    <w:lvl w:ilvl="1">
      <w:lvlJc w:val="left"/>
      <w:lvlText w:val="(%2)"/>
      <w:numFmt w:val="lowerRoman"/>
      <w:start w:val="1"/>
    </w:lvl>
  </w:abstractNum>
  <w:abstractNum w:abstractNumId="39">
    <w:nsid w:val="6AA78F7F"/>
    <w:multiLevelType w:val="hybridMultilevel"/>
    <w:lvl w:ilvl="0">
      <w:lvlJc w:val="left"/>
      <w:lvlText w:val="(%1)"/>
      <w:numFmt w:val="lowerRoman"/>
      <w:start w:val="3"/>
    </w:lvl>
    <w:lvl w:ilvl="1">
      <w:lvlJc w:val="left"/>
      <w:lvlText w:val="%2"/>
      <w:numFmt w:val="lowerRoman"/>
      <w:start w:val="1"/>
    </w:lvl>
  </w:abstractNum>
  <w:abstractNum w:abstractNumId="40">
    <w:nsid w:val="7672BD23"/>
    <w:multiLevelType w:val="hybridMultilevel"/>
    <w:lvl w:ilvl="0">
      <w:lvlJc w:val="left"/>
      <w:lvlText w:val="(%1)"/>
      <w:numFmt w:val="lowerRoman"/>
      <w:start w:val="4"/>
    </w:lvl>
  </w:abstractNum>
  <w:abstractNum w:abstractNumId="41">
    <w:nsid w:val="6FC75AF8"/>
    <w:multiLevelType w:val="hybridMultilevel"/>
    <w:lvl w:ilvl="0">
      <w:lvlJc w:val="left"/>
      <w:lvlText w:val="(%1)"/>
      <w:numFmt w:val="decimal"/>
      <w:start w:val="2"/>
    </w:lvl>
  </w:abstractNum>
  <w:abstractNum w:abstractNumId="42">
    <w:nsid w:val="6A5F7029"/>
    <w:multiLevelType w:val="hybridMultilevel"/>
    <w:lvl w:ilvl="0">
      <w:lvlJc w:val="left"/>
      <w:lvlText w:val="-"/>
      <w:numFmt w:val="bullet"/>
      <w:start w:val="1"/>
    </w:lvl>
  </w:abstractNum>
  <w:abstractNum w:abstractNumId="43">
    <w:nsid w:val="7D5E18F8"/>
    <w:multiLevelType w:val="hybridMultilevel"/>
    <w:lvl w:ilvl="0">
      <w:lvlJc w:val="left"/>
      <w:lvlText w:val="-"/>
      <w:numFmt w:val="bullet"/>
      <w:start w:val="1"/>
    </w:lvl>
  </w:abstractNum>
  <w:abstractNum w:abstractNumId="44">
    <w:nsid w:val="5F3534A4"/>
    <w:multiLevelType w:val="hybridMultilevel"/>
    <w:lvl w:ilvl="0">
      <w:lvlJc w:val="left"/>
      <w:lvlText w:val="(*)"/>
      <w:numFmt w:val="bullet"/>
      <w:start w:val="1"/>
    </w:lvl>
  </w:abstractNum>
  <w:abstractNum w:abstractNumId="45">
    <w:nsid w:val="73A1821B"/>
    <w:multiLevelType w:val="hybridMultilevel"/>
    <w:lvl w:ilvl="0">
      <w:lvlJc w:val="left"/>
      <w:lvlText w:val="*"/>
      <w:numFmt w:val="bullet"/>
      <w:start w:val="1"/>
    </w:lvl>
  </w:abstractNum>
  <w:abstractNum w:abstractNumId="46">
    <w:nsid w:val="7DE67713"/>
    <w:multiLevelType w:val="hybridMultilevel"/>
    <w:lvl w:ilvl="0">
      <w:lvlJc w:val="left"/>
      <w:lvlText w:val="*"/>
      <w:numFmt w:val="bullet"/>
      <w:start w:val="1"/>
    </w:lvl>
  </w:abstractNum>
  <w:abstractNum w:abstractNumId="47">
    <w:nsid w:val="555C55B5"/>
    <w:multiLevelType w:val="hybridMultilevel"/>
    <w:lvl w:ilvl="0">
      <w:lvlJc w:val="left"/>
      <w:lvlText w:val="**"/>
      <w:numFmt w:val="bullet"/>
      <w:start w:val="1"/>
    </w:lvl>
  </w:abstractNum>
  <w:abstractNum w:abstractNumId="48">
    <w:nsid w:val="3FA62ACA"/>
    <w:multiLevelType w:val="hybridMultilevel"/>
    <w:lvl w:ilvl="0">
      <w:lvlJc w:val="left"/>
      <w:lvlText w:val="***"/>
      <w:numFmt w:val="bullet"/>
      <w:start w:val="1"/>
    </w:lvl>
  </w:abstractNum>
  <w:abstractNum w:abstractNumId="49">
    <w:nsid w:val="14FCE74E"/>
    <w:multiLevelType w:val="hybridMultilevel"/>
    <w:lvl w:ilvl="0">
      <w:lvlJc w:val="left"/>
      <w:lvlText w:val="(*)"/>
      <w:numFmt w:val="bullet"/>
      <w:start w:val="1"/>
    </w:lvl>
  </w:abstractNum>
  <w:abstractNum w:abstractNumId="50">
    <w:nsid w:val="6A3DD3E8"/>
    <w:multiLevelType w:val="hybridMultilevel"/>
    <w:lvl w:ilvl="0">
      <w:lvlJc w:val="left"/>
      <w:lvlText w:val="%1."/>
      <w:numFmt w:val="decimal"/>
      <w:start w:val="1"/>
    </w:lvl>
  </w:abstractNum>
  <w:abstractNum w:abstractNumId="51">
    <w:nsid w:val="71C91298"/>
    <w:multiLevelType w:val="hybridMultilevel"/>
    <w:lvl w:ilvl="0">
      <w:lvlJc w:val="left"/>
      <w:lvlText w:val="%1."/>
      <w:numFmt w:val="decimal"/>
      <w:start w:val="2"/>
    </w:lvl>
  </w:abstractNum>
  <w:abstractNum w:abstractNumId="52">
    <w:nsid w:val="9DAF632"/>
    <w:multiLevelType w:val="hybridMultilevel"/>
    <w:lvl w:ilvl="0">
      <w:lvlJc w:val="left"/>
      <w:lvlText w:val="%1."/>
      <w:numFmt w:val="decimal"/>
      <w:start w:val="3"/>
    </w:lvl>
  </w:abstractNum>
  <w:abstractNum w:abstractNumId="53">
    <w:nsid w:val="53299938"/>
    <w:multiLevelType w:val="hybridMultilevel"/>
    <w:lvl w:ilvl="0">
      <w:lvlJc w:val="left"/>
      <w:lvlText w:val="%1."/>
      <w:numFmt w:val="decimal"/>
      <w:start w:val="4"/>
    </w:lvl>
  </w:abstractNum>
  <w:abstractNum w:abstractNumId="54">
    <w:nsid w:val="1FBFE8E0"/>
    <w:multiLevelType w:val="hybridMultilevel"/>
    <w:lvl w:ilvl="0">
      <w:lvlJc w:val="left"/>
      <w:lvlText w:val="(*)"/>
      <w:numFmt w:val="bullet"/>
      <w:start w:val="1"/>
    </w:lvl>
  </w:abstractNum>
  <w:abstractNum w:abstractNumId="55">
    <w:nsid w:val="5092CA79"/>
    <w:multiLevelType w:val="hybridMultilevel"/>
    <w:lvl w:ilvl="0">
      <w:lvlJc w:val="left"/>
      <w:lvlText w:val="%1."/>
      <w:numFmt w:val="decimal"/>
      <w:start w:val="5"/>
    </w:lvl>
  </w:abstractNum>
  <w:abstractNum w:abstractNumId="56">
    <w:nsid w:val="1D545C4D"/>
    <w:multiLevelType w:val="hybridMultilevel"/>
    <w:lvl w:ilvl="0">
      <w:lvlJc w:val="left"/>
      <w:lvlText w:val="%1."/>
      <w:numFmt w:val="decimal"/>
      <w:start w:val="6"/>
    </w:lvl>
  </w:abstractNum>
  <w:abstractNum w:abstractNumId="57">
    <w:nsid w:val="59ADEA3D"/>
    <w:multiLevelType w:val="hybridMultilevel"/>
    <w:lvl w:ilvl="0">
      <w:lvlJc w:val="left"/>
      <w:lvlText w:val="%1."/>
      <w:numFmt w:val="decimal"/>
      <w:start w:val="7"/>
    </w:lvl>
  </w:abstractNum>
  <w:abstractNum w:abstractNumId="58">
    <w:nsid w:val="288F1A34"/>
    <w:multiLevelType w:val="hybridMultilevel"/>
    <w:lvl w:ilvl="0">
      <w:lvlJc w:val="left"/>
      <w:lvlText w:val="%1."/>
      <w:numFmt w:val="decimal"/>
      <w:start w:val="1"/>
    </w:lvl>
  </w:abstractNum>
  <w:abstractNum w:abstractNumId="59">
    <w:nsid w:val="2A155DBC"/>
    <w:multiLevelType w:val="hybridMultilevel"/>
    <w:lvl w:ilvl="0">
      <w:lvlJc w:val="left"/>
      <w:lvlText w:val="%1."/>
      <w:numFmt w:val="decimal"/>
      <w:start w:val="2"/>
    </w:lvl>
  </w:abstractNum>
  <w:abstractNum w:abstractNumId="60">
    <w:nsid w:val="1D9F6E5F"/>
    <w:multiLevelType w:val="hybridMultilevel"/>
    <w:lvl w:ilvl="0">
      <w:lvlJc w:val="left"/>
      <w:lvlText w:val="%1."/>
      <w:numFmt w:val="decimal"/>
      <w:start w:val="3"/>
    </w:lvl>
  </w:abstractNum>
  <w:abstractNum w:abstractNumId="61">
    <w:nsid w:val="97E1B4E"/>
    <w:multiLevelType w:val="hybridMultilevel"/>
    <w:lvl w:ilvl="0">
      <w:lvlJc w:val="left"/>
      <w:lvlText w:val="%1."/>
      <w:numFmt w:val="decimal"/>
      <w:start w:val="4"/>
    </w:lvl>
  </w:abstractNum>
  <w:abstractNum w:abstractNumId="62">
    <w:nsid w:val="51088277"/>
    <w:multiLevelType w:val="hybridMultilevel"/>
    <w:lvl w:ilvl="0">
      <w:lvlJc w:val="left"/>
      <w:lvlText w:val="%1."/>
      <w:numFmt w:val="decimal"/>
      <w:start w:val="5"/>
    </w:lvl>
  </w:abstractNum>
  <w:abstractNum w:abstractNumId="63">
    <w:nsid w:val="1CA0C5FA"/>
    <w:multiLevelType w:val="hybridMultilevel"/>
    <w:lvl w:ilvl="0">
      <w:lvlJc w:val="left"/>
      <w:lvlText w:val="%1."/>
      <w:numFmt w:val="decimal"/>
      <w:start w:val="6"/>
    </w:lvl>
  </w:abstractNum>
  <w:abstractNum w:abstractNumId="64">
    <w:nsid w:val="53584BCB"/>
    <w:multiLevelType w:val="hybridMultilevel"/>
    <w:lvl w:ilvl="0">
      <w:lvlJc w:val="left"/>
      <w:lvlText w:val="%1."/>
      <w:numFmt w:val="decimal"/>
      <w:start w:val="7"/>
    </w:lvl>
  </w:abstractNum>
  <w:abstractNum w:abstractNumId="65">
    <w:nsid w:val="415E286C"/>
    <w:multiLevelType w:val="hybridMultilevel"/>
    <w:lvl w:ilvl="0">
      <w:lvlJc w:val="left"/>
      <w:lvlText w:val="%1."/>
      <w:numFmt w:val="decimal"/>
      <w:start w:val="8"/>
    </w:lvl>
  </w:abstractNum>
  <w:abstractNum w:abstractNumId="66">
    <w:nsid w:val="7C58FD05"/>
    <w:multiLevelType w:val="hybridMultilevel"/>
    <w:lvl w:ilvl="0">
      <w:lvlJc w:val="left"/>
      <w:lvlText w:val="%1."/>
      <w:numFmt w:val="decimal"/>
      <w:start w:val="9"/>
    </w:lvl>
  </w:abstractNum>
  <w:abstractNum w:abstractNumId="67">
    <w:nsid w:val="23D86AAC"/>
    <w:multiLevelType w:val="hybridMultilevel"/>
    <w:lvl w:ilvl="0">
      <w:lvlJc w:val="left"/>
      <w:lvlText w:val="%1."/>
      <w:numFmt w:val="decimal"/>
      <w:start w:val="10"/>
    </w:lvl>
  </w:abstractNum>
  <w:abstractNum w:abstractNumId="68">
    <w:nsid w:val="45E6D486"/>
    <w:multiLevelType w:val="hybridMultilevel"/>
    <w:lvl w:ilvl="0">
      <w:lvlJc w:val="left"/>
      <w:lvlText w:val="%1."/>
      <w:numFmt w:val="decimal"/>
      <w:start w:val="11"/>
    </w:lvl>
  </w:abstractNum>
  <w:abstractNum w:abstractNumId="69">
    <w:nsid w:val="5C10FE21"/>
    <w:multiLevelType w:val="hybridMultilevel"/>
    <w:lvl w:ilvl="0">
      <w:lvlJc w:val="left"/>
      <w:lvlText w:val="%1."/>
      <w:numFmt w:val="decimal"/>
      <w:start w:val="12"/>
    </w:lvl>
  </w:abstractNum>
  <w:abstractNum w:abstractNumId="70">
    <w:nsid w:val="E7FFA2B"/>
    <w:multiLevelType w:val="hybridMultilevel"/>
    <w:lvl w:ilvl="0">
      <w:lvlJc w:val="left"/>
      <w:lvlText w:val="%1."/>
      <w:numFmt w:val="decimal"/>
      <w:start w:val="13"/>
    </w:lvl>
  </w:abstractNum>
  <w:abstractNum w:abstractNumId="71">
    <w:nsid w:val="3C5991AA"/>
    <w:multiLevelType w:val="hybridMultilevel"/>
    <w:lvl w:ilvl="0">
      <w:lvlJc w:val="left"/>
      <w:lvlText w:val="%1."/>
      <w:numFmt w:val="decimal"/>
      <w:start w:val="1"/>
    </w:lvl>
  </w:abstractNum>
  <w:abstractNum w:abstractNumId="72">
    <w:nsid w:val="4BD8591A"/>
    <w:multiLevelType w:val="hybridMultilevel"/>
    <w:lvl w:ilvl="0">
      <w:lvlJc w:val="left"/>
      <w:lvlText w:val="%1."/>
      <w:numFmt w:val="decimal"/>
      <w:start w:val="2"/>
    </w:lvl>
  </w:abstractNum>
  <w:abstractNum w:abstractNumId="73">
    <w:nsid w:val="78DF6A55"/>
    <w:multiLevelType w:val="hybridMultilevel"/>
    <w:lvl w:ilvl="0">
      <w:lvlJc w:val="left"/>
      <w:lvlText w:val="%1."/>
      <w:numFmt w:val="decimal"/>
      <w:start w:val="3"/>
    </w:lvl>
  </w:abstractNum>
  <w:abstractNum w:abstractNumId="74">
    <w:nsid w:val="39B7AAA2"/>
    <w:multiLevelType w:val="hybridMultilevel"/>
    <w:lvl w:ilvl="0">
      <w:lvlJc w:val="left"/>
      <w:lvlText w:val="%1."/>
      <w:numFmt w:val="decimal"/>
      <w:start w:val="4"/>
    </w:lvl>
  </w:abstractNum>
  <w:abstractNum w:abstractNumId="75">
    <w:nsid w:val="2B0D8DBE"/>
    <w:multiLevelType w:val="hybridMultilevel"/>
    <w:lvl w:ilvl="0">
      <w:lvlJc w:val="left"/>
      <w:lvlText w:val="%1."/>
      <w:numFmt w:val="decimal"/>
      <w:start w:val="5"/>
    </w:lvl>
  </w:abstractNum>
  <w:abstractNum w:abstractNumId="76">
    <w:nsid w:val="6C80EC70"/>
    <w:multiLevelType w:val="hybridMultilevel"/>
    <w:lvl w:ilvl="0">
      <w:lvlJc w:val="left"/>
      <w:lvlText w:val="%1."/>
      <w:numFmt w:val="decimal"/>
      <w:start w:val="6"/>
    </w:lvl>
  </w:abstractNum>
  <w:abstractNum w:abstractNumId="77">
    <w:nsid w:val="379E21B5"/>
    <w:multiLevelType w:val="hybridMultilevel"/>
    <w:lvl w:ilvl="0">
      <w:lvlJc w:val="left"/>
      <w:lvlText w:val="%1."/>
      <w:numFmt w:val="decimal"/>
      <w:start w:val="7"/>
    </w:lvl>
  </w:abstractNum>
  <w:abstractNum w:abstractNumId="78">
    <w:nsid w:val="69E373"/>
    <w:multiLevelType w:val="hybridMultilevel"/>
    <w:lvl w:ilvl="0">
      <w:lvlJc w:val="left"/>
      <w:lvlText w:val="*"/>
      <w:numFmt w:val="bullet"/>
      <w:start w:val="1"/>
    </w:lvl>
  </w:abstractNum>
  <w:abstractNum w:abstractNumId="79">
    <w:nsid w:val="2C27173B"/>
    <w:multiLevelType w:val="hybridMultilevel"/>
    <w:lvl w:ilvl="0">
      <w:lvlJc w:val="left"/>
      <w:lvlText w:val="-"/>
      <w:numFmt w:val="bullet"/>
      <w:start w:val="1"/>
    </w:lvl>
  </w:abstractNum>
  <w:abstractNum w:abstractNumId="80">
    <w:nsid w:val="4C9B0904"/>
    <w:multiLevelType w:val="hybridMultilevel"/>
    <w:lvl w:ilvl="0">
      <w:lvlJc w:val="left"/>
      <w:lvlText w:val="-"/>
      <w:numFmt w:val="bullet"/>
      <w:start w:val="1"/>
    </w:lvl>
  </w:abstractNum>
  <w:abstractNum w:abstractNumId="81">
    <w:nsid w:val="6AA7B75C"/>
    <w:multiLevelType w:val="hybridMultilevel"/>
    <w:lvl w:ilvl="0">
      <w:lvlJc w:val="left"/>
      <w:lvlText w:val="-"/>
      <w:numFmt w:val="bullet"/>
      <w:start w:val="1"/>
    </w:lvl>
    <w:lvl w:ilvl="1">
      <w:lvlJc w:val="left"/>
      <w:lvlText w:val="*"/>
      <w:numFmt w:val="bullet"/>
      <w:start w:val="1"/>
    </w:lvl>
  </w:abstractNum>
  <w:abstractNum w:abstractNumId="82">
    <w:nsid w:val="1DF029D3"/>
    <w:multiLevelType w:val="hybridMultilevel"/>
    <w:lvl w:ilvl="0">
      <w:lvlJc w:val="left"/>
      <w:lvlText w:val="-"/>
      <w:numFmt w:val="bullet"/>
      <w:start w:val="1"/>
    </w:lvl>
    <w:lvl w:ilvl="1">
      <w:lvlJc w:val="left"/>
      <w:lvlText w:val="**"/>
      <w:numFmt w:val="bullet"/>
      <w:start w:val="1"/>
    </w:lvl>
  </w:abstractNum>
  <w:abstractNum w:abstractNumId="83">
    <w:nsid w:val="5675FF36"/>
    <w:multiLevelType w:val="hybridMultilevel"/>
    <w:lvl w:ilvl="0">
      <w:lvlJc w:val="left"/>
      <w:lvlText w:val="(%1)"/>
      <w:numFmt w:val="decimal"/>
      <w:start w:val="1"/>
    </w:lvl>
  </w:abstractNum>
  <w:abstractNum w:abstractNumId="84">
    <w:nsid w:val="3DD15094"/>
    <w:multiLevelType w:val="hybridMultilevel"/>
    <w:lvl w:ilvl="0">
      <w:lvlJc w:val="left"/>
      <w:lvlText w:val="-"/>
      <w:numFmt w:val="bullet"/>
      <w:start w:val="1"/>
    </w:lvl>
  </w:abstractNum>
  <w:abstractNum w:abstractNumId="85">
    <w:nsid w:val="3DB012B3"/>
    <w:multiLevelType w:val="hybridMultilevel"/>
    <w:lvl w:ilvl="0">
      <w:lvlJc w:val="left"/>
      <w:lvlText w:val="-"/>
      <w:numFmt w:val="bullet"/>
      <w:start w:val="1"/>
    </w:lvl>
  </w:abstractNum>
  <w:abstractNum w:abstractNumId="86">
    <w:nsid w:val="2708C9AF"/>
    <w:multiLevelType w:val="hybridMultilevel"/>
    <w:lvl w:ilvl="0">
      <w:lvlJc w:val="left"/>
      <w:lvlText w:val="-"/>
      <w:numFmt w:val="bullet"/>
      <w:start w:val="1"/>
    </w:lvl>
  </w:abstractNum>
  <w:abstractNum w:abstractNumId="87">
    <w:nsid w:val="5B25ACE2"/>
    <w:multiLevelType w:val="hybridMultilevel"/>
    <w:lvl w:ilvl="0">
      <w:lvlJc w:val="left"/>
      <w:lvlText w:val="-"/>
      <w:numFmt w:val="bullet"/>
      <w:start w:val="1"/>
    </w:lvl>
  </w:abstractNum>
  <w:abstractNum w:abstractNumId="88">
    <w:nsid w:val="175DFCF0"/>
    <w:multiLevelType w:val="hybridMultilevel"/>
    <w:lvl w:ilvl="0">
      <w:lvlJc w:val="left"/>
      <w:lvlText w:val="-"/>
      <w:numFmt w:val="bullet"/>
      <w:start w:val="1"/>
    </w:lvl>
  </w:abstractNum>
  <w:abstractNum w:abstractNumId="89">
    <w:nsid w:val="4F97E3E4"/>
    <w:multiLevelType w:val="hybridMultilevel"/>
    <w:lvl w:ilvl="0">
      <w:lvlJc w:val="left"/>
      <w:lvlText w:val="-"/>
      <w:numFmt w:val="bullet"/>
      <w:start w:val="1"/>
    </w:lvl>
  </w:abstractNum>
  <w:abstractNum w:abstractNumId="90">
    <w:nsid w:val="53B0A9E"/>
    <w:multiLevelType w:val="hybridMultilevel"/>
    <w:lvl w:ilvl="0">
      <w:lvlJc w:val="left"/>
      <w:lvlText w:val="-"/>
      <w:numFmt w:val="bullet"/>
      <w:start w:val="1"/>
    </w:lvl>
    <w:lvl w:ilvl="1">
      <w:lvlJc w:val="left"/>
      <w:lvlText w:val="*"/>
      <w:numFmt w:val="bullet"/>
      <w:start w:val="1"/>
    </w:lvl>
  </w:abstractNum>
  <w:abstractNum w:abstractNumId="91">
    <w:nsid w:val="34FD6B4F"/>
    <w:multiLevelType w:val="hybridMultilevel"/>
    <w:lvl w:ilvl="0">
      <w:lvlJc w:val="left"/>
      <w:lvlText w:val="-"/>
      <w:numFmt w:val="bullet"/>
      <w:start w:val="1"/>
    </w:lvl>
    <w:lvl w:ilvl="1">
      <w:lvlJc w:val="left"/>
      <w:lvlText w:val="**"/>
      <w:numFmt w:val="bullet"/>
      <w:start w:val="1"/>
    </w:lvl>
  </w:abstractNum>
  <w:abstractNum w:abstractNumId="92">
    <w:nsid w:val="5915FF32"/>
    <w:multiLevelType w:val="hybridMultilevel"/>
    <w:lvl w:ilvl="0">
      <w:lvlJc w:val="left"/>
      <w:lvlText w:val="%1."/>
      <w:numFmt w:val="decimal"/>
      <w:start w:val="1"/>
    </w:lvl>
  </w:abstractNum>
  <w:abstractNum w:abstractNumId="93">
    <w:nsid w:val="56438D15"/>
    <w:multiLevelType w:val="hybridMultilevel"/>
    <w:lvl w:ilvl="0">
      <w:lvlJc w:val="left"/>
      <w:lvlText w:val="(%1)"/>
      <w:numFmt w:val="lowerRoman"/>
      <w:start w:val="1"/>
    </w:lvl>
  </w:abstractNum>
  <w:abstractNum w:abstractNumId="94">
    <w:nsid w:val="519E3149"/>
    <w:multiLevelType w:val="hybridMultilevel"/>
    <w:lvl w:ilvl="0">
      <w:lvlJc w:val="left"/>
      <w:lvlText w:val="(%1)"/>
      <w:numFmt w:val="lowerRoman"/>
      <w:start w:val="2"/>
    </w:lvl>
  </w:abstractNum>
  <w:abstractNum w:abstractNumId="95">
    <w:nsid w:val="2C6E4AFD"/>
    <w:multiLevelType w:val="hybridMultilevel"/>
    <w:lvl w:ilvl="0">
      <w:lvlJc w:val="left"/>
      <w:lvlText w:val="(%1)"/>
      <w:numFmt w:val="lowerRoman"/>
      <w:start w:val="2"/>
    </w:lvl>
  </w:abstractNum>
  <w:abstractNum w:abstractNumId="96">
    <w:nsid w:val="17A1B582"/>
    <w:multiLevelType w:val="hybridMultilevel"/>
    <w:lvl w:ilvl="0">
      <w:lvlJc w:val="left"/>
      <w:lvlText w:val="(%1)"/>
      <w:numFmt w:val="lowerRoman"/>
      <w:start w:val="5"/>
    </w:lvl>
  </w:abstractNum>
  <w:abstractNum w:abstractNumId="97">
    <w:nsid w:val="4DF72E4E"/>
    <w:multiLevelType w:val="hybridMultilevel"/>
    <w:lvl w:ilvl="0">
      <w:lvlJc w:val="left"/>
      <w:lvlText w:val="(%1)"/>
      <w:numFmt w:val="lowerRoman"/>
      <w:start w:val="8"/>
    </w:lvl>
  </w:abstractNum>
  <w:abstractNum w:abstractNumId="98">
    <w:nsid w:val="5046B5A9"/>
    <w:multiLevelType w:val="hybridMultilevel"/>
    <w:lvl w:ilvl="0">
      <w:lvlJc w:val="left"/>
      <w:lvlText w:val="(%1)"/>
      <w:numFmt w:val="lowerRoman"/>
      <w:start w:val="11"/>
    </w:lvl>
  </w:abstractNum>
  <w:abstractNum w:abstractNumId="99">
    <w:nsid w:val="5D888A08"/>
    <w:multiLevelType w:val="hybridMultilevel"/>
    <w:lvl w:ilvl="0">
      <w:lvlJc w:val="left"/>
      <w:lvlText w:val="(%1)"/>
      <w:numFmt w:val="lowerRoman"/>
      <w:start w:val="16"/>
    </w:lvl>
  </w:abstractNum>
  <w:abstractNum w:abstractNumId="100">
    <w:nsid w:val="2A082C70"/>
    <w:multiLevelType w:val="hybridMultilevel"/>
    <w:lvl w:ilvl="0">
      <w:lvlJc w:val="left"/>
      <w:lvlText w:val="(%1)"/>
      <w:numFmt w:val="lowerLetter"/>
      <w:start w:val="2"/>
    </w:lvl>
    <w:lvl w:ilvl="1">
      <w:lvlJc w:val="left"/>
      <w:lvlText w:val="(%2)"/>
      <w:numFmt w:val="lowerRoman"/>
      <w:start w:val="1"/>
    </w:lvl>
  </w:abstractNum>
  <w:abstractNum w:abstractNumId="101">
    <w:nsid w:val="5EC6AFD4"/>
    <w:multiLevelType w:val="hybridMultilevel"/>
    <w:lvl w:ilvl="0">
      <w:lvlJc w:val="left"/>
      <w:lvlText w:val="(%1)"/>
      <w:numFmt w:val="lowerRoman"/>
      <w:start w:val="4"/>
    </w:lvl>
  </w:abstractNum>
  <w:abstractNum w:abstractNumId="102">
    <w:nsid w:val="19E21BB2"/>
    <w:multiLevelType w:val="hybridMultilevel"/>
    <w:lvl w:ilvl="0">
      <w:lvlJc w:val="left"/>
      <w:lvlText w:val="%1"/>
      <w:numFmt w:val="decimal"/>
      <w:start w:val="1"/>
    </w:lvl>
    <w:lvl w:ilvl="1">
      <w:lvlJc w:val="left"/>
      <w:lvlText w:val="(%2)"/>
      <w:numFmt w:val="lowerRoman"/>
      <w:start w:val="8"/>
    </w:lvl>
  </w:abstractNum>
  <w:abstractNum w:abstractNumId="103">
    <w:nsid w:val="75E0858A"/>
    <w:multiLevelType w:val="hybridMultilevel"/>
    <w:lvl w:ilvl="0">
      <w:lvlJc w:val="left"/>
      <w:lvlText w:val="%1."/>
      <w:numFmt w:val="decimal"/>
      <w:start w:val="2"/>
    </w:lvl>
    <w:lvl w:ilvl="1">
      <w:lvlJc w:val="left"/>
      <w:lvlText w:val="%2"/>
      <w:numFmt w:val="lowerRoman"/>
      <w:start w:val="1"/>
    </w:lvl>
  </w:abstractNum>
  <w:abstractNum w:abstractNumId="104">
    <w:nsid w:val="57A61A29"/>
    <w:multiLevelType w:val="hybridMultilevel"/>
    <w:lvl w:ilvl="0">
      <w:lvlJc w:val="left"/>
      <w:lvlText w:val="%1."/>
      <w:numFmt w:val="decimal"/>
      <w:start w:val="3"/>
    </w:lvl>
  </w:abstractNum>
  <w:abstractNum w:abstractNumId="105">
    <w:nsid w:val="5399C654"/>
    <w:multiLevelType w:val="hybridMultilevel"/>
    <w:lvl w:ilvl="0">
      <w:lvlJc w:val="left"/>
      <w:lvlText w:val="(%1)"/>
      <w:numFmt w:val="lowerLetter"/>
      <w:start w:val="2"/>
    </w:lvl>
  </w:abstractNum>
  <w:abstractNum w:abstractNumId="106">
    <w:nsid w:val="20EE1348"/>
    <w:multiLevelType w:val="hybridMultilevel"/>
    <w:lvl w:ilvl="0">
      <w:lvlJc w:val="left"/>
      <w:lvlText w:val="%1."/>
      <w:numFmt w:val="decimal"/>
      <w:start w:val="5"/>
    </w:lvl>
    <w:lvl w:ilvl="1">
      <w:lvlJc w:val="left"/>
      <w:lvlText w:val="(%2)"/>
      <w:numFmt w:val="lowerRoman"/>
      <w:start w:val="1"/>
    </w:lvl>
  </w:abstractNum>
  <w:abstractNum w:abstractNumId="107">
    <w:nsid w:val="4427069A"/>
    <w:multiLevelType w:val="hybridMultilevel"/>
    <w:lvl w:ilvl="0">
      <w:lvlJc w:val="left"/>
      <w:lvlText w:val="(%1)"/>
      <w:numFmt w:val="lowerRoman"/>
      <w:start w:val="4"/>
    </w:lvl>
  </w:abstractNum>
  <w:abstractNum w:abstractNumId="108">
    <w:nsid w:val="B37E80A"/>
    <w:multiLevelType w:val="hybridMultilevel"/>
    <w:lvl w:ilvl="0">
      <w:lvlJc w:val="left"/>
      <w:lvlText w:val="%1"/>
      <w:numFmt w:val="lowerLetter"/>
      <w:start w:val="1"/>
    </w:lvl>
    <w:lvl w:ilvl="1">
      <w:lvlJc w:val="left"/>
      <w:lvlText w:val="(%2)"/>
      <w:numFmt w:val="lowerRoman"/>
      <w:start w:val="7"/>
    </w:lvl>
  </w:abstractNum>
  <w:abstractNum w:abstractNumId="109">
    <w:nsid w:val="2157F6BC"/>
    <w:multiLevelType w:val="hybridMultilevel"/>
    <w:lvl w:ilvl="0">
      <w:lvlJc w:val="left"/>
      <w:lvlText w:val="(%1)"/>
      <w:numFmt w:val="lowerLetter"/>
      <w:start w:val="2"/>
    </w:lvl>
    <w:lvl w:ilvl="1">
      <w:lvlJc w:val="left"/>
      <w:lvlText w:val="(%2)"/>
      <w:numFmt w:val="lowerRoman"/>
      <w:start w:val="1"/>
    </w:lvl>
  </w:abstractNum>
  <w:abstractNum w:abstractNumId="110">
    <w:nsid w:val="704E1DD5"/>
    <w:multiLevelType w:val="hybridMultilevel"/>
    <w:lvl w:ilvl="0">
      <w:lvlJc w:val="left"/>
      <w:lvlText w:val="%1"/>
      <w:numFmt w:val="decimal"/>
      <w:start w:val="1"/>
    </w:lvl>
    <w:lvl w:ilvl="1">
      <w:lvlJc w:val="left"/>
      <w:lvlText w:val="(%2)"/>
      <w:numFmt w:val="lowerRoman"/>
      <w:start w:val="2"/>
    </w:lvl>
  </w:abstractNum>
  <w:abstractNum w:abstractNumId="111">
    <w:nsid w:val="57D2F10E"/>
    <w:multiLevelType w:val="hybridMultilevel"/>
    <w:lvl w:ilvl="0">
      <w:lvlJc w:val="left"/>
      <w:lvlText w:val="%1."/>
      <w:numFmt w:val="decimal"/>
      <w:start w:val="6"/>
    </w:lvl>
    <w:lvl w:ilvl="1">
      <w:lvlJc w:val="left"/>
      <w:lvlText w:val="%2"/>
      <w:numFmt w:val="lowerRoman"/>
      <w:start w:val="1"/>
    </w:lvl>
  </w:abstractNum>
  <w:abstractNum w:abstractNumId="112">
    <w:nsid w:val="BFFAE18"/>
    <w:multiLevelType w:val="hybridMultilevel"/>
    <w:lvl w:ilvl="0">
      <w:lvlJc w:val="left"/>
      <w:lvlText w:val="(%1)"/>
      <w:numFmt w:val="lowerLetter"/>
      <w:start w:val="1"/>
    </w:lvl>
  </w:abstractNum>
  <w:abstractNum w:abstractNumId="113">
    <w:nsid w:val="E3E47A8"/>
    <w:multiLevelType w:val="hybridMultilevel"/>
    <w:lvl w:ilvl="0">
      <w:lvlJc w:val="left"/>
      <w:lvlText w:val="(%1)"/>
      <w:numFmt w:val="lowerRoman"/>
      <w:start w:val="1"/>
    </w:lvl>
  </w:abstractNum>
  <w:abstractNum w:abstractNumId="114">
    <w:nsid w:val="2E48F044"/>
    <w:multiLevelType w:val="hybridMultilevel"/>
    <w:lvl w:ilvl="0">
      <w:lvlJc w:val="left"/>
      <w:lvlText w:val="(%1)"/>
      <w:numFmt w:val="lowerRoman"/>
      <w:start w:val="3"/>
    </w:lvl>
  </w:abstractNum>
  <w:abstractNum w:abstractNumId="115">
    <w:nsid w:val="49D0FEAC"/>
    <w:multiLevelType w:val="hybridMultilevel"/>
    <w:lvl w:ilvl="0">
      <w:lvlJc w:val="left"/>
      <w:lvlText w:val="(%1)"/>
      <w:numFmt w:val="lowerRoman"/>
      <w:start w:val="9"/>
    </w:lvl>
  </w:abstractNum>
  <w:abstractNum w:abstractNumId="116">
    <w:nsid w:val="4BEE5A5B"/>
    <w:multiLevelType w:val="hybridMultilevel"/>
    <w:lvl w:ilvl="0">
      <w:lvlJc w:val="left"/>
      <w:lvlText w:val="(%1)"/>
      <w:numFmt w:val="lowerRoman"/>
      <w:start w:val="13"/>
    </w:lvl>
  </w:abstractNum>
  <w:abstractNum w:abstractNumId="117">
    <w:nsid w:val="5551B9F3"/>
    <w:multiLevelType w:val="hybridMultilevel"/>
    <w:lvl w:ilvl="0">
      <w:lvlJc w:val="left"/>
      <w:lvlText w:val="(%1)"/>
      <w:numFmt w:val="lowerLetter"/>
      <w:start w:val="4"/>
    </w:lvl>
  </w:abstractNum>
  <w:abstractNum w:abstractNumId="118">
    <w:nsid w:val="24F6AB8E"/>
    <w:multiLevelType w:val="hybridMultilevel"/>
    <w:lvl w:ilvl="0">
      <w:lvlJc w:val="left"/>
      <w:lvlText w:val="(%1)"/>
      <w:numFmt w:val="lowerRoman"/>
      <w:start w:val="1"/>
    </w:lvl>
  </w:abstractNum>
  <w:abstractNum w:abstractNumId="119">
    <w:nsid w:val="634C574C"/>
    <w:multiLevelType w:val="hybridMultilevel"/>
    <w:lvl w:ilvl="0">
      <w:lvlJc w:val="left"/>
      <w:lvlText w:val="(%1)"/>
      <w:numFmt w:val="lowerRoman"/>
      <w:start w:val="6"/>
    </w:lvl>
  </w:abstractNum>
  <w:abstractNum w:abstractNumId="120">
    <w:nsid w:val="24E99DD7"/>
    <w:multiLevelType w:val="hybridMultilevel"/>
    <w:lvl w:ilvl="0">
      <w:lvlJc w:val="left"/>
      <w:lvlText w:val="(%1)"/>
      <w:numFmt w:val="lowerRoman"/>
      <w:start w:val="12"/>
    </w:lvl>
  </w:abstractNum>
  <w:abstractNum w:abstractNumId="121">
    <w:nsid w:val="2A31B62D"/>
    <w:multiLevelType w:val="hybridMultilevel"/>
    <w:lvl w:ilvl="0">
      <w:lvlJc w:val="left"/>
      <w:lvlText w:val="(%1)"/>
      <w:numFmt w:val="lowerLetter"/>
      <w:start w:val="5"/>
    </w:lvl>
  </w:abstractNum>
  <w:abstractNum w:abstractNumId="122">
    <w:nsid w:val="1849C29B"/>
    <w:multiLevelType w:val="hybridMultilevel"/>
    <w:lvl w:ilvl="0">
      <w:lvlJc w:val="left"/>
      <w:lvlText w:val="(%1)"/>
      <w:numFmt w:val="lowerRoman"/>
      <w:start w:val="1"/>
    </w:lvl>
  </w:abstractNum>
  <w:abstractNum w:abstractNumId="123">
    <w:nsid w:val="7DFF9D09"/>
    <w:multiLevelType w:val="hybridMultilevel"/>
    <w:lvl w:ilvl="0">
      <w:lvlJc w:val="left"/>
      <w:lvlText w:val="(%1)"/>
      <w:numFmt w:val="lowerRoman"/>
      <w:start w:val="4"/>
    </w:lvl>
  </w:abstractNum>
  <w:abstractNum w:abstractNumId="124">
    <w:nsid w:val="754342"/>
    <w:multiLevelType w:val="hybridMultilevel"/>
    <w:lvl w:ilvl="0">
      <w:lvlJc w:val="left"/>
      <w:lvlText w:val="(%1)"/>
      <w:numFmt w:val="lowerRoman"/>
      <w:start w:val="10"/>
    </w:lvl>
  </w:abstractNum>
  <w:abstractNum w:abstractNumId="125">
    <w:nsid w:val="69E7F3E5"/>
    <w:multiLevelType w:val="hybridMultilevel"/>
    <w:lvl w:ilvl="0">
      <w:lvlJc w:val="left"/>
      <w:lvlText w:val="(%1)"/>
      <w:numFmt w:val="lowerLetter"/>
      <w:start w:val="6"/>
    </w:lvl>
  </w:abstractNum>
  <w:abstractNum w:abstractNumId="126">
    <w:nsid w:val="2A6DE806"/>
    <w:multiLevelType w:val="hybridMultilevel"/>
    <w:lvl w:ilvl="0">
      <w:lvlJc w:val="left"/>
      <w:lvlText w:val="(%1)"/>
      <w:numFmt w:val="lowerRoman"/>
      <w:start w:val="1"/>
    </w:lvl>
  </w:abstractNum>
  <w:abstractNum w:abstractNumId="127">
    <w:nsid w:val="1816F8C4"/>
    <w:multiLevelType w:val="hybridMultilevel"/>
    <w:lvl w:ilvl="0">
      <w:lvlJc w:val="left"/>
      <w:lvlText w:val="(%1)"/>
      <w:numFmt w:val="lowerRoman"/>
      <w:start w:val="4"/>
    </w:lvl>
  </w:abstractNum>
  <w:abstractNum w:abstractNumId="128">
    <w:nsid w:val="37DF2233"/>
    <w:multiLevelType w:val="hybridMultilevel"/>
    <w:lvl w:ilvl="0">
      <w:lvlJc w:val="left"/>
      <w:lvlText w:val="(%1)"/>
      <w:numFmt w:val="lowerLetter"/>
      <w:start w:val="7"/>
    </w:lvl>
  </w:abstractNum>
  <w:abstractNum w:abstractNumId="129">
    <w:nsid w:val="7AB49DAF"/>
    <w:multiLevelType w:val="hybridMultilevel"/>
    <w:lvl w:ilvl="0">
      <w:lvlJc w:val="left"/>
      <w:lvlText w:val="(%1)"/>
      <w:numFmt w:val="lowerRoman"/>
      <w:start w:val="1"/>
    </w:lvl>
  </w:abstractNum>
  <w:abstractNum w:abstractNumId="130">
    <w:nsid w:val="759F82CD"/>
    <w:multiLevelType w:val="hybridMultilevel"/>
    <w:lvl w:ilvl="0">
      <w:lvlJc w:val="left"/>
      <w:lvlText w:val="(%1)"/>
      <w:numFmt w:val="lowerRoman"/>
      <w:start w:val="3"/>
    </w:lvl>
  </w:abstractNum>
  <w:abstractNum w:abstractNumId="131">
    <w:nsid w:val="61E74EA3"/>
    <w:multiLevelType w:val="hybridMultilevel"/>
    <w:lvl w:ilvl="0">
      <w:lvlJc w:val="left"/>
      <w:lvlText w:val="(%1)"/>
      <w:numFmt w:val="lowerLetter"/>
      <w:start w:val="8"/>
    </w:lvl>
  </w:abstractNum>
  <w:abstractNum w:abstractNumId="132">
    <w:nsid w:val="597B4D84"/>
    <w:multiLevelType w:val="hybridMultilevel"/>
    <w:lvl w:ilvl="0">
      <w:lvlJc w:val="left"/>
      <w:lvlText w:val="(%1)"/>
      <w:numFmt w:val="lowerLetter"/>
      <w:start w:val="9"/>
    </w:lvl>
  </w:abstractNum>
  <w:abstractNum w:abstractNumId="133">
    <w:nsid w:val="F819E7F"/>
    <w:multiLevelType w:val="hybridMultilevel"/>
    <w:lvl w:ilvl="0">
      <w:lvlJc w:val="left"/>
      <w:lvlText w:val="%1"/>
      <w:numFmt w:val="decimal"/>
      <w:start w:val="1"/>
    </w:lvl>
    <w:lvl w:ilvl="1">
      <w:lvlJc w:val="left"/>
      <w:lvlText w:val="(%2)"/>
      <w:numFmt w:val="lowerLetter"/>
      <w:start w:val="13"/>
    </w:lvl>
  </w:abstractNum>
  <w:abstractNum w:abstractNumId="134">
    <w:nsid w:val="57C7D42D"/>
    <w:multiLevelType w:val="hybridMultilevel"/>
    <w:lvl w:ilvl="0">
      <w:lvlJc w:val="left"/>
      <w:lvlText w:val="%1."/>
      <w:numFmt w:val="decimal"/>
      <w:start w:val="8"/>
    </w:lvl>
    <w:lvl w:ilvl="1">
      <w:lvlJc w:val="left"/>
      <w:lvlText w:val="%2"/>
      <w:numFmt w:val="lowerLetter"/>
      <w:start w:val="1"/>
    </w:lvl>
  </w:abstractNum>
  <w:abstractNum w:abstractNumId="135">
    <w:nsid w:val="312167AD"/>
    <w:multiLevelType w:val="hybridMultilevel"/>
    <w:lvl w:ilvl="0">
      <w:lvlJc w:val="left"/>
      <w:lvlText w:val="%1"/>
      <w:numFmt w:val="lowerLetter"/>
      <w:start w:val="1"/>
    </w:lvl>
    <w:lvl w:ilvl="1">
      <w:lvlJc w:val="left"/>
      <w:lvlText w:val="(%2)"/>
      <w:numFmt w:val="lowerLetter"/>
      <w:start w:val="2"/>
    </w:lvl>
  </w:abstractNum>
  <w:abstractNum w:abstractNumId="136">
    <w:nsid w:val="631B64D4"/>
    <w:multiLevelType w:val="hybridMultilevel"/>
    <w:lvl w:ilvl="0">
      <w:lvlJc w:val="left"/>
      <w:lvlText w:val="(%1)"/>
      <w:numFmt w:val="lowerLetter"/>
      <w:start w:val="1"/>
    </w:lvl>
    <w:lvl w:ilvl="1">
      <w:lvlJc w:val="left"/>
      <w:lvlText w:val="%2"/>
      <w:numFmt w:val="lowerLetter"/>
      <w:start w:val="1"/>
    </w:lvl>
  </w:abstractNum>
  <w:abstractNum w:abstractNumId="137">
    <w:nsid w:val="78B5E776"/>
    <w:multiLevelType w:val="hybridMultilevel"/>
    <w:lvl w:ilvl="0">
      <w:lvlJc w:val="left"/>
      <w:lvlText w:val="(%1)"/>
      <w:numFmt w:val="lowerLetter"/>
      <w:start w:val="4"/>
    </w:lvl>
  </w:abstractNum>
  <w:abstractNum w:abstractNumId="138">
    <w:nsid w:val="75486E47"/>
    <w:multiLevelType w:val="hybridMultilevel"/>
    <w:lvl w:ilvl="0">
      <w:lvlJc w:val="left"/>
      <w:lvlText w:val="(%1)"/>
      <w:numFmt w:val="lowerLetter"/>
      <w:start w:val="5"/>
    </w:lvl>
  </w:abstractNum>
  <w:abstractNum w:abstractNumId="139">
    <w:nsid w:val="6E534CDE"/>
    <w:multiLevelType w:val="hybridMultilevel"/>
    <w:lvl w:ilvl="0">
      <w:lvlJc w:val="left"/>
      <w:lvlText w:val="%1."/>
      <w:numFmt w:val="decimal"/>
      <w:start w:val="9"/>
    </w:lvl>
  </w:abstractNum>
  <w:abstractNum w:abstractNumId="140">
    <w:nsid w:val="1A0DDE32"/>
    <w:multiLevelType w:val="hybridMultilevel"/>
    <w:lvl w:ilvl="0">
      <w:lvlJc w:val="left"/>
      <w:lvlText w:val="(%1)"/>
      <w:numFmt w:val="lowerLetter"/>
      <w:start w:val="2"/>
    </w:lvl>
  </w:abstractNum>
  <w:abstractNum w:abstractNumId="141">
    <w:nsid w:val="65968C1C"/>
    <w:multiLevelType w:val="hybridMultilevel"/>
    <w:lvl w:ilvl="0">
      <w:lvlJc w:val="left"/>
      <w:lvlText w:val="(%1)"/>
      <w:numFmt w:val="lowerLetter"/>
      <w:start w:val="3"/>
    </w:lvl>
  </w:abstractNum>
  <w:abstractNum w:abstractNumId="142">
    <w:nsid w:val="46263DEC"/>
    <w:multiLevelType w:val="hybridMultilevel"/>
    <w:lvl w:ilvl="0">
      <w:lvlJc w:val="left"/>
      <w:lvlText w:val="%1."/>
      <w:numFmt w:val="decimal"/>
      <w:start w:val="10"/>
    </w:lvl>
  </w:abstractNum>
  <w:abstractNum w:abstractNumId="143">
    <w:nsid w:val="260D8C4A"/>
    <w:multiLevelType w:val="hybridMultilevel"/>
    <w:lvl w:ilvl="0">
      <w:lvlJc w:val="left"/>
      <w:lvlText w:val="%1."/>
      <w:numFmt w:val="decimal"/>
      <w:start w:val="13"/>
    </w:lvl>
  </w:abstractNum>
  <w:abstractNum w:abstractNumId="144">
    <w:nsid w:val="73D4D3C4"/>
    <w:multiLevelType w:val="hybridMultilevel"/>
    <w:lvl w:ilvl="0">
      <w:lvlJc w:val="left"/>
      <w:lvlText w:val="%1."/>
      <w:numFmt w:val="decimal"/>
      <w:start w:val="15"/>
    </w:lvl>
  </w:abstractNum>
  <w:abstractNum w:abstractNumId="145">
    <w:nsid w:val="746F2E30"/>
    <w:multiLevelType w:val="hybridMultilevel"/>
    <w:lvl w:ilvl="0">
      <w:lvlJc w:val="left"/>
      <w:lvlText w:val="(%1)"/>
      <w:numFmt w:val="lowerRoman"/>
      <w:start w:val="1"/>
    </w:lvl>
  </w:abstractNum>
  <w:abstractNum w:abstractNumId="146">
    <w:nsid w:val="6FDE8AF6"/>
    <w:multiLevelType w:val="hybridMultilevel"/>
    <w:lvl w:ilvl="0">
      <w:lvlJc w:val="left"/>
      <w:lvlText w:val="%1)"/>
      <w:numFmt w:val="decimal"/>
      <w:start w:val="1"/>
    </w:lvl>
  </w:abstractNum>
  <w:abstractNum w:abstractNumId="147">
    <w:nsid w:val="3FC32E20"/>
    <w:multiLevelType w:val="hybridMultilevel"/>
    <w:lvl w:ilvl="0">
      <w:lvlJc w:val="left"/>
      <w:lvlText w:val="%1"/>
      <w:numFmt w:val="lowerRoman"/>
      <w:start w:val="1"/>
    </w:lvl>
    <w:lvl w:ilvl="1">
      <w:lvlJc w:val="left"/>
      <w:lvlText w:val="%2)"/>
      <w:numFmt w:val="decimal"/>
      <w:start w:val="5"/>
    </w:lvl>
  </w:abstractNum>
  <w:abstractNum w:abstractNumId="148">
    <w:nsid w:val="49C0E823"/>
    <w:multiLevelType w:val="hybridMultilevel"/>
    <w:lvl w:ilvl="0">
      <w:lvlJc w:val="left"/>
      <w:lvlText w:val="(%1)"/>
      <w:numFmt w:val="lowerRoman"/>
      <w:start w:val="6"/>
    </w:lvl>
    <w:lvl w:ilvl="1">
      <w:lvlJc w:val="left"/>
      <w:lvlText w:val="%2"/>
      <w:numFmt w:val="decimal"/>
      <w:start w:val="1"/>
    </w:lvl>
  </w:abstractNum>
  <w:abstractNum w:abstractNumId="149">
    <w:nsid w:val="14D53685"/>
    <w:multiLevelType w:val="hybridMultilevel"/>
    <w:lvl w:ilvl="0">
      <w:lvlJc w:val="left"/>
      <w:lvlText w:val="%1)"/>
      <w:numFmt w:val="decimal"/>
      <w:start w:val="1"/>
    </w:lvl>
  </w:abstractNum>
  <w:abstractNum w:abstractNumId="150">
    <w:nsid w:val="230F856C"/>
    <w:multiLevelType w:val="hybridMultilevel"/>
    <w:lvl w:ilvl="0">
      <w:lvlJc w:val="left"/>
      <w:lvlText w:val="%1"/>
      <w:numFmt w:val="lowerRoman"/>
      <w:start w:val="1"/>
    </w:lvl>
    <w:lvl w:ilvl="1">
      <w:lvlJc w:val="left"/>
      <w:lvlText w:val="%2)"/>
      <w:numFmt w:val="decimal"/>
      <w:start w:val="4"/>
    </w:lvl>
    <w:lvl w:ilvl="2">
      <w:lvlJc w:val="left"/>
      <w:lvlText w:val="(%3)"/>
      <w:numFmt w:val="lowerRoman"/>
      <w:start w:val="2"/>
    </w:lvl>
  </w:abstractNum>
  <w:abstractNum w:abstractNumId="151">
    <w:nsid w:val="6EAA85FB"/>
    <w:multiLevelType w:val="hybridMultilevel"/>
    <w:lvl w:ilvl="0">
      <w:lvlJc w:val="left"/>
      <w:lvlText w:val="(%1)"/>
      <w:numFmt w:val="lowerRoman"/>
      <w:start w:val="7"/>
    </w:lvl>
    <w:lvl w:ilvl="1">
      <w:lvlJc w:val="left"/>
      <w:lvlText w:val="%2"/>
      <w:numFmt w:val="decimal"/>
      <w:start w:val="1"/>
    </w:lvl>
    <w:lvl w:ilvl="2">
      <w:lvlJc w:val="left"/>
      <w:lvlText w:val="%3"/>
      <w:numFmt w:val="lowerRoman"/>
      <w:start w:val="1"/>
    </w:lvl>
  </w:abstractNum>
  <w:abstractNum w:abstractNumId="152">
    <w:nsid w:val="3F06ECB2"/>
    <w:multiLevelType w:val="hybridMultilevel"/>
    <w:lvl w:ilvl="0">
      <w:lvlJc w:val="left"/>
      <w:lvlText w:val="(%1)"/>
      <w:numFmt w:val="lowerRoman"/>
      <w:start w:val="1"/>
    </w:lvl>
    <w:lvl w:ilvl="1">
      <w:lvlJc w:val="left"/>
      <w:lvlText w:val="%2)"/>
      <w:numFmt w:val="decimal"/>
      <w:start w:val="1"/>
    </w:lvl>
  </w:abstractNum>
  <w:abstractNum w:abstractNumId="153">
    <w:nsid w:val="3B594807"/>
    <w:multiLevelType w:val="hybridMultilevel"/>
    <w:lvl w:ilvl="0">
      <w:lvlJc w:val="left"/>
      <w:lvlText w:val="(%1)"/>
      <w:numFmt w:val="lowerRoman"/>
      <w:start w:val="2"/>
    </w:lvl>
  </w:abstractNum>
  <w:abstractNum w:abstractNumId="154">
    <w:nsid w:val="6CAA2304"/>
    <w:multiLevelType w:val="hybridMultilevel"/>
    <w:lvl w:ilvl="0">
      <w:lvlJc w:val="left"/>
      <w:lvlText w:val="%1"/>
      <w:numFmt w:val="lowerRoman"/>
      <w:start w:val="1"/>
    </w:lvl>
    <w:lvl w:ilvl="1">
      <w:lvlJc w:val="left"/>
      <w:lvlText w:val="%2)"/>
      <w:numFmt w:val="decimal"/>
      <w:start w:val="3"/>
    </w:lvl>
  </w:abstractNum>
  <w:abstractNum w:abstractNumId="155">
    <w:nsid w:val="3F7C2FF4"/>
    <w:multiLevelType w:val="hybridMultilevel"/>
    <w:lvl w:ilvl="0">
      <w:lvlJc w:val="left"/>
      <w:lvlText w:val="(%1)"/>
      <w:numFmt w:val="lowerRoman"/>
      <w:start w:val="5"/>
    </w:lvl>
    <w:lvl w:ilvl="1">
      <w:lvlJc w:val="left"/>
      <w:lvlText w:val="%2"/>
      <w:numFmt w:val="decimal"/>
      <w:start w:val="1"/>
    </w:lvl>
  </w:abstractNum>
  <w:abstractNum w:abstractNumId="156">
    <w:nsid w:val="25413B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2019-12-12T08:20:27Z</dcterms:created>
  <dcterms:modified xsi:type="dcterms:W3CDTF">2019-12-12T08:20:27Z</dcterms:modified>
</cp:coreProperties>
</file>